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68CD" w14:textId="2381D9C7" w:rsidR="003C2123" w:rsidRDefault="009F3FB7" w:rsidP="00AE615F">
      <w:pPr>
        <w:rPr>
          <w:rFonts w:ascii="Arial" w:hAnsi="Arial" w:cs="Arial"/>
          <w:b/>
          <w:bCs/>
          <w:color w:val="000000"/>
        </w:rPr>
      </w:pPr>
      <w:bookmarkStart w:id="0" w:name="_Toc3858783"/>
      <w:bookmarkStart w:id="1" w:name="_Toc3858786"/>
      <w:bookmarkStart w:id="2" w:name="OLE_LINK2"/>
      <w:r w:rsidRPr="004F40FE">
        <w:rPr>
          <w:rFonts w:cs="Calibri"/>
          <w:noProof/>
        </w:rPr>
        <w:drawing>
          <wp:anchor distT="0" distB="0" distL="114300" distR="114300" simplePos="0" relativeHeight="251667456" behindDoc="0" locked="0" layoutInCell="1" allowOverlap="1" wp14:anchorId="752C40F6" wp14:editId="22F067FF">
            <wp:simplePos x="0" y="0"/>
            <wp:positionH relativeFrom="page">
              <wp:posOffset>2096135</wp:posOffset>
            </wp:positionH>
            <wp:positionV relativeFrom="paragraph">
              <wp:posOffset>-1814830</wp:posOffset>
            </wp:positionV>
            <wp:extent cx="5467350" cy="904367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8" cstate="hqprint">
                      <a:extLst>
                        <a:ext uri="{28A0092B-C50C-407E-A947-70E740481C1C}">
                          <a14:useLocalDpi xmlns:a14="http://schemas.microsoft.com/office/drawing/2010/main" val="0"/>
                        </a:ext>
                      </a:extLst>
                    </a:blip>
                    <a:srcRect t="23355" r="39649" b="8508"/>
                    <a:stretch/>
                  </pic:blipFill>
                  <pic:spPr bwMode="auto">
                    <a:xfrm>
                      <a:off x="0" y="0"/>
                      <a:ext cx="5467350" cy="904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5F0B">
        <w:rPr>
          <w:rFonts w:cs="Calibri"/>
          <w:noProof/>
        </w:rPr>
        <mc:AlternateContent>
          <mc:Choice Requires="wps">
            <w:drawing>
              <wp:anchor distT="0" distB="0" distL="114300" distR="114300" simplePos="0" relativeHeight="251668480" behindDoc="0" locked="0" layoutInCell="1" allowOverlap="1" wp14:anchorId="550A753E" wp14:editId="7318AE11">
                <wp:simplePos x="0" y="0"/>
                <wp:positionH relativeFrom="column">
                  <wp:posOffset>-622935</wp:posOffset>
                </wp:positionH>
                <wp:positionV relativeFrom="paragraph">
                  <wp:posOffset>-15875</wp:posOffset>
                </wp:positionV>
                <wp:extent cx="1847850" cy="558800"/>
                <wp:effectExtent l="0" t="0" r="0" b="0"/>
                <wp:wrapNone/>
                <wp:docPr id="1960263248" name="Retângulo 6"/>
                <wp:cNvGraphicFramePr/>
                <a:graphic xmlns:a="http://schemas.openxmlformats.org/drawingml/2006/main">
                  <a:graphicData uri="http://schemas.microsoft.com/office/word/2010/wordprocessingShape">
                    <wps:wsp>
                      <wps:cNvSpPr/>
                      <wps:spPr>
                        <a:xfrm>
                          <a:off x="0" y="0"/>
                          <a:ext cx="1847850" cy="55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DD6C81" w14:textId="14551B01" w:rsidR="00505F0B" w:rsidRPr="00505F0B" w:rsidRDefault="00505F0B" w:rsidP="00505F0B">
                            <w:pPr>
                              <w:jc w:val="center"/>
                              <w:rPr>
                                <w:rFonts w:ascii="DM Sans" w:hAnsi="DM Sans"/>
                                <w:sz w:val="56"/>
                                <w:szCs w:val="56"/>
                              </w:rPr>
                            </w:pPr>
                            <w:r w:rsidRPr="00505F0B">
                              <w:rPr>
                                <w:rFonts w:ascii="DM Sans" w:hAnsi="DM Sans"/>
                                <w:sz w:val="56"/>
                                <w:szCs w:val="56"/>
                              </w:rPr>
                              <w:t>telebras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A753E" id="Retângulo 6" o:spid="_x0000_s1026" style="position:absolute;margin-left:-49.05pt;margin-top:-1.25pt;width:145.5pt;height: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iRcAIAAEEFAAAOAAAAZHJzL2Uyb0RvYy54bWysVE1v2zAMvQ/YfxB0X20HyZoFdYqgRYcB&#10;RVssHXpWZKk2IIsapSTOfv0o2XG6tthh2MWm+PFIPpG6uOxaw3YKfQO25MVZzpmyEqrGPpf8x+PN&#10;pzlnPghbCQNWlfygPL9cfvxwsXcLNYEaTKWQEYj1i70reR2CW2SZl7VqhT8DpywZNWArAh3xOatQ&#10;7Am9Ndkkzz9ne8DKIUjlPWmveyNfJnytlQz3WnsVmCk51RbSF9N3E7/Z8kIsnlG4upFDGeIfqmhF&#10;YynpCHUtgmBbbN5AtY1E8KDDmYQ2A60bqVIP1E2Rv+pmXQunUi9EjncjTf7/wcq73do9INGwd37h&#10;SYxddBrb+Kf6WJfIOoxkqS4wScpiPj2fz4hTSbbZbD7PE5vZKdqhD18VtCwKJUe6jMSR2N36QBnJ&#10;9egSk1m4aYxJF2LsHwpyjJrsVGKSwsGo6Gfsd6VZU1FRk5QgTY+6Msh2gu5dSKlsKHpTLSrVq4tZ&#10;PpY8RqSqEmBE1lTQiD0AxMl8i923M/jHUJWGbwzO/1ZYHzxGpMxgwxjcNhbwPQBDXQ2Ze/8jST01&#10;kaXQbTpyieIGqsMDMoR+C7yTNw3dzK3w4UEgjT1dJq1yuKePNrAvOQwSZzXgr/f00Z+mkayc7WmN&#10;Su5/bgUqzsw3S3P6pZhO496lw3R2PqEDvrRsXlrstr0CurGCHg0nkxj9gzmKGqF9oo1fxaxkElZS&#10;7pLLgMfDVejXm94MqVar5Ea75kS4tWsnI3gkOE7eY/ck0A3jGWiw7+C4cmLxakp73xhpYbUNoJs0&#10;wideB+ppT9MMDW9KfAhenpPX6eVb/gYAAP//AwBQSwMEFAAGAAgAAAAhALLu1uXeAAAACQEAAA8A&#10;AABkcnMvZG93bnJldi54bWxMj8Fqg0AQhu+FvMMygd6SNVKLWtcgoS3k2Fgova3uRE3cWXE3xrx9&#10;N6fmNsN8/PP92XbWPZtwtJ0hAZt1AAypNqqjRsB3+bGKgVknScneEAq4oYVtvnjKZKrMlb5wOriG&#10;+RCyqRTQOjeknNu6RS3t2gxI/nY0o5bOr2PD1SivPlz3PAyCV65lR/5DKwfctVifDxctwFbTvrwN&#10;xc/p19ZV8U66fNl/CvG8nIs3YA5n9w/DXd+rQ+6dKnMhZVkvYJXEG4/6IYyA3YEkTIBVAuIoAp5n&#10;/LFB/gcAAP//AwBQSwECLQAUAAYACAAAACEAtoM4kv4AAADhAQAAEwAAAAAAAAAAAAAAAAAAAAAA&#10;W0NvbnRlbnRfVHlwZXNdLnhtbFBLAQItABQABgAIAAAAIQA4/SH/1gAAAJQBAAALAAAAAAAAAAAA&#10;AAAAAC8BAABfcmVscy8ucmVsc1BLAQItABQABgAIAAAAIQCBk7iRcAIAAEEFAAAOAAAAAAAAAAAA&#10;AAAAAC4CAABkcnMvZTJvRG9jLnhtbFBLAQItABQABgAIAAAAIQCy7tbl3gAAAAkBAAAPAAAAAAAA&#10;AAAAAAAAAMoEAABkcnMvZG93bnJldi54bWxQSwUGAAAAAAQABADzAAAA1QUAAAAA&#10;" filled="f" stroked="f" strokeweight="2pt">
                <v:textbox>
                  <w:txbxContent>
                    <w:p w14:paraId="5FDD6C81" w14:textId="14551B01" w:rsidR="00505F0B" w:rsidRPr="00505F0B" w:rsidRDefault="00505F0B" w:rsidP="00505F0B">
                      <w:pPr>
                        <w:jc w:val="center"/>
                        <w:rPr>
                          <w:rFonts w:ascii="DM Sans" w:hAnsi="DM Sans"/>
                          <w:sz w:val="56"/>
                          <w:szCs w:val="56"/>
                        </w:rPr>
                      </w:pPr>
                      <w:r w:rsidRPr="00505F0B">
                        <w:rPr>
                          <w:rFonts w:ascii="DM Sans" w:hAnsi="DM Sans"/>
                          <w:sz w:val="56"/>
                          <w:szCs w:val="56"/>
                        </w:rPr>
                        <w:t>telebras</w:t>
                      </w:r>
                    </w:p>
                  </w:txbxContent>
                </v:textbox>
              </v:rect>
            </w:pict>
          </mc:Fallback>
        </mc:AlternateContent>
      </w:r>
      <w:r w:rsidR="00B268A7" w:rsidRPr="004F40FE">
        <w:rPr>
          <w:rFonts w:cs="Calibri"/>
          <w:noProof/>
        </w:rPr>
        <mc:AlternateContent>
          <mc:Choice Requires="wps">
            <w:drawing>
              <wp:anchor distT="0" distB="0" distL="114300" distR="114300" simplePos="0" relativeHeight="251661312" behindDoc="1" locked="0" layoutInCell="1" allowOverlap="1" wp14:anchorId="61BBD177" wp14:editId="1B17CC97">
                <wp:simplePos x="0" y="0"/>
                <wp:positionH relativeFrom="page">
                  <wp:posOffset>-3499485</wp:posOffset>
                </wp:positionH>
                <wp:positionV relativeFrom="paragraph">
                  <wp:posOffset>-2484755</wp:posOffset>
                </wp:positionV>
                <wp:extent cx="12599035" cy="14608175"/>
                <wp:effectExtent l="0" t="0" r="0" b="3175"/>
                <wp:wrapNone/>
                <wp:docPr id="35" name="Retângulo 35"/>
                <wp:cNvGraphicFramePr/>
                <a:graphic xmlns:a="http://schemas.openxmlformats.org/drawingml/2006/main">
                  <a:graphicData uri="http://schemas.microsoft.com/office/word/2010/wordprocessingShape">
                    <wps:wsp>
                      <wps:cNvSpPr/>
                      <wps:spPr>
                        <a:xfrm>
                          <a:off x="0" y="0"/>
                          <a:ext cx="12599035" cy="14608175"/>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44E92" id="Retângulo 35" o:spid="_x0000_s1026" style="position:absolute;margin-left:-275.55pt;margin-top:-195.65pt;width:992.05pt;height:11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5gwIAAGIFAAAOAAAAZHJzL2Uyb0RvYy54bWysVE1vGyEQvVfqf0Dcm/2oncSW15HlNFWl&#10;KImSVDljFrwrsQwF7LX76zuwH07TqIeqPmBg3ryZeTvD4urQKLIX1tWgC5qdpZQIzaGs9bag359v&#10;Pl1S4jzTJVOgRUGPwtGr5ccPi9bMRQ4VqFJYgiTazVtT0Mp7M08SxyvRMHcGRmg0SrAN83i026S0&#10;rEX2RiV5mp4nLdjSWODCOby97ox0GfmlFNzfS+mEJ6qgmJuPq43rJqzJcsHmW8tMVfM+DfYPWTSs&#10;1hh0pLpmnpGdrf+gampuwYH0ZxyaBKSsuYg1YDVZ+qaap4oZEWtBcZwZZXL/j5bf7Z/Mg0UZWuPm&#10;DrehioO0TfjH/MghinUcxRIHTzheZvl0Nks/TynhaMwm5+lldjENgiYnAmOd/yqgIWFTUIvfI8rE&#10;9rfOd9ABEuI5UHV5UysVD3a7WStL9gy/XZ5PZpdfevbfYEoHsIbg1jGGm+RUTtz5oxIBp/SjkKQu&#10;sYA8ZhI7TYxxGOdC+6wzVawUXfhpir8heujN4BErjYSBWWL8kbsnGJAdycDdZdnjg6uIjTo6p39L&#10;rHMePWJk0H50bmoN9j0ChVX1kTv8IFInTVBpA+XxwRIL3Zg4w29q/G63zPkHZnEucIJw1v09LlJB&#10;W1Dod5RUYH++dx/w2K5opaTFOSuo+7FjVlCivmls5Fk2mYTBjIfJ9CLHg31t2by26F2zBmyHDF8V&#10;w+M24L0attJC84JPwipERRPTHGMXlHs7HNa+m398VLhYrSIMh9Ewf6ufDA/kQdXQl8+HF2ZN37we&#10;O/8Ohplk8zc93GGDp4bVzoOsY4OfdO31xkGOjdM/OuGleH2OqNPTuPwFAAD//wMAUEsDBBQABgAI&#10;AAAAIQBYzjnW4QAAAA8BAAAPAAAAZHJzL2Rvd25yZXYueG1sTI/NasMwEITvhb6D2EJviWyrCbFj&#10;OZRCaKGn5ueuWIolaq2MpSTu23dzam8z7MfsTL2ZfM+uZowuoIR8ngEz2AbtsJNw2G9nK2AxKdSq&#10;D2gk/JgIm+bxoVaVDjf8Mtdd6hiFYKyUBJvSUHEeW2u8ivMwGKTbOYxeJbJjx/WobhTue15k2ZJ7&#10;5ZA+WDWYN2va793FS9gW/dFP72jj4WOPn0fhSrt0Uj4/Ta9rYMlM6Q+Ge32qDg11OoUL6sh6CbPF&#10;Is+JJSXKXAC7My9C0MATqTIrC+BNzf/vaH4BAAD//wMAUEsBAi0AFAAGAAgAAAAhALaDOJL+AAAA&#10;4QEAABMAAAAAAAAAAAAAAAAAAAAAAFtDb250ZW50X1R5cGVzXS54bWxQSwECLQAUAAYACAAAACEA&#10;OP0h/9YAAACUAQAACwAAAAAAAAAAAAAAAAAvAQAAX3JlbHMvLnJlbHNQSwECLQAUAAYACAAAACEA&#10;B1ef+YMCAABiBQAADgAAAAAAAAAAAAAAAAAuAgAAZHJzL2Uyb0RvYy54bWxQSwECLQAUAAYACAAA&#10;ACEAWM451uEAAAAPAQAADwAAAAAAAAAAAAAAAADdBAAAZHJzL2Rvd25yZXYueG1sUEsFBgAAAAAE&#10;AAQA8wAAAOsFAAAAAA==&#10;" fillcolor="#22498e" stroked="f" strokeweight="2pt">
                <w10:wrap anchorx="page"/>
              </v:rect>
            </w:pict>
          </mc:Fallback>
        </mc:AlternateContent>
      </w:r>
      <w:r w:rsidR="008D7D44">
        <w:rPr>
          <w:rFonts w:ascii="Arial" w:hAnsi="Arial" w:cs="Arial"/>
          <w:b/>
          <w:bCs/>
          <w:color w:val="000000"/>
        </w:rPr>
        <w:t xml:space="preserve"> </w:t>
      </w:r>
    </w:p>
    <w:p w14:paraId="75C0792E" w14:textId="67589CF0" w:rsidR="003C2123" w:rsidRDefault="003C2123" w:rsidP="003C2123">
      <w:pPr>
        <w:rPr>
          <w:rFonts w:ascii="Arial" w:hAnsi="Arial" w:cs="Arial"/>
          <w:b/>
          <w:bCs/>
          <w:color w:val="000000"/>
        </w:rPr>
      </w:pPr>
    </w:p>
    <w:p w14:paraId="73F5CB73" w14:textId="0B0BCA72" w:rsidR="003C2123" w:rsidRDefault="003C2123" w:rsidP="003C2123">
      <w:pPr>
        <w:rPr>
          <w:rFonts w:ascii="Arial" w:hAnsi="Arial" w:cs="Arial"/>
          <w:b/>
          <w:bCs/>
          <w:color w:val="000000"/>
        </w:rPr>
      </w:pPr>
    </w:p>
    <w:p w14:paraId="378AF0CA" w14:textId="47080118" w:rsidR="006C7BC6" w:rsidRDefault="006C7BC6" w:rsidP="00731847">
      <w:pPr>
        <w:rPr>
          <w:rFonts w:ascii="Arial" w:hAnsi="Arial" w:cs="Arial"/>
          <w:b/>
          <w:bCs/>
          <w:color w:val="000000"/>
          <w:sz w:val="32"/>
          <w:szCs w:val="32"/>
        </w:rPr>
      </w:pPr>
    </w:p>
    <w:p w14:paraId="68445284" w14:textId="1EF4E49E" w:rsidR="006C7BC6" w:rsidRDefault="006C7BC6" w:rsidP="00731847">
      <w:pPr>
        <w:rPr>
          <w:rFonts w:ascii="Arial" w:hAnsi="Arial" w:cs="Arial"/>
          <w:b/>
          <w:bCs/>
          <w:color w:val="000000"/>
          <w:sz w:val="32"/>
          <w:szCs w:val="32"/>
        </w:rPr>
      </w:pPr>
    </w:p>
    <w:p w14:paraId="170B1B9C" w14:textId="19C74B4A" w:rsidR="00E81550" w:rsidRDefault="00E81550" w:rsidP="003C2123">
      <w:pPr>
        <w:rPr>
          <w:rFonts w:ascii="Arial" w:hAnsi="Arial" w:cs="Arial"/>
          <w:b/>
          <w:bCs/>
          <w:color w:val="000000"/>
          <w:sz w:val="32"/>
          <w:szCs w:val="32"/>
        </w:rPr>
      </w:pPr>
    </w:p>
    <w:p w14:paraId="202EFCB3" w14:textId="5A28F5A3" w:rsidR="00C272D6" w:rsidRDefault="00731625" w:rsidP="003C2123">
      <w:pPr>
        <w:rPr>
          <w:rFonts w:ascii="Arial" w:hAnsi="Arial" w:cs="Arial"/>
          <w:b/>
          <w:bCs/>
          <w:color w:val="000000"/>
          <w:sz w:val="32"/>
          <w:szCs w:val="32"/>
        </w:rPr>
        <w:sectPr w:rsidR="00C272D6" w:rsidSect="006056D5">
          <w:headerReference w:type="default" r:id="rId9"/>
          <w:footerReference w:type="default" r:id="rId10"/>
          <w:headerReference w:type="first" r:id="rId11"/>
          <w:footerReference w:type="first" r:id="rId12"/>
          <w:pgSz w:w="11906" w:h="16838" w:code="9"/>
          <w:pgMar w:top="1418" w:right="1701" w:bottom="1418" w:left="1701" w:header="170" w:footer="284" w:gutter="0"/>
          <w:pgNumType w:start="0"/>
          <w:cols w:space="708"/>
          <w:titlePg/>
          <w:docGrid w:linePitch="360"/>
        </w:sectPr>
      </w:pPr>
      <w:r>
        <w:rPr>
          <w:rFonts w:ascii="Arial" w:hAnsi="Arial" w:cs="Arial"/>
          <w:b/>
          <w:bCs/>
          <w:noProof/>
          <w:color w:val="000000"/>
          <w:sz w:val="32"/>
          <w:szCs w:val="32"/>
        </w:rPr>
        <mc:AlternateContent>
          <mc:Choice Requires="wps">
            <w:drawing>
              <wp:anchor distT="0" distB="0" distL="114300" distR="114300" simplePos="0" relativeHeight="251659264" behindDoc="0" locked="0" layoutInCell="1" allowOverlap="1" wp14:anchorId="22522A8E" wp14:editId="03BA3F37">
                <wp:simplePos x="0" y="0"/>
                <wp:positionH relativeFrom="column">
                  <wp:posOffset>323850</wp:posOffset>
                </wp:positionH>
                <wp:positionV relativeFrom="paragraph">
                  <wp:posOffset>5005705</wp:posOffset>
                </wp:positionV>
                <wp:extent cx="5619750" cy="139065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5619750" cy="1390650"/>
                        </a:xfrm>
                        <a:prstGeom prst="rect">
                          <a:avLst/>
                        </a:prstGeom>
                        <a:noFill/>
                        <a:ln w="6350">
                          <a:noFill/>
                        </a:ln>
                      </wps:spPr>
                      <wps:txbx>
                        <w:txbxContent>
                          <w:p w14:paraId="733CF6B8" w14:textId="00361F9C" w:rsidR="00151F25" w:rsidRDefault="009F3FB7" w:rsidP="00151F25">
                            <w:pPr>
                              <w:rPr>
                                <w:rFonts w:ascii="Arial" w:hAnsi="Arial" w:cs="Arial"/>
                                <w:b/>
                                <w:color w:val="FFFFFF" w:themeColor="background1"/>
                                <w:sz w:val="32"/>
                                <w:szCs w:val="32"/>
                              </w:rPr>
                            </w:pPr>
                            <w:r>
                              <w:rPr>
                                <w:rFonts w:ascii="Arial" w:hAnsi="Arial" w:cs="Arial"/>
                                <w:b/>
                                <w:color w:val="FFFFFF" w:themeColor="background1"/>
                                <w:sz w:val="32"/>
                                <w:szCs w:val="32"/>
                              </w:rPr>
                              <w:t>Informações</w:t>
                            </w:r>
                            <w:r w:rsidR="00151F25">
                              <w:rPr>
                                <w:rFonts w:ascii="Arial" w:hAnsi="Arial" w:cs="Arial"/>
                                <w:b/>
                                <w:color w:val="FFFFFF" w:themeColor="background1"/>
                                <w:sz w:val="32"/>
                                <w:szCs w:val="32"/>
                              </w:rPr>
                              <w:t xml:space="preserve"> Contábeis</w:t>
                            </w:r>
                            <w:r>
                              <w:rPr>
                                <w:rFonts w:ascii="Arial" w:hAnsi="Arial" w:cs="Arial"/>
                                <w:b/>
                                <w:color w:val="FFFFFF" w:themeColor="background1"/>
                                <w:sz w:val="32"/>
                                <w:szCs w:val="32"/>
                              </w:rPr>
                              <w:t xml:space="preserve"> Intermediárias </w:t>
                            </w:r>
                            <w:r w:rsidR="00E35ADA">
                              <w:rPr>
                                <w:rFonts w:ascii="Arial" w:hAnsi="Arial" w:cs="Arial"/>
                                <w:b/>
                                <w:color w:val="FFFFFF" w:themeColor="background1"/>
                                <w:sz w:val="32"/>
                                <w:szCs w:val="32"/>
                              </w:rPr>
                              <w:t xml:space="preserve"> </w:t>
                            </w:r>
                          </w:p>
                          <w:p w14:paraId="04D1D780" w14:textId="77777777" w:rsidR="00151F25" w:rsidRPr="0074400E" w:rsidRDefault="00151F25" w:rsidP="00151F25">
                            <w:pPr>
                              <w:rPr>
                                <w:rFonts w:ascii="Arial" w:hAnsi="Arial" w:cs="Arial"/>
                                <w:color w:val="FFFFFF" w:themeColor="background1"/>
                                <w:sz w:val="32"/>
                                <w:szCs w:val="32"/>
                              </w:rPr>
                            </w:pPr>
                          </w:p>
                          <w:p w14:paraId="0144F749" w14:textId="77777777" w:rsidR="00151F25" w:rsidRPr="00731625" w:rsidRDefault="00151F25" w:rsidP="00151F25">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4DCF5E52" w14:textId="77777777" w:rsidR="00151F25" w:rsidRPr="00731625" w:rsidRDefault="00151F25" w:rsidP="00151F25">
                            <w:pPr>
                              <w:rPr>
                                <w:rFonts w:ascii="Arial" w:hAnsi="Arial" w:cs="Arial"/>
                                <w:color w:val="FFFFFF" w:themeColor="background1"/>
                                <w:sz w:val="32"/>
                                <w:szCs w:val="32"/>
                              </w:rPr>
                            </w:pPr>
                          </w:p>
                          <w:p w14:paraId="27624F7A" w14:textId="447314F5" w:rsidR="00151F25" w:rsidRPr="00731625" w:rsidRDefault="00151F25" w:rsidP="00151F2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sidR="009F3FB7">
                              <w:rPr>
                                <w:rFonts w:ascii="Arial" w:hAnsi="Arial" w:cs="Arial"/>
                                <w:b/>
                                <w:color w:val="FFFFFF" w:themeColor="background1"/>
                                <w:sz w:val="32"/>
                                <w:szCs w:val="32"/>
                              </w:rPr>
                              <w:t>Março</w:t>
                            </w:r>
                            <w:r w:rsidRPr="00731625">
                              <w:rPr>
                                <w:rFonts w:ascii="Arial" w:hAnsi="Arial" w:cs="Arial"/>
                                <w:b/>
                                <w:color w:val="FFFFFF" w:themeColor="background1"/>
                                <w:sz w:val="32"/>
                                <w:szCs w:val="32"/>
                              </w:rPr>
                              <w:t xml:space="preserve"> de 202</w:t>
                            </w:r>
                            <w:r w:rsidR="009F3FB7">
                              <w:rPr>
                                <w:rFonts w:ascii="Arial" w:hAnsi="Arial" w:cs="Arial"/>
                                <w:b/>
                                <w:color w:val="FFFFFF" w:themeColor="background1"/>
                                <w:sz w:val="32"/>
                                <w:szCs w:val="32"/>
                              </w:rPr>
                              <w:t>6</w:t>
                            </w:r>
                            <w:r>
                              <w:rPr>
                                <w:rFonts w:ascii="Arial" w:hAnsi="Arial" w:cs="Arial"/>
                                <w:b/>
                                <w:color w:val="FFFFFF" w:themeColor="background1"/>
                                <w:sz w:val="32"/>
                                <w:szCs w:val="32"/>
                              </w:rPr>
                              <w:t xml:space="preserve"> </w:t>
                            </w:r>
                          </w:p>
                          <w:p w14:paraId="385F30DC" w14:textId="47334C7D" w:rsidR="00525891" w:rsidRPr="00731625" w:rsidRDefault="00525891" w:rsidP="008758A5">
                            <w:pPr>
                              <w:rPr>
                                <w:rFonts w:ascii="Arial" w:hAnsi="Arial" w:cs="Arial"/>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22A8E" id="_x0000_t202" coordsize="21600,21600" o:spt="202" path="m,l,21600r21600,l21600,xe">
                <v:stroke joinstyle="miter"/>
                <v:path gradientshapeok="t" o:connecttype="rect"/>
              </v:shapetype>
              <v:shape id="Caixa de Texto 40" o:spid="_x0000_s1027" type="#_x0000_t202" style="position:absolute;margin-left:25.5pt;margin-top:394.15pt;width:442.5pt;height:1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2iGAIAADQEAAAOAAAAZHJzL2Uyb0RvYy54bWysU8tu2zAQvBfoPxC817Ic26kFy4GbwEWB&#10;IAngFDnTFGkRoLgsSVtyv75Lyq+mPRW9ULvc1T5mhvO7rtFkL5xXYEqaD4aUCMOhUmZb0u+vq0+f&#10;KfGBmYppMKKkB+Hp3eLjh3lrCzGCGnQlHMEixhetLWkdgi2yzPNaNMwPwAqDQQmuYQFdt80qx1qs&#10;3uhsNBxOsxZcZR1w4T3ePvRBukj1pRQ8PEvpRSC6pDhbSKdL5yae2WLOiq1jtlb8OAb7hykapgw2&#10;PZd6YIGRnVN/lGoUd+BBhgGHJgMpFRdpB9wmH77bZl0zK9IuCI63Z5j8/yvLn/Zr++JI6L5AhwRG&#10;QFrrC4+XcZ9OuiZ+cVKCcYTwcIZNdIFwvJxM89ntBEMcY/nNbDhFB+tkl9+t8+GrgIZEo6QOeUlw&#10;sf2jD33qKSV2M7BSWidutCFtSac3WPK3CBbXBntcho1W6DYdUdXVIhuoDrifg556b/lK4QyPzIcX&#10;5pBrnBv1G57xkBqwFxwtSmpwP/92H/ORAoxS0qJ2Sup/7JgTlOhvBsmZ5eNxFFtyxpPbETruOrK5&#10;jphdcw8ozxxfiuXJjPlBn0zpoHlDmS9jVwwxw7F3ScPJvA+9ovGZcLFcpiSUl2Xh0awtj6UjdhHh&#10;1+6NOXukISCDT3BSGSvesdHn9qgvdwGkSlRFnHtUj/CjNBPZx2cUtX/tp6zLY1/8AgAA//8DAFBL&#10;AwQUAAYACAAAACEAiaDyHOIAAAALAQAADwAAAGRycy9kb3ducmV2LnhtbEyPTU/CQBCG7yb+h82Y&#10;eJNdaIBauiWkCTExegC5eJt2l7ZhP2p3geqvdzzhcWaevPO8+Xq0hl30EDrvJEwnAph2tVedayQc&#10;PrZPKbAQ0Sk03mkJ3zrAuri/yzFT/up2+rKPDaMQFzKU0MbYZ5yHutUWw8T32tHt6AeLkcah4WrA&#10;K4Vbw2dCLLjFztGHFntdtro+7c9Wwmu5fcddNbPpjylf3o6b/uvwOZfy8WHcrIBFPcYbDH/6pA4F&#10;OVX+7FRgRsJ8SlWihGWaJsAIeE4WtKmIFGKZAC9y/r9D8QsAAP//AwBQSwECLQAUAAYACAAAACEA&#10;toM4kv4AAADhAQAAEwAAAAAAAAAAAAAAAAAAAAAAW0NvbnRlbnRfVHlwZXNdLnhtbFBLAQItABQA&#10;BgAIAAAAIQA4/SH/1gAAAJQBAAALAAAAAAAAAAAAAAAAAC8BAABfcmVscy8ucmVsc1BLAQItABQA&#10;BgAIAAAAIQAAMJ2iGAIAADQEAAAOAAAAAAAAAAAAAAAAAC4CAABkcnMvZTJvRG9jLnhtbFBLAQIt&#10;ABQABgAIAAAAIQCJoPIc4gAAAAsBAAAPAAAAAAAAAAAAAAAAAHIEAABkcnMvZG93bnJldi54bWxQ&#10;SwUGAAAAAAQABADzAAAAgQUAAAAA&#10;" filled="f" stroked="f" strokeweight=".5pt">
                <v:textbox>
                  <w:txbxContent>
                    <w:p w14:paraId="733CF6B8" w14:textId="00361F9C" w:rsidR="00151F25" w:rsidRDefault="009F3FB7" w:rsidP="00151F25">
                      <w:pPr>
                        <w:rPr>
                          <w:rFonts w:ascii="Arial" w:hAnsi="Arial" w:cs="Arial"/>
                          <w:b/>
                          <w:color w:val="FFFFFF" w:themeColor="background1"/>
                          <w:sz w:val="32"/>
                          <w:szCs w:val="32"/>
                        </w:rPr>
                      </w:pPr>
                      <w:r>
                        <w:rPr>
                          <w:rFonts w:ascii="Arial" w:hAnsi="Arial" w:cs="Arial"/>
                          <w:b/>
                          <w:color w:val="FFFFFF" w:themeColor="background1"/>
                          <w:sz w:val="32"/>
                          <w:szCs w:val="32"/>
                        </w:rPr>
                        <w:t>Informações</w:t>
                      </w:r>
                      <w:r w:rsidR="00151F25">
                        <w:rPr>
                          <w:rFonts w:ascii="Arial" w:hAnsi="Arial" w:cs="Arial"/>
                          <w:b/>
                          <w:color w:val="FFFFFF" w:themeColor="background1"/>
                          <w:sz w:val="32"/>
                          <w:szCs w:val="32"/>
                        </w:rPr>
                        <w:t xml:space="preserve"> Contábeis</w:t>
                      </w:r>
                      <w:r>
                        <w:rPr>
                          <w:rFonts w:ascii="Arial" w:hAnsi="Arial" w:cs="Arial"/>
                          <w:b/>
                          <w:color w:val="FFFFFF" w:themeColor="background1"/>
                          <w:sz w:val="32"/>
                          <w:szCs w:val="32"/>
                        </w:rPr>
                        <w:t xml:space="preserve"> Intermediárias </w:t>
                      </w:r>
                      <w:r w:rsidR="00E35ADA">
                        <w:rPr>
                          <w:rFonts w:ascii="Arial" w:hAnsi="Arial" w:cs="Arial"/>
                          <w:b/>
                          <w:color w:val="FFFFFF" w:themeColor="background1"/>
                          <w:sz w:val="32"/>
                          <w:szCs w:val="32"/>
                        </w:rPr>
                        <w:t xml:space="preserve"> </w:t>
                      </w:r>
                    </w:p>
                    <w:p w14:paraId="04D1D780" w14:textId="77777777" w:rsidR="00151F25" w:rsidRPr="0074400E" w:rsidRDefault="00151F25" w:rsidP="00151F25">
                      <w:pPr>
                        <w:rPr>
                          <w:rFonts w:ascii="Arial" w:hAnsi="Arial" w:cs="Arial"/>
                          <w:color w:val="FFFFFF" w:themeColor="background1"/>
                          <w:sz w:val="32"/>
                          <w:szCs w:val="32"/>
                        </w:rPr>
                      </w:pPr>
                    </w:p>
                    <w:p w14:paraId="0144F749" w14:textId="77777777" w:rsidR="00151F25" w:rsidRPr="00731625" w:rsidRDefault="00151F25" w:rsidP="00151F25">
                      <w:pPr>
                        <w:rPr>
                          <w:rFonts w:ascii="Arial" w:hAnsi="Arial" w:cs="Arial"/>
                          <w:b/>
                          <w:color w:val="FFFFFF" w:themeColor="background1"/>
                          <w:sz w:val="32"/>
                          <w:szCs w:val="32"/>
                        </w:rPr>
                      </w:pPr>
                      <w:r w:rsidRPr="00731625">
                        <w:rPr>
                          <w:rFonts w:ascii="Arial" w:hAnsi="Arial" w:cs="Arial"/>
                          <w:b/>
                          <w:color w:val="FFFFFF" w:themeColor="background1"/>
                          <w:sz w:val="32"/>
                          <w:szCs w:val="32"/>
                        </w:rPr>
                        <w:t>TELECOMUNICAÇÕES BRASILEIRAS S.A – TELEBRAS</w:t>
                      </w:r>
                    </w:p>
                    <w:p w14:paraId="4DCF5E52" w14:textId="77777777" w:rsidR="00151F25" w:rsidRPr="00731625" w:rsidRDefault="00151F25" w:rsidP="00151F25">
                      <w:pPr>
                        <w:rPr>
                          <w:rFonts w:ascii="Arial" w:hAnsi="Arial" w:cs="Arial"/>
                          <w:color w:val="FFFFFF" w:themeColor="background1"/>
                          <w:sz w:val="32"/>
                          <w:szCs w:val="32"/>
                        </w:rPr>
                      </w:pPr>
                    </w:p>
                    <w:p w14:paraId="27624F7A" w14:textId="447314F5" w:rsidR="00151F25" w:rsidRPr="00731625" w:rsidRDefault="00151F25" w:rsidP="00151F25">
                      <w:pPr>
                        <w:rPr>
                          <w:rFonts w:ascii="Arial" w:hAnsi="Arial" w:cs="Arial"/>
                          <w:b/>
                          <w:color w:val="FFFFFF" w:themeColor="background1"/>
                          <w:sz w:val="32"/>
                          <w:szCs w:val="32"/>
                        </w:rPr>
                      </w:pPr>
                      <w:r w:rsidRPr="00731625">
                        <w:rPr>
                          <w:rFonts w:ascii="Arial" w:hAnsi="Arial" w:cs="Arial"/>
                          <w:b/>
                          <w:color w:val="FFFFFF" w:themeColor="background1"/>
                          <w:sz w:val="32"/>
                          <w:szCs w:val="32"/>
                        </w:rPr>
                        <w:t>Em 3</w:t>
                      </w:r>
                      <w:r>
                        <w:rPr>
                          <w:rFonts w:ascii="Arial" w:hAnsi="Arial" w:cs="Arial"/>
                          <w:b/>
                          <w:color w:val="FFFFFF" w:themeColor="background1"/>
                          <w:sz w:val="32"/>
                          <w:szCs w:val="32"/>
                        </w:rPr>
                        <w:t>1</w:t>
                      </w:r>
                      <w:r w:rsidRPr="00731625">
                        <w:rPr>
                          <w:rFonts w:ascii="Arial" w:hAnsi="Arial" w:cs="Arial"/>
                          <w:b/>
                          <w:color w:val="FFFFFF" w:themeColor="background1"/>
                          <w:sz w:val="32"/>
                          <w:szCs w:val="32"/>
                        </w:rPr>
                        <w:t xml:space="preserve"> de </w:t>
                      </w:r>
                      <w:r w:rsidR="009F3FB7">
                        <w:rPr>
                          <w:rFonts w:ascii="Arial" w:hAnsi="Arial" w:cs="Arial"/>
                          <w:b/>
                          <w:color w:val="FFFFFF" w:themeColor="background1"/>
                          <w:sz w:val="32"/>
                          <w:szCs w:val="32"/>
                        </w:rPr>
                        <w:t>Março</w:t>
                      </w:r>
                      <w:r w:rsidRPr="00731625">
                        <w:rPr>
                          <w:rFonts w:ascii="Arial" w:hAnsi="Arial" w:cs="Arial"/>
                          <w:b/>
                          <w:color w:val="FFFFFF" w:themeColor="background1"/>
                          <w:sz w:val="32"/>
                          <w:szCs w:val="32"/>
                        </w:rPr>
                        <w:t xml:space="preserve"> de 202</w:t>
                      </w:r>
                      <w:r w:rsidR="009F3FB7">
                        <w:rPr>
                          <w:rFonts w:ascii="Arial" w:hAnsi="Arial" w:cs="Arial"/>
                          <w:b/>
                          <w:color w:val="FFFFFF" w:themeColor="background1"/>
                          <w:sz w:val="32"/>
                          <w:szCs w:val="32"/>
                        </w:rPr>
                        <w:t>6</w:t>
                      </w:r>
                      <w:r>
                        <w:rPr>
                          <w:rFonts w:ascii="Arial" w:hAnsi="Arial" w:cs="Arial"/>
                          <w:b/>
                          <w:color w:val="FFFFFF" w:themeColor="background1"/>
                          <w:sz w:val="32"/>
                          <w:szCs w:val="32"/>
                        </w:rPr>
                        <w:t xml:space="preserve"> </w:t>
                      </w:r>
                    </w:p>
                    <w:p w14:paraId="385F30DC" w14:textId="47334C7D" w:rsidR="00525891" w:rsidRPr="00731625" w:rsidRDefault="00525891" w:rsidP="008758A5">
                      <w:pPr>
                        <w:rPr>
                          <w:rFonts w:ascii="Arial" w:hAnsi="Arial" w:cs="Arial"/>
                          <w:b/>
                          <w:color w:val="FFFFFF" w:themeColor="background1"/>
                          <w:sz w:val="32"/>
                          <w:szCs w:val="32"/>
                        </w:rPr>
                      </w:pPr>
                    </w:p>
                  </w:txbxContent>
                </v:textbox>
              </v:shape>
            </w:pict>
          </mc:Fallback>
        </mc:AlternateContent>
      </w:r>
    </w:p>
    <w:p w14:paraId="119F4649" w14:textId="77777777" w:rsidR="00123CAF" w:rsidRDefault="00123CAF" w:rsidP="003C2123">
      <w:pPr>
        <w:rPr>
          <w:rFonts w:ascii="Arial" w:hAnsi="Arial" w:cs="Arial"/>
          <w:b/>
          <w:bCs/>
          <w:color w:val="000000"/>
          <w:sz w:val="32"/>
          <w:szCs w:val="32"/>
        </w:rPr>
      </w:pPr>
      <w:r>
        <w:rPr>
          <w:rFonts w:ascii="Arial" w:hAnsi="Arial" w:cs="Arial"/>
          <w:b/>
          <w:bCs/>
          <w:color w:val="000000"/>
          <w:sz w:val="32"/>
          <w:szCs w:val="32"/>
        </w:rPr>
        <w:lastRenderedPageBreak/>
        <w:t>Conteúdo</w:t>
      </w:r>
    </w:p>
    <w:p w14:paraId="04F7C853" w14:textId="30CCDA3E" w:rsidR="004C509F" w:rsidRPr="0085618A" w:rsidRDefault="004C509F" w:rsidP="00D75703">
      <w:pPr>
        <w:rPr>
          <w:rFonts w:ascii="Arial" w:hAnsi="Arial" w:cs="Arial"/>
          <w:sz w:val="14"/>
          <w:szCs w:val="14"/>
        </w:rPr>
      </w:pPr>
    </w:p>
    <w:p w14:paraId="3DDD37F1" w14:textId="77777777" w:rsidR="004C509F" w:rsidRPr="005A5B23" w:rsidRDefault="004C509F" w:rsidP="00D75703">
      <w:pPr>
        <w:rPr>
          <w:rFonts w:ascii="Arial" w:hAnsi="Arial" w:cs="Arial"/>
          <w:sz w:val="18"/>
          <w:szCs w:val="18"/>
        </w:rPr>
      </w:pPr>
    </w:p>
    <w:p w14:paraId="4123C862" w14:textId="31E3F54D" w:rsidR="002D0FFD" w:rsidRPr="00D3648E" w:rsidRDefault="00AF1751" w:rsidP="005211AA">
      <w:pPr>
        <w:tabs>
          <w:tab w:val="left" w:pos="8931"/>
        </w:tabs>
        <w:rPr>
          <w:rFonts w:ascii="Arial" w:hAnsi="Arial" w:cs="Arial"/>
          <w:sz w:val="22"/>
          <w:szCs w:val="22"/>
        </w:rPr>
      </w:pPr>
      <w:r w:rsidRPr="00D3648E">
        <w:rPr>
          <w:rFonts w:ascii="Arial" w:hAnsi="Arial" w:cs="Arial"/>
          <w:b/>
          <w:color w:val="000000"/>
          <w:w w:val="103"/>
          <w:sz w:val="22"/>
          <w:szCs w:val="22"/>
        </w:rPr>
        <w:t xml:space="preserve">Relatório dos auditores independentes sobre as </w:t>
      </w:r>
      <w:r w:rsidR="007A4572">
        <w:rPr>
          <w:rFonts w:ascii="Arial" w:hAnsi="Arial" w:cs="Arial"/>
          <w:b/>
          <w:color w:val="000000"/>
          <w:w w:val="103"/>
          <w:sz w:val="22"/>
          <w:szCs w:val="22"/>
        </w:rPr>
        <w:t>Informações Contábeis Intermediárias do Primeiro Trimestre de 2026.</w:t>
      </w:r>
      <w:r w:rsidR="005A3BA0">
        <w:rPr>
          <w:rFonts w:ascii="Arial" w:hAnsi="Arial" w:cs="Arial"/>
          <w:b/>
          <w:color w:val="000000"/>
          <w:w w:val="103"/>
          <w:sz w:val="22"/>
          <w:szCs w:val="22"/>
        </w:rPr>
        <w:t xml:space="preserve">   </w:t>
      </w:r>
      <w:r w:rsidR="007A4572">
        <w:rPr>
          <w:rFonts w:ascii="Arial" w:hAnsi="Arial" w:cs="Arial"/>
          <w:b/>
          <w:color w:val="000000"/>
          <w:w w:val="103"/>
          <w:sz w:val="22"/>
          <w:szCs w:val="22"/>
        </w:rPr>
        <w:t xml:space="preserve">            </w:t>
      </w:r>
      <w:r w:rsidR="00AB37A7">
        <w:rPr>
          <w:rFonts w:ascii="Arial" w:hAnsi="Arial" w:cs="Arial"/>
          <w:b/>
          <w:color w:val="000000"/>
          <w:w w:val="103"/>
          <w:sz w:val="22"/>
          <w:szCs w:val="22"/>
        </w:rPr>
        <w:t xml:space="preserve"> </w:t>
      </w:r>
      <w:r w:rsidR="009F1594">
        <w:rPr>
          <w:rFonts w:ascii="Arial" w:hAnsi="Arial" w:cs="Arial"/>
          <w:b/>
          <w:color w:val="000000"/>
          <w:w w:val="103"/>
          <w:sz w:val="22"/>
          <w:szCs w:val="22"/>
        </w:rPr>
        <w:t xml:space="preserve">                    </w:t>
      </w:r>
      <w:r w:rsidR="00FB3B6D">
        <w:rPr>
          <w:rFonts w:ascii="Arial" w:hAnsi="Arial" w:cs="Arial"/>
          <w:b/>
          <w:color w:val="000000"/>
          <w:w w:val="103"/>
          <w:sz w:val="22"/>
          <w:szCs w:val="22"/>
        </w:rPr>
        <w:t xml:space="preserve">                         </w:t>
      </w:r>
      <w:r w:rsidR="009F1594">
        <w:rPr>
          <w:rFonts w:ascii="Arial" w:hAnsi="Arial" w:cs="Arial"/>
          <w:b/>
          <w:color w:val="000000"/>
          <w:w w:val="103"/>
          <w:sz w:val="22"/>
          <w:szCs w:val="22"/>
        </w:rPr>
        <w:t xml:space="preserve"> </w:t>
      </w:r>
      <w:r w:rsidR="004C509F" w:rsidRPr="00D3648E">
        <w:rPr>
          <w:rFonts w:ascii="Arial" w:hAnsi="Arial" w:cs="Arial"/>
          <w:b/>
          <w:color w:val="000000"/>
          <w:w w:val="103"/>
          <w:sz w:val="22"/>
          <w:szCs w:val="22"/>
        </w:rPr>
        <w:t>2</w:t>
      </w:r>
    </w:p>
    <w:p w14:paraId="7E317F81" w14:textId="4BF566FB" w:rsidR="00C756F0" w:rsidRPr="00D3648E" w:rsidRDefault="00C756F0" w:rsidP="00D631A2">
      <w:pPr>
        <w:tabs>
          <w:tab w:val="left" w:pos="8222"/>
        </w:tabs>
        <w:rPr>
          <w:rFonts w:ascii="Arial" w:hAnsi="Arial" w:cs="Arial"/>
          <w:sz w:val="22"/>
          <w:szCs w:val="22"/>
        </w:rPr>
      </w:pPr>
    </w:p>
    <w:p w14:paraId="207C9369" w14:textId="710E417F" w:rsidR="00C756F0" w:rsidRPr="00D3648E" w:rsidRDefault="00C756F0" w:rsidP="00D631A2">
      <w:pPr>
        <w:tabs>
          <w:tab w:val="left" w:pos="8931"/>
        </w:tabs>
        <w:rPr>
          <w:rFonts w:ascii="Arial" w:hAnsi="Arial" w:cs="Arial"/>
          <w:sz w:val="22"/>
          <w:szCs w:val="22"/>
        </w:rPr>
      </w:pPr>
      <w:r w:rsidRPr="00D3648E">
        <w:rPr>
          <w:rFonts w:ascii="Arial" w:hAnsi="Arial" w:cs="Arial"/>
          <w:b/>
          <w:sz w:val="22"/>
          <w:szCs w:val="22"/>
        </w:rPr>
        <w:t>Balanço patrimonia</w:t>
      </w:r>
      <w:r w:rsidR="000D5793">
        <w:rPr>
          <w:rFonts w:ascii="Arial" w:hAnsi="Arial" w:cs="Arial"/>
          <w:b/>
          <w:sz w:val="22"/>
          <w:szCs w:val="22"/>
        </w:rPr>
        <w:t>l</w:t>
      </w:r>
      <w:r w:rsidR="00996B25">
        <w:rPr>
          <w:rFonts w:ascii="Arial" w:hAnsi="Arial" w:cs="Arial"/>
          <w:b/>
          <w:sz w:val="22"/>
          <w:szCs w:val="22"/>
        </w:rPr>
        <w:t xml:space="preserve">                                                                                                      </w:t>
      </w:r>
      <w:r w:rsidR="000D5793">
        <w:rPr>
          <w:rFonts w:ascii="Arial" w:hAnsi="Arial" w:cs="Arial"/>
          <w:b/>
          <w:sz w:val="22"/>
          <w:szCs w:val="22"/>
        </w:rPr>
        <w:t xml:space="preserve">    </w:t>
      </w:r>
      <w:r w:rsidR="00996B25">
        <w:rPr>
          <w:rFonts w:ascii="Arial" w:hAnsi="Arial" w:cs="Arial"/>
          <w:b/>
          <w:sz w:val="22"/>
          <w:szCs w:val="22"/>
        </w:rPr>
        <w:t xml:space="preserve">  </w:t>
      </w:r>
      <w:r w:rsidR="006F0D1A">
        <w:rPr>
          <w:rFonts w:ascii="Arial" w:hAnsi="Arial" w:cs="Arial"/>
          <w:b/>
          <w:sz w:val="22"/>
          <w:szCs w:val="22"/>
        </w:rPr>
        <w:t xml:space="preserve"> </w:t>
      </w:r>
      <w:r w:rsidR="00204267">
        <w:rPr>
          <w:rFonts w:ascii="Arial" w:hAnsi="Arial" w:cs="Arial"/>
          <w:b/>
          <w:sz w:val="22"/>
          <w:szCs w:val="22"/>
        </w:rPr>
        <w:t xml:space="preserve"> </w:t>
      </w:r>
      <w:r w:rsidR="005A5B23">
        <w:rPr>
          <w:rFonts w:ascii="Arial" w:hAnsi="Arial" w:cs="Arial"/>
          <w:b/>
          <w:sz w:val="22"/>
          <w:szCs w:val="22"/>
        </w:rPr>
        <w:t>5</w:t>
      </w:r>
    </w:p>
    <w:p w14:paraId="5817D797" w14:textId="25B6ABA7" w:rsidR="00C756F0" w:rsidRPr="00D3648E" w:rsidRDefault="00C756F0" w:rsidP="00D631A2">
      <w:pPr>
        <w:rPr>
          <w:rFonts w:ascii="Arial" w:hAnsi="Arial" w:cs="Arial"/>
          <w:sz w:val="22"/>
          <w:szCs w:val="22"/>
        </w:rPr>
      </w:pPr>
    </w:p>
    <w:p w14:paraId="6BE3D971" w14:textId="65510A8A" w:rsidR="00C756F0" w:rsidRPr="00D3648E" w:rsidRDefault="00C756F0" w:rsidP="00D631A2">
      <w:pPr>
        <w:rPr>
          <w:rFonts w:ascii="Arial" w:hAnsi="Arial" w:cs="Arial"/>
          <w:sz w:val="22"/>
          <w:szCs w:val="22"/>
        </w:rPr>
      </w:pPr>
      <w:r w:rsidRPr="00D3648E">
        <w:rPr>
          <w:rFonts w:ascii="Arial" w:hAnsi="Arial" w:cs="Arial"/>
          <w:b/>
          <w:sz w:val="22"/>
          <w:szCs w:val="22"/>
        </w:rPr>
        <w:t>Demonstraç</w:t>
      </w:r>
      <w:r w:rsidR="00EA4DAB">
        <w:rPr>
          <w:rFonts w:ascii="Arial" w:hAnsi="Arial" w:cs="Arial"/>
          <w:b/>
          <w:sz w:val="22"/>
          <w:szCs w:val="22"/>
        </w:rPr>
        <w:t>ões</w:t>
      </w:r>
      <w:r w:rsidRPr="00D3648E">
        <w:rPr>
          <w:rFonts w:ascii="Arial" w:hAnsi="Arial" w:cs="Arial"/>
          <w:b/>
          <w:sz w:val="22"/>
          <w:szCs w:val="22"/>
        </w:rPr>
        <w:t xml:space="preserve"> do resultado</w:t>
      </w:r>
      <w:r w:rsidR="000D5793">
        <w:rPr>
          <w:rFonts w:ascii="Arial" w:hAnsi="Arial" w:cs="Arial"/>
          <w:b/>
          <w:sz w:val="22"/>
          <w:szCs w:val="22"/>
        </w:rPr>
        <w:t xml:space="preserve"> do exercício</w:t>
      </w:r>
      <w:r w:rsidR="00D631A2">
        <w:rPr>
          <w:rFonts w:ascii="Arial" w:hAnsi="Arial" w:cs="Arial"/>
          <w:b/>
          <w:sz w:val="22"/>
          <w:szCs w:val="22"/>
        </w:rPr>
        <w:t xml:space="preserve">                </w:t>
      </w:r>
      <w:r w:rsidR="000D5793">
        <w:rPr>
          <w:rFonts w:ascii="Arial" w:hAnsi="Arial" w:cs="Arial"/>
          <w:b/>
          <w:sz w:val="22"/>
          <w:szCs w:val="22"/>
        </w:rPr>
        <w:t xml:space="preserve">   </w:t>
      </w:r>
      <w:r w:rsidR="00D631A2">
        <w:rPr>
          <w:rFonts w:ascii="Arial" w:hAnsi="Arial" w:cs="Arial"/>
          <w:b/>
          <w:sz w:val="22"/>
          <w:szCs w:val="22"/>
        </w:rPr>
        <w:t xml:space="preserve">                                                </w:t>
      </w:r>
      <w:r w:rsidR="00996B25">
        <w:rPr>
          <w:rFonts w:ascii="Arial" w:hAnsi="Arial" w:cs="Arial"/>
          <w:b/>
          <w:sz w:val="22"/>
          <w:szCs w:val="22"/>
        </w:rPr>
        <w:t xml:space="preserve"> </w:t>
      </w:r>
      <w:r w:rsidR="00D631A2">
        <w:rPr>
          <w:rFonts w:ascii="Arial" w:hAnsi="Arial" w:cs="Arial"/>
          <w:b/>
          <w:sz w:val="22"/>
          <w:szCs w:val="22"/>
        </w:rPr>
        <w:t xml:space="preserve">   </w:t>
      </w:r>
      <w:r w:rsidR="005211AA">
        <w:rPr>
          <w:rFonts w:ascii="Arial" w:hAnsi="Arial" w:cs="Arial"/>
          <w:b/>
          <w:sz w:val="22"/>
          <w:szCs w:val="22"/>
        </w:rPr>
        <w:t xml:space="preserve"> </w:t>
      </w:r>
      <w:r w:rsidR="00204267">
        <w:rPr>
          <w:rFonts w:ascii="Arial" w:hAnsi="Arial" w:cs="Arial"/>
          <w:b/>
          <w:sz w:val="22"/>
          <w:szCs w:val="22"/>
        </w:rPr>
        <w:t xml:space="preserve"> </w:t>
      </w:r>
      <w:r w:rsidR="005A5B23">
        <w:rPr>
          <w:rFonts w:ascii="Arial" w:hAnsi="Arial" w:cs="Arial"/>
          <w:b/>
          <w:sz w:val="22"/>
          <w:szCs w:val="22"/>
        </w:rPr>
        <w:t>6</w:t>
      </w:r>
    </w:p>
    <w:p w14:paraId="37BF03A3" w14:textId="77777777" w:rsidR="00C756F0" w:rsidRPr="00D3648E" w:rsidRDefault="00C756F0" w:rsidP="00D631A2">
      <w:pPr>
        <w:tabs>
          <w:tab w:val="left" w:pos="8222"/>
        </w:tabs>
        <w:rPr>
          <w:rFonts w:ascii="Arial" w:hAnsi="Arial" w:cs="Arial"/>
          <w:sz w:val="22"/>
          <w:szCs w:val="22"/>
        </w:rPr>
      </w:pPr>
    </w:p>
    <w:p w14:paraId="14CB2C59" w14:textId="61ED3D2E" w:rsidR="002D0FFD" w:rsidRPr="00D3648E" w:rsidRDefault="00C756F0" w:rsidP="00D631A2">
      <w:pPr>
        <w:rPr>
          <w:rFonts w:ascii="Arial" w:hAnsi="Arial" w:cs="Arial"/>
          <w:b/>
          <w:sz w:val="22"/>
          <w:szCs w:val="22"/>
        </w:rPr>
      </w:pPr>
      <w:r w:rsidRPr="00D3648E">
        <w:rPr>
          <w:rFonts w:ascii="Arial" w:hAnsi="Arial" w:cs="Arial"/>
          <w:b/>
          <w:sz w:val="22"/>
          <w:szCs w:val="22"/>
        </w:rPr>
        <w:t>Demonstrações dos resultados abrangentes</w:t>
      </w:r>
      <w:r w:rsidR="004C509F" w:rsidRPr="00D3648E">
        <w:rPr>
          <w:rFonts w:ascii="Arial" w:hAnsi="Arial" w:cs="Arial"/>
          <w:b/>
          <w:sz w:val="22"/>
          <w:szCs w:val="22"/>
        </w:rPr>
        <w:tab/>
      </w:r>
      <w:r w:rsidR="00D631A2">
        <w:rPr>
          <w:rFonts w:ascii="Arial" w:hAnsi="Arial" w:cs="Arial"/>
          <w:b/>
          <w:sz w:val="22"/>
          <w:szCs w:val="22"/>
        </w:rPr>
        <w:t xml:space="preserve">                                                             </w:t>
      </w:r>
      <w:r w:rsidR="005124C0">
        <w:rPr>
          <w:rFonts w:ascii="Arial" w:hAnsi="Arial" w:cs="Arial"/>
          <w:b/>
          <w:sz w:val="22"/>
          <w:szCs w:val="22"/>
        </w:rPr>
        <w:t xml:space="preserve"> </w:t>
      </w:r>
      <w:r w:rsidR="00D631A2">
        <w:rPr>
          <w:rFonts w:ascii="Arial" w:hAnsi="Arial" w:cs="Arial"/>
          <w:b/>
          <w:sz w:val="22"/>
          <w:szCs w:val="22"/>
        </w:rPr>
        <w:t xml:space="preserve">   </w:t>
      </w:r>
      <w:r w:rsidR="00204267">
        <w:rPr>
          <w:rFonts w:ascii="Arial" w:hAnsi="Arial" w:cs="Arial"/>
          <w:b/>
          <w:sz w:val="22"/>
          <w:szCs w:val="22"/>
        </w:rPr>
        <w:t xml:space="preserve">   </w:t>
      </w:r>
      <w:r w:rsidR="00AB37A7">
        <w:rPr>
          <w:rFonts w:ascii="Arial" w:hAnsi="Arial" w:cs="Arial"/>
          <w:b/>
          <w:sz w:val="22"/>
          <w:szCs w:val="22"/>
        </w:rPr>
        <w:t xml:space="preserve"> </w:t>
      </w:r>
      <w:r w:rsidR="005A5B23">
        <w:rPr>
          <w:rFonts w:ascii="Arial" w:hAnsi="Arial" w:cs="Arial"/>
          <w:b/>
          <w:sz w:val="22"/>
          <w:szCs w:val="22"/>
        </w:rPr>
        <w:t>7</w:t>
      </w:r>
    </w:p>
    <w:p w14:paraId="5D1A5D95" w14:textId="578512B1" w:rsidR="00C756F0" w:rsidRPr="00D3648E" w:rsidRDefault="00C756F0" w:rsidP="00D631A2">
      <w:pPr>
        <w:tabs>
          <w:tab w:val="left" w:pos="8222"/>
        </w:tabs>
        <w:rPr>
          <w:rFonts w:ascii="Arial" w:hAnsi="Arial" w:cs="Arial"/>
          <w:b/>
          <w:sz w:val="22"/>
          <w:szCs w:val="22"/>
        </w:rPr>
      </w:pPr>
    </w:p>
    <w:p w14:paraId="272AE9EB" w14:textId="06BF355B"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das mutações do patrimônio líquido</w:t>
      </w:r>
      <w:r w:rsidR="00513696">
        <w:rPr>
          <w:rFonts w:ascii="Arial" w:hAnsi="Arial" w:cs="Arial"/>
          <w:b/>
          <w:sz w:val="22"/>
          <w:szCs w:val="22"/>
        </w:rPr>
        <w:t xml:space="preserve">                                                      </w:t>
      </w:r>
      <w:r w:rsidR="005A5B23">
        <w:rPr>
          <w:rFonts w:ascii="Arial" w:hAnsi="Arial" w:cs="Arial"/>
          <w:b/>
          <w:sz w:val="22"/>
          <w:szCs w:val="22"/>
        </w:rPr>
        <w:t xml:space="preserve"> 8</w:t>
      </w:r>
    </w:p>
    <w:p w14:paraId="5F6BB977" w14:textId="42B6FDB2" w:rsidR="00C756F0" w:rsidRPr="00D3648E" w:rsidRDefault="00C756F0" w:rsidP="00D631A2">
      <w:pPr>
        <w:tabs>
          <w:tab w:val="left" w:pos="8222"/>
        </w:tabs>
        <w:rPr>
          <w:rFonts w:ascii="Arial" w:hAnsi="Arial" w:cs="Arial"/>
          <w:b/>
          <w:sz w:val="22"/>
          <w:szCs w:val="22"/>
        </w:rPr>
      </w:pPr>
    </w:p>
    <w:p w14:paraId="012F6BFC" w14:textId="3982FDDB"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Demonstrações dos fluxos de caixa</w:t>
      </w:r>
      <w:r w:rsidR="004C509F" w:rsidRPr="00D3648E">
        <w:rPr>
          <w:rFonts w:ascii="Arial" w:hAnsi="Arial" w:cs="Arial"/>
          <w:b/>
          <w:sz w:val="22"/>
          <w:szCs w:val="22"/>
        </w:rPr>
        <w:tab/>
      </w:r>
      <w:r w:rsidR="00513696">
        <w:rPr>
          <w:rFonts w:ascii="Arial" w:hAnsi="Arial" w:cs="Arial"/>
          <w:b/>
          <w:sz w:val="22"/>
          <w:szCs w:val="22"/>
        </w:rPr>
        <w:t xml:space="preserve">        </w:t>
      </w:r>
      <w:r w:rsidR="005A5B23">
        <w:rPr>
          <w:rFonts w:ascii="Arial" w:hAnsi="Arial" w:cs="Arial"/>
          <w:b/>
          <w:sz w:val="22"/>
          <w:szCs w:val="22"/>
        </w:rPr>
        <w:t xml:space="preserve"> </w:t>
      </w:r>
      <w:r w:rsidR="00513696">
        <w:rPr>
          <w:rFonts w:ascii="Arial" w:hAnsi="Arial" w:cs="Arial"/>
          <w:b/>
          <w:sz w:val="22"/>
          <w:szCs w:val="22"/>
        </w:rPr>
        <w:t xml:space="preserve"> </w:t>
      </w:r>
      <w:r w:rsidR="005A5B23">
        <w:rPr>
          <w:rFonts w:ascii="Arial" w:hAnsi="Arial" w:cs="Arial"/>
          <w:b/>
          <w:sz w:val="22"/>
          <w:szCs w:val="22"/>
        </w:rPr>
        <w:t>9</w:t>
      </w:r>
    </w:p>
    <w:p w14:paraId="188AB23C" w14:textId="1BE466AA" w:rsidR="00C756F0" w:rsidRPr="00D3648E" w:rsidRDefault="00C756F0" w:rsidP="00D631A2">
      <w:pPr>
        <w:tabs>
          <w:tab w:val="left" w:pos="8222"/>
        </w:tabs>
        <w:rPr>
          <w:rFonts w:ascii="Arial" w:hAnsi="Arial" w:cs="Arial"/>
          <w:b/>
          <w:sz w:val="22"/>
          <w:szCs w:val="22"/>
        </w:rPr>
      </w:pPr>
    </w:p>
    <w:p w14:paraId="24434A72" w14:textId="5E052946"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 xml:space="preserve">Demonstrações do </w:t>
      </w:r>
      <w:r w:rsidR="007F7B6E">
        <w:rPr>
          <w:rFonts w:ascii="Arial" w:hAnsi="Arial" w:cs="Arial"/>
          <w:b/>
          <w:sz w:val="22"/>
          <w:szCs w:val="22"/>
        </w:rPr>
        <w:t>v</w:t>
      </w:r>
      <w:r w:rsidRPr="00D3648E">
        <w:rPr>
          <w:rFonts w:ascii="Arial" w:hAnsi="Arial" w:cs="Arial"/>
          <w:b/>
          <w:sz w:val="22"/>
          <w:szCs w:val="22"/>
        </w:rPr>
        <w:t xml:space="preserve">alor </w:t>
      </w:r>
      <w:r w:rsidR="007F7B6E">
        <w:rPr>
          <w:rFonts w:ascii="Arial" w:hAnsi="Arial" w:cs="Arial"/>
          <w:b/>
          <w:sz w:val="22"/>
          <w:szCs w:val="22"/>
        </w:rPr>
        <w:t>a</w:t>
      </w:r>
      <w:r w:rsidRPr="00D3648E">
        <w:rPr>
          <w:rFonts w:ascii="Arial" w:hAnsi="Arial" w:cs="Arial"/>
          <w:b/>
          <w:sz w:val="22"/>
          <w:szCs w:val="22"/>
        </w:rPr>
        <w:t>dicionado</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5A5B23">
        <w:rPr>
          <w:rFonts w:ascii="Arial" w:hAnsi="Arial" w:cs="Arial"/>
          <w:b/>
          <w:sz w:val="22"/>
          <w:szCs w:val="22"/>
        </w:rPr>
        <w:t>0</w:t>
      </w:r>
    </w:p>
    <w:p w14:paraId="40F352CA" w14:textId="77777777" w:rsidR="00C756F0" w:rsidRPr="00D3648E" w:rsidRDefault="00C756F0" w:rsidP="00D631A2">
      <w:pPr>
        <w:tabs>
          <w:tab w:val="left" w:pos="8222"/>
        </w:tabs>
        <w:rPr>
          <w:rFonts w:ascii="Arial" w:hAnsi="Arial" w:cs="Arial"/>
          <w:b/>
          <w:sz w:val="22"/>
          <w:szCs w:val="22"/>
        </w:rPr>
      </w:pPr>
    </w:p>
    <w:p w14:paraId="40B6E54D" w14:textId="23B69EC1" w:rsidR="00C756F0" w:rsidRPr="00D3648E" w:rsidRDefault="00C756F0" w:rsidP="00D631A2">
      <w:pPr>
        <w:tabs>
          <w:tab w:val="left" w:pos="8222"/>
        </w:tabs>
        <w:rPr>
          <w:rFonts w:ascii="Arial" w:hAnsi="Arial" w:cs="Arial"/>
          <w:b/>
          <w:sz w:val="22"/>
          <w:szCs w:val="22"/>
        </w:rPr>
      </w:pPr>
      <w:r w:rsidRPr="00D3648E">
        <w:rPr>
          <w:rFonts w:ascii="Arial" w:hAnsi="Arial" w:cs="Arial"/>
          <w:b/>
          <w:sz w:val="22"/>
          <w:szCs w:val="22"/>
        </w:rPr>
        <w:t>Notas explicativas às demonstrações contábeis</w:t>
      </w:r>
      <w:r w:rsidR="004C509F" w:rsidRPr="00D3648E">
        <w:rPr>
          <w:rFonts w:ascii="Arial" w:hAnsi="Arial" w:cs="Arial"/>
          <w:b/>
          <w:sz w:val="22"/>
          <w:szCs w:val="22"/>
        </w:rPr>
        <w:tab/>
      </w:r>
      <w:r w:rsidR="00D631A2">
        <w:rPr>
          <w:rFonts w:ascii="Arial" w:hAnsi="Arial" w:cs="Arial"/>
          <w:b/>
          <w:sz w:val="22"/>
          <w:szCs w:val="22"/>
        </w:rPr>
        <w:t xml:space="preserve">       </w:t>
      </w:r>
      <w:r w:rsidR="006F0D1A">
        <w:rPr>
          <w:rFonts w:ascii="Arial" w:hAnsi="Arial" w:cs="Arial"/>
          <w:b/>
          <w:sz w:val="22"/>
          <w:szCs w:val="22"/>
        </w:rPr>
        <w:t xml:space="preserve">  1</w:t>
      </w:r>
      <w:r w:rsidR="005A5B23">
        <w:rPr>
          <w:rFonts w:ascii="Arial" w:hAnsi="Arial" w:cs="Arial"/>
          <w:b/>
          <w:sz w:val="22"/>
          <w:szCs w:val="22"/>
        </w:rPr>
        <w:t>1</w:t>
      </w:r>
    </w:p>
    <w:p w14:paraId="37EA6631" w14:textId="3F4A04D8" w:rsidR="00D3648E" w:rsidRPr="00D3648E" w:rsidRDefault="00D3648E" w:rsidP="00D631A2">
      <w:pPr>
        <w:tabs>
          <w:tab w:val="left" w:pos="8222"/>
        </w:tabs>
        <w:rPr>
          <w:rFonts w:ascii="Arial" w:hAnsi="Arial" w:cs="Arial"/>
          <w:b/>
          <w:sz w:val="22"/>
          <w:szCs w:val="22"/>
        </w:rPr>
      </w:pPr>
    </w:p>
    <w:p w14:paraId="7A8F218B" w14:textId="711C7ED7" w:rsidR="00D3648E" w:rsidRDefault="00D3648E" w:rsidP="00D631A2">
      <w:pPr>
        <w:tabs>
          <w:tab w:val="left" w:pos="8222"/>
        </w:tabs>
        <w:rPr>
          <w:rFonts w:ascii="Arial" w:hAnsi="Arial" w:cs="Arial"/>
          <w:b/>
        </w:rPr>
      </w:pPr>
    </w:p>
    <w:p w14:paraId="6D3AE61A" w14:textId="079A7826" w:rsidR="00ED523B" w:rsidRDefault="00ED523B" w:rsidP="00C756F0">
      <w:pPr>
        <w:tabs>
          <w:tab w:val="left" w:pos="8222"/>
        </w:tabs>
        <w:rPr>
          <w:rFonts w:ascii="Arial" w:hAnsi="Arial" w:cs="Arial"/>
          <w:b/>
        </w:rPr>
      </w:pPr>
    </w:p>
    <w:p w14:paraId="4BFFF14B" w14:textId="34D89985" w:rsidR="00ED523B" w:rsidRDefault="00ED523B" w:rsidP="00C756F0">
      <w:pPr>
        <w:tabs>
          <w:tab w:val="left" w:pos="8222"/>
        </w:tabs>
        <w:rPr>
          <w:rFonts w:ascii="Arial" w:hAnsi="Arial" w:cs="Arial"/>
          <w:b/>
        </w:rPr>
      </w:pPr>
    </w:p>
    <w:p w14:paraId="748663E5" w14:textId="62B34D90" w:rsidR="00ED523B" w:rsidRDefault="00ED523B" w:rsidP="00C756F0">
      <w:pPr>
        <w:tabs>
          <w:tab w:val="left" w:pos="8222"/>
        </w:tabs>
        <w:rPr>
          <w:rFonts w:ascii="Arial" w:hAnsi="Arial" w:cs="Arial"/>
          <w:b/>
        </w:rPr>
      </w:pPr>
    </w:p>
    <w:p w14:paraId="13B37371" w14:textId="66607FA1" w:rsidR="00ED523B" w:rsidRDefault="00ED523B" w:rsidP="00C756F0">
      <w:pPr>
        <w:tabs>
          <w:tab w:val="left" w:pos="8222"/>
        </w:tabs>
        <w:rPr>
          <w:rFonts w:ascii="Arial" w:hAnsi="Arial" w:cs="Arial"/>
          <w:b/>
        </w:rPr>
      </w:pPr>
    </w:p>
    <w:p w14:paraId="1F0D2B91" w14:textId="574D189D" w:rsidR="00ED523B" w:rsidRDefault="00ED523B" w:rsidP="00C756F0">
      <w:pPr>
        <w:tabs>
          <w:tab w:val="left" w:pos="8222"/>
        </w:tabs>
        <w:rPr>
          <w:rFonts w:ascii="Arial" w:hAnsi="Arial" w:cs="Arial"/>
          <w:b/>
        </w:rPr>
      </w:pPr>
    </w:p>
    <w:p w14:paraId="43B62F0E" w14:textId="77777777" w:rsidR="00ED523B" w:rsidRDefault="00ED523B" w:rsidP="00C756F0">
      <w:pPr>
        <w:tabs>
          <w:tab w:val="left" w:pos="8222"/>
        </w:tabs>
        <w:rPr>
          <w:rFonts w:ascii="Arial" w:hAnsi="Arial" w:cs="Arial"/>
          <w:b/>
        </w:rPr>
      </w:pPr>
    </w:p>
    <w:p w14:paraId="12E6E562" w14:textId="4A46C3E3" w:rsidR="00D75703" w:rsidRDefault="00D75703" w:rsidP="00D75703">
      <w:pPr>
        <w:rPr>
          <w:rFonts w:ascii="Arial" w:hAnsi="Arial" w:cs="Arial"/>
          <w:sz w:val="25"/>
          <w:szCs w:val="25"/>
        </w:rPr>
      </w:pPr>
    </w:p>
    <w:p w14:paraId="17D5BF1F" w14:textId="7E11D210" w:rsidR="00D3648E" w:rsidRDefault="00D3648E" w:rsidP="00D75703">
      <w:pPr>
        <w:rPr>
          <w:rFonts w:ascii="Arial" w:hAnsi="Arial" w:cs="Arial"/>
          <w:sz w:val="25"/>
          <w:szCs w:val="25"/>
        </w:rPr>
      </w:pPr>
    </w:p>
    <w:p w14:paraId="0CB4ACCC" w14:textId="0A55C0B1" w:rsidR="00D3648E" w:rsidRDefault="00D3648E" w:rsidP="00D75703">
      <w:pPr>
        <w:rPr>
          <w:rFonts w:ascii="Arial" w:hAnsi="Arial" w:cs="Arial"/>
          <w:sz w:val="25"/>
          <w:szCs w:val="25"/>
        </w:rPr>
      </w:pPr>
    </w:p>
    <w:p w14:paraId="05FF8D87" w14:textId="77777777" w:rsidR="000D0D51" w:rsidRDefault="000D0D51" w:rsidP="00D75703">
      <w:pPr>
        <w:rPr>
          <w:rFonts w:ascii="Arial" w:hAnsi="Arial" w:cs="Arial"/>
          <w:sz w:val="25"/>
          <w:szCs w:val="25"/>
        </w:rPr>
      </w:pPr>
    </w:p>
    <w:p w14:paraId="6FADCE04" w14:textId="77777777" w:rsidR="000D0D51" w:rsidRDefault="000D0D51" w:rsidP="00D75703">
      <w:pPr>
        <w:rPr>
          <w:rFonts w:ascii="Arial" w:hAnsi="Arial" w:cs="Arial"/>
          <w:sz w:val="25"/>
          <w:szCs w:val="25"/>
        </w:rPr>
      </w:pPr>
    </w:p>
    <w:p w14:paraId="16CDEAB8" w14:textId="77777777" w:rsidR="00D3648E" w:rsidRDefault="00D3648E" w:rsidP="00D75703">
      <w:pPr>
        <w:rPr>
          <w:rFonts w:ascii="Arial" w:hAnsi="Arial" w:cs="Arial"/>
          <w:sz w:val="25"/>
          <w:szCs w:val="25"/>
        </w:rPr>
      </w:pPr>
    </w:p>
    <w:p w14:paraId="327D8BE5" w14:textId="77777777" w:rsidR="003B0959" w:rsidRDefault="003B0959" w:rsidP="00D75703">
      <w:pPr>
        <w:rPr>
          <w:rFonts w:ascii="Arial" w:hAnsi="Arial" w:cs="Arial"/>
          <w:sz w:val="25"/>
          <w:szCs w:val="25"/>
        </w:rPr>
      </w:pPr>
    </w:p>
    <w:p w14:paraId="3EFA992C" w14:textId="77777777" w:rsidR="00D75703" w:rsidRDefault="00D75703" w:rsidP="00D75703">
      <w:pPr>
        <w:rPr>
          <w:rFonts w:ascii="Arial" w:hAnsi="Arial" w:cs="Arial"/>
          <w:sz w:val="25"/>
          <w:szCs w:val="25"/>
        </w:rPr>
      </w:pPr>
    </w:p>
    <w:p w14:paraId="2ED30C25" w14:textId="42DC1AC9" w:rsidR="00D75703" w:rsidRDefault="00D75703" w:rsidP="003C2123">
      <w:pPr>
        <w:rPr>
          <w:rFonts w:ascii="Arial" w:hAnsi="Arial" w:cs="Arial"/>
          <w:b/>
          <w:bCs/>
          <w:color w:val="000000"/>
          <w:sz w:val="32"/>
          <w:szCs w:val="32"/>
        </w:rPr>
      </w:pPr>
    </w:p>
    <w:p w14:paraId="10FC7859" w14:textId="40A1B451" w:rsidR="00D3648E" w:rsidRDefault="00D3648E" w:rsidP="003C2123">
      <w:pPr>
        <w:rPr>
          <w:rFonts w:ascii="Arial" w:hAnsi="Arial" w:cs="Arial"/>
          <w:b/>
          <w:bCs/>
          <w:color w:val="000000"/>
          <w:sz w:val="32"/>
          <w:szCs w:val="32"/>
        </w:rPr>
      </w:pPr>
    </w:p>
    <w:p w14:paraId="168F53EE" w14:textId="45FB9685" w:rsidR="00D3648E" w:rsidRDefault="00D3648E" w:rsidP="003C2123">
      <w:pPr>
        <w:rPr>
          <w:rFonts w:ascii="Arial" w:hAnsi="Arial" w:cs="Arial"/>
          <w:b/>
          <w:bCs/>
          <w:color w:val="000000"/>
          <w:sz w:val="32"/>
          <w:szCs w:val="32"/>
        </w:rPr>
      </w:pPr>
    </w:p>
    <w:p w14:paraId="5FCA3CF1" w14:textId="6C90C51C" w:rsidR="002808FC" w:rsidRDefault="002808FC" w:rsidP="003C2123">
      <w:pPr>
        <w:rPr>
          <w:rFonts w:ascii="Arial" w:hAnsi="Arial" w:cs="Arial"/>
          <w:b/>
          <w:bCs/>
          <w:color w:val="000000"/>
          <w:sz w:val="32"/>
          <w:szCs w:val="32"/>
        </w:rPr>
      </w:pPr>
    </w:p>
    <w:p w14:paraId="08E6C207" w14:textId="17AE4DF4" w:rsidR="002808FC" w:rsidRDefault="002808FC" w:rsidP="003C2123">
      <w:pPr>
        <w:rPr>
          <w:rFonts w:ascii="Arial" w:hAnsi="Arial" w:cs="Arial"/>
          <w:b/>
          <w:bCs/>
          <w:color w:val="000000"/>
          <w:sz w:val="32"/>
          <w:szCs w:val="32"/>
        </w:rPr>
      </w:pPr>
    </w:p>
    <w:p w14:paraId="14F14117" w14:textId="6E27114C" w:rsidR="002808FC" w:rsidRDefault="002808FC" w:rsidP="003C2123">
      <w:pPr>
        <w:rPr>
          <w:rFonts w:ascii="Arial" w:hAnsi="Arial" w:cs="Arial"/>
          <w:b/>
          <w:bCs/>
          <w:color w:val="000000"/>
          <w:sz w:val="32"/>
          <w:szCs w:val="32"/>
        </w:rPr>
      </w:pPr>
    </w:p>
    <w:p w14:paraId="6BCF77B5" w14:textId="11305890" w:rsidR="006F5E50" w:rsidRDefault="006F5E50" w:rsidP="003C2123">
      <w:pPr>
        <w:rPr>
          <w:rFonts w:ascii="Arial" w:hAnsi="Arial" w:cs="Arial"/>
          <w:b/>
          <w:bCs/>
          <w:color w:val="000000"/>
          <w:sz w:val="32"/>
          <w:szCs w:val="32"/>
        </w:rPr>
      </w:pPr>
    </w:p>
    <w:p w14:paraId="65529BA2" w14:textId="51A86885" w:rsidR="002808FC" w:rsidRDefault="002808FC" w:rsidP="003C2123">
      <w:pPr>
        <w:rPr>
          <w:rFonts w:ascii="Arial" w:hAnsi="Arial" w:cs="Arial"/>
          <w:b/>
          <w:bCs/>
          <w:color w:val="000000"/>
          <w:sz w:val="32"/>
          <w:szCs w:val="32"/>
        </w:rPr>
      </w:pPr>
    </w:p>
    <w:p w14:paraId="44BEAA75" w14:textId="619E12CF" w:rsidR="00306159" w:rsidRDefault="00306159" w:rsidP="003C2123">
      <w:pPr>
        <w:rPr>
          <w:rFonts w:ascii="Arial" w:hAnsi="Arial" w:cs="Arial"/>
          <w:b/>
          <w:bCs/>
          <w:color w:val="000000"/>
          <w:sz w:val="32"/>
          <w:szCs w:val="32"/>
        </w:rPr>
      </w:pPr>
    </w:p>
    <w:p w14:paraId="33B31BEF" w14:textId="77777777" w:rsidR="005A5B23" w:rsidRDefault="005A5B23" w:rsidP="003C2123">
      <w:pPr>
        <w:rPr>
          <w:rFonts w:ascii="Arial" w:hAnsi="Arial" w:cs="Arial"/>
          <w:b/>
          <w:bCs/>
          <w:color w:val="000000"/>
          <w:sz w:val="32"/>
          <w:szCs w:val="32"/>
        </w:rPr>
        <w:sectPr w:rsidR="005A5B23" w:rsidSect="006056D5">
          <w:headerReference w:type="default" r:id="rId13"/>
          <w:footerReference w:type="default" r:id="rId14"/>
          <w:endnotePr>
            <w:numFmt w:val="decimal"/>
            <w:numStart w:val="0"/>
          </w:endnotePr>
          <w:pgSz w:w="11907" w:h="16840"/>
          <w:pgMar w:top="2127" w:right="1134" w:bottom="1588" w:left="1701" w:header="1020" w:footer="0" w:gutter="0"/>
          <w:cols w:space="720"/>
        </w:sectPr>
      </w:pPr>
    </w:p>
    <w:p w14:paraId="4902995B" w14:textId="77777777" w:rsidR="00B31A4C" w:rsidRDefault="00B31A4C" w:rsidP="003C2123">
      <w:pPr>
        <w:rPr>
          <w:rFonts w:ascii="Arial" w:hAnsi="Arial" w:cs="Arial"/>
          <w:b/>
          <w:bCs/>
          <w:color w:val="000000"/>
          <w:sz w:val="32"/>
          <w:szCs w:val="32"/>
        </w:rPr>
        <w:sectPr w:rsidR="00B31A4C" w:rsidSect="005A5B23">
          <w:endnotePr>
            <w:numFmt w:val="decimal"/>
            <w:numStart w:val="0"/>
          </w:endnotePr>
          <w:type w:val="continuous"/>
          <w:pgSz w:w="11907" w:h="16840"/>
          <w:pgMar w:top="2127" w:right="1134" w:bottom="1588" w:left="1701" w:header="1020" w:footer="0" w:gutter="0"/>
          <w:cols w:space="720"/>
        </w:sectPr>
      </w:pPr>
    </w:p>
    <w:p w14:paraId="13466C7A" w14:textId="77777777" w:rsidR="00025B48" w:rsidRPr="001B0508" w:rsidRDefault="00025B48" w:rsidP="00025B48">
      <w:pPr>
        <w:jc w:val="both"/>
        <w:rPr>
          <w:rFonts w:ascii="Century Gothic" w:hAnsi="Century Gothic"/>
          <w:b/>
          <w:sz w:val="22"/>
          <w:szCs w:val="22"/>
        </w:rPr>
      </w:pPr>
      <w:bookmarkStart w:id="3" w:name="_Hlk86246416"/>
      <w:bookmarkStart w:id="4" w:name="_Hlk63242673"/>
      <w:r w:rsidRPr="001B0508">
        <w:rPr>
          <w:rFonts w:ascii="Century Gothic" w:hAnsi="Century Gothic"/>
          <w:b/>
          <w:sz w:val="22"/>
          <w:szCs w:val="22"/>
        </w:rPr>
        <w:lastRenderedPageBreak/>
        <w:t>Relatório dos auditores independentes sobre a revisão das informações contábeis intermediárias (Informações Trimestrais – ITR)</w:t>
      </w:r>
    </w:p>
    <w:p w14:paraId="0FBC36FA" w14:textId="77777777" w:rsidR="00025B48" w:rsidRPr="0085618A" w:rsidRDefault="00025B48" w:rsidP="00025B48">
      <w:pPr>
        <w:jc w:val="both"/>
        <w:rPr>
          <w:rFonts w:ascii="Century Gothic" w:hAnsi="Century Gothic"/>
          <w:sz w:val="12"/>
          <w:szCs w:val="12"/>
        </w:rPr>
      </w:pPr>
    </w:p>
    <w:p w14:paraId="4295C034" w14:textId="77777777" w:rsidR="00025B48" w:rsidRPr="0085618A" w:rsidRDefault="00025B48" w:rsidP="00025B48">
      <w:pPr>
        <w:jc w:val="both"/>
        <w:rPr>
          <w:rFonts w:ascii="Century Gothic" w:hAnsi="Century Gothic"/>
          <w:sz w:val="10"/>
          <w:szCs w:val="10"/>
        </w:rPr>
      </w:pPr>
    </w:p>
    <w:p w14:paraId="05FB6B41" w14:textId="77777777"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Aos Diretores, Conselho de Administração e Acionistas da</w:t>
      </w:r>
    </w:p>
    <w:p w14:paraId="194E405B" w14:textId="77777777"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TELECOMUNICAÇÕES BRASILEIRAS S.A – TELEBRAS</w:t>
      </w:r>
    </w:p>
    <w:p w14:paraId="6A07AF2F" w14:textId="77777777"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Brasília – DF</w:t>
      </w:r>
    </w:p>
    <w:p w14:paraId="43D88CE5" w14:textId="77777777" w:rsidR="00025B48" w:rsidRPr="001B0508" w:rsidRDefault="00025B48" w:rsidP="00025B48">
      <w:pPr>
        <w:jc w:val="both"/>
        <w:rPr>
          <w:rFonts w:ascii="Century Gothic" w:hAnsi="Century Gothic"/>
          <w:sz w:val="22"/>
          <w:szCs w:val="22"/>
        </w:rPr>
      </w:pPr>
    </w:p>
    <w:p w14:paraId="65A1F977" w14:textId="77777777" w:rsidR="00025B48" w:rsidRPr="001B0508" w:rsidRDefault="00025B48" w:rsidP="00025B48">
      <w:pPr>
        <w:jc w:val="both"/>
        <w:rPr>
          <w:rFonts w:ascii="Century Gothic" w:hAnsi="Century Gothic"/>
          <w:b/>
          <w:sz w:val="22"/>
          <w:szCs w:val="22"/>
        </w:rPr>
      </w:pPr>
      <w:r w:rsidRPr="001B0508">
        <w:rPr>
          <w:rFonts w:ascii="Century Gothic" w:hAnsi="Century Gothic"/>
          <w:b/>
          <w:sz w:val="22"/>
          <w:szCs w:val="22"/>
        </w:rPr>
        <w:t>Introdução</w:t>
      </w:r>
    </w:p>
    <w:p w14:paraId="11EC46FD" w14:textId="77777777" w:rsidR="00025B48" w:rsidRPr="0085618A" w:rsidRDefault="00025B48" w:rsidP="00025B48">
      <w:pPr>
        <w:jc w:val="both"/>
        <w:rPr>
          <w:rFonts w:ascii="Century Gothic" w:hAnsi="Century Gothic"/>
          <w:sz w:val="14"/>
          <w:szCs w:val="14"/>
        </w:rPr>
      </w:pPr>
    </w:p>
    <w:p w14:paraId="306C1BF2" w14:textId="56B0750A"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Revisamos as informações contábeis intermediárias, da TELECOMUNICAÇÕES BRASILEIRAS S.A – TELEBRAS (“Companhia”), contidas no Formulário de Informações Trimestrais – ITR, referentes ao trimestre findo em 31 de março de 2026, que compreendem o balanço patrimonial em 31 de março de 2026 e as respectivas demonstrações do resultado, do resultado abrangente, das mutações do patrimônio líquido e dos fluxos de caixa para o período de três meses findo naquela data, incluindo as notas explicativas.</w:t>
      </w:r>
    </w:p>
    <w:p w14:paraId="3E78EA0E" w14:textId="77777777" w:rsidR="00025B48" w:rsidRPr="0085618A" w:rsidRDefault="00025B48" w:rsidP="00025B48">
      <w:pPr>
        <w:jc w:val="both"/>
        <w:rPr>
          <w:rFonts w:ascii="Century Gothic" w:hAnsi="Century Gothic"/>
          <w:sz w:val="12"/>
          <w:szCs w:val="12"/>
        </w:rPr>
      </w:pPr>
    </w:p>
    <w:p w14:paraId="3FB7FE71" w14:textId="77777777"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 xml:space="preserve">A Administração da Companhia é responsável pela elaboração das informações contábeis intermediárias de acordo com o Pronunciamento Técnico CPC 21 (R1) Demonstração Intermediária, emitida pelo Comitê de Pronunciamentos Contábeis – CPC, e com a norma internacional IAS 34 </w:t>
      </w:r>
      <w:r w:rsidRPr="001B0508">
        <w:rPr>
          <w:rFonts w:ascii="Century Gothic" w:hAnsi="Century Gothic"/>
          <w:i/>
          <w:iCs/>
          <w:sz w:val="22"/>
          <w:szCs w:val="22"/>
        </w:rPr>
        <w:t>– Interim Financial Reporting, emitida pelo International Accounting Standards Board</w:t>
      </w:r>
      <w:r w:rsidRPr="001B0508">
        <w:rPr>
          <w:rFonts w:ascii="Century Gothic" w:hAnsi="Century Gothic"/>
          <w:sz w:val="22"/>
          <w:szCs w:val="22"/>
        </w:rPr>
        <w:t xml:space="preserve"> (IASB), assim como pela apresentação dessas informações de forma condizente com as normas expedidas pela Comissão de Valores Mobiliários, aplicáveis à elaboração das Informações Trimestrais (ITR). Nossa responsabilidade é a de expressar uma conclusão sobre essas informações contábeis intermediárias com base em nossa revisão.</w:t>
      </w:r>
    </w:p>
    <w:p w14:paraId="10A90959" w14:textId="77777777" w:rsidR="00025B48" w:rsidRPr="0085618A" w:rsidRDefault="00025B48" w:rsidP="00025B48">
      <w:pPr>
        <w:jc w:val="both"/>
        <w:rPr>
          <w:rFonts w:ascii="Century Gothic" w:hAnsi="Century Gothic"/>
          <w:sz w:val="18"/>
          <w:szCs w:val="18"/>
        </w:rPr>
      </w:pPr>
    </w:p>
    <w:p w14:paraId="3FD85C12" w14:textId="77777777" w:rsidR="00025B48" w:rsidRPr="001B0508" w:rsidRDefault="00025B48" w:rsidP="00025B48">
      <w:pPr>
        <w:jc w:val="both"/>
        <w:rPr>
          <w:rFonts w:ascii="Century Gothic" w:hAnsi="Century Gothic"/>
          <w:b/>
          <w:sz w:val="22"/>
          <w:szCs w:val="22"/>
        </w:rPr>
      </w:pPr>
      <w:r w:rsidRPr="001B0508">
        <w:rPr>
          <w:rFonts w:ascii="Century Gothic" w:hAnsi="Century Gothic"/>
          <w:b/>
          <w:sz w:val="22"/>
          <w:szCs w:val="22"/>
        </w:rPr>
        <w:t>Alcance da Revisão</w:t>
      </w:r>
    </w:p>
    <w:p w14:paraId="6A50F5FA" w14:textId="77777777" w:rsidR="00025B48" w:rsidRPr="0085618A" w:rsidRDefault="00025B48" w:rsidP="00025B48">
      <w:pPr>
        <w:jc w:val="both"/>
        <w:rPr>
          <w:rFonts w:ascii="Century Gothic" w:hAnsi="Century Gothic"/>
          <w:sz w:val="12"/>
          <w:szCs w:val="12"/>
        </w:rPr>
      </w:pPr>
    </w:p>
    <w:p w14:paraId="3EF9770D" w14:textId="77777777"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 xml:space="preserve">Conduzimos nossa revisão de acordo com as normas brasileiras e internacionais de revisão de informações intermediárias (NBC TR 2410 – Revisão de Informações Intermediárias Executada pelo Auditor da Entidade e ISRE 2410 – </w:t>
      </w:r>
      <w:r w:rsidRPr="001B0508">
        <w:rPr>
          <w:rFonts w:ascii="Century Gothic" w:hAnsi="Century Gothic"/>
          <w:i/>
          <w:iCs/>
          <w:sz w:val="22"/>
          <w:szCs w:val="22"/>
        </w:rPr>
        <w:t xml:space="preserve">Review </w:t>
      </w:r>
      <w:proofErr w:type="spellStart"/>
      <w:r w:rsidRPr="001B0508">
        <w:rPr>
          <w:rFonts w:ascii="Century Gothic" w:hAnsi="Century Gothic"/>
          <w:i/>
          <w:iCs/>
          <w:sz w:val="22"/>
          <w:szCs w:val="22"/>
        </w:rPr>
        <w:t>of</w:t>
      </w:r>
      <w:proofErr w:type="spellEnd"/>
      <w:r w:rsidRPr="001B0508">
        <w:rPr>
          <w:rFonts w:ascii="Century Gothic" w:hAnsi="Century Gothic"/>
          <w:i/>
          <w:iCs/>
          <w:sz w:val="22"/>
          <w:szCs w:val="22"/>
        </w:rPr>
        <w:t xml:space="preserve"> Interim Financial </w:t>
      </w:r>
      <w:proofErr w:type="spellStart"/>
      <w:r w:rsidRPr="001B0508">
        <w:rPr>
          <w:rFonts w:ascii="Century Gothic" w:hAnsi="Century Gothic"/>
          <w:i/>
          <w:iCs/>
          <w:sz w:val="22"/>
          <w:szCs w:val="22"/>
        </w:rPr>
        <w:t>Information</w:t>
      </w:r>
      <w:proofErr w:type="spellEnd"/>
      <w:r w:rsidRPr="001B0508">
        <w:rPr>
          <w:rFonts w:ascii="Century Gothic" w:hAnsi="Century Gothic"/>
          <w:i/>
          <w:iCs/>
          <w:sz w:val="22"/>
          <w:szCs w:val="22"/>
        </w:rPr>
        <w:t xml:space="preserve"> </w:t>
      </w:r>
      <w:proofErr w:type="spellStart"/>
      <w:r w:rsidRPr="001B0508">
        <w:rPr>
          <w:rFonts w:ascii="Century Gothic" w:hAnsi="Century Gothic"/>
          <w:i/>
          <w:iCs/>
          <w:sz w:val="22"/>
          <w:szCs w:val="22"/>
        </w:rPr>
        <w:t>Performed</w:t>
      </w:r>
      <w:proofErr w:type="spellEnd"/>
      <w:r w:rsidRPr="001B0508">
        <w:rPr>
          <w:rFonts w:ascii="Century Gothic" w:hAnsi="Century Gothic"/>
          <w:i/>
          <w:iCs/>
          <w:sz w:val="22"/>
          <w:szCs w:val="22"/>
        </w:rPr>
        <w:t xml:space="preserve"> </w:t>
      </w:r>
      <w:proofErr w:type="spellStart"/>
      <w:r w:rsidRPr="001B0508">
        <w:rPr>
          <w:rFonts w:ascii="Century Gothic" w:hAnsi="Century Gothic"/>
          <w:i/>
          <w:iCs/>
          <w:sz w:val="22"/>
          <w:szCs w:val="22"/>
        </w:rPr>
        <w:t>by</w:t>
      </w:r>
      <w:proofErr w:type="spellEnd"/>
      <w:r w:rsidRPr="001B0508">
        <w:rPr>
          <w:rFonts w:ascii="Century Gothic" w:hAnsi="Century Gothic"/>
          <w:i/>
          <w:iCs/>
          <w:sz w:val="22"/>
          <w:szCs w:val="22"/>
        </w:rPr>
        <w:t xml:space="preserve"> </w:t>
      </w:r>
      <w:proofErr w:type="spellStart"/>
      <w:r w:rsidRPr="001B0508">
        <w:rPr>
          <w:rFonts w:ascii="Century Gothic" w:hAnsi="Century Gothic"/>
          <w:i/>
          <w:iCs/>
          <w:sz w:val="22"/>
          <w:szCs w:val="22"/>
        </w:rPr>
        <w:t>the</w:t>
      </w:r>
      <w:proofErr w:type="spellEnd"/>
      <w:r w:rsidRPr="001B0508">
        <w:rPr>
          <w:rFonts w:ascii="Century Gothic" w:hAnsi="Century Gothic"/>
          <w:i/>
          <w:iCs/>
          <w:sz w:val="22"/>
          <w:szCs w:val="22"/>
        </w:rPr>
        <w:t xml:space="preserve"> Independent Auditor </w:t>
      </w:r>
      <w:proofErr w:type="spellStart"/>
      <w:r w:rsidRPr="001B0508">
        <w:rPr>
          <w:rFonts w:ascii="Century Gothic" w:hAnsi="Century Gothic"/>
          <w:i/>
          <w:iCs/>
          <w:sz w:val="22"/>
          <w:szCs w:val="22"/>
        </w:rPr>
        <w:t>of</w:t>
      </w:r>
      <w:proofErr w:type="spellEnd"/>
      <w:r w:rsidRPr="001B0508">
        <w:rPr>
          <w:rFonts w:ascii="Century Gothic" w:hAnsi="Century Gothic"/>
          <w:i/>
          <w:iCs/>
          <w:sz w:val="22"/>
          <w:szCs w:val="22"/>
        </w:rPr>
        <w:t xml:space="preserve"> </w:t>
      </w:r>
      <w:proofErr w:type="spellStart"/>
      <w:r w:rsidRPr="001B0508">
        <w:rPr>
          <w:rFonts w:ascii="Century Gothic" w:hAnsi="Century Gothic"/>
          <w:i/>
          <w:iCs/>
          <w:sz w:val="22"/>
          <w:szCs w:val="22"/>
        </w:rPr>
        <w:t>the</w:t>
      </w:r>
      <w:proofErr w:type="spellEnd"/>
      <w:r w:rsidRPr="001B0508">
        <w:rPr>
          <w:rFonts w:ascii="Century Gothic" w:hAnsi="Century Gothic"/>
          <w:i/>
          <w:iCs/>
          <w:sz w:val="22"/>
          <w:szCs w:val="22"/>
        </w:rPr>
        <w:t xml:space="preserve"> Entity</w:t>
      </w:r>
      <w:r w:rsidRPr="001B0508">
        <w:rPr>
          <w:rFonts w:ascii="Century Gothic" w:hAnsi="Century Gothic"/>
          <w:sz w:val="22"/>
          <w:szCs w:val="22"/>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0358F189" w14:textId="77777777" w:rsidR="00025B48" w:rsidRPr="0085618A" w:rsidRDefault="00025B48" w:rsidP="00025B48">
      <w:pPr>
        <w:jc w:val="both"/>
        <w:rPr>
          <w:rFonts w:ascii="Century Gothic" w:hAnsi="Century Gothic"/>
          <w:sz w:val="14"/>
          <w:szCs w:val="14"/>
        </w:rPr>
      </w:pPr>
    </w:p>
    <w:p w14:paraId="0636D703" w14:textId="77777777" w:rsidR="00025B48" w:rsidRPr="001B0508" w:rsidRDefault="00025B48" w:rsidP="00025B48">
      <w:pPr>
        <w:jc w:val="both"/>
        <w:rPr>
          <w:rFonts w:ascii="Century Gothic" w:hAnsi="Century Gothic"/>
          <w:b/>
          <w:sz w:val="22"/>
          <w:szCs w:val="22"/>
        </w:rPr>
      </w:pPr>
      <w:r w:rsidRPr="001B0508">
        <w:rPr>
          <w:rFonts w:ascii="Century Gothic" w:hAnsi="Century Gothic"/>
          <w:b/>
          <w:sz w:val="22"/>
          <w:szCs w:val="22"/>
        </w:rPr>
        <w:t>Conclusão sobre as Informações Contábeis Intermediárias</w:t>
      </w:r>
    </w:p>
    <w:p w14:paraId="00E33116" w14:textId="77777777" w:rsidR="00025B48" w:rsidRPr="001B0508" w:rsidRDefault="00025B48" w:rsidP="00025B48">
      <w:pPr>
        <w:jc w:val="both"/>
        <w:rPr>
          <w:rFonts w:ascii="Century Gothic" w:hAnsi="Century Gothic"/>
          <w:sz w:val="22"/>
          <w:szCs w:val="22"/>
        </w:rPr>
        <w:sectPr w:rsidR="00025B48" w:rsidRPr="001B0508" w:rsidSect="0085618A">
          <w:footerReference w:type="default" r:id="rId15"/>
          <w:endnotePr>
            <w:numFmt w:val="decimal"/>
            <w:numStart w:val="0"/>
          </w:endnotePr>
          <w:type w:val="continuous"/>
          <w:pgSz w:w="11907" w:h="16840"/>
          <w:pgMar w:top="2127" w:right="1134" w:bottom="1588" w:left="1701" w:header="1020" w:footer="0" w:gutter="0"/>
          <w:cols w:space="720"/>
        </w:sectPr>
      </w:pPr>
    </w:p>
    <w:p w14:paraId="79E519C2" w14:textId="77777777" w:rsidR="00025B48" w:rsidRDefault="00025B48" w:rsidP="00025B48">
      <w:pPr>
        <w:jc w:val="both"/>
        <w:rPr>
          <w:rFonts w:ascii="Century Gothic" w:hAnsi="Century Gothic"/>
          <w:sz w:val="22"/>
          <w:szCs w:val="22"/>
        </w:rPr>
      </w:pPr>
    </w:p>
    <w:p w14:paraId="26DEC5CD" w14:textId="77777777" w:rsidR="0085618A" w:rsidRPr="0085618A" w:rsidRDefault="0085618A" w:rsidP="0085618A">
      <w:pPr>
        <w:rPr>
          <w:rFonts w:ascii="Century Gothic" w:hAnsi="Century Gothic"/>
          <w:sz w:val="12"/>
          <w:szCs w:val="12"/>
        </w:rPr>
        <w:sectPr w:rsidR="0085618A" w:rsidRPr="0085618A" w:rsidSect="00025B48">
          <w:endnotePr>
            <w:numFmt w:val="decimal"/>
            <w:numStart w:val="0"/>
          </w:endnotePr>
          <w:type w:val="continuous"/>
          <w:pgSz w:w="11907" w:h="16840"/>
          <w:pgMar w:top="2127" w:right="1134" w:bottom="1588" w:left="1701" w:header="1020" w:footer="0" w:gutter="0"/>
          <w:cols w:space="720"/>
        </w:sectPr>
      </w:pPr>
    </w:p>
    <w:p w14:paraId="4B5714C7" w14:textId="77777777"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Com base em nossa revisão, não temos conhecimento de nenhum fato que nos leve a acreditar que as informações contábeis intermediárias, incluídas nas informações trimestrais anteriormente referidas, não foram elaboradas, em todos os aspectos relevantes, de acordo com o CPC 21(R1) e com a norma internacional a IAS 34, aplicáveis à elaboração de Informações Trimestrais – ITR, e apresentadas de forma condizente com as normas expedidas pela Comissão de Valores Mobiliários.</w:t>
      </w:r>
    </w:p>
    <w:p w14:paraId="2B5E5403" w14:textId="77777777" w:rsidR="00025B48" w:rsidRPr="001B0508" w:rsidRDefault="00025B48" w:rsidP="00025B48">
      <w:pPr>
        <w:jc w:val="both"/>
        <w:rPr>
          <w:rFonts w:ascii="Century Gothic" w:hAnsi="Century Gothic"/>
          <w:b/>
          <w:sz w:val="22"/>
          <w:szCs w:val="22"/>
        </w:rPr>
      </w:pPr>
      <w:r w:rsidRPr="001B0508">
        <w:rPr>
          <w:rFonts w:ascii="Century Gothic" w:hAnsi="Century Gothic"/>
          <w:b/>
          <w:sz w:val="22"/>
          <w:szCs w:val="22"/>
        </w:rPr>
        <w:lastRenderedPageBreak/>
        <w:t>Ênfases</w:t>
      </w:r>
    </w:p>
    <w:p w14:paraId="5CC9B31B" w14:textId="77777777" w:rsidR="00025B48" w:rsidRPr="0085618A" w:rsidRDefault="00025B48" w:rsidP="00025B48">
      <w:pPr>
        <w:jc w:val="both"/>
        <w:rPr>
          <w:rFonts w:ascii="Century Gothic" w:hAnsi="Century Gothic"/>
          <w:b/>
          <w:sz w:val="18"/>
          <w:szCs w:val="18"/>
        </w:rPr>
      </w:pPr>
    </w:p>
    <w:p w14:paraId="5A692493" w14:textId="77777777" w:rsidR="00025B48" w:rsidRPr="001B0508" w:rsidRDefault="00025B48" w:rsidP="00025B48">
      <w:pPr>
        <w:jc w:val="both"/>
        <w:rPr>
          <w:rFonts w:ascii="Century Gothic" w:hAnsi="Century Gothic"/>
          <w:b/>
          <w:sz w:val="22"/>
          <w:szCs w:val="22"/>
        </w:rPr>
      </w:pPr>
      <w:r w:rsidRPr="001B0508">
        <w:rPr>
          <w:rFonts w:ascii="Century Gothic" w:hAnsi="Century Gothic"/>
          <w:b/>
          <w:sz w:val="22"/>
          <w:szCs w:val="22"/>
        </w:rPr>
        <w:t>Investimentos</w:t>
      </w:r>
    </w:p>
    <w:p w14:paraId="0EAD1204" w14:textId="77777777" w:rsidR="00025B48" w:rsidRPr="0085618A" w:rsidRDefault="00025B48" w:rsidP="00025B48">
      <w:pPr>
        <w:jc w:val="both"/>
        <w:rPr>
          <w:rFonts w:ascii="Century Gothic" w:hAnsi="Century Gothic"/>
          <w:sz w:val="12"/>
          <w:szCs w:val="12"/>
        </w:rPr>
      </w:pPr>
    </w:p>
    <w:p w14:paraId="2098EB89" w14:textId="2F870225" w:rsidR="00025B48" w:rsidRPr="001B0508" w:rsidRDefault="00025B48" w:rsidP="00025B48">
      <w:pPr>
        <w:jc w:val="both"/>
        <w:rPr>
          <w:rFonts w:ascii="Century Gothic" w:hAnsi="Century Gothic"/>
          <w:sz w:val="22"/>
          <w:szCs w:val="22"/>
        </w:rPr>
      </w:pPr>
      <w:bookmarkStart w:id="5" w:name="_Hlk40080282"/>
      <w:r w:rsidRPr="001B0508">
        <w:rPr>
          <w:rFonts w:ascii="Century Gothic" w:hAnsi="Century Gothic"/>
          <w:sz w:val="22"/>
          <w:szCs w:val="22"/>
        </w:rPr>
        <w:t>Conforme mencionado na nota explicativa n</w:t>
      </w:r>
      <w:r w:rsidRPr="001B0508">
        <w:rPr>
          <w:rFonts w:ascii="Century Gothic" w:hAnsi="Century Gothic"/>
          <w:sz w:val="22"/>
          <w:szCs w:val="22"/>
          <w:u w:val="single"/>
          <w:vertAlign w:val="superscript"/>
        </w:rPr>
        <w:t>o</w:t>
      </w:r>
      <w:r w:rsidRPr="001B0508">
        <w:rPr>
          <w:rFonts w:ascii="Century Gothic" w:hAnsi="Century Gothic"/>
          <w:sz w:val="22"/>
          <w:szCs w:val="22"/>
        </w:rPr>
        <w:t> 12, a Companhia participa do capital social da coligada Visiona Tecnologia Espacial S/A com 49%. As demonstrações contábeis de 31 de março de 202</w:t>
      </w:r>
      <w:r w:rsidR="0097147A" w:rsidRPr="001B0508">
        <w:rPr>
          <w:rFonts w:ascii="Century Gothic" w:hAnsi="Century Gothic"/>
          <w:sz w:val="22"/>
          <w:szCs w:val="22"/>
        </w:rPr>
        <w:t>6</w:t>
      </w:r>
      <w:r w:rsidRPr="001B0508">
        <w:rPr>
          <w:rFonts w:ascii="Century Gothic" w:hAnsi="Century Gothic"/>
          <w:sz w:val="22"/>
          <w:szCs w:val="22"/>
        </w:rPr>
        <w:t xml:space="preserve"> desta coligada foram examinadas por outros auditores independentes que emitiram relatório, datado de 30 de abril de 202</w:t>
      </w:r>
      <w:r w:rsidR="0097147A" w:rsidRPr="001B0508">
        <w:rPr>
          <w:rFonts w:ascii="Century Gothic" w:hAnsi="Century Gothic"/>
          <w:sz w:val="22"/>
          <w:szCs w:val="22"/>
        </w:rPr>
        <w:t>6.</w:t>
      </w:r>
      <w:r w:rsidRPr="001B0508">
        <w:rPr>
          <w:rFonts w:ascii="Century Gothic" w:hAnsi="Century Gothic"/>
          <w:sz w:val="22"/>
          <w:szCs w:val="22"/>
        </w:rPr>
        <w:t xml:space="preserve"> </w:t>
      </w:r>
    </w:p>
    <w:bookmarkEnd w:id="5"/>
    <w:p w14:paraId="2590B692" w14:textId="77777777" w:rsidR="00025B48" w:rsidRPr="0085618A" w:rsidRDefault="00025B48" w:rsidP="00025B48">
      <w:pPr>
        <w:jc w:val="both"/>
        <w:rPr>
          <w:rFonts w:ascii="Century Gothic" w:hAnsi="Century Gothic"/>
          <w:sz w:val="14"/>
          <w:szCs w:val="14"/>
        </w:rPr>
      </w:pPr>
    </w:p>
    <w:p w14:paraId="4D7F8DD4" w14:textId="77777777" w:rsidR="00025B48" w:rsidRPr="0085618A" w:rsidRDefault="00025B48" w:rsidP="00025B48">
      <w:pPr>
        <w:jc w:val="both"/>
        <w:rPr>
          <w:rFonts w:ascii="Century Gothic" w:hAnsi="Century Gothic"/>
          <w:sz w:val="10"/>
          <w:szCs w:val="10"/>
        </w:rPr>
      </w:pPr>
    </w:p>
    <w:p w14:paraId="3170D083" w14:textId="77777777" w:rsidR="00025B48" w:rsidRPr="001B0508" w:rsidRDefault="00025B48" w:rsidP="00025B48">
      <w:pPr>
        <w:jc w:val="both"/>
        <w:rPr>
          <w:rFonts w:ascii="Century Gothic" w:hAnsi="Century Gothic"/>
          <w:b/>
          <w:sz w:val="22"/>
          <w:szCs w:val="22"/>
        </w:rPr>
      </w:pPr>
      <w:r w:rsidRPr="001B0508">
        <w:rPr>
          <w:rFonts w:ascii="Century Gothic" w:hAnsi="Century Gothic"/>
          <w:b/>
          <w:sz w:val="22"/>
          <w:szCs w:val="22"/>
        </w:rPr>
        <w:t>Recursos Capitalizáveis</w:t>
      </w:r>
    </w:p>
    <w:p w14:paraId="13C98700" w14:textId="77777777" w:rsidR="0085618A" w:rsidRDefault="0085618A" w:rsidP="00025B48">
      <w:pPr>
        <w:jc w:val="both"/>
        <w:rPr>
          <w:rFonts w:ascii="Century Gothic" w:hAnsi="Century Gothic"/>
          <w:sz w:val="22"/>
          <w:szCs w:val="22"/>
        </w:rPr>
        <w:sectPr w:rsidR="0085618A" w:rsidSect="00025B48">
          <w:footerReference w:type="default" r:id="rId16"/>
          <w:endnotePr>
            <w:numFmt w:val="decimal"/>
            <w:numStart w:val="0"/>
          </w:endnotePr>
          <w:type w:val="continuous"/>
          <w:pgSz w:w="11907" w:h="16840"/>
          <w:pgMar w:top="2127" w:right="1134" w:bottom="1588" w:left="1701" w:header="1020" w:footer="0" w:gutter="0"/>
          <w:cols w:space="720"/>
        </w:sectPr>
      </w:pPr>
    </w:p>
    <w:p w14:paraId="4FFC0AE7" w14:textId="77777777" w:rsidR="00025B48" w:rsidRPr="0085618A" w:rsidRDefault="00025B48" w:rsidP="00025B48">
      <w:pPr>
        <w:jc w:val="both"/>
        <w:rPr>
          <w:rFonts w:ascii="Century Gothic" w:hAnsi="Century Gothic"/>
          <w:sz w:val="14"/>
          <w:szCs w:val="14"/>
        </w:rPr>
      </w:pPr>
    </w:p>
    <w:p w14:paraId="133B2D8B" w14:textId="5A92EF2C"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Conforme mencionado na nota explicativa n</w:t>
      </w:r>
      <w:r w:rsidRPr="001B0508">
        <w:rPr>
          <w:rFonts w:ascii="Century Gothic" w:hAnsi="Century Gothic"/>
          <w:sz w:val="22"/>
          <w:szCs w:val="22"/>
          <w:u w:val="single"/>
          <w:vertAlign w:val="superscript"/>
        </w:rPr>
        <w:t>o</w:t>
      </w:r>
      <w:r w:rsidRPr="001B0508">
        <w:rPr>
          <w:rFonts w:ascii="Century Gothic" w:hAnsi="Century Gothic"/>
          <w:sz w:val="22"/>
          <w:szCs w:val="22"/>
        </w:rPr>
        <w:t xml:space="preserve"> 2</w:t>
      </w:r>
      <w:r w:rsidR="0097147A" w:rsidRPr="001B0508">
        <w:rPr>
          <w:rFonts w:ascii="Century Gothic" w:hAnsi="Century Gothic"/>
          <w:sz w:val="22"/>
          <w:szCs w:val="22"/>
        </w:rPr>
        <w:t>1</w:t>
      </w:r>
      <w:r w:rsidRPr="001B0508">
        <w:rPr>
          <w:rFonts w:ascii="Century Gothic" w:hAnsi="Century Gothic"/>
          <w:sz w:val="22"/>
          <w:szCs w:val="22"/>
        </w:rPr>
        <w:t>, a Companhia mantém registrado na rubrica “Recursos Capitalizáveis”, saldo de R$ </w:t>
      </w:r>
      <w:r w:rsidR="0097147A" w:rsidRPr="001B0508">
        <w:rPr>
          <w:rFonts w:ascii="Century Gothic" w:hAnsi="Century Gothic"/>
          <w:sz w:val="22"/>
          <w:szCs w:val="22"/>
        </w:rPr>
        <w:t>2.017.599</w:t>
      </w:r>
      <w:r w:rsidRPr="001B0508">
        <w:rPr>
          <w:rFonts w:ascii="Century Gothic" w:hAnsi="Century Gothic"/>
          <w:sz w:val="22"/>
          <w:szCs w:val="22"/>
        </w:rPr>
        <w:t xml:space="preserve"> mil em 31 de março de 202</w:t>
      </w:r>
      <w:r w:rsidR="0097147A" w:rsidRPr="001B0508">
        <w:rPr>
          <w:rFonts w:ascii="Century Gothic" w:hAnsi="Century Gothic"/>
          <w:sz w:val="22"/>
          <w:szCs w:val="22"/>
        </w:rPr>
        <w:t>6</w:t>
      </w:r>
      <w:r w:rsidRPr="001B0508">
        <w:rPr>
          <w:rFonts w:ascii="Century Gothic" w:hAnsi="Century Gothic"/>
          <w:sz w:val="22"/>
          <w:szCs w:val="22"/>
        </w:rPr>
        <w:t>. Esse valor é decorrente de Adiantamento para Futuro Aumento de Capital – AFAC, concedido pela União, o qual é corrigido pela taxa Selic e será utilizado em futuro aumento de capital em favor da União.</w:t>
      </w:r>
    </w:p>
    <w:p w14:paraId="604ED701" w14:textId="77777777" w:rsidR="00025B48" w:rsidRDefault="00025B48" w:rsidP="00025B48">
      <w:pPr>
        <w:jc w:val="both"/>
        <w:rPr>
          <w:rFonts w:ascii="Century Gothic" w:hAnsi="Century Gothic"/>
          <w:sz w:val="12"/>
          <w:szCs w:val="12"/>
        </w:rPr>
      </w:pPr>
    </w:p>
    <w:p w14:paraId="70CF7B16" w14:textId="77777777" w:rsidR="0085618A" w:rsidRPr="0085618A" w:rsidRDefault="0085618A" w:rsidP="00025B48">
      <w:pPr>
        <w:jc w:val="both"/>
        <w:rPr>
          <w:rFonts w:ascii="Century Gothic" w:hAnsi="Century Gothic"/>
          <w:sz w:val="4"/>
          <w:szCs w:val="4"/>
        </w:rPr>
      </w:pPr>
    </w:p>
    <w:p w14:paraId="1C0D01EC" w14:textId="2EB0B132" w:rsidR="00025B48" w:rsidRDefault="00025B48" w:rsidP="00025B48">
      <w:pPr>
        <w:jc w:val="both"/>
        <w:rPr>
          <w:rFonts w:ascii="Century Gothic" w:hAnsi="Century Gothic"/>
          <w:b/>
          <w:sz w:val="22"/>
          <w:szCs w:val="22"/>
        </w:rPr>
      </w:pPr>
      <w:r w:rsidRPr="001B0508">
        <w:rPr>
          <w:rFonts w:ascii="Century Gothic" w:hAnsi="Century Gothic"/>
          <w:b/>
          <w:sz w:val="22"/>
          <w:szCs w:val="22"/>
        </w:rPr>
        <w:t>Inclusão nos Orçamentos Fiscal e da Seguridade Social da União</w:t>
      </w:r>
    </w:p>
    <w:p w14:paraId="1FDD9511" w14:textId="77777777" w:rsidR="0085618A" w:rsidRPr="0085618A" w:rsidRDefault="0085618A" w:rsidP="00025B48">
      <w:pPr>
        <w:jc w:val="both"/>
        <w:rPr>
          <w:rFonts w:ascii="Century Gothic" w:hAnsi="Century Gothic"/>
          <w:b/>
          <w:sz w:val="22"/>
          <w:szCs w:val="22"/>
        </w:rPr>
      </w:pPr>
    </w:p>
    <w:p w14:paraId="3A0F7D7F" w14:textId="77777777"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Conforme nota explicativa n</w:t>
      </w:r>
      <w:r w:rsidRPr="001B0508">
        <w:rPr>
          <w:rFonts w:ascii="Century Gothic" w:hAnsi="Century Gothic"/>
          <w:sz w:val="22"/>
          <w:szCs w:val="22"/>
          <w:u w:val="single"/>
          <w:vertAlign w:val="superscript"/>
        </w:rPr>
        <w:t>o</w:t>
      </w:r>
      <w:r w:rsidRPr="001B0508">
        <w:rPr>
          <w:rFonts w:ascii="Century Gothic" w:hAnsi="Century Gothic"/>
          <w:sz w:val="22"/>
          <w:szCs w:val="22"/>
        </w:rPr>
        <w:t xml:space="preserve"> 1.2, a Companhia foi declarada dependente do Orçamento Fiscal e da Seguridade Social, conforme sanção da Lei n</w:t>
      </w:r>
      <w:r w:rsidRPr="001B0508">
        <w:rPr>
          <w:rFonts w:ascii="Century Gothic" w:hAnsi="Century Gothic"/>
          <w:sz w:val="22"/>
          <w:szCs w:val="22"/>
          <w:u w:val="single"/>
          <w:vertAlign w:val="superscript"/>
        </w:rPr>
        <w:t>o</w:t>
      </w:r>
      <w:r w:rsidRPr="001B0508">
        <w:rPr>
          <w:rFonts w:ascii="Century Gothic" w:hAnsi="Century Gothic"/>
          <w:sz w:val="22"/>
          <w:szCs w:val="22"/>
        </w:rPr>
        <w:t xml:space="preserve"> 13.978 de 17 de janeiro de 2020 (Lei Orçamentária Anual – LOA).   </w:t>
      </w:r>
    </w:p>
    <w:p w14:paraId="7F4E44E7" w14:textId="77777777" w:rsidR="00025B48" w:rsidRPr="0085618A" w:rsidRDefault="00025B48" w:rsidP="00025B48">
      <w:pPr>
        <w:jc w:val="both"/>
        <w:rPr>
          <w:rFonts w:ascii="Century Gothic" w:hAnsi="Century Gothic"/>
          <w:sz w:val="14"/>
          <w:szCs w:val="14"/>
        </w:rPr>
      </w:pPr>
    </w:p>
    <w:p w14:paraId="78B654F7" w14:textId="77777777"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A LOA e demais atos normativos em vigor obrigaram a Companhia a utilizar simultaneamente a contabilidade privada e pública. A inclusão no Orçamento Fiscal e da Seguridade Social também impossibilita a Companhia de utilizar os recursos de Investimento disponíveis em caixa.</w:t>
      </w:r>
    </w:p>
    <w:p w14:paraId="05E67C19" w14:textId="77777777" w:rsidR="00025B48" w:rsidRPr="001B0508" w:rsidRDefault="00025B48" w:rsidP="00025B48">
      <w:pPr>
        <w:jc w:val="both"/>
        <w:rPr>
          <w:rFonts w:ascii="Century Gothic" w:hAnsi="Century Gothic"/>
          <w:sz w:val="22"/>
          <w:szCs w:val="22"/>
        </w:rPr>
        <w:sectPr w:rsidR="00025B48" w:rsidRPr="001B0508" w:rsidSect="00025B48">
          <w:footerReference w:type="default" r:id="rId17"/>
          <w:endnotePr>
            <w:numFmt w:val="decimal"/>
            <w:numStart w:val="0"/>
          </w:endnotePr>
          <w:type w:val="continuous"/>
          <w:pgSz w:w="11907" w:h="16840"/>
          <w:pgMar w:top="2127" w:right="1134" w:bottom="1588" w:left="1701" w:header="1020" w:footer="0" w:gutter="0"/>
          <w:cols w:space="720"/>
        </w:sectPr>
      </w:pPr>
    </w:p>
    <w:p w14:paraId="76338200" w14:textId="77777777" w:rsidR="00025B48" w:rsidRPr="001B0508" w:rsidRDefault="00025B48" w:rsidP="00025B48">
      <w:pPr>
        <w:jc w:val="both"/>
        <w:rPr>
          <w:rFonts w:ascii="Century Gothic" w:hAnsi="Century Gothic"/>
          <w:sz w:val="22"/>
          <w:szCs w:val="22"/>
        </w:rPr>
      </w:pPr>
    </w:p>
    <w:p w14:paraId="2F571749" w14:textId="77777777" w:rsidR="000C24E0" w:rsidRPr="001B0508" w:rsidRDefault="000C24E0" w:rsidP="000C24E0">
      <w:pPr>
        <w:pStyle w:val="Ttulo2"/>
        <w:tabs>
          <w:tab w:val="clear" w:pos="284"/>
          <w:tab w:val="clear" w:pos="340"/>
        </w:tabs>
        <w:spacing w:before="0" w:after="0"/>
        <w:jc w:val="both"/>
        <w:rPr>
          <w:rFonts w:ascii="Century Gothic" w:hAnsi="Century Gothic"/>
        </w:rPr>
      </w:pPr>
      <w:r w:rsidRPr="001B0508">
        <w:rPr>
          <w:rFonts w:ascii="Century Gothic" w:hAnsi="Century Gothic"/>
        </w:rPr>
        <w:t>Contrato de Gestão e Plano De Sustentabilidade Econômico-Financeira</w:t>
      </w:r>
    </w:p>
    <w:p w14:paraId="3B251074" w14:textId="77777777" w:rsidR="000C24E0" w:rsidRPr="0085618A" w:rsidRDefault="000C24E0" w:rsidP="000C24E0">
      <w:pPr>
        <w:pStyle w:val="PargrafodaLista"/>
        <w:spacing w:after="0" w:line="240" w:lineRule="auto"/>
        <w:ind w:left="0"/>
        <w:rPr>
          <w:rFonts w:ascii="Century Gothic" w:hAnsi="Century Gothic"/>
          <w:sz w:val="8"/>
          <w:szCs w:val="8"/>
          <w:lang w:val="pt-BR" w:eastAsia="pt-BR"/>
        </w:rPr>
      </w:pPr>
    </w:p>
    <w:p w14:paraId="17F5102E" w14:textId="77777777" w:rsidR="000C24E0" w:rsidRPr="001B0508" w:rsidRDefault="000C24E0" w:rsidP="000C24E0">
      <w:pPr>
        <w:jc w:val="both"/>
        <w:rPr>
          <w:rFonts w:ascii="Century Gothic" w:hAnsi="Century Gothic"/>
          <w:sz w:val="22"/>
          <w:szCs w:val="22"/>
        </w:rPr>
      </w:pPr>
      <w:r w:rsidRPr="001B0508">
        <w:rPr>
          <w:rFonts w:ascii="Century Gothic" w:hAnsi="Century Gothic"/>
          <w:sz w:val="22"/>
          <w:szCs w:val="22"/>
        </w:rPr>
        <w:t xml:space="preserve">Conforme mencionado na nota explicativa 1.4, em 05 de setembro de 2025, a Companhia celebrou Contrato de Gestão com seu órgão supervisor, o Ministério das Comunicações. O referido contrato, celebrado pelo prazo de cinco anos, tem por finalidade a implementação do Plano de Sustentabilidade Econômico-Financeira (PSEF) da Companhia com o objetivo de regular o processo de transição da Telebras para o regime de empresa estatal não dependente. </w:t>
      </w:r>
    </w:p>
    <w:p w14:paraId="2F7A669D" w14:textId="77777777" w:rsidR="000C24E0" w:rsidRPr="0085618A" w:rsidRDefault="000C24E0" w:rsidP="000C24E0">
      <w:pPr>
        <w:jc w:val="both"/>
        <w:rPr>
          <w:rFonts w:ascii="Century Gothic" w:hAnsi="Century Gothic"/>
          <w:sz w:val="14"/>
          <w:szCs w:val="14"/>
        </w:rPr>
      </w:pPr>
    </w:p>
    <w:p w14:paraId="05BF6DD4" w14:textId="77777777" w:rsidR="000C24E0" w:rsidRPr="001B0508" w:rsidRDefault="000C24E0" w:rsidP="000C24E0">
      <w:pPr>
        <w:jc w:val="both"/>
        <w:rPr>
          <w:rFonts w:ascii="Century Gothic" w:hAnsi="Century Gothic"/>
          <w:sz w:val="22"/>
          <w:szCs w:val="22"/>
        </w:rPr>
      </w:pPr>
      <w:r w:rsidRPr="001B0508">
        <w:rPr>
          <w:rFonts w:ascii="Century Gothic" w:hAnsi="Century Gothic"/>
          <w:sz w:val="22"/>
          <w:szCs w:val="22"/>
        </w:rPr>
        <w:t xml:space="preserve">Com a vigência do Contrato de Gestão, a Telebras passou a dispor de autonomia orçamentária e financeira, submetendo-se, a partir de então, ao regime orçamentário e financeiro aplicável às empresas estatais não dependentes. Assim, a Companhia deixou de integrar o Orçamento Fiscal e da Seguridade Social da União, ressalta-se, contudo, que a Companhia permanece, até a efetiva conclusão do processo de transição, classificada como empresa estatal dependente. </w:t>
      </w:r>
    </w:p>
    <w:p w14:paraId="1BE51ADC" w14:textId="77777777" w:rsidR="000C24E0" w:rsidRPr="0085618A" w:rsidRDefault="000C24E0" w:rsidP="000C24E0">
      <w:pPr>
        <w:jc w:val="both"/>
        <w:rPr>
          <w:rFonts w:ascii="Century Gothic" w:hAnsi="Century Gothic"/>
          <w:bCs/>
          <w:sz w:val="14"/>
          <w:szCs w:val="14"/>
        </w:rPr>
      </w:pPr>
    </w:p>
    <w:p w14:paraId="5B4020F9" w14:textId="5A248B1F" w:rsidR="000C24E0" w:rsidRPr="0085618A" w:rsidRDefault="00F92D73" w:rsidP="00025B48">
      <w:pPr>
        <w:jc w:val="both"/>
        <w:rPr>
          <w:rFonts w:ascii="Century Gothic" w:hAnsi="Century Gothic"/>
          <w:sz w:val="6"/>
          <w:szCs w:val="6"/>
        </w:rPr>
      </w:pPr>
      <w:r w:rsidRPr="001B0508">
        <w:rPr>
          <w:rFonts w:ascii="Century Gothic" w:hAnsi="Century Gothic"/>
          <w:sz w:val="22"/>
          <w:szCs w:val="22"/>
        </w:rPr>
        <w:t xml:space="preserve"> </w:t>
      </w:r>
    </w:p>
    <w:p w14:paraId="310F3FAC" w14:textId="77777777" w:rsidR="00025B48" w:rsidRPr="001B0508" w:rsidRDefault="00025B48" w:rsidP="00025B48">
      <w:pPr>
        <w:jc w:val="both"/>
        <w:rPr>
          <w:rFonts w:ascii="Century Gothic" w:hAnsi="Century Gothic"/>
          <w:b/>
          <w:sz w:val="22"/>
          <w:szCs w:val="22"/>
        </w:rPr>
      </w:pPr>
      <w:r w:rsidRPr="001B0508">
        <w:rPr>
          <w:rFonts w:ascii="Century Gothic" w:hAnsi="Century Gothic"/>
          <w:b/>
          <w:sz w:val="22"/>
          <w:szCs w:val="22"/>
        </w:rPr>
        <w:t>Outros Assuntos</w:t>
      </w:r>
    </w:p>
    <w:p w14:paraId="310A851F" w14:textId="77777777" w:rsidR="00025B48" w:rsidRPr="0085618A" w:rsidRDefault="00025B48" w:rsidP="00025B48">
      <w:pPr>
        <w:jc w:val="both"/>
        <w:rPr>
          <w:rFonts w:ascii="Century Gothic" w:hAnsi="Century Gothic"/>
          <w:sz w:val="14"/>
          <w:szCs w:val="14"/>
        </w:rPr>
      </w:pPr>
    </w:p>
    <w:p w14:paraId="7BA1D5B8" w14:textId="77777777" w:rsidR="00025B48" w:rsidRPr="001B0508" w:rsidRDefault="00025B48" w:rsidP="00025B48">
      <w:pPr>
        <w:jc w:val="both"/>
        <w:rPr>
          <w:rFonts w:ascii="Century Gothic" w:hAnsi="Century Gothic"/>
          <w:b/>
          <w:sz w:val="22"/>
          <w:szCs w:val="22"/>
        </w:rPr>
      </w:pPr>
      <w:r w:rsidRPr="001B0508">
        <w:rPr>
          <w:rFonts w:ascii="Century Gothic" w:hAnsi="Century Gothic"/>
          <w:b/>
          <w:sz w:val="22"/>
          <w:szCs w:val="22"/>
        </w:rPr>
        <w:t>Demonstrações Intermediárias do Valor Adicionado</w:t>
      </w:r>
    </w:p>
    <w:p w14:paraId="0A90DD6C" w14:textId="77777777" w:rsidR="00025B48" w:rsidRPr="0085618A" w:rsidRDefault="00025B48" w:rsidP="00025B48">
      <w:pPr>
        <w:jc w:val="both"/>
        <w:rPr>
          <w:rFonts w:ascii="Century Gothic" w:hAnsi="Century Gothic"/>
          <w:sz w:val="14"/>
          <w:szCs w:val="14"/>
        </w:rPr>
      </w:pPr>
    </w:p>
    <w:p w14:paraId="728B2929" w14:textId="3F068AFA" w:rsidR="00025B48" w:rsidRPr="001B0508" w:rsidRDefault="00025B48" w:rsidP="00025B48">
      <w:pPr>
        <w:jc w:val="both"/>
        <w:rPr>
          <w:rFonts w:ascii="Century Gothic" w:hAnsi="Century Gothic"/>
          <w:sz w:val="22"/>
          <w:szCs w:val="22"/>
        </w:rPr>
      </w:pPr>
      <w:r w:rsidRPr="001B0508">
        <w:rPr>
          <w:rFonts w:ascii="Century Gothic" w:hAnsi="Century Gothic"/>
          <w:sz w:val="22"/>
          <w:szCs w:val="22"/>
        </w:rPr>
        <w:t>Revisamos, também, a Demonstração do Valor Adicionado – DVA, referente ao período de três meses findo em 31 de março de 202</w:t>
      </w:r>
      <w:r w:rsidR="0097147A" w:rsidRPr="001B0508">
        <w:rPr>
          <w:rFonts w:ascii="Century Gothic" w:hAnsi="Century Gothic"/>
          <w:sz w:val="22"/>
          <w:szCs w:val="22"/>
        </w:rPr>
        <w:t>6</w:t>
      </w:r>
      <w:r w:rsidRPr="001B0508">
        <w:rPr>
          <w:rFonts w:ascii="Century Gothic" w:hAnsi="Century Gothic"/>
          <w:sz w:val="22"/>
          <w:szCs w:val="22"/>
        </w:rPr>
        <w:t xml:space="preserve">, elaborada sob a responsabilidade da Administração da Companhia, cuja apresentação nas demonstrações contábeis intermediárias é requerida de acordo com as normas </w:t>
      </w:r>
      <w:r w:rsidRPr="001B0508">
        <w:rPr>
          <w:rFonts w:ascii="Century Gothic" w:hAnsi="Century Gothic"/>
          <w:sz w:val="22"/>
          <w:szCs w:val="22"/>
        </w:rPr>
        <w:lastRenderedPageBreak/>
        <w:t>expedidas pela CVM – Comissão de Valores Mobiliários, aplicáveis à elaboração de Informações Trimestrais – ITR, e como informação suplementar pelas normas internacionais de relatório financeiro (“</w:t>
      </w:r>
      <w:r w:rsidRPr="001B0508">
        <w:rPr>
          <w:rFonts w:ascii="Century Gothic" w:hAnsi="Century Gothic"/>
          <w:i/>
          <w:iCs/>
          <w:sz w:val="22"/>
          <w:szCs w:val="22"/>
        </w:rPr>
        <w:t>International Financial Reporting Standards</w:t>
      </w:r>
      <w:r w:rsidRPr="001B0508">
        <w:rPr>
          <w:rFonts w:ascii="Century Gothic" w:hAnsi="Century Gothic"/>
          <w:sz w:val="22"/>
          <w:szCs w:val="22"/>
        </w:rPr>
        <w:t xml:space="preserve"> – IFRS”), que não requerem a apresentação da DVA. Essa demonstração foi submetida aos mesmos procedimentos de revisão descritos anteriormente e, com base em nossa revisão, não temos conhecimento de nenhum fato que nos leve a acreditar que não foi elaborada, em todos os aspectos relevantes, de forma consistente com as informações contábeis intermediárias tomadas em conjunto.</w:t>
      </w:r>
    </w:p>
    <w:p w14:paraId="312EF4D5" w14:textId="77777777" w:rsidR="0085618A" w:rsidRDefault="0085618A" w:rsidP="00025B48">
      <w:pPr>
        <w:jc w:val="both"/>
        <w:rPr>
          <w:rFonts w:ascii="Century Gothic" w:hAnsi="Century Gothic"/>
          <w:sz w:val="22"/>
          <w:szCs w:val="22"/>
        </w:rPr>
        <w:sectPr w:rsidR="0085618A" w:rsidSect="00025B48">
          <w:endnotePr>
            <w:numFmt w:val="decimal"/>
            <w:numStart w:val="0"/>
          </w:endnotePr>
          <w:type w:val="continuous"/>
          <w:pgSz w:w="11907" w:h="16840"/>
          <w:pgMar w:top="2127" w:right="1134" w:bottom="1588" w:left="1701" w:header="1020" w:footer="0" w:gutter="0"/>
          <w:cols w:space="720"/>
        </w:sectPr>
      </w:pPr>
    </w:p>
    <w:p w14:paraId="5FB6FB2F" w14:textId="77777777" w:rsidR="00025B48" w:rsidRDefault="00025B48" w:rsidP="00025B48">
      <w:pPr>
        <w:jc w:val="both"/>
        <w:rPr>
          <w:rFonts w:ascii="Century Gothic" w:hAnsi="Century Gothic"/>
          <w:sz w:val="12"/>
          <w:szCs w:val="12"/>
        </w:rPr>
      </w:pPr>
    </w:p>
    <w:p w14:paraId="33A48026" w14:textId="77777777" w:rsidR="001933B6" w:rsidRDefault="001933B6" w:rsidP="00025B48">
      <w:pPr>
        <w:jc w:val="both"/>
        <w:rPr>
          <w:rFonts w:ascii="Century Gothic" w:hAnsi="Century Gothic"/>
          <w:sz w:val="12"/>
          <w:szCs w:val="12"/>
        </w:rPr>
      </w:pPr>
    </w:p>
    <w:p w14:paraId="6995B50F" w14:textId="77777777" w:rsidR="0085618A" w:rsidRPr="0085618A" w:rsidRDefault="0085618A" w:rsidP="00025B48">
      <w:pPr>
        <w:jc w:val="both"/>
        <w:rPr>
          <w:rFonts w:ascii="Century Gothic" w:hAnsi="Century Gothic"/>
          <w:sz w:val="12"/>
          <w:szCs w:val="12"/>
        </w:rPr>
      </w:pPr>
    </w:p>
    <w:p w14:paraId="09CF2C7E" w14:textId="77777777" w:rsidR="00025B48" w:rsidRPr="0085618A" w:rsidRDefault="00025B48" w:rsidP="00025B48">
      <w:pPr>
        <w:jc w:val="both"/>
        <w:rPr>
          <w:rFonts w:ascii="Century Gothic" w:hAnsi="Century Gothic"/>
          <w:sz w:val="4"/>
          <w:szCs w:val="4"/>
        </w:rPr>
      </w:pPr>
    </w:p>
    <w:p w14:paraId="53BD87A3" w14:textId="4D2CFDA5" w:rsidR="00025B48" w:rsidRPr="001B0508" w:rsidRDefault="00025B48" w:rsidP="0085618A">
      <w:pPr>
        <w:jc w:val="center"/>
        <w:rPr>
          <w:rFonts w:ascii="Century Gothic" w:hAnsi="Century Gothic"/>
          <w:sz w:val="22"/>
          <w:szCs w:val="22"/>
        </w:rPr>
      </w:pPr>
      <w:r w:rsidRPr="001B0508">
        <w:rPr>
          <w:rFonts w:ascii="Century Gothic" w:hAnsi="Century Gothic"/>
          <w:sz w:val="22"/>
          <w:szCs w:val="22"/>
        </w:rPr>
        <w:t xml:space="preserve">Curitiba, </w:t>
      </w:r>
      <w:r w:rsidR="00E0139E">
        <w:rPr>
          <w:rFonts w:ascii="Century Gothic" w:hAnsi="Century Gothic"/>
          <w:sz w:val="22"/>
          <w:szCs w:val="22"/>
        </w:rPr>
        <w:t>12</w:t>
      </w:r>
      <w:r w:rsidRPr="001B0508">
        <w:rPr>
          <w:rFonts w:ascii="Century Gothic" w:hAnsi="Century Gothic"/>
          <w:sz w:val="22"/>
          <w:szCs w:val="22"/>
        </w:rPr>
        <w:t xml:space="preserve"> de maio de 202</w:t>
      </w:r>
      <w:r w:rsidR="0097147A" w:rsidRPr="001B0508">
        <w:rPr>
          <w:rFonts w:ascii="Century Gothic" w:hAnsi="Century Gothic"/>
          <w:sz w:val="22"/>
          <w:szCs w:val="22"/>
        </w:rPr>
        <w:t>6</w:t>
      </w:r>
      <w:r w:rsidRPr="001B0508">
        <w:rPr>
          <w:rFonts w:ascii="Century Gothic" w:hAnsi="Century Gothic"/>
          <w:sz w:val="22"/>
          <w:szCs w:val="22"/>
        </w:rPr>
        <w:t>.</w:t>
      </w:r>
    </w:p>
    <w:p w14:paraId="29095FD8" w14:textId="77777777" w:rsidR="00025B48" w:rsidRDefault="00025B48" w:rsidP="00025B48">
      <w:pPr>
        <w:jc w:val="both"/>
        <w:rPr>
          <w:rFonts w:ascii="Century Gothic" w:hAnsi="Century Gothic"/>
          <w:sz w:val="22"/>
          <w:szCs w:val="22"/>
        </w:rPr>
      </w:pPr>
    </w:p>
    <w:p w14:paraId="5ECEBB00" w14:textId="77777777" w:rsidR="001933B6" w:rsidRDefault="001933B6" w:rsidP="00025B48">
      <w:pPr>
        <w:jc w:val="both"/>
        <w:rPr>
          <w:rFonts w:ascii="Century Gothic" w:hAnsi="Century Gothic"/>
          <w:sz w:val="22"/>
          <w:szCs w:val="22"/>
        </w:rPr>
      </w:pPr>
    </w:p>
    <w:p w14:paraId="2A89601A" w14:textId="77777777" w:rsidR="0085618A" w:rsidRDefault="0085618A" w:rsidP="00025B48">
      <w:pPr>
        <w:jc w:val="both"/>
        <w:rPr>
          <w:rFonts w:ascii="Century Gothic" w:hAnsi="Century Gothic"/>
          <w:sz w:val="22"/>
          <w:szCs w:val="22"/>
        </w:rPr>
      </w:pPr>
    </w:p>
    <w:p w14:paraId="5929BD90" w14:textId="77777777" w:rsidR="0085618A" w:rsidRDefault="0085618A" w:rsidP="00025B48">
      <w:pPr>
        <w:jc w:val="both"/>
        <w:rPr>
          <w:rFonts w:ascii="Century Gothic" w:hAnsi="Century Gothic"/>
          <w:sz w:val="22"/>
          <w:szCs w:val="22"/>
        </w:rPr>
      </w:pPr>
    </w:p>
    <w:p w14:paraId="7D0E24C2" w14:textId="77777777" w:rsidR="001933B6" w:rsidRPr="001B0508" w:rsidRDefault="001933B6" w:rsidP="00025B48">
      <w:pPr>
        <w:jc w:val="both"/>
        <w:rPr>
          <w:rFonts w:ascii="Century Gothic" w:hAnsi="Century Gothic"/>
          <w:sz w:val="22"/>
          <w:szCs w:val="22"/>
        </w:rPr>
      </w:pPr>
    </w:p>
    <w:p w14:paraId="67AE9CF6" w14:textId="10B89F10" w:rsidR="00025B48" w:rsidRPr="001B0508" w:rsidRDefault="00025B48" w:rsidP="00025B48">
      <w:pPr>
        <w:jc w:val="both"/>
        <w:rPr>
          <w:rFonts w:ascii="Century Gothic" w:hAnsi="Century Gothic"/>
          <w:bCs/>
          <w:sz w:val="22"/>
          <w:szCs w:val="22"/>
        </w:rPr>
      </w:pPr>
      <w:r w:rsidRPr="001B0508">
        <w:rPr>
          <w:rFonts w:ascii="Century Gothic" w:hAnsi="Century Gothic"/>
          <w:sz w:val="22"/>
          <w:szCs w:val="22"/>
        </w:rPr>
        <w:t>Paulo Sergio da Silva</w:t>
      </w:r>
      <w:r w:rsidRPr="001B0508">
        <w:rPr>
          <w:rFonts w:ascii="Century Gothic" w:hAnsi="Century Gothic"/>
          <w:sz w:val="22"/>
          <w:szCs w:val="22"/>
        </w:rPr>
        <w:tab/>
      </w:r>
      <w:r w:rsidRPr="001B0508">
        <w:rPr>
          <w:rFonts w:ascii="Century Gothic" w:hAnsi="Century Gothic"/>
          <w:bCs/>
          <w:sz w:val="22"/>
          <w:szCs w:val="22"/>
        </w:rPr>
        <w:t xml:space="preserve"> </w:t>
      </w:r>
      <w:r w:rsidRPr="001B0508">
        <w:rPr>
          <w:rFonts w:ascii="Century Gothic" w:hAnsi="Century Gothic"/>
          <w:bCs/>
          <w:sz w:val="22"/>
          <w:szCs w:val="22"/>
        </w:rPr>
        <w:tab/>
      </w:r>
      <w:r w:rsidRPr="001B0508">
        <w:rPr>
          <w:rFonts w:ascii="Century Gothic" w:hAnsi="Century Gothic"/>
          <w:bCs/>
          <w:sz w:val="22"/>
          <w:szCs w:val="22"/>
        </w:rPr>
        <w:tab/>
      </w:r>
      <w:r w:rsidRPr="001B0508">
        <w:rPr>
          <w:rFonts w:ascii="Century Gothic" w:hAnsi="Century Gothic"/>
          <w:bCs/>
          <w:sz w:val="22"/>
          <w:szCs w:val="22"/>
        </w:rPr>
        <w:tab/>
      </w:r>
      <w:r w:rsidRPr="001B0508">
        <w:rPr>
          <w:rFonts w:ascii="Century Gothic" w:hAnsi="Century Gothic"/>
          <w:bCs/>
          <w:sz w:val="22"/>
          <w:szCs w:val="22"/>
        </w:rPr>
        <w:tab/>
      </w:r>
      <w:r w:rsidRPr="001B0508">
        <w:rPr>
          <w:rFonts w:ascii="Century Gothic" w:hAnsi="Century Gothic"/>
          <w:bCs/>
          <w:sz w:val="22"/>
          <w:szCs w:val="22"/>
        </w:rPr>
        <w:tab/>
      </w:r>
      <w:r w:rsidRPr="001B0508">
        <w:rPr>
          <w:rFonts w:ascii="Century Gothic" w:hAnsi="Century Gothic"/>
          <w:bCs/>
          <w:sz w:val="22"/>
          <w:szCs w:val="22"/>
        </w:rPr>
        <w:tab/>
      </w:r>
      <w:r w:rsidRPr="001B0508">
        <w:rPr>
          <w:rFonts w:ascii="Century Gothic" w:hAnsi="Century Gothic"/>
          <w:bCs/>
          <w:sz w:val="22"/>
          <w:szCs w:val="22"/>
        </w:rPr>
        <w:tab/>
        <w:t xml:space="preserve">                                             </w:t>
      </w:r>
      <w:r w:rsidRPr="001B0508">
        <w:rPr>
          <w:rFonts w:ascii="Century Gothic" w:hAnsi="Century Gothic"/>
          <w:bCs/>
          <w:sz w:val="22"/>
          <w:szCs w:val="22"/>
        </w:rPr>
        <w:tab/>
      </w:r>
      <w:r w:rsidRPr="001B0508">
        <w:rPr>
          <w:rFonts w:ascii="Century Gothic" w:hAnsi="Century Gothic"/>
          <w:bCs/>
          <w:sz w:val="22"/>
          <w:szCs w:val="22"/>
        </w:rPr>
        <w:tab/>
      </w:r>
      <w:r w:rsidRPr="001B0508">
        <w:rPr>
          <w:rFonts w:ascii="Century Gothic" w:hAnsi="Century Gothic"/>
          <w:bCs/>
          <w:sz w:val="22"/>
          <w:szCs w:val="22"/>
        </w:rPr>
        <w:tab/>
      </w:r>
      <w:r w:rsidR="000C24E0" w:rsidRPr="001B0508">
        <w:rPr>
          <w:rFonts w:ascii="Century Gothic" w:hAnsi="Century Gothic"/>
          <w:bCs/>
          <w:sz w:val="22"/>
          <w:szCs w:val="22"/>
        </w:rPr>
        <w:t xml:space="preserve"> </w:t>
      </w:r>
      <w:proofErr w:type="spellStart"/>
      <w:r w:rsidR="000C24E0" w:rsidRPr="001B0508">
        <w:rPr>
          <w:rFonts w:ascii="Century Gothic" w:hAnsi="Century Gothic"/>
          <w:bCs/>
          <w:sz w:val="22"/>
          <w:szCs w:val="22"/>
        </w:rPr>
        <w:t>Paraílio</w:t>
      </w:r>
      <w:proofErr w:type="spellEnd"/>
      <w:r w:rsidR="000C24E0" w:rsidRPr="001B0508">
        <w:rPr>
          <w:rFonts w:ascii="Century Gothic" w:hAnsi="Century Gothic"/>
          <w:bCs/>
          <w:sz w:val="22"/>
          <w:szCs w:val="22"/>
        </w:rPr>
        <w:t xml:space="preserve"> Domingues da Silva Filho</w:t>
      </w:r>
    </w:p>
    <w:p w14:paraId="30C86BC0" w14:textId="71529BA4" w:rsidR="00025B48" w:rsidRPr="001B0508" w:rsidRDefault="00025B48" w:rsidP="00025B48">
      <w:pPr>
        <w:jc w:val="both"/>
        <w:rPr>
          <w:rFonts w:ascii="Century Gothic" w:hAnsi="Century Gothic"/>
          <w:b/>
          <w:bCs/>
          <w:sz w:val="22"/>
          <w:szCs w:val="22"/>
        </w:rPr>
      </w:pPr>
      <w:r w:rsidRPr="001B0508">
        <w:rPr>
          <w:rFonts w:ascii="Century Gothic" w:hAnsi="Century Gothic"/>
          <w:b/>
          <w:sz w:val="22"/>
          <w:szCs w:val="22"/>
        </w:rPr>
        <w:t>Contador CRCPR N</w:t>
      </w:r>
      <w:r w:rsidRPr="001B0508">
        <w:rPr>
          <w:rFonts w:ascii="Century Gothic" w:hAnsi="Century Gothic"/>
          <w:b/>
          <w:sz w:val="22"/>
          <w:szCs w:val="22"/>
          <w:u w:val="single"/>
          <w:vertAlign w:val="superscript"/>
        </w:rPr>
        <w:t>o</w:t>
      </w:r>
      <w:r w:rsidRPr="001B0508">
        <w:rPr>
          <w:rFonts w:ascii="Century Gothic" w:hAnsi="Century Gothic"/>
          <w:b/>
          <w:sz w:val="22"/>
          <w:szCs w:val="22"/>
        </w:rPr>
        <w:t xml:space="preserve"> 029.121/O-0 S-DF</w:t>
      </w:r>
      <w:r w:rsidRPr="001B0508">
        <w:rPr>
          <w:rFonts w:ascii="Century Gothic" w:hAnsi="Century Gothic"/>
          <w:b/>
          <w:bCs/>
          <w:sz w:val="22"/>
          <w:szCs w:val="22"/>
        </w:rPr>
        <w:tab/>
      </w:r>
      <w:r w:rsidRPr="001B0508">
        <w:rPr>
          <w:rFonts w:ascii="Century Gothic" w:hAnsi="Century Gothic"/>
          <w:b/>
          <w:sz w:val="22"/>
          <w:szCs w:val="22"/>
        </w:rPr>
        <w:t xml:space="preserve">                 </w:t>
      </w:r>
      <w:r w:rsidRPr="001B0508">
        <w:rPr>
          <w:rFonts w:ascii="Century Gothic" w:hAnsi="Century Gothic"/>
          <w:b/>
          <w:bCs/>
          <w:sz w:val="22"/>
          <w:szCs w:val="22"/>
        </w:rPr>
        <w:t>Contador CRCPR N</w:t>
      </w:r>
      <w:r w:rsidRPr="001B0508">
        <w:rPr>
          <w:rFonts w:ascii="Century Gothic" w:hAnsi="Century Gothic"/>
          <w:b/>
          <w:bCs/>
          <w:sz w:val="22"/>
          <w:szCs w:val="22"/>
          <w:u w:val="single"/>
          <w:vertAlign w:val="superscript"/>
        </w:rPr>
        <w:t>o</w:t>
      </w:r>
      <w:r w:rsidRPr="001B0508">
        <w:rPr>
          <w:rFonts w:ascii="Century Gothic" w:hAnsi="Century Gothic"/>
          <w:b/>
          <w:bCs/>
          <w:sz w:val="22"/>
          <w:szCs w:val="22"/>
        </w:rPr>
        <w:t xml:space="preserve"> 0</w:t>
      </w:r>
      <w:r w:rsidR="000C24E0" w:rsidRPr="001B0508">
        <w:rPr>
          <w:rFonts w:ascii="Century Gothic" w:hAnsi="Century Gothic"/>
          <w:b/>
          <w:bCs/>
          <w:sz w:val="22"/>
          <w:szCs w:val="22"/>
        </w:rPr>
        <w:t>35</w:t>
      </w:r>
      <w:r w:rsidRPr="001B0508">
        <w:rPr>
          <w:rFonts w:ascii="Century Gothic" w:hAnsi="Century Gothic"/>
          <w:b/>
          <w:bCs/>
          <w:sz w:val="22"/>
          <w:szCs w:val="22"/>
        </w:rPr>
        <w:t>.</w:t>
      </w:r>
      <w:r w:rsidR="000C24E0" w:rsidRPr="001B0508">
        <w:rPr>
          <w:rFonts w:ascii="Century Gothic" w:hAnsi="Century Gothic"/>
          <w:b/>
          <w:bCs/>
          <w:sz w:val="22"/>
          <w:szCs w:val="22"/>
        </w:rPr>
        <w:t>538</w:t>
      </w:r>
      <w:r w:rsidRPr="001B0508">
        <w:rPr>
          <w:rFonts w:ascii="Century Gothic" w:hAnsi="Century Gothic"/>
          <w:b/>
          <w:bCs/>
          <w:sz w:val="22"/>
          <w:szCs w:val="22"/>
        </w:rPr>
        <w:t>/O-</w:t>
      </w:r>
      <w:r w:rsidR="000C24E0" w:rsidRPr="001B0508">
        <w:rPr>
          <w:rFonts w:ascii="Century Gothic" w:hAnsi="Century Gothic"/>
          <w:b/>
          <w:bCs/>
          <w:sz w:val="22"/>
          <w:szCs w:val="22"/>
        </w:rPr>
        <w:t>4</w:t>
      </w:r>
      <w:r w:rsidRPr="001B0508">
        <w:rPr>
          <w:rFonts w:ascii="Century Gothic" w:hAnsi="Century Gothic"/>
          <w:b/>
          <w:bCs/>
          <w:sz w:val="22"/>
          <w:szCs w:val="22"/>
        </w:rPr>
        <w:t xml:space="preserve"> S-DF</w:t>
      </w:r>
    </w:p>
    <w:p w14:paraId="13DA6B30" w14:textId="77777777" w:rsidR="00025B48" w:rsidRDefault="00025B48" w:rsidP="00025B48">
      <w:pPr>
        <w:jc w:val="both"/>
        <w:rPr>
          <w:rFonts w:ascii="Century Gothic" w:hAnsi="Century Gothic"/>
          <w:b/>
          <w:bCs/>
          <w:sz w:val="22"/>
          <w:szCs w:val="22"/>
        </w:rPr>
      </w:pPr>
      <w:r w:rsidRPr="001B0508">
        <w:rPr>
          <w:rFonts w:ascii="Century Gothic" w:hAnsi="Century Gothic"/>
          <w:b/>
          <w:bCs/>
          <w:sz w:val="22"/>
          <w:szCs w:val="22"/>
        </w:rPr>
        <w:t xml:space="preserve"> </w:t>
      </w:r>
    </w:p>
    <w:p w14:paraId="30E76235" w14:textId="77777777" w:rsidR="001933B6" w:rsidRPr="001B0508" w:rsidRDefault="001933B6" w:rsidP="00025B48">
      <w:pPr>
        <w:jc w:val="both"/>
        <w:rPr>
          <w:rFonts w:ascii="Century Gothic" w:hAnsi="Century Gothic"/>
          <w:b/>
          <w:bCs/>
          <w:sz w:val="22"/>
          <w:szCs w:val="22"/>
        </w:rPr>
      </w:pPr>
    </w:p>
    <w:p w14:paraId="3D4EBA06" w14:textId="77777777" w:rsidR="00025B48" w:rsidRPr="001B0508" w:rsidRDefault="00025B48" w:rsidP="00025B48">
      <w:pPr>
        <w:jc w:val="center"/>
        <w:rPr>
          <w:rFonts w:ascii="Century Gothic" w:hAnsi="Century Gothic"/>
          <w:b/>
          <w:i/>
          <w:sz w:val="22"/>
          <w:szCs w:val="22"/>
        </w:rPr>
      </w:pPr>
      <w:r w:rsidRPr="001B0508">
        <w:rPr>
          <w:rFonts w:ascii="Century Gothic" w:hAnsi="Century Gothic"/>
          <w:b/>
          <w:sz w:val="22"/>
          <w:szCs w:val="22"/>
        </w:rPr>
        <w:t>CONSULT – AUDITORES INDEPENDENTES</w:t>
      </w:r>
    </w:p>
    <w:p w14:paraId="10434AC1" w14:textId="77777777" w:rsidR="00025B48" w:rsidRPr="001B0508" w:rsidRDefault="00025B48" w:rsidP="00025B48">
      <w:pPr>
        <w:jc w:val="center"/>
        <w:rPr>
          <w:rFonts w:ascii="Century Gothic" w:hAnsi="Century Gothic"/>
          <w:b/>
          <w:sz w:val="22"/>
          <w:szCs w:val="22"/>
        </w:rPr>
      </w:pPr>
      <w:r w:rsidRPr="001B0508">
        <w:rPr>
          <w:rFonts w:ascii="Century Gothic" w:hAnsi="Century Gothic"/>
          <w:b/>
          <w:sz w:val="22"/>
          <w:szCs w:val="22"/>
        </w:rPr>
        <w:t>CRC/PR N</w:t>
      </w:r>
      <w:r w:rsidRPr="001B0508">
        <w:rPr>
          <w:rFonts w:ascii="Century Gothic" w:hAnsi="Century Gothic"/>
          <w:b/>
          <w:sz w:val="22"/>
          <w:szCs w:val="22"/>
          <w:u w:val="single"/>
          <w:vertAlign w:val="superscript"/>
        </w:rPr>
        <w:t>o</w:t>
      </w:r>
      <w:r w:rsidRPr="001B0508">
        <w:rPr>
          <w:rFonts w:ascii="Century Gothic" w:hAnsi="Century Gothic"/>
          <w:b/>
          <w:sz w:val="22"/>
          <w:szCs w:val="22"/>
        </w:rPr>
        <w:t xml:space="preserve"> 2906/O-5</w:t>
      </w:r>
    </w:p>
    <w:p w14:paraId="00978809" w14:textId="77777777" w:rsidR="00025B48" w:rsidRPr="001B0508" w:rsidRDefault="00025B48" w:rsidP="00025B48">
      <w:pPr>
        <w:jc w:val="both"/>
        <w:rPr>
          <w:rFonts w:ascii="Century Gothic" w:hAnsi="Century Gothic"/>
          <w:bCs/>
          <w:sz w:val="22"/>
          <w:szCs w:val="22"/>
          <w:highlight w:val="yellow"/>
        </w:rPr>
        <w:sectPr w:rsidR="00025B48" w:rsidRPr="001B0508" w:rsidSect="00025B48">
          <w:endnotePr>
            <w:numFmt w:val="decimal"/>
            <w:numStart w:val="0"/>
          </w:endnotePr>
          <w:type w:val="continuous"/>
          <w:pgSz w:w="11907" w:h="16840"/>
          <w:pgMar w:top="2127" w:right="1134" w:bottom="1588" w:left="1701" w:header="1020" w:footer="0" w:gutter="0"/>
          <w:cols w:space="720"/>
        </w:sectPr>
      </w:pPr>
    </w:p>
    <w:p w14:paraId="21135CBF" w14:textId="16BFE71B" w:rsidR="00F06819" w:rsidRPr="00977FF7" w:rsidRDefault="00F06819" w:rsidP="00F06819">
      <w:pPr>
        <w:jc w:val="center"/>
        <w:rPr>
          <w:rFonts w:ascii="Century Gothic" w:hAnsi="Century Gothic"/>
          <w:b/>
          <w:sz w:val="22"/>
          <w:szCs w:val="22"/>
        </w:rPr>
      </w:pPr>
    </w:p>
    <w:bookmarkEnd w:id="3"/>
    <w:bookmarkEnd w:id="4"/>
    <w:p w14:paraId="6CE3AF40" w14:textId="77777777" w:rsidR="000D0D51" w:rsidRPr="00977FF7" w:rsidRDefault="000D0D51" w:rsidP="000D0D51">
      <w:pPr>
        <w:jc w:val="both"/>
        <w:rPr>
          <w:rFonts w:ascii="Century Gothic" w:hAnsi="Century Gothic"/>
          <w:bCs/>
          <w:sz w:val="22"/>
          <w:szCs w:val="22"/>
        </w:rPr>
        <w:sectPr w:rsidR="000D0D51" w:rsidRPr="00977FF7" w:rsidSect="000D0D51">
          <w:footerReference w:type="default" r:id="rId18"/>
          <w:endnotePr>
            <w:numFmt w:val="decimal"/>
            <w:numStart w:val="0"/>
          </w:endnotePr>
          <w:type w:val="continuous"/>
          <w:pgSz w:w="11907" w:h="16840"/>
          <w:pgMar w:top="2127" w:right="1134" w:bottom="1588" w:left="1701" w:header="1020" w:footer="0" w:gutter="0"/>
          <w:cols w:space="720"/>
        </w:sectPr>
      </w:pPr>
    </w:p>
    <w:p w14:paraId="4C9D5D19" w14:textId="77777777" w:rsidR="00991908" w:rsidRDefault="00991908" w:rsidP="003C2123">
      <w:pPr>
        <w:rPr>
          <w:rFonts w:ascii="Arial" w:hAnsi="Arial" w:cs="Arial"/>
          <w:b/>
          <w:bCs/>
          <w:color w:val="000000"/>
          <w:sz w:val="32"/>
          <w:szCs w:val="32"/>
        </w:rPr>
      </w:pPr>
    </w:p>
    <w:p w14:paraId="297F0C10" w14:textId="77777777" w:rsidR="002F34AB" w:rsidRPr="006E4079" w:rsidRDefault="002F34AB" w:rsidP="002F34AB">
      <w:pPr>
        <w:rPr>
          <w:rFonts w:ascii="Century Gothic" w:hAnsi="Century Gothic"/>
          <w:sz w:val="14"/>
          <w:szCs w:val="14"/>
          <w:highlight w:val="yellow"/>
        </w:rPr>
        <w:sectPr w:rsidR="002F34AB" w:rsidRPr="006E4079" w:rsidSect="006056D5">
          <w:footerReference w:type="default" r:id="rId19"/>
          <w:endnotePr>
            <w:numFmt w:val="decimal"/>
            <w:numStart w:val="0"/>
          </w:endnotePr>
          <w:type w:val="continuous"/>
          <w:pgSz w:w="11907" w:h="16840"/>
          <w:pgMar w:top="2127" w:right="1134" w:bottom="1588" w:left="1701" w:header="1020" w:footer="0" w:gutter="0"/>
          <w:cols w:space="720"/>
        </w:sectPr>
      </w:pPr>
    </w:p>
    <w:tbl>
      <w:tblPr>
        <w:tblW w:w="5000" w:type="pct"/>
        <w:tblCellMar>
          <w:left w:w="70" w:type="dxa"/>
          <w:right w:w="70" w:type="dxa"/>
        </w:tblCellMar>
        <w:tblLook w:val="04A0" w:firstRow="1" w:lastRow="0" w:firstColumn="1" w:lastColumn="0" w:noHBand="0" w:noVBand="1"/>
      </w:tblPr>
      <w:tblGrid>
        <w:gridCol w:w="3209"/>
        <w:gridCol w:w="474"/>
        <w:gridCol w:w="1350"/>
        <w:gridCol w:w="146"/>
        <w:gridCol w:w="1350"/>
        <w:gridCol w:w="146"/>
        <w:gridCol w:w="4602"/>
        <w:gridCol w:w="474"/>
        <w:gridCol w:w="1491"/>
        <w:gridCol w:w="146"/>
        <w:gridCol w:w="1491"/>
        <w:gridCol w:w="146"/>
      </w:tblGrid>
      <w:tr w:rsidR="001D0EC6" w:rsidRPr="001D0EC6" w14:paraId="48297CEA" w14:textId="77777777" w:rsidTr="001D0EC6">
        <w:trPr>
          <w:trHeight w:val="198"/>
        </w:trPr>
        <w:tc>
          <w:tcPr>
            <w:tcW w:w="5000" w:type="pct"/>
            <w:gridSpan w:val="12"/>
            <w:tcBorders>
              <w:top w:val="nil"/>
              <w:left w:val="nil"/>
              <w:bottom w:val="nil"/>
              <w:right w:val="nil"/>
            </w:tcBorders>
            <w:noWrap/>
            <w:vAlign w:val="bottom"/>
            <w:hideMark/>
          </w:tcPr>
          <w:p w14:paraId="240E002D"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lastRenderedPageBreak/>
              <w:t>TELECOMUNICAÇÕES BRASILEIRAS S.A - "TELEBRAS"</w:t>
            </w:r>
          </w:p>
        </w:tc>
      </w:tr>
      <w:tr w:rsidR="001D0EC6" w:rsidRPr="001D0EC6" w14:paraId="6389EA5C" w14:textId="77777777" w:rsidTr="001D0EC6">
        <w:trPr>
          <w:trHeight w:val="198"/>
        </w:trPr>
        <w:tc>
          <w:tcPr>
            <w:tcW w:w="5000" w:type="pct"/>
            <w:gridSpan w:val="12"/>
            <w:tcBorders>
              <w:top w:val="nil"/>
              <w:left w:val="nil"/>
              <w:bottom w:val="nil"/>
              <w:right w:val="nil"/>
            </w:tcBorders>
            <w:noWrap/>
            <w:vAlign w:val="bottom"/>
            <w:hideMark/>
          </w:tcPr>
          <w:p w14:paraId="7AA9EA2E" w14:textId="77777777" w:rsidR="001D0EC6" w:rsidRPr="001D0EC6" w:rsidRDefault="001D0EC6">
            <w:pPr>
              <w:jc w:val="center"/>
              <w:rPr>
                <w:rFonts w:ascii="Arial" w:hAnsi="Arial" w:cs="Arial"/>
                <w:b/>
                <w:bCs/>
                <w:sz w:val="15"/>
                <w:szCs w:val="15"/>
              </w:rPr>
            </w:pPr>
            <w:r w:rsidRPr="001D0EC6">
              <w:rPr>
                <w:rFonts w:ascii="Arial" w:hAnsi="Arial" w:cs="Arial"/>
                <w:b/>
                <w:bCs/>
                <w:sz w:val="15"/>
                <w:szCs w:val="15"/>
              </w:rPr>
              <w:t>CNPJ 00.336.701/0001-04</w:t>
            </w:r>
          </w:p>
        </w:tc>
      </w:tr>
      <w:tr w:rsidR="001D0EC6" w:rsidRPr="001D0EC6" w14:paraId="77D58370" w14:textId="77777777" w:rsidTr="001D0EC6">
        <w:trPr>
          <w:trHeight w:val="198"/>
        </w:trPr>
        <w:tc>
          <w:tcPr>
            <w:tcW w:w="5000" w:type="pct"/>
            <w:gridSpan w:val="12"/>
            <w:tcBorders>
              <w:top w:val="nil"/>
              <w:left w:val="nil"/>
              <w:bottom w:val="nil"/>
              <w:right w:val="nil"/>
            </w:tcBorders>
            <w:noWrap/>
            <w:vAlign w:val="bottom"/>
            <w:hideMark/>
          </w:tcPr>
          <w:p w14:paraId="3CF0AACE"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Balanços Patrimoniais</w:t>
            </w:r>
          </w:p>
        </w:tc>
      </w:tr>
      <w:tr w:rsidR="001D0EC6" w:rsidRPr="001D0EC6" w14:paraId="5644FCFD" w14:textId="77777777" w:rsidTr="001D0EC6">
        <w:trPr>
          <w:trHeight w:val="198"/>
        </w:trPr>
        <w:tc>
          <w:tcPr>
            <w:tcW w:w="5000" w:type="pct"/>
            <w:gridSpan w:val="12"/>
            <w:tcBorders>
              <w:top w:val="nil"/>
              <w:left w:val="nil"/>
              <w:bottom w:val="nil"/>
              <w:right w:val="nil"/>
            </w:tcBorders>
            <w:noWrap/>
            <w:vAlign w:val="bottom"/>
            <w:hideMark/>
          </w:tcPr>
          <w:p w14:paraId="55206163"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Em 31 de março de 2026 e  2025</w:t>
            </w:r>
          </w:p>
        </w:tc>
      </w:tr>
      <w:tr w:rsidR="001D0EC6" w:rsidRPr="001D0EC6" w14:paraId="33E1E900" w14:textId="77777777" w:rsidTr="001D0EC6">
        <w:trPr>
          <w:trHeight w:val="198"/>
        </w:trPr>
        <w:tc>
          <w:tcPr>
            <w:tcW w:w="5000" w:type="pct"/>
            <w:gridSpan w:val="12"/>
            <w:tcBorders>
              <w:top w:val="nil"/>
              <w:left w:val="nil"/>
              <w:bottom w:val="nil"/>
              <w:right w:val="nil"/>
            </w:tcBorders>
            <w:noWrap/>
            <w:vAlign w:val="bottom"/>
            <w:hideMark/>
          </w:tcPr>
          <w:p w14:paraId="2FAA5093"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Em milhares de reais, exceto quando indicado de outra forma</w:t>
            </w:r>
          </w:p>
        </w:tc>
      </w:tr>
      <w:tr w:rsidR="001D0EC6" w:rsidRPr="001D0EC6" w14:paraId="63B9518F" w14:textId="77777777" w:rsidTr="001D0EC6">
        <w:trPr>
          <w:trHeight w:val="198"/>
        </w:trPr>
        <w:tc>
          <w:tcPr>
            <w:tcW w:w="1087" w:type="pct"/>
            <w:tcBorders>
              <w:top w:val="nil"/>
              <w:left w:val="nil"/>
              <w:bottom w:val="nil"/>
              <w:right w:val="nil"/>
            </w:tcBorders>
            <w:noWrap/>
            <w:vAlign w:val="center"/>
            <w:hideMark/>
          </w:tcPr>
          <w:p w14:paraId="7CB4776B" w14:textId="77777777" w:rsidR="001D0EC6" w:rsidRPr="001D0EC6" w:rsidRDefault="001D0EC6">
            <w:pPr>
              <w:jc w:val="center"/>
              <w:rPr>
                <w:rFonts w:ascii="Arial" w:hAnsi="Arial" w:cs="Arial"/>
                <w:b/>
                <w:bCs/>
                <w:color w:val="000000"/>
                <w:sz w:val="15"/>
                <w:szCs w:val="15"/>
              </w:rPr>
            </w:pPr>
          </w:p>
        </w:tc>
        <w:tc>
          <w:tcPr>
            <w:tcW w:w="145" w:type="pct"/>
            <w:tcBorders>
              <w:top w:val="nil"/>
              <w:left w:val="nil"/>
              <w:bottom w:val="nil"/>
              <w:right w:val="nil"/>
            </w:tcBorders>
            <w:noWrap/>
            <w:vAlign w:val="center"/>
            <w:hideMark/>
          </w:tcPr>
          <w:p w14:paraId="32563C95" w14:textId="77777777" w:rsidR="001D0EC6" w:rsidRPr="001D0EC6" w:rsidRDefault="001D0EC6">
            <w:pPr>
              <w:rPr>
                <w:sz w:val="15"/>
                <w:szCs w:val="15"/>
              </w:rPr>
            </w:pPr>
          </w:p>
        </w:tc>
        <w:tc>
          <w:tcPr>
            <w:tcW w:w="960" w:type="pct"/>
            <w:gridSpan w:val="3"/>
            <w:tcBorders>
              <w:top w:val="nil"/>
              <w:left w:val="nil"/>
              <w:bottom w:val="nil"/>
              <w:right w:val="nil"/>
            </w:tcBorders>
            <w:noWrap/>
            <w:vAlign w:val="center"/>
            <w:hideMark/>
          </w:tcPr>
          <w:p w14:paraId="315EEB95"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21808999" w14:textId="77777777" w:rsidR="001D0EC6" w:rsidRPr="001D0EC6" w:rsidRDefault="001D0EC6">
            <w:pPr>
              <w:jc w:val="center"/>
              <w:rPr>
                <w:sz w:val="15"/>
                <w:szCs w:val="15"/>
              </w:rPr>
            </w:pPr>
          </w:p>
        </w:tc>
        <w:tc>
          <w:tcPr>
            <w:tcW w:w="1555" w:type="pct"/>
            <w:tcBorders>
              <w:top w:val="nil"/>
              <w:left w:val="nil"/>
              <w:bottom w:val="nil"/>
              <w:right w:val="nil"/>
            </w:tcBorders>
            <w:noWrap/>
            <w:vAlign w:val="center"/>
            <w:hideMark/>
          </w:tcPr>
          <w:p w14:paraId="5B2B7D95" w14:textId="77777777" w:rsidR="001D0EC6" w:rsidRPr="001D0EC6" w:rsidRDefault="001D0EC6">
            <w:pPr>
              <w:rPr>
                <w:sz w:val="15"/>
                <w:szCs w:val="15"/>
              </w:rPr>
            </w:pPr>
          </w:p>
        </w:tc>
        <w:tc>
          <w:tcPr>
            <w:tcW w:w="145" w:type="pct"/>
            <w:tcBorders>
              <w:top w:val="nil"/>
              <w:left w:val="nil"/>
              <w:bottom w:val="nil"/>
              <w:right w:val="nil"/>
            </w:tcBorders>
            <w:noWrap/>
            <w:vAlign w:val="center"/>
            <w:hideMark/>
          </w:tcPr>
          <w:p w14:paraId="2E7DB684" w14:textId="77777777" w:rsidR="001D0EC6" w:rsidRPr="001D0EC6" w:rsidRDefault="001D0EC6">
            <w:pPr>
              <w:rPr>
                <w:sz w:val="15"/>
                <w:szCs w:val="15"/>
              </w:rPr>
            </w:pPr>
          </w:p>
        </w:tc>
        <w:tc>
          <w:tcPr>
            <w:tcW w:w="1072" w:type="pct"/>
            <w:gridSpan w:val="4"/>
            <w:tcBorders>
              <w:top w:val="nil"/>
              <w:left w:val="nil"/>
              <w:bottom w:val="nil"/>
              <w:right w:val="nil"/>
            </w:tcBorders>
            <w:noWrap/>
            <w:vAlign w:val="center"/>
            <w:hideMark/>
          </w:tcPr>
          <w:p w14:paraId="27CFA352" w14:textId="77777777" w:rsidR="001D0EC6" w:rsidRPr="001D0EC6" w:rsidRDefault="001D0EC6">
            <w:pPr>
              <w:rPr>
                <w:sz w:val="15"/>
                <w:szCs w:val="15"/>
              </w:rPr>
            </w:pPr>
          </w:p>
        </w:tc>
      </w:tr>
      <w:tr w:rsidR="001D0EC6" w:rsidRPr="001D0EC6" w14:paraId="54115793" w14:textId="77777777" w:rsidTr="001D0EC6">
        <w:trPr>
          <w:trHeight w:val="198"/>
        </w:trPr>
        <w:tc>
          <w:tcPr>
            <w:tcW w:w="1087" w:type="pct"/>
            <w:tcBorders>
              <w:top w:val="nil"/>
              <w:left w:val="nil"/>
              <w:bottom w:val="nil"/>
              <w:right w:val="nil"/>
            </w:tcBorders>
            <w:noWrap/>
            <w:vAlign w:val="center"/>
            <w:hideMark/>
          </w:tcPr>
          <w:p w14:paraId="577AD3CF"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Ativo</w:t>
            </w:r>
          </w:p>
        </w:tc>
        <w:tc>
          <w:tcPr>
            <w:tcW w:w="145" w:type="pct"/>
            <w:tcBorders>
              <w:top w:val="nil"/>
              <w:left w:val="nil"/>
              <w:bottom w:val="nil"/>
              <w:right w:val="nil"/>
            </w:tcBorders>
            <w:noWrap/>
            <w:vAlign w:val="center"/>
            <w:hideMark/>
          </w:tcPr>
          <w:p w14:paraId="1E1C8584"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Nota</w:t>
            </w:r>
          </w:p>
        </w:tc>
        <w:tc>
          <w:tcPr>
            <w:tcW w:w="462" w:type="pct"/>
            <w:tcBorders>
              <w:top w:val="single" w:sz="4" w:space="0" w:color="auto"/>
              <w:left w:val="nil"/>
              <w:bottom w:val="single" w:sz="4" w:space="0" w:color="auto"/>
              <w:right w:val="nil"/>
            </w:tcBorders>
            <w:vAlign w:val="center"/>
            <w:hideMark/>
          </w:tcPr>
          <w:p w14:paraId="473AE036"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31/03/2026</w:t>
            </w:r>
          </w:p>
        </w:tc>
        <w:tc>
          <w:tcPr>
            <w:tcW w:w="36" w:type="pct"/>
            <w:tcBorders>
              <w:top w:val="nil"/>
              <w:left w:val="nil"/>
              <w:bottom w:val="nil"/>
              <w:right w:val="nil"/>
            </w:tcBorders>
            <w:noWrap/>
            <w:vAlign w:val="center"/>
            <w:hideMark/>
          </w:tcPr>
          <w:p w14:paraId="38B8477E" w14:textId="77777777" w:rsidR="001D0EC6" w:rsidRPr="001D0EC6" w:rsidRDefault="001D0EC6">
            <w:pPr>
              <w:jc w:val="center"/>
              <w:rPr>
                <w:rFonts w:ascii="Arial" w:hAnsi="Arial" w:cs="Arial"/>
                <w:b/>
                <w:bCs/>
                <w:color w:val="000000"/>
                <w:sz w:val="15"/>
                <w:szCs w:val="15"/>
              </w:rPr>
            </w:pPr>
          </w:p>
        </w:tc>
        <w:tc>
          <w:tcPr>
            <w:tcW w:w="462" w:type="pct"/>
            <w:tcBorders>
              <w:top w:val="single" w:sz="4" w:space="0" w:color="auto"/>
              <w:left w:val="nil"/>
              <w:bottom w:val="single" w:sz="4" w:space="0" w:color="auto"/>
              <w:right w:val="nil"/>
            </w:tcBorders>
            <w:vAlign w:val="center"/>
            <w:hideMark/>
          </w:tcPr>
          <w:p w14:paraId="109B7861"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31/12/2025</w:t>
            </w:r>
          </w:p>
        </w:tc>
        <w:tc>
          <w:tcPr>
            <w:tcW w:w="36" w:type="pct"/>
            <w:tcBorders>
              <w:top w:val="nil"/>
              <w:left w:val="nil"/>
              <w:bottom w:val="nil"/>
              <w:right w:val="nil"/>
            </w:tcBorders>
            <w:noWrap/>
            <w:vAlign w:val="center"/>
            <w:hideMark/>
          </w:tcPr>
          <w:p w14:paraId="3765DF48" w14:textId="77777777" w:rsidR="001D0EC6" w:rsidRPr="001D0EC6" w:rsidRDefault="001D0EC6">
            <w:pPr>
              <w:jc w:val="center"/>
              <w:rPr>
                <w:rFonts w:ascii="Arial" w:hAnsi="Arial" w:cs="Arial"/>
                <w:b/>
                <w:bCs/>
                <w:color w:val="000000"/>
                <w:sz w:val="15"/>
                <w:szCs w:val="15"/>
              </w:rPr>
            </w:pPr>
          </w:p>
        </w:tc>
        <w:tc>
          <w:tcPr>
            <w:tcW w:w="1555" w:type="pct"/>
            <w:tcBorders>
              <w:top w:val="nil"/>
              <w:left w:val="nil"/>
              <w:bottom w:val="nil"/>
              <w:right w:val="nil"/>
            </w:tcBorders>
            <w:noWrap/>
            <w:vAlign w:val="center"/>
            <w:hideMark/>
          </w:tcPr>
          <w:p w14:paraId="5A338FEB"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Passivo</w:t>
            </w:r>
          </w:p>
        </w:tc>
        <w:tc>
          <w:tcPr>
            <w:tcW w:w="145" w:type="pct"/>
            <w:tcBorders>
              <w:top w:val="nil"/>
              <w:left w:val="nil"/>
              <w:bottom w:val="nil"/>
              <w:right w:val="nil"/>
            </w:tcBorders>
            <w:noWrap/>
            <w:vAlign w:val="center"/>
            <w:hideMark/>
          </w:tcPr>
          <w:p w14:paraId="0724FE25"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Nota</w:t>
            </w:r>
          </w:p>
        </w:tc>
        <w:tc>
          <w:tcPr>
            <w:tcW w:w="500" w:type="pct"/>
            <w:tcBorders>
              <w:top w:val="single" w:sz="4" w:space="0" w:color="auto"/>
              <w:left w:val="nil"/>
              <w:bottom w:val="single" w:sz="4" w:space="0" w:color="auto"/>
              <w:right w:val="nil"/>
            </w:tcBorders>
            <w:vAlign w:val="center"/>
            <w:hideMark/>
          </w:tcPr>
          <w:p w14:paraId="313687C4"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31/03/2026</w:t>
            </w:r>
          </w:p>
        </w:tc>
        <w:tc>
          <w:tcPr>
            <w:tcW w:w="36" w:type="pct"/>
            <w:tcBorders>
              <w:top w:val="nil"/>
              <w:left w:val="nil"/>
              <w:bottom w:val="nil"/>
              <w:right w:val="nil"/>
            </w:tcBorders>
            <w:noWrap/>
            <w:vAlign w:val="center"/>
            <w:hideMark/>
          </w:tcPr>
          <w:p w14:paraId="14033822" w14:textId="77777777" w:rsidR="001D0EC6" w:rsidRPr="001D0EC6" w:rsidRDefault="001D0EC6">
            <w:pPr>
              <w:jc w:val="center"/>
              <w:rPr>
                <w:rFonts w:ascii="Arial" w:hAnsi="Arial" w:cs="Arial"/>
                <w:b/>
                <w:bCs/>
                <w:color w:val="000000"/>
                <w:sz w:val="15"/>
                <w:szCs w:val="15"/>
              </w:rPr>
            </w:pPr>
          </w:p>
        </w:tc>
        <w:tc>
          <w:tcPr>
            <w:tcW w:w="500" w:type="pct"/>
            <w:tcBorders>
              <w:top w:val="single" w:sz="4" w:space="0" w:color="auto"/>
              <w:left w:val="nil"/>
              <w:bottom w:val="single" w:sz="4" w:space="0" w:color="auto"/>
              <w:right w:val="nil"/>
            </w:tcBorders>
            <w:vAlign w:val="center"/>
            <w:hideMark/>
          </w:tcPr>
          <w:p w14:paraId="5A8D203B" w14:textId="77777777" w:rsidR="001D0EC6" w:rsidRPr="001D0EC6" w:rsidRDefault="001D0EC6">
            <w:pPr>
              <w:jc w:val="center"/>
              <w:rPr>
                <w:rFonts w:ascii="Arial" w:hAnsi="Arial" w:cs="Arial"/>
                <w:b/>
                <w:bCs/>
                <w:color w:val="000000"/>
                <w:sz w:val="15"/>
                <w:szCs w:val="15"/>
              </w:rPr>
            </w:pPr>
            <w:r w:rsidRPr="001D0EC6">
              <w:rPr>
                <w:rFonts w:ascii="Arial" w:hAnsi="Arial" w:cs="Arial"/>
                <w:b/>
                <w:bCs/>
                <w:color w:val="000000"/>
                <w:sz w:val="15"/>
                <w:szCs w:val="15"/>
              </w:rPr>
              <w:t>31/12/2025</w:t>
            </w:r>
          </w:p>
        </w:tc>
        <w:tc>
          <w:tcPr>
            <w:tcW w:w="36" w:type="pct"/>
            <w:tcBorders>
              <w:top w:val="nil"/>
              <w:left w:val="nil"/>
              <w:bottom w:val="nil"/>
              <w:right w:val="nil"/>
            </w:tcBorders>
            <w:vAlign w:val="center"/>
            <w:hideMark/>
          </w:tcPr>
          <w:p w14:paraId="731A53E4" w14:textId="77777777" w:rsidR="001D0EC6" w:rsidRPr="001D0EC6" w:rsidRDefault="001D0EC6">
            <w:pPr>
              <w:jc w:val="center"/>
              <w:rPr>
                <w:rFonts w:ascii="Arial" w:hAnsi="Arial" w:cs="Arial"/>
                <w:b/>
                <w:bCs/>
                <w:color w:val="000000"/>
                <w:sz w:val="15"/>
                <w:szCs w:val="15"/>
              </w:rPr>
            </w:pPr>
          </w:p>
        </w:tc>
      </w:tr>
      <w:tr w:rsidR="001D0EC6" w:rsidRPr="001D0EC6" w14:paraId="37B4018C" w14:textId="77777777" w:rsidTr="001D0EC6">
        <w:trPr>
          <w:trHeight w:val="198"/>
        </w:trPr>
        <w:tc>
          <w:tcPr>
            <w:tcW w:w="1087" w:type="pct"/>
            <w:tcBorders>
              <w:top w:val="nil"/>
              <w:left w:val="nil"/>
              <w:bottom w:val="nil"/>
              <w:right w:val="nil"/>
            </w:tcBorders>
            <w:noWrap/>
            <w:vAlign w:val="center"/>
            <w:hideMark/>
          </w:tcPr>
          <w:p w14:paraId="38598515"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Circulante</w:t>
            </w:r>
          </w:p>
        </w:tc>
        <w:tc>
          <w:tcPr>
            <w:tcW w:w="145" w:type="pct"/>
            <w:tcBorders>
              <w:top w:val="nil"/>
              <w:left w:val="nil"/>
              <w:bottom w:val="nil"/>
              <w:right w:val="nil"/>
            </w:tcBorders>
            <w:noWrap/>
            <w:vAlign w:val="center"/>
            <w:hideMark/>
          </w:tcPr>
          <w:p w14:paraId="5D5358EF" w14:textId="77777777" w:rsidR="001D0EC6" w:rsidRPr="001D0EC6" w:rsidRDefault="001D0EC6">
            <w:pPr>
              <w:rPr>
                <w:rFonts w:ascii="Arial" w:hAnsi="Arial" w:cs="Arial"/>
                <w:b/>
                <w:bCs/>
                <w:color w:val="000000"/>
                <w:sz w:val="15"/>
                <w:szCs w:val="15"/>
              </w:rPr>
            </w:pPr>
          </w:p>
        </w:tc>
        <w:tc>
          <w:tcPr>
            <w:tcW w:w="462" w:type="pct"/>
            <w:tcBorders>
              <w:top w:val="nil"/>
              <w:left w:val="nil"/>
              <w:bottom w:val="nil"/>
              <w:right w:val="nil"/>
            </w:tcBorders>
            <w:noWrap/>
            <w:vAlign w:val="center"/>
            <w:hideMark/>
          </w:tcPr>
          <w:p w14:paraId="6187AEA6"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2D4410BD" w14:textId="77777777" w:rsidR="001D0EC6" w:rsidRPr="001D0EC6" w:rsidRDefault="001D0EC6">
            <w:pPr>
              <w:rPr>
                <w:sz w:val="15"/>
                <w:szCs w:val="15"/>
              </w:rPr>
            </w:pPr>
          </w:p>
        </w:tc>
        <w:tc>
          <w:tcPr>
            <w:tcW w:w="462" w:type="pct"/>
            <w:tcBorders>
              <w:top w:val="nil"/>
              <w:left w:val="nil"/>
              <w:bottom w:val="nil"/>
              <w:right w:val="nil"/>
            </w:tcBorders>
            <w:noWrap/>
            <w:vAlign w:val="center"/>
            <w:hideMark/>
          </w:tcPr>
          <w:p w14:paraId="2742F4DC"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4EB8595D" w14:textId="77777777" w:rsidR="001D0EC6" w:rsidRPr="001D0EC6" w:rsidRDefault="001D0EC6">
            <w:pPr>
              <w:rPr>
                <w:sz w:val="15"/>
                <w:szCs w:val="15"/>
              </w:rPr>
            </w:pPr>
          </w:p>
        </w:tc>
        <w:tc>
          <w:tcPr>
            <w:tcW w:w="1555" w:type="pct"/>
            <w:tcBorders>
              <w:top w:val="nil"/>
              <w:left w:val="nil"/>
              <w:bottom w:val="nil"/>
              <w:right w:val="nil"/>
            </w:tcBorders>
            <w:noWrap/>
            <w:vAlign w:val="center"/>
            <w:hideMark/>
          </w:tcPr>
          <w:p w14:paraId="11491C88"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Circulante</w:t>
            </w:r>
          </w:p>
        </w:tc>
        <w:tc>
          <w:tcPr>
            <w:tcW w:w="145" w:type="pct"/>
            <w:tcBorders>
              <w:top w:val="nil"/>
              <w:left w:val="nil"/>
              <w:bottom w:val="nil"/>
              <w:right w:val="nil"/>
            </w:tcBorders>
            <w:noWrap/>
            <w:vAlign w:val="center"/>
            <w:hideMark/>
          </w:tcPr>
          <w:p w14:paraId="3CD8356B" w14:textId="77777777" w:rsidR="001D0EC6" w:rsidRPr="001D0EC6" w:rsidRDefault="001D0EC6">
            <w:pPr>
              <w:rPr>
                <w:rFonts w:ascii="Arial" w:hAnsi="Arial" w:cs="Arial"/>
                <w:b/>
                <w:bCs/>
                <w:color w:val="000000"/>
                <w:sz w:val="15"/>
                <w:szCs w:val="15"/>
              </w:rPr>
            </w:pPr>
          </w:p>
        </w:tc>
        <w:tc>
          <w:tcPr>
            <w:tcW w:w="500" w:type="pct"/>
            <w:tcBorders>
              <w:top w:val="nil"/>
              <w:left w:val="nil"/>
              <w:bottom w:val="nil"/>
              <w:right w:val="nil"/>
            </w:tcBorders>
            <w:noWrap/>
            <w:vAlign w:val="center"/>
            <w:hideMark/>
          </w:tcPr>
          <w:p w14:paraId="4D86238F"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2E0F0F0D" w14:textId="77777777" w:rsidR="001D0EC6" w:rsidRPr="001D0EC6" w:rsidRDefault="001D0EC6">
            <w:pPr>
              <w:rPr>
                <w:sz w:val="15"/>
                <w:szCs w:val="15"/>
              </w:rPr>
            </w:pPr>
          </w:p>
        </w:tc>
        <w:tc>
          <w:tcPr>
            <w:tcW w:w="500" w:type="pct"/>
            <w:tcBorders>
              <w:top w:val="nil"/>
              <w:left w:val="nil"/>
              <w:bottom w:val="nil"/>
              <w:right w:val="nil"/>
            </w:tcBorders>
            <w:noWrap/>
            <w:vAlign w:val="center"/>
            <w:hideMark/>
          </w:tcPr>
          <w:p w14:paraId="12C120FE"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161B7DC1" w14:textId="77777777" w:rsidR="001D0EC6" w:rsidRPr="001D0EC6" w:rsidRDefault="001D0EC6">
            <w:pPr>
              <w:rPr>
                <w:sz w:val="15"/>
                <w:szCs w:val="15"/>
              </w:rPr>
            </w:pPr>
          </w:p>
        </w:tc>
      </w:tr>
      <w:tr w:rsidR="001D0EC6" w:rsidRPr="001D0EC6" w14:paraId="0AF92572" w14:textId="77777777" w:rsidTr="001D0EC6">
        <w:trPr>
          <w:trHeight w:val="198"/>
        </w:trPr>
        <w:tc>
          <w:tcPr>
            <w:tcW w:w="1087" w:type="pct"/>
            <w:tcBorders>
              <w:top w:val="nil"/>
              <w:left w:val="nil"/>
              <w:bottom w:val="nil"/>
              <w:right w:val="nil"/>
            </w:tcBorders>
            <w:noWrap/>
            <w:vAlign w:val="center"/>
            <w:hideMark/>
          </w:tcPr>
          <w:p w14:paraId="0FAC26B0"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Caixa e Equivalentes de Caixa</w:t>
            </w:r>
          </w:p>
        </w:tc>
        <w:tc>
          <w:tcPr>
            <w:tcW w:w="145" w:type="pct"/>
            <w:tcBorders>
              <w:top w:val="nil"/>
              <w:left w:val="nil"/>
              <w:bottom w:val="nil"/>
              <w:right w:val="nil"/>
            </w:tcBorders>
            <w:noWrap/>
            <w:vAlign w:val="center"/>
            <w:hideMark/>
          </w:tcPr>
          <w:p w14:paraId="5A54E4B5"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4</w:t>
            </w:r>
          </w:p>
        </w:tc>
        <w:tc>
          <w:tcPr>
            <w:tcW w:w="462" w:type="pct"/>
            <w:tcBorders>
              <w:top w:val="nil"/>
              <w:left w:val="nil"/>
              <w:bottom w:val="nil"/>
              <w:right w:val="nil"/>
            </w:tcBorders>
            <w:noWrap/>
            <w:vAlign w:val="center"/>
            <w:hideMark/>
          </w:tcPr>
          <w:p w14:paraId="05D6EB7E"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738.262 </w:t>
            </w:r>
          </w:p>
        </w:tc>
        <w:tc>
          <w:tcPr>
            <w:tcW w:w="36" w:type="pct"/>
            <w:tcBorders>
              <w:top w:val="nil"/>
              <w:left w:val="nil"/>
              <w:bottom w:val="nil"/>
              <w:right w:val="nil"/>
            </w:tcBorders>
            <w:noWrap/>
            <w:vAlign w:val="center"/>
            <w:hideMark/>
          </w:tcPr>
          <w:p w14:paraId="2114FE4B"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3D6C3B98"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698.514 </w:t>
            </w:r>
          </w:p>
        </w:tc>
        <w:tc>
          <w:tcPr>
            <w:tcW w:w="36" w:type="pct"/>
            <w:tcBorders>
              <w:top w:val="nil"/>
              <w:left w:val="nil"/>
              <w:bottom w:val="nil"/>
              <w:right w:val="nil"/>
            </w:tcBorders>
            <w:noWrap/>
            <w:vAlign w:val="center"/>
            <w:hideMark/>
          </w:tcPr>
          <w:p w14:paraId="7C370078"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center"/>
            <w:hideMark/>
          </w:tcPr>
          <w:p w14:paraId="6519FC05"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Pessoal, Encargos e Benefícios Sociais</w:t>
            </w:r>
          </w:p>
        </w:tc>
        <w:tc>
          <w:tcPr>
            <w:tcW w:w="145" w:type="pct"/>
            <w:tcBorders>
              <w:top w:val="nil"/>
              <w:left w:val="nil"/>
              <w:bottom w:val="nil"/>
              <w:right w:val="nil"/>
            </w:tcBorders>
            <w:noWrap/>
            <w:vAlign w:val="center"/>
            <w:hideMark/>
          </w:tcPr>
          <w:p w14:paraId="30E6328B"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14</w:t>
            </w:r>
          </w:p>
        </w:tc>
        <w:tc>
          <w:tcPr>
            <w:tcW w:w="500" w:type="pct"/>
            <w:tcBorders>
              <w:top w:val="nil"/>
              <w:left w:val="nil"/>
              <w:bottom w:val="nil"/>
              <w:right w:val="nil"/>
            </w:tcBorders>
            <w:noWrap/>
            <w:vAlign w:val="center"/>
            <w:hideMark/>
          </w:tcPr>
          <w:p w14:paraId="0A2DD976"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23.215 </w:t>
            </w:r>
          </w:p>
        </w:tc>
        <w:tc>
          <w:tcPr>
            <w:tcW w:w="36" w:type="pct"/>
            <w:tcBorders>
              <w:top w:val="nil"/>
              <w:left w:val="nil"/>
              <w:bottom w:val="nil"/>
              <w:right w:val="nil"/>
            </w:tcBorders>
            <w:noWrap/>
            <w:vAlign w:val="center"/>
            <w:hideMark/>
          </w:tcPr>
          <w:p w14:paraId="1BFC4AFA"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38D51AC2"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21.583 </w:t>
            </w:r>
          </w:p>
        </w:tc>
        <w:tc>
          <w:tcPr>
            <w:tcW w:w="36" w:type="pct"/>
            <w:tcBorders>
              <w:top w:val="nil"/>
              <w:left w:val="nil"/>
              <w:bottom w:val="nil"/>
              <w:right w:val="nil"/>
            </w:tcBorders>
            <w:noWrap/>
            <w:vAlign w:val="center"/>
            <w:hideMark/>
          </w:tcPr>
          <w:p w14:paraId="62705852" w14:textId="77777777" w:rsidR="001D0EC6" w:rsidRPr="001D0EC6" w:rsidRDefault="001D0EC6">
            <w:pPr>
              <w:jc w:val="right"/>
              <w:rPr>
                <w:rFonts w:ascii="Arial" w:hAnsi="Arial" w:cs="Arial"/>
                <w:color w:val="000000"/>
                <w:sz w:val="15"/>
                <w:szCs w:val="15"/>
              </w:rPr>
            </w:pPr>
          </w:p>
        </w:tc>
      </w:tr>
      <w:tr w:rsidR="001D0EC6" w:rsidRPr="001D0EC6" w14:paraId="45BF4480" w14:textId="77777777" w:rsidTr="001D0EC6">
        <w:trPr>
          <w:trHeight w:val="198"/>
        </w:trPr>
        <w:tc>
          <w:tcPr>
            <w:tcW w:w="1087" w:type="pct"/>
            <w:tcBorders>
              <w:top w:val="nil"/>
              <w:left w:val="nil"/>
              <w:bottom w:val="nil"/>
              <w:right w:val="nil"/>
            </w:tcBorders>
            <w:noWrap/>
            <w:vAlign w:val="center"/>
            <w:hideMark/>
          </w:tcPr>
          <w:p w14:paraId="131E5039"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Contas a Receber de Clientes</w:t>
            </w:r>
          </w:p>
        </w:tc>
        <w:tc>
          <w:tcPr>
            <w:tcW w:w="145" w:type="pct"/>
            <w:tcBorders>
              <w:top w:val="nil"/>
              <w:left w:val="nil"/>
              <w:bottom w:val="nil"/>
              <w:right w:val="nil"/>
            </w:tcBorders>
            <w:noWrap/>
            <w:vAlign w:val="center"/>
            <w:hideMark/>
          </w:tcPr>
          <w:p w14:paraId="0CF84AF7"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5</w:t>
            </w:r>
          </w:p>
        </w:tc>
        <w:tc>
          <w:tcPr>
            <w:tcW w:w="462" w:type="pct"/>
            <w:tcBorders>
              <w:top w:val="nil"/>
              <w:left w:val="nil"/>
              <w:bottom w:val="nil"/>
              <w:right w:val="nil"/>
            </w:tcBorders>
            <w:noWrap/>
            <w:vAlign w:val="center"/>
            <w:hideMark/>
          </w:tcPr>
          <w:p w14:paraId="2C60984F"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512.402 </w:t>
            </w:r>
          </w:p>
        </w:tc>
        <w:tc>
          <w:tcPr>
            <w:tcW w:w="36" w:type="pct"/>
            <w:tcBorders>
              <w:top w:val="nil"/>
              <w:left w:val="nil"/>
              <w:bottom w:val="nil"/>
              <w:right w:val="nil"/>
            </w:tcBorders>
            <w:noWrap/>
            <w:vAlign w:val="center"/>
            <w:hideMark/>
          </w:tcPr>
          <w:p w14:paraId="10BFD97B"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2B0701CD"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448.342 </w:t>
            </w:r>
          </w:p>
        </w:tc>
        <w:tc>
          <w:tcPr>
            <w:tcW w:w="36" w:type="pct"/>
            <w:tcBorders>
              <w:top w:val="nil"/>
              <w:left w:val="nil"/>
              <w:bottom w:val="nil"/>
              <w:right w:val="nil"/>
            </w:tcBorders>
            <w:noWrap/>
            <w:vAlign w:val="center"/>
            <w:hideMark/>
          </w:tcPr>
          <w:p w14:paraId="46DCDF34"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center"/>
            <w:hideMark/>
          </w:tcPr>
          <w:p w14:paraId="226B9D8B"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Fornecedores</w:t>
            </w:r>
          </w:p>
        </w:tc>
        <w:tc>
          <w:tcPr>
            <w:tcW w:w="145" w:type="pct"/>
            <w:tcBorders>
              <w:top w:val="nil"/>
              <w:left w:val="nil"/>
              <w:bottom w:val="nil"/>
              <w:right w:val="nil"/>
            </w:tcBorders>
            <w:noWrap/>
            <w:vAlign w:val="center"/>
            <w:hideMark/>
          </w:tcPr>
          <w:p w14:paraId="15879432"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17</w:t>
            </w:r>
          </w:p>
        </w:tc>
        <w:tc>
          <w:tcPr>
            <w:tcW w:w="500" w:type="pct"/>
            <w:tcBorders>
              <w:top w:val="nil"/>
              <w:left w:val="nil"/>
              <w:bottom w:val="nil"/>
              <w:right w:val="nil"/>
            </w:tcBorders>
            <w:noWrap/>
            <w:vAlign w:val="center"/>
            <w:hideMark/>
          </w:tcPr>
          <w:p w14:paraId="0D4D0C92"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167.394 </w:t>
            </w:r>
          </w:p>
        </w:tc>
        <w:tc>
          <w:tcPr>
            <w:tcW w:w="36" w:type="pct"/>
            <w:tcBorders>
              <w:top w:val="nil"/>
              <w:left w:val="nil"/>
              <w:bottom w:val="nil"/>
              <w:right w:val="nil"/>
            </w:tcBorders>
            <w:noWrap/>
            <w:vAlign w:val="center"/>
            <w:hideMark/>
          </w:tcPr>
          <w:p w14:paraId="5FE7FEAD"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6222112E"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151.794 </w:t>
            </w:r>
          </w:p>
        </w:tc>
        <w:tc>
          <w:tcPr>
            <w:tcW w:w="36" w:type="pct"/>
            <w:tcBorders>
              <w:top w:val="nil"/>
              <w:left w:val="nil"/>
              <w:bottom w:val="nil"/>
              <w:right w:val="nil"/>
            </w:tcBorders>
            <w:noWrap/>
            <w:vAlign w:val="center"/>
            <w:hideMark/>
          </w:tcPr>
          <w:p w14:paraId="4FFA05D9" w14:textId="77777777" w:rsidR="001D0EC6" w:rsidRPr="001D0EC6" w:rsidRDefault="001D0EC6">
            <w:pPr>
              <w:jc w:val="right"/>
              <w:rPr>
                <w:rFonts w:ascii="Arial" w:hAnsi="Arial" w:cs="Arial"/>
                <w:color w:val="000000"/>
                <w:sz w:val="15"/>
                <w:szCs w:val="15"/>
              </w:rPr>
            </w:pPr>
          </w:p>
        </w:tc>
      </w:tr>
      <w:tr w:rsidR="001D0EC6" w:rsidRPr="001D0EC6" w14:paraId="512C7D6E" w14:textId="77777777" w:rsidTr="001D0EC6">
        <w:trPr>
          <w:trHeight w:val="198"/>
        </w:trPr>
        <w:tc>
          <w:tcPr>
            <w:tcW w:w="1087" w:type="pct"/>
            <w:tcBorders>
              <w:top w:val="nil"/>
              <w:left w:val="nil"/>
              <w:bottom w:val="nil"/>
              <w:right w:val="nil"/>
            </w:tcBorders>
            <w:noWrap/>
            <w:vAlign w:val="center"/>
            <w:hideMark/>
          </w:tcPr>
          <w:p w14:paraId="55B3C734"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Tributos a Compensar/Recuperar</w:t>
            </w:r>
          </w:p>
        </w:tc>
        <w:tc>
          <w:tcPr>
            <w:tcW w:w="145" w:type="pct"/>
            <w:tcBorders>
              <w:top w:val="nil"/>
              <w:left w:val="nil"/>
              <w:bottom w:val="nil"/>
              <w:right w:val="nil"/>
            </w:tcBorders>
            <w:noWrap/>
            <w:vAlign w:val="center"/>
            <w:hideMark/>
          </w:tcPr>
          <w:p w14:paraId="6CEDF486"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6</w:t>
            </w:r>
          </w:p>
        </w:tc>
        <w:tc>
          <w:tcPr>
            <w:tcW w:w="462" w:type="pct"/>
            <w:tcBorders>
              <w:top w:val="nil"/>
              <w:left w:val="nil"/>
              <w:bottom w:val="nil"/>
              <w:right w:val="nil"/>
            </w:tcBorders>
            <w:noWrap/>
            <w:vAlign w:val="center"/>
            <w:hideMark/>
          </w:tcPr>
          <w:p w14:paraId="7FCAA253"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164.162 </w:t>
            </w:r>
          </w:p>
        </w:tc>
        <w:tc>
          <w:tcPr>
            <w:tcW w:w="36" w:type="pct"/>
            <w:tcBorders>
              <w:top w:val="nil"/>
              <w:left w:val="nil"/>
              <w:bottom w:val="nil"/>
              <w:right w:val="nil"/>
            </w:tcBorders>
            <w:noWrap/>
            <w:vAlign w:val="bottom"/>
            <w:hideMark/>
          </w:tcPr>
          <w:p w14:paraId="1BC24EDA"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0857CF0D"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204.516 </w:t>
            </w:r>
          </w:p>
        </w:tc>
        <w:tc>
          <w:tcPr>
            <w:tcW w:w="36" w:type="pct"/>
            <w:tcBorders>
              <w:top w:val="nil"/>
              <w:left w:val="nil"/>
              <w:bottom w:val="nil"/>
              <w:right w:val="nil"/>
            </w:tcBorders>
            <w:noWrap/>
            <w:vAlign w:val="center"/>
            <w:hideMark/>
          </w:tcPr>
          <w:p w14:paraId="2BAECEA3"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bottom"/>
            <w:hideMark/>
          </w:tcPr>
          <w:p w14:paraId="6C39FD6F"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Receitas Diferidas</w:t>
            </w:r>
          </w:p>
        </w:tc>
        <w:tc>
          <w:tcPr>
            <w:tcW w:w="145" w:type="pct"/>
            <w:tcBorders>
              <w:top w:val="nil"/>
              <w:left w:val="nil"/>
              <w:bottom w:val="nil"/>
              <w:right w:val="nil"/>
            </w:tcBorders>
            <w:noWrap/>
            <w:vAlign w:val="center"/>
            <w:hideMark/>
          </w:tcPr>
          <w:p w14:paraId="07BC6A56"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23</w:t>
            </w:r>
          </w:p>
        </w:tc>
        <w:tc>
          <w:tcPr>
            <w:tcW w:w="500" w:type="pct"/>
            <w:tcBorders>
              <w:top w:val="nil"/>
              <w:left w:val="nil"/>
              <w:bottom w:val="nil"/>
              <w:right w:val="nil"/>
            </w:tcBorders>
            <w:noWrap/>
            <w:vAlign w:val="center"/>
            <w:hideMark/>
          </w:tcPr>
          <w:p w14:paraId="62482501"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44.406 </w:t>
            </w:r>
          </w:p>
        </w:tc>
        <w:tc>
          <w:tcPr>
            <w:tcW w:w="36" w:type="pct"/>
            <w:tcBorders>
              <w:top w:val="nil"/>
              <w:left w:val="nil"/>
              <w:bottom w:val="nil"/>
              <w:right w:val="nil"/>
            </w:tcBorders>
            <w:noWrap/>
            <w:vAlign w:val="bottom"/>
            <w:hideMark/>
          </w:tcPr>
          <w:p w14:paraId="04C0874F"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6913A369"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44.406 </w:t>
            </w:r>
          </w:p>
        </w:tc>
        <w:tc>
          <w:tcPr>
            <w:tcW w:w="36" w:type="pct"/>
            <w:tcBorders>
              <w:top w:val="nil"/>
              <w:left w:val="nil"/>
              <w:bottom w:val="nil"/>
              <w:right w:val="nil"/>
            </w:tcBorders>
            <w:noWrap/>
            <w:vAlign w:val="center"/>
            <w:hideMark/>
          </w:tcPr>
          <w:p w14:paraId="3170D873" w14:textId="77777777" w:rsidR="001D0EC6" w:rsidRPr="001D0EC6" w:rsidRDefault="001D0EC6">
            <w:pPr>
              <w:jc w:val="right"/>
              <w:rPr>
                <w:rFonts w:ascii="Arial" w:hAnsi="Arial" w:cs="Arial"/>
                <w:color w:val="000000"/>
                <w:sz w:val="15"/>
                <w:szCs w:val="15"/>
              </w:rPr>
            </w:pPr>
          </w:p>
        </w:tc>
      </w:tr>
      <w:tr w:rsidR="001D0EC6" w:rsidRPr="001D0EC6" w14:paraId="2CB615DA" w14:textId="77777777" w:rsidTr="001D0EC6">
        <w:trPr>
          <w:trHeight w:val="198"/>
        </w:trPr>
        <w:tc>
          <w:tcPr>
            <w:tcW w:w="1087" w:type="pct"/>
            <w:tcBorders>
              <w:top w:val="nil"/>
              <w:left w:val="nil"/>
              <w:bottom w:val="nil"/>
              <w:right w:val="nil"/>
            </w:tcBorders>
            <w:noWrap/>
            <w:vAlign w:val="center"/>
            <w:hideMark/>
          </w:tcPr>
          <w:p w14:paraId="32D4D401"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Depósitos Judiciais</w:t>
            </w:r>
          </w:p>
        </w:tc>
        <w:tc>
          <w:tcPr>
            <w:tcW w:w="145" w:type="pct"/>
            <w:tcBorders>
              <w:top w:val="nil"/>
              <w:left w:val="nil"/>
              <w:bottom w:val="nil"/>
              <w:right w:val="nil"/>
            </w:tcBorders>
            <w:noWrap/>
            <w:vAlign w:val="center"/>
            <w:hideMark/>
          </w:tcPr>
          <w:p w14:paraId="29D60B8C"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7</w:t>
            </w:r>
          </w:p>
        </w:tc>
        <w:tc>
          <w:tcPr>
            <w:tcW w:w="462" w:type="pct"/>
            <w:tcBorders>
              <w:top w:val="nil"/>
              <w:left w:val="nil"/>
              <w:bottom w:val="nil"/>
              <w:right w:val="nil"/>
            </w:tcBorders>
            <w:noWrap/>
            <w:vAlign w:val="center"/>
            <w:hideMark/>
          </w:tcPr>
          <w:p w14:paraId="1385C3E4"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7.455 </w:t>
            </w:r>
          </w:p>
        </w:tc>
        <w:tc>
          <w:tcPr>
            <w:tcW w:w="36" w:type="pct"/>
            <w:tcBorders>
              <w:top w:val="nil"/>
              <w:left w:val="nil"/>
              <w:bottom w:val="nil"/>
              <w:right w:val="nil"/>
            </w:tcBorders>
            <w:noWrap/>
            <w:vAlign w:val="center"/>
            <w:hideMark/>
          </w:tcPr>
          <w:p w14:paraId="0DB8C6FE"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04B6A47E"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7.311 </w:t>
            </w:r>
          </w:p>
        </w:tc>
        <w:tc>
          <w:tcPr>
            <w:tcW w:w="36" w:type="pct"/>
            <w:tcBorders>
              <w:top w:val="nil"/>
              <w:left w:val="nil"/>
              <w:bottom w:val="nil"/>
              <w:right w:val="nil"/>
            </w:tcBorders>
            <w:noWrap/>
            <w:vAlign w:val="center"/>
            <w:hideMark/>
          </w:tcPr>
          <w:p w14:paraId="6DD11B4F"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bottom"/>
            <w:hideMark/>
          </w:tcPr>
          <w:p w14:paraId="0A11A5FB"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Tributos Diretos</w:t>
            </w:r>
          </w:p>
        </w:tc>
        <w:tc>
          <w:tcPr>
            <w:tcW w:w="145" w:type="pct"/>
            <w:tcBorders>
              <w:top w:val="nil"/>
              <w:left w:val="nil"/>
              <w:bottom w:val="nil"/>
              <w:right w:val="nil"/>
            </w:tcBorders>
            <w:noWrap/>
            <w:vAlign w:val="center"/>
            <w:hideMark/>
          </w:tcPr>
          <w:p w14:paraId="62194075"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18</w:t>
            </w:r>
          </w:p>
        </w:tc>
        <w:tc>
          <w:tcPr>
            <w:tcW w:w="500" w:type="pct"/>
            <w:tcBorders>
              <w:top w:val="nil"/>
              <w:left w:val="nil"/>
              <w:bottom w:val="nil"/>
              <w:right w:val="nil"/>
            </w:tcBorders>
            <w:noWrap/>
            <w:vAlign w:val="center"/>
            <w:hideMark/>
          </w:tcPr>
          <w:p w14:paraId="7DCAC422"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   </w:t>
            </w:r>
          </w:p>
        </w:tc>
        <w:tc>
          <w:tcPr>
            <w:tcW w:w="36" w:type="pct"/>
            <w:tcBorders>
              <w:top w:val="nil"/>
              <w:left w:val="nil"/>
              <w:bottom w:val="nil"/>
              <w:right w:val="nil"/>
            </w:tcBorders>
            <w:noWrap/>
            <w:vAlign w:val="bottom"/>
            <w:hideMark/>
          </w:tcPr>
          <w:p w14:paraId="66D34150"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517D88BB"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41.932 </w:t>
            </w:r>
          </w:p>
        </w:tc>
        <w:tc>
          <w:tcPr>
            <w:tcW w:w="36" w:type="pct"/>
            <w:tcBorders>
              <w:top w:val="nil"/>
              <w:left w:val="nil"/>
              <w:bottom w:val="nil"/>
              <w:right w:val="nil"/>
            </w:tcBorders>
            <w:noWrap/>
            <w:vAlign w:val="center"/>
            <w:hideMark/>
          </w:tcPr>
          <w:p w14:paraId="57F352A3" w14:textId="77777777" w:rsidR="001D0EC6" w:rsidRPr="001D0EC6" w:rsidRDefault="001D0EC6">
            <w:pPr>
              <w:jc w:val="right"/>
              <w:rPr>
                <w:rFonts w:ascii="Arial" w:hAnsi="Arial" w:cs="Arial"/>
                <w:color w:val="000000"/>
                <w:sz w:val="15"/>
                <w:szCs w:val="15"/>
              </w:rPr>
            </w:pPr>
          </w:p>
        </w:tc>
      </w:tr>
      <w:tr w:rsidR="001D0EC6" w:rsidRPr="001D0EC6" w14:paraId="60242B3A" w14:textId="77777777" w:rsidTr="001D0EC6">
        <w:trPr>
          <w:trHeight w:val="198"/>
        </w:trPr>
        <w:tc>
          <w:tcPr>
            <w:tcW w:w="1087" w:type="pct"/>
            <w:tcBorders>
              <w:top w:val="nil"/>
              <w:left w:val="nil"/>
              <w:bottom w:val="nil"/>
              <w:right w:val="nil"/>
            </w:tcBorders>
            <w:noWrap/>
            <w:vAlign w:val="center"/>
            <w:hideMark/>
          </w:tcPr>
          <w:p w14:paraId="60710F7B"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Aplicações Financeiras</w:t>
            </w:r>
          </w:p>
        </w:tc>
        <w:tc>
          <w:tcPr>
            <w:tcW w:w="145" w:type="pct"/>
            <w:tcBorders>
              <w:top w:val="nil"/>
              <w:left w:val="nil"/>
              <w:bottom w:val="nil"/>
              <w:right w:val="nil"/>
            </w:tcBorders>
            <w:noWrap/>
            <w:vAlign w:val="center"/>
            <w:hideMark/>
          </w:tcPr>
          <w:p w14:paraId="6C6BBFDE"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10</w:t>
            </w:r>
          </w:p>
        </w:tc>
        <w:tc>
          <w:tcPr>
            <w:tcW w:w="462" w:type="pct"/>
            <w:tcBorders>
              <w:top w:val="nil"/>
              <w:left w:val="nil"/>
              <w:bottom w:val="nil"/>
              <w:right w:val="nil"/>
            </w:tcBorders>
            <w:noWrap/>
            <w:vAlign w:val="center"/>
            <w:hideMark/>
          </w:tcPr>
          <w:p w14:paraId="7CAC8DD9"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822.352 </w:t>
            </w:r>
          </w:p>
        </w:tc>
        <w:tc>
          <w:tcPr>
            <w:tcW w:w="36" w:type="pct"/>
            <w:tcBorders>
              <w:top w:val="nil"/>
              <w:left w:val="nil"/>
              <w:bottom w:val="nil"/>
              <w:right w:val="nil"/>
            </w:tcBorders>
            <w:noWrap/>
            <w:vAlign w:val="bottom"/>
            <w:hideMark/>
          </w:tcPr>
          <w:p w14:paraId="02CAB4BF"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3584C10E"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822.352 </w:t>
            </w:r>
          </w:p>
        </w:tc>
        <w:tc>
          <w:tcPr>
            <w:tcW w:w="36" w:type="pct"/>
            <w:tcBorders>
              <w:top w:val="nil"/>
              <w:left w:val="nil"/>
              <w:bottom w:val="nil"/>
              <w:right w:val="nil"/>
            </w:tcBorders>
            <w:noWrap/>
            <w:vAlign w:val="center"/>
            <w:hideMark/>
          </w:tcPr>
          <w:p w14:paraId="40EEFC5F"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center"/>
            <w:hideMark/>
          </w:tcPr>
          <w:p w14:paraId="2B54A187"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Tributos Indiretos</w:t>
            </w:r>
          </w:p>
        </w:tc>
        <w:tc>
          <w:tcPr>
            <w:tcW w:w="145" w:type="pct"/>
            <w:tcBorders>
              <w:top w:val="nil"/>
              <w:left w:val="nil"/>
              <w:bottom w:val="nil"/>
              <w:right w:val="nil"/>
            </w:tcBorders>
            <w:noWrap/>
            <w:vAlign w:val="center"/>
            <w:hideMark/>
          </w:tcPr>
          <w:p w14:paraId="68C589CA"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19</w:t>
            </w:r>
          </w:p>
        </w:tc>
        <w:tc>
          <w:tcPr>
            <w:tcW w:w="500" w:type="pct"/>
            <w:tcBorders>
              <w:top w:val="nil"/>
              <w:left w:val="nil"/>
              <w:bottom w:val="nil"/>
              <w:right w:val="nil"/>
            </w:tcBorders>
            <w:noWrap/>
            <w:vAlign w:val="center"/>
            <w:hideMark/>
          </w:tcPr>
          <w:p w14:paraId="7D43EABD"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3.893 </w:t>
            </w:r>
          </w:p>
        </w:tc>
        <w:tc>
          <w:tcPr>
            <w:tcW w:w="36" w:type="pct"/>
            <w:tcBorders>
              <w:top w:val="nil"/>
              <w:left w:val="nil"/>
              <w:bottom w:val="nil"/>
              <w:right w:val="nil"/>
            </w:tcBorders>
            <w:noWrap/>
            <w:vAlign w:val="center"/>
            <w:hideMark/>
          </w:tcPr>
          <w:p w14:paraId="31914521"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2D15CF31"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16.844 </w:t>
            </w:r>
          </w:p>
        </w:tc>
        <w:tc>
          <w:tcPr>
            <w:tcW w:w="36" w:type="pct"/>
            <w:tcBorders>
              <w:top w:val="nil"/>
              <w:left w:val="nil"/>
              <w:bottom w:val="nil"/>
              <w:right w:val="nil"/>
            </w:tcBorders>
            <w:noWrap/>
            <w:vAlign w:val="bottom"/>
            <w:hideMark/>
          </w:tcPr>
          <w:p w14:paraId="38BA5A3A" w14:textId="77777777" w:rsidR="001D0EC6" w:rsidRPr="001D0EC6" w:rsidRDefault="001D0EC6">
            <w:pPr>
              <w:jc w:val="right"/>
              <w:rPr>
                <w:rFonts w:ascii="Arial" w:hAnsi="Arial" w:cs="Arial"/>
                <w:color w:val="000000"/>
                <w:sz w:val="15"/>
                <w:szCs w:val="15"/>
              </w:rPr>
            </w:pPr>
          </w:p>
        </w:tc>
      </w:tr>
      <w:tr w:rsidR="001D0EC6" w:rsidRPr="001D0EC6" w14:paraId="5F365B4E" w14:textId="77777777" w:rsidTr="001D0EC6">
        <w:trPr>
          <w:trHeight w:val="198"/>
        </w:trPr>
        <w:tc>
          <w:tcPr>
            <w:tcW w:w="1087" w:type="pct"/>
            <w:tcBorders>
              <w:top w:val="nil"/>
              <w:left w:val="nil"/>
              <w:bottom w:val="nil"/>
              <w:right w:val="nil"/>
            </w:tcBorders>
            <w:noWrap/>
            <w:vAlign w:val="bottom"/>
            <w:hideMark/>
          </w:tcPr>
          <w:p w14:paraId="669B26D6"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Superávit - Previdência Privada</w:t>
            </w:r>
          </w:p>
        </w:tc>
        <w:tc>
          <w:tcPr>
            <w:tcW w:w="145" w:type="pct"/>
            <w:tcBorders>
              <w:top w:val="nil"/>
              <w:left w:val="nil"/>
              <w:bottom w:val="nil"/>
              <w:right w:val="nil"/>
            </w:tcBorders>
            <w:noWrap/>
            <w:vAlign w:val="center"/>
            <w:hideMark/>
          </w:tcPr>
          <w:p w14:paraId="692DC69E"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8</w:t>
            </w:r>
          </w:p>
        </w:tc>
        <w:tc>
          <w:tcPr>
            <w:tcW w:w="462" w:type="pct"/>
            <w:tcBorders>
              <w:top w:val="nil"/>
              <w:left w:val="nil"/>
              <w:bottom w:val="nil"/>
              <w:right w:val="nil"/>
            </w:tcBorders>
            <w:noWrap/>
            <w:vAlign w:val="center"/>
            <w:hideMark/>
          </w:tcPr>
          <w:p w14:paraId="1C29844D"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140.043 </w:t>
            </w:r>
          </w:p>
        </w:tc>
        <w:tc>
          <w:tcPr>
            <w:tcW w:w="36" w:type="pct"/>
            <w:tcBorders>
              <w:top w:val="nil"/>
              <w:left w:val="nil"/>
              <w:bottom w:val="nil"/>
              <w:right w:val="nil"/>
            </w:tcBorders>
            <w:noWrap/>
            <w:vAlign w:val="bottom"/>
            <w:hideMark/>
          </w:tcPr>
          <w:p w14:paraId="7FC53CD5"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4CBBC6CB"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103.565 </w:t>
            </w:r>
          </w:p>
        </w:tc>
        <w:tc>
          <w:tcPr>
            <w:tcW w:w="36" w:type="pct"/>
            <w:tcBorders>
              <w:top w:val="nil"/>
              <w:left w:val="nil"/>
              <w:bottom w:val="nil"/>
              <w:right w:val="nil"/>
            </w:tcBorders>
            <w:noWrap/>
            <w:vAlign w:val="center"/>
            <w:hideMark/>
          </w:tcPr>
          <w:p w14:paraId="5AC626B2"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bottom"/>
            <w:hideMark/>
          </w:tcPr>
          <w:p w14:paraId="7EC76968"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Operações de Arrendamento Mercantil Financeiro</w:t>
            </w:r>
          </w:p>
        </w:tc>
        <w:tc>
          <w:tcPr>
            <w:tcW w:w="145" w:type="pct"/>
            <w:tcBorders>
              <w:top w:val="nil"/>
              <w:left w:val="nil"/>
              <w:bottom w:val="nil"/>
              <w:right w:val="nil"/>
            </w:tcBorders>
            <w:noWrap/>
            <w:vAlign w:val="center"/>
            <w:hideMark/>
          </w:tcPr>
          <w:p w14:paraId="4323A674"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22</w:t>
            </w:r>
          </w:p>
        </w:tc>
        <w:tc>
          <w:tcPr>
            <w:tcW w:w="500" w:type="pct"/>
            <w:tcBorders>
              <w:top w:val="nil"/>
              <w:left w:val="nil"/>
              <w:bottom w:val="nil"/>
              <w:right w:val="nil"/>
            </w:tcBorders>
            <w:noWrap/>
            <w:vAlign w:val="center"/>
            <w:hideMark/>
          </w:tcPr>
          <w:p w14:paraId="49B58ABB"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5.250 </w:t>
            </w:r>
          </w:p>
        </w:tc>
        <w:tc>
          <w:tcPr>
            <w:tcW w:w="36" w:type="pct"/>
            <w:tcBorders>
              <w:top w:val="nil"/>
              <w:left w:val="nil"/>
              <w:bottom w:val="nil"/>
              <w:right w:val="nil"/>
            </w:tcBorders>
            <w:noWrap/>
            <w:vAlign w:val="bottom"/>
            <w:hideMark/>
          </w:tcPr>
          <w:p w14:paraId="5497F290"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644154DA"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5.093 </w:t>
            </w:r>
          </w:p>
        </w:tc>
        <w:tc>
          <w:tcPr>
            <w:tcW w:w="36" w:type="pct"/>
            <w:tcBorders>
              <w:top w:val="nil"/>
              <w:left w:val="nil"/>
              <w:bottom w:val="nil"/>
              <w:right w:val="nil"/>
            </w:tcBorders>
            <w:noWrap/>
            <w:vAlign w:val="bottom"/>
            <w:hideMark/>
          </w:tcPr>
          <w:p w14:paraId="39612788" w14:textId="77777777" w:rsidR="001D0EC6" w:rsidRPr="001D0EC6" w:rsidRDefault="001D0EC6">
            <w:pPr>
              <w:jc w:val="right"/>
              <w:rPr>
                <w:rFonts w:ascii="Arial" w:hAnsi="Arial" w:cs="Arial"/>
                <w:color w:val="000000"/>
                <w:sz w:val="15"/>
                <w:szCs w:val="15"/>
              </w:rPr>
            </w:pPr>
          </w:p>
        </w:tc>
      </w:tr>
      <w:tr w:rsidR="001D0EC6" w:rsidRPr="001D0EC6" w14:paraId="7300DDBE" w14:textId="77777777" w:rsidTr="001D0EC6">
        <w:trPr>
          <w:trHeight w:val="198"/>
        </w:trPr>
        <w:tc>
          <w:tcPr>
            <w:tcW w:w="1087" w:type="pct"/>
            <w:tcBorders>
              <w:top w:val="nil"/>
              <w:left w:val="nil"/>
              <w:bottom w:val="nil"/>
              <w:right w:val="nil"/>
            </w:tcBorders>
            <w:noWrap/>
            <w:vAlign w:val="bottom"/>
            <w:hideMark/>
          </w:tcPr>
          <w:p w14:paraId="4359A371"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Valores a Receber de Colaboradores Cedidos</w:t>
            </w:r>
          </w:p>
        </w:tc>
        <w:tc>
          <w:tcPr>
            <w:tcW w:w="145" w:type="pct"/>
            <w:tcBorders>
              <w:top w:val="nil"/>
              <w:left w:val="nil"/>
              <w:bottom w:val="nil"/>
              <w:right w:val="nil"/>
            </w:tcBorders>
            <w:noWrap/>
            <w:vAlign w:val="center"/>
            <w:hideMark/>
          </w:tcPr>
          <w:p w14:paraId="60DFF34D"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9.1</w:t>
            </w:r>
          </w:p>
        </w:tc>
        <w:tc>
          <w:tcPr>
            <w:tcW w:w="462" w:type="pct"/>
            <w:tcBorders>
              <w:top w:val="nil"/>
              <w:left w:val="nil"/>
              <w:bottom w:val="nil"/>
              <w:right w:val="nil"/>
            </w:tcBorders>
            <w:noWrap/>
            <w:vAlign w:val="center"/>
            <w:hideMark/>
          </w:tcPr>
          <w:p w14:paraId="0A85B53B"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1.945 </w:t>
            </w:r>
          </w:p>
        </w:tc>
        <w:tc>
          <w:tcPr>
            <w:tcW w:w="36" w:type="pct"/>
            <w:tcBorders>
              <w:top w:val="nil"/>
              <w:left w:val="nil"/>
              <w:bottom w:val="nil"/>
              <w:right w:val="nil"/>
            </w:tcBorders>
            <w:noWrap/>
            <w:vAlign w:val="bottom"/>
            <w:hideMark/>
          </w:tcPr>
          <w:p w14:paraId="46864D42"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294EB8FD"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1.945 </w:t>
            </w:r>
          </w:p>
        </w:tc>
        <w:tc>
          <w:tcPr>
            <w:tcW w:w="36" w:type="pct"/>
            <w:tcBorders>
              <w:top w:val="nil"/>
              <w:left w:val="nil"/>
              <w:bottom w:val="nil"/>
              <w:right w:val="nil"/>
            </w:tcBorders>
            <w:noWrap/>
            <w:vAlign w:val="center"/>
            <w:hideMark/>
          </w:tcPr>
          <w:p w14:paraId="4C1B9DD9"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bottom"/>
            <w:hideMark/>
          </w:tcPr>
          <w:p w14:paraId="5A8362CD"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Provisão para Riscos Trabalhistas, Cíveis e Fiscais</w:t>
            </w:r>
          </w:p>
        </w:tc>
        <w:tc>
          <w:tcPr>
            <w:tcW w:w="145" w:type="pct"/>
            <w:tcBorders>
              <w:top w:val="nil"/>
              <w:left w:val="nil"/>
              <w:bottom w:val="nil"/>
              <w:right w:val="nil"/>
            </w:tcBorders>
            <w:noWrap/>
            <w:vAlign w:val="center"/>
            <w:hideMark/>
          </w:tcPr>
          <w:p w14:paraId="7D722B8F"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20</w:t>
            </w:r>
          </w:p>
        </w:tc>
        <w:tc>
          <w:tcPr>
            <w:tcW w:w="500" w:type="pct"/>
            <w:tcBorders>
              <w:top w:val="nil"/>
              <w:left w:val="nil"/>
              <w:bottom w:val="nil"/>
              <w:right w:val="nil"/>
            </w:tcBorders>
            <w:noWrap/>
            <w:vAlign w:val="center"/>
            <w:hideMark/>
          </w:tcPr>
          <w:p w14:paraId="1FFE0C08"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5.585 </w:t>
            </w:r>
          </w:p>
        </w:tc>
        <w:tc>
          <w:tcPr>
            <w:tcW w:w="36" w:type="pct"/>
            <w:tcBorders>
              <w:top w:val="nil"/>
              <w:left w:val="nil"/>
              <w:bottom w:val="nil"/>
              <w:right w:val="nil"/>
            </w:tcBorders>
            <w:noWrap/>
            <w:vAlign w:val="bottom"/>
            <w:hideMark/>
          </w:tcPr>
          <w:p w14:paraId="702044C7"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20FB7723"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5.416 </w:t>
            </w:r>
          </w:p>
        </w:tc>
        <w:tc>
          <w:tcPr>
            <w:tcW w:w="36" w:type="pct"/>
            <w:tcBorders>
              <w:top w:val="nil"/>
              <w:left w:val="nil"/>
              <w:bottom w:val="nil"/>
              <w:right w:val="nil"/>
            </w:tcBorders>
            <w:noWrap/>
            <w:vAlign w:val="center"/>
            <w:hideMark/>
          </w:tcPr>
          <w:p w14:paraId="6A164278" w14:textId="77777777" w:rsidR="001D0EC6" w:rsidRPr="001D0EC6" w:rsidRDefault="001D0EC6">
            <w:pPr>
              <w:jc w:val="right"/>
              <w:rPr>
                <w:rFonts w:ascii="Arial" w:hAnsi="Arial" w:cs="Arial"/>
                <w:color w:val="000000"/>
                <w:sz w:val="15"/>
                <w:szCs w:val="15"/>
              </w:rPr>
            </w:pPr>
          </w:p>
        </w:tc>
      </w:tr>
      <w:tr w:rsidR="001D0EC6" w:rsidRPr="001D0EC6" w14:paraId="5C2C9ABC" w14:textId="77777777" w:rsidTr="001D0EC6">
        <w:trPr>
          <w:trHeight w:val="198"/>
        </w:trPr>
        <w:tc>
          <w:tcPr>
            <w:tcW w:w="1087" w:type="pct"/>
            <w:tcBorders>
              <w:top w:val="nil"/>
              <w:left w:val="nil"/>
              <w:bottom w:val="nil"/>
              <w:right w:val="nil"/>
            </w:tcBorders>
            <w:noWrap/>
            <w:vAlign w:val="center"/>
            <w:hideMark/>
          </w:tcPr>
          <w:p w14:paraId="0347AE4D"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Outros Ativos Realizáveis</w:t>
            </w:r>
          </w:p>
        </w:tc>
        <w:tc>
          <w:tcPr>
            <w:tcW w:w="145" w:type="pct"/>
            <w:tcBorders>
              <w:top w:val="nil"/>
              <w:left w:val="nil"/>
              <w:bottom w:val="nil"/>
              <w:right w:val="nil"/>
            </w:tcBorders>
            <w:noWrap/>
            <w:vAlign w:val="center"/>
            <w:hideMark/>
          </w:tcPr>
          <w:p w14:paraId="6FF65F37"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9.2</w:t>
            </w:r>
          </w:p>
        </w:tc>
        <w:tc>
          <w:tcPr>
            <w:tcW w:w="462" w:type="pct"/>
            <w:tcBorders>
              <w:top w:val="nil"/>
              <w:left w:val="nil"/>
              <w:bottom w:val="nil"/>
              <w:right w:val="nil"/>
            </w:tcBorders>
            <w:noWrap/>
            <w:vAlign w:val="center"/>
            <w:hideMark/>
          </w:tcPr>
          <w:p w14:paraId="59AFB75E"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20.389 </w:t>
            </w:r>
          </w:p>
        </w:tc>
        <w:tc>
          <w:tcPr>
            <w:tcW w:w="36" w:type="pct"/>
            <w:tcBorders>
              <w:top w:val="nil"/>
              <w:left w:val="nil"/>
              <w:bottom w:val="nil"/>
              <w:right w:val="nil"/>
            </w:tcBorders>
            <w:noWrap/>
            <w:vAlign w:val="center"/>
            <w:hideMark/>
          </w:tcPr>
          <w:p w14:paraId="451A81C4"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24F11645"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23.495 </w:t>
            </w:r>
          </w:p>
        </w:tc>
        <w:tc>
          <w:tcPr>
            <w:tcW w:w="36" w:type="pct"/>
            <w:tcBorders>
              <w:top w:val="nil"/>
              <w:left w:val="nil"/>
              <w:bottom w:val="nil"/>
              <w:right w:val="nil"/>
            </w:tcBorders>
            <w:noWrap/>
            <w:vAlign w:val="center"/>
            <w:hideMark/>
          </w:tcPr>
          <w:p w14:paraId="4FF01548"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bottom"/>
            <w:hideMark/>
          </w:tcPr>
          <w:p w14:paraId="486D382F"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Provisão para Programa de Indenização por Serviços Prestados</w:t>
            </w:r>
          </w:p>
        </w:tc>
        <w:tc>
          <w:tcPr>
            <w:tcW w:w="145" w:type="pct"/>
            <w:tcBorders>
              <w:top w:val="nil"/>
              <w:left w:val="nil"/>
              <w:bottom w:val="nil"/>
              <w:right w:val="nil"/>
            </w:tcBorders>
            <w:noWrap/>
            <w:vAlign w:val="center"/>
            <w:hideMark/>
          </w:tcPr>
          <w:p w14:paraId="2111326D"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15</w:t>
            </w:r>
          </w:p>
        </w:tc>
        <w:tc>
          <w:tcPr>
            <w:tcW w:w="500" w:type="pct"/>
            <w:tcBorders>
              <w:top w:val="nil"/>
              <w:left w:val="nil"/>
              <w:bottom w:val="nil"/>
              <w:right w:val="nil"/>
            </w:tcBorders>
            <w:noWrap/>
            <w:vAlign w:val="center"/>
            <w:hideMark/>
          </w:tcPr>
          <w:p w14:paraId="2BC840C9"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2.189 </w:t>
            </w:r>
          </w:p>
        </w:tc>
        <w:tc>
          <w:tcPr>
            <w:tcW w:w="36" w:type="pct"/>
            <w:tcBorders>
              <w:top w:val="nil"/>
              <w:left w:val="nil"/>
              <w:bottom w:val="nil"/>
              <w:right w:val="nil"/>
            </w:tcBorders>
            <w:noWrap/>
            <w:vAlign w:val="bottom"/>
            <w:hideMark/>
          </w:tcPr>
          <w:p w14:paraId="3C6A39E8"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523C5FC8"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2.191 </w:t>
            </w:r>
          </w:p>
        </w:tc>
        <w:tc>
          <w:tcPr>
            <w:tcW w:w="36" w:type="pct"/>
            <w:tcBorders>
              <w:top w:val="nil"/>
              <w:left w:val="nil"/>
              <w:bottom w:val="nil"/>
              <w:right w:val="nil"/>
            </w:tcBorders>
            <w:noWrap/>
            <w:vAlign w:val="center"/>
            <w:hideMark/>
          </w:tcPr>
          <w:p w14:paraId="71336813" w14:textId="77777777" w:rsidR="001D0EC6" w:rsidRPr="001D0EC6" w:rsidRDefault="001D0EC6">
            <w:pPr>
              <w:jc w:val="right"/>
              <w:rPr>
                <w:rFonts w:ascii="Arial" w:hAnsi="Arial" w:cs="Arial"/>
                <w:color w:val="000000"/>
                <w:sz w:val="15"/>
                <w:szCs w:val="15"/>
              </w:rPr>
            </w:pPr>
          </w:p>
        </w:tc>
      </w:tr>
      <w:tr w:rsidR="001D0EC6" w:rsidRPr="001D0EC6" w14:paraId="330122FA" w14:textId="77777777" w:rsidTr="001D0EC6">
        <w:trPr>
          <w:trHeight w:val="198"/>
        </w:trPr>
        <w:tc>
          <w:tcPr>
            <w:tcW w:w="1087" w:type="pct"/>
            <w:tcBorders>
              <w:top w:val="nil"/>
              <w:left w:val="nil"/>
              <w:bottom w:val="nil"/>
              <w:right w:val="nil"/>
            </w:tcBorders>
            <w:noWrap/>
            <w:vAlign w:val="center"/>
            <w:hideMark/>
          </w:tcPr>
          <w:p w14:paraId="363905A0"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Total do Circulante</w:t>
            </w:r>
          </w:p>
        </w:tc>
        <w:tc>
          <w:tcPr>
            <w:tcW w:w="145" w:type="pct"/>
            <w:tcBorders>
              <w:top w:val="nil"/>
              <w:left w:val="nil"/>
              <w:bottom w:val="nil"/>
              <w:right w:val="nil"/>
            </w:tcBorders>
            <w:noWrap/>
            <w:vAlign w:val="bottom"/>
            <w:hideMark/>
          </w:tcPr>
          <w:p w14:paraId="4499911C" w14:textId="77777777" w:rsidR="001D0EC6" w:rsidRPr="001D0EC6" w:rsidRDefault="001D0EC6">
            <w:pPr>
              <w:rPr>
                <w:rFonts w:ascii="Arial" w:hAnsi="Arial" w:cs="Arial"/>
                <w:b/>
                <w:bCs/>
                <w:color w:val="000000"/>
                <w:sz w:val="15"/>
                <w:szCs w:val="15"/>
              </w:rPr>
            </w:pPr>
          </w:p>
        </w:tc>
        <w:tc>
          <w:tcPr>
            <w:tcW w:w="462" w:type="pct"/>
            <w:tcBorders>
              <w:top w:val="single" w:sz="4" w:space="0" w:color="auto"/>
              <w:left w:val="nil"/>
              <w:bottom w:val="single" w:sz="4" w:space="0" w:color="auto"/>
              <w:right w:val="nil"/>
            </w:tcBorders>
            <w:noWrap/>
            <w:vAlign w:val="center"/>
            <w:hideMark/>
          </w:tcPr>
          <w:p w14:paraId="5260ABAC"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2.407.010 </w:t>
            </w:r>
          </w:p>
        </w:tc>
        <w:tc>
          <w:tcPr>
            <w:tcW w:w="36" w:type="pct"/>
            <w:tcBorders>
              <w:top w:val="nil"/>
              <w:left w:val="nil"/>
              <w:bottom w:val="nil"/>
              <w:right w:val="nil"/>
            </w:tcBorders>
            <w:noWrap/>
            <w:vAlign w:val="center"/>
            <w:hideMark/>
          </w:tcPr>
          <w:p w14:paraId="61A6D0C8" w14:textId="77777777" w:rsidR="001D0EC6" w:rsidRPr="001D0EC6" w:rsidRDefault="001D0EC6">
            <w:pPr>
              <w:jc w:val="right"/>
              <w:rPr>
                <w:rFonts w:ascii="Arial" w:hAnsi="Arial" w:cs="Arial"/>
                <w:b/>
                <w:bCs/>
                <w:color w:val="000000"/>
                <w:sz w:val="15"/>
                <w:szCs w:val="15"/>
              </w:rPr>
            </w:pPr>
          </w:p>
        </w:tc>
        <w:tc>
          <w:tcPr>
            <w:tcW w:w="462" w:type="pct"/>
            <w:tcBorders>
              <w:top w:val="single" w:sz="4" w:space="0" w:color="auto"/>
              <w:left w:val="nil"/>
              <w:bottom w:val="single" w:sz="4" w:space="0" w:color="auto"/>
              <w:right w:val="nil"/>
            </w:tcBorders>
            <w:noWrap/>
            <w:vAlign w:val="center"/>
            <w:hideMark/>
          </w:tcPr>
          <w:p w14:paraId="57A466B1"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2.310.040 </w:t>
            </w:r>
          </w:p>
        </w:tc>
        <w:tc>
          <w:tcPr>
            <w:tcW w:w="36" w:type="pct"/>
            <w:tcBorders>
              <w:top w:val="nil"/>
              <w:left w:val="nil"/>
              <w:bottom w:val="nil"/>
              <w:right w:val="nil"/>
            </w:tcBorders>
            <w:noWrap/>
            <w:vAlign w:val="center"/>
            <w:hideMark/>
          </w:tcPr>
          <w:p w14:paraId="59046C91" w14:textId="77777777" w:rsidR="001D0EC6" w:rsidRPr="001D0EC6" w:rsidRDefault="001D0EC6">
            <w:pPr>
              <w:jc w:val="right"/>
              <w:rPr>
                <w:rFonts w:ascii="Arial" w:hAnsi="Arial" w:cs="Arial"/>
                <w:b/>
                <w:bCs/>
                <w:color w:val="000000"/>
                <w:sz w:val="15"/>
                <w:szCs w:val="15"/>
              </w:rPr>
            </w:pPr>
          </w:p>
        </w:tc>
        <w:tc>
          <w:tcPr>
            <w:tcW w:w="1555" w:type="pct"/>
            <w:tcBorders>
              <w:top w:val="nil"/>
              <w:left w:val="nil"/>
              <w:bottom w:val="nil"/>
              <w:right w:val="nil"/>
            </w:tcBorders>
            <w:noWrap/>
            <w:vAlign w:val="bottom"/>
            <w:hideMark/>
          </w:tcPr>
          <w:p w14:paraId="19C5CF78"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Subvenções Orçamentárias a Realizar</w:t>
            </w:r>
          </w:p>
        </w:tc>
        <w:tc>
          <w:tcPr>
            <w:tcW w:w="145" w:type="pct"/>
            <w:tcBorders>
              <w:top w:val="nil"/>
              <w:left w:val="nil"/>
              <w:bottom w:val="nil"/>
              <w:right w:val="nil"/>
            </w:tcBorders>
            <w:noWrap/>
            <w:vAlign w:val="center"/>
            <w:hideMark/>
          </w:tcPr>
          <w:p w14:paraId="54B4EB6F"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24</w:t>
            </w:r>
          </w:p>
        </w:tc>
        <w:tc>
          <w:tcPr>
            <w:tcW w:w="500" w:type="pct"/>
            <w:tcBorders>
              <w:top w:val="nil"/>
              <w:left w:val="nil"/>
              <w:bottom w:val="nil"/>
              <w:right w:val="nil"/>
            </w:tcBorders>
            <w:noWrap/>
            <w:vAlign w:val="center"/>
            <w:hideMark/>
          </w:tcPr>
          <w:p w14:paraId="3BB8EE0C"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67.562 </w:t>
            </w:r>
          </w:p>
        </w:tc>
        <w:tc>
          <w:tcPr>
            <w:tcW w:w="36" w:type="pct"/>
            <w:tcBorders>
              <w:top w:val="nil"/>
              <w:left w:val="nil"/>
              <w:bottom w:val="nil"/>
              <w:right w:val="nil"/>
            </w:tcBorders>
            <w:noWrap/>
            <w:vAlign w:val="bottom"/>
            <w:hideMark/>
          </w:tcPr>
          <w:p w14:paraId="40910B57"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176CDF4D"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52.741 </w:t>
            </w:r>
          </w:p>
        </w:tc>
        <w:tc>
          <w:tcPr>
            <w:tcW w:w="36" w:type="pct"/>
            <w:tcBorders>
              <w:top w:val="nil"/>
              <w:left w:val="nil"/>
              <w:bottom w:val="nil"/>
              <w:right w:val="nil"/>
            </w:tcBorders>
            <w:noWrap/>
            <w:vAlign w:val="center"/>
            <w:hideMark/>
          </w:tcPr>
          <w:p w14:paraId="46BF4684" w14:textId="77777777" w:rsidR="001D0EC6" w:rsidRPr="001D0EC6" w:rsidRDefault="001D0EC6">
            <w:pPr>
              <w:jc w:val="right"/>
              <w:rPr>
                <w:rFonts w:ascii="Arial" w:hAnsi="Arial" w:cs="Arial"/>
                <w:color w:val="000000"/>
                <w:sz w:val="15"/>
                <w:szCs w:val="15"/>
              </w:rPr>
            </w:pPr>
          </w:p>
        </w:tc>
      </w:tr>
      <w:tr w:rsidR="001D0EC6" w:rsidRPr="001D0EC6" w14:paraId="0642E36A" w14:textId="77777777" w:rsidTr="001D0EC6">
        <w:trPr>
          <w:trHeight w:val="198"/>
        </w:trPr>
        <w:tc>
          <w:tcPr>
            <w:tcW w:w="1087" w:type="pct"/>
            <w:tcBorders>
              <w:top w:val="nil"/>
              <w:left w:val="nil"/>
              <w:bottom w:val="nil"/>
              <w:right w:val="nil"/>
            </w:tcBorders>
            <w:noWrap/>
            <w:vAlign w:val="bottom"/>
            <w:hideMark/>
          </w:tcPr>
          <w:p w14:paraId="4DA78F4F" w14:textId="77777777" w:rsidR="001D0EC6" w:rsidRPr="001D0EC6" w:rsidRDefault="001D0EC6">
            <w:pPr>
              <w:jc w:val="right"/>
              <w:rPr>
                <w:sz w:val="15"/>
                <w:szCs w:val="15"/>
              </w:rPr>
            </w:pPr>
          </w:p>
        </w:tc>
        <w:tc>
          <w:tcPr>
            <w:tcW w:w="145" w:type="pct"/>
            <w:tcBorders>
              <w:top w:val="nil"/>
              <w:left w:val="nil"/>
              <w:bottom w:val="nil"/>
              <w:right w:val="nil"/>
            </w:tcBorders>
            <w:noWrap/>
            <w:vAlign w:val="bottom"/>
            <w:hideMark/>
          </w:tcPr>
          <w:p w14:paraId="3031B646"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7E2A5678"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39443EE4"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0A2D9011"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10FC8A7C" w14:textId="77777777" w:rsidR="001D0EC6" w:rsidRPr="001D0EC6" w:rsidRDefault="001D0EC6">
            <w:pPr>
              <w:rPr>
                <w:sz w:val="15"/>
                <w:szCs w:val="15"/>
              </w:rPr>
            </w:pPr>
          </w:p>
        </w:tc>
        <w:tc>
          <w:tcPr>
            <w:tcW w:w="1555" w:type="pct"/>
            <w:tcBorders>
              <w:top w:val="nil"/>
              <w:left w:val="nil"/>
              <w:bottom w:val="nil"/>
              <w:right w:val="nil"/>
            </w:tcBorders>
            <w:vAlign w:val="center"/>
            <w:hideMark/>
          </w:tcPr>
          <w:p w14:paraId="43597443"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Outras Obrigações</w:t>
            </w:r>
          </w:p>
        </w:tc>
        <w:tc>
          <w:tcPr>
            <w:tcW w:w="145" w:type="pct"/>
            <w:tcBorders>
              <w:top w:val="nil"/>
              <w:left w:val="nil"/>
              <w:bottom w:val="nil"/>
              <w:right w:val="nil"/>
            </w:tcBorders>
            <w:noWrap/>
            <w:vAlign w:val="center"/>
            <w:hideMark/>
          </w:tcPr>
          <w:p w14:paraId="59CE178A"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25</w:t>
            </w:r>
          </w:p>
        </w:tc>
        <w:tc>
          <w:tcPr>
            <w:tcW w:w="500" w:type="pct"/>
            <w:tcBorders>
              <w:top w:val="nil"/>
              <w:left w:val="nil"/>
              <w:bottom w:val="nil"/>
              <w:right w:val="nil"/>
            </w:tcBorders>
            <w:noWrap/>
            <w:vAlign w:val="center"/>
            <w:hideMark/>
          </w:tcPr>
          <w:p w14:paraId="5269E3DF"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57.794 </w:t>
            </w:r>
          </w:p>
        </w:tc>
        <w:tc>
          <w:tcPr>
            <w:tcW w:w="36" w:type="pct"/>
            <w:tcBorders>
              <w:top w:val="nil"/>
              <w:left w:val="nil"/>
              <w:bottom w:val="nil"/>
              <w:right w:val="nil"/>
            </w:tcBorders>
            <w:noWrap/>
            <w:vAlign w:val="center"/>
            <w:hideMark/>
          </w:tcPr>
          <w:p w14:paraId="4357BA94"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179D8E12"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25.137 </w:t>
            </w:r>
          </w:p>
        </w:tc>
        <w:tc>
          <w:tcPr>
            <w:tcW w:w="36" w:type="pct"/>
            <w:tcBorders>
              <w:top w:val="nil"/>
              <w:left w:val="nil"/>
              <w:bottom w:val="nil"/>
              <w:right w:val="nil"/>
            </w:tcBorders>
            <w:noWrap/>
            <w:vAlign w:val="bottom"/>
            <w:hideMark/>
          </w:tcPr>
          <w:p w14:paraId="125FF4E6" w14:textId="77777777" w:rsidR="001D0EC6" w:rsidRPr="001D0EC6" w:rsidRDefault="001D0EC6">
            <w:pPr>
              <w:jc w:val="right"/>
              <w:rPr>
                <w:rFonts w:ascii="Arial" w:hAnsi="Arial" w:cs="Arial"/>
                <w:color w:val="000000"/>
                <w:sz w:val="15"/>
                <w:szCs w:val="15"/>
              </w:rPr>
            </w:pPr>
          </w:p>
        </w:tc>
      </w:tr>
      <w:tr w:rsidR="001D0EC6" w:rsidRPr="001D0EC6" w14:paraId="51127258" w14:textId="77777777" w:rsidTr="001D0EC6">
        <w:trPr>
          <w:trHeight w:val="198"/>
        </w:trPr>
        <w:tc>
          <w:tcPr>
            <w:tcW w:w="1087" w:type="pct"/>
            <w:tcBorders>
              <w:top w:val="nil"/>
              <w:left w:val="nil"/>
              <w:bottom w:val="nil"/>
              <w:right w:val="nil"/>
            </w:tcBorders>
            <w:noWrap/>
            <w:vAlign w:val="center"/>
            <w:hideMark/>
          </w:tcPr>
          <w:p w14:paraId="4F1B1467"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Não Circulante</w:t>
            </w:r>
          </w:p>
        </w:tc>
        <w:tc>
          <w:tcPr>
            <w:tcW w:w="145" w:type="pct"/>
            <w:tcBorders>
              <w:top w:val="nil"/>
              <w:left w:val="nil"/>
              <w:bottom w:val="nil"/>
              <w:right w:val="nil"/>
            </w:tcBorders>
            <w:noWrap/>
            <w:vAlign w:val="center"/>
            <w:hideMark/>
          </w:tcPr>
          <w:p w14:paraId="5CEA846A" w14:textId="77777777" w:rsidR="001D0EC6" w:rsidRPr="001D0EC6" w:rsidRDefault="001D0EC6">
            <w:pPr>
              <w:rPr>
                <w:rFonts w:ascii="Arial" w:hAnsi="Arial" w:cs="Arial"/>
                <w:b/>
                <w:bCs/>
                <w:color w:val="000000"/>
                <w:sz w:val="15"/>
                <w:szCs w:val="15"/>
              </w:rPr>
            </w:pPr>
          </w:p>
        </w:tc>
        <w:tc>
          <w:tcPr>
            <w:tcW w:w="462" w:type="pct"/>
            <w:tcBorders>
              <w:top w:val="nil"/>
              <w:left w:val="nil"/>
              <w:bottom w:val="nil"/>
              <w:right w:val="nil"/>
            </w:tcBorders>
            <w:noWrap/>
            <w:vAlign w:val="center"/>
            <w:hideMark/>
          </w:tcPr>
          <w:p w14:paraId="2BE6BDE9"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4E106098" w14:textId="77777777" w:rsidR="001D0EC6" w:rsidRPr="001D0EC6" w:rsidRDefault="001D0EC6">
            <w:pPr>
              <w:rPr>
                <w:sz w:val="15"/>
                <w:szCs w:val="15"/>
              </w:rPr>
            </w:pPr>
          </w:p>
        </w:tc>
        <w:tc>
          <w:tcPr>
            <w:tcW w:w="462" w:type="pct"/>
            <w:tcBorders>
              <w:top w:val="nil"/>
              <w:left w:val="nil"/>
              <w:bottom w:val="nil"/>
              <w:right w:val="nil"/>
            </w:tcBorders>
            <w:noWrap/>
            <w:vAlign w:val="center"/>
            <w:hideMark/>
          </w:tcPr>
          <w:p w14:paraId="655695F6"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45C3EA0A" w14:textId="77777777" w:rsidR="001D0EC6" w:rsidRPr="001D0EC6" w:rsidRDefault="001D0EC6">
            <w:pPr>
              <w:rPr>
                <w:sz w:val="15"/>
                <w:szCs w:val="15"/>
              </w:rPr>
            </w:pPr>
          </w:p>
        </w:tc>
        <w:tc>
          <w:tcPr>
            <w:tcW w:w="1555" w:type="pct"/>
            <w:tcBorders>
              <w:top w:val="nil"/>
              <w:left w:val="nil"/>
              <w:bottom w:val="nil"/>
              <w:right w:val="nil"/>
            </w:tcBorders>
            <w:noWrap/>
            <w:vAlign w:val="center"/>
            <w:hideMark/>
          </w:tcPr>
          <w:p w14:paraId="07F65C26"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Total do Circulante</w:t>
            </w:r>
          </w:p>
        </w:tc>
        <w:tc>
          <w:tcPr>
            <w:tcW w:w="145" w:type="pct"/>
            <w:tcBorders>
              <w:top w:val="nil"/>
              <w:left w:val="nil"/>
              <w:bottom w:val="nil"/>
              <w:right w:val="nil"/>
            </w:tcBorders>
            <w:noWrap/>
            <w:vAlign w:val="center"/>
            <w:hideMark/>
          </w:tcPr>
          <w:p w14:paraId="1139E178" w14:textId="77777777" w:rsidR="001D0EC6" w:rsidRPr="001D0EC6" w:rsidRDefault="001D0EC6">
            <w:pPr>
              <w:rPr>
                <w:rFonts w:ascii="Arial" w:hAnsi="Arial" w:cs="Arial"/>
                <w:b/>
                <w:bCs/>
                <w:color w:val="000000"/>
                <w:sz w:val="15"/>
                <w:szCs w:val="15"/>
              </w:rPr>
            </w:pPr>
          </w:p>
        </w:tc>
        <w:tc>
          <w:tcPr>
            <w:tcW w:w="500" w:type="pct"/>
            <w:tcBorders>
              <w:top w:val="single" w:sz="4" w:space="0" w:color="auto"/>
              <w:left w:val="nil"/>
              <w:bottom w:val="single" w:sz="4" w:space="0" w:color="auto"/>
              <w:right w:val="nil"/>
            </w:tcBorders>
            <w:noWrap/>
            <w:vAlign w:val="center"/>
            <w:hideMark/>
          </w:tcPr>
          <w:p w14:paraId="748B6CE4"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377.288 </w:t>
            </w:r>
          </w:p>
        </w:tc>
        <w:tc>
          <w:tcPr>
            <w:tcW w:w="36" w:type="pct"/>
            <w:tcBorders>
              <w:top w:val="nil"/>
              <w:left w:val="nil"/>
              <w:bottom w:val="nil"/>
              <w:right w:val="nil"/>
            </w:tcBorders>
            <w:noWrap/>
            <w:vAlign w:val="center"/>
            <w:hideMark/>
          </w:tcPr>
          <w:p w14:paraId="23DD5ECA" w14:textId="77777777" w:rsidR="001D0EC6" w:rsidRPr="001D0EC6" w:rsidRDefault="001D0EC6">
            <w:pPr>
              <w:jc w:val="right"/>
              <w:rPr>
                <w:rFonts w:ascii="Arial" w:hAnsi="Arial" w:cs="Arial"/>
                <w:b/>
                <w:bCs/>
                <w:color w:val="000000"/>
                <w:sz w:val="15"/>
                <w:szCs w:val="15"/>
              </w:rPr>
            </w:pPr>
          </w:p>
        </w:tc>
        <w:tc>
          <w:tcPr>
            <w:tcW w:w="500" w:type="pct"/>
            <w:tcBorders>
              <w:top w:val="single" w:sz="4" w:space="0" w:color="auto"/>
              <w:left w:val="nil"/>
              <w:bottom w:val="single" w:sz="4" w:space="0" w:color="auto"/>
              <w:right w:val="nil"/>
            </w:tcBorders>
            <w:noWrap/>
            <w:vAlign w:val="center"/>
            <w:hideMark/>
          </w:tcPr>
          <w:p w14:paraId="7E8A3DE0"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367.137 </w:t>
            </w:r>
          </w:p>
        </w:tc>
        <w:tc>
          <w:tcPr>
            <w:tcW w:w="36" w:type="pct"/>
            <w:tcBorders>
              <w:top w:val="nil"/>
              <w:left w:val="nil"/>
              <w:bottom w:val="nil"/>
              <w:right w:val="nil"/>
            </w:tcBorders>
            <w:noWrap/>
            <w:vAlign w:val="bottom"/>
            <w:hideMark/>
          </w:tcPr>
          <w:p w14:paraId="1874BA0E" w14:textId="77777777" w:rsidR="001D0EC6" w:rsidRPr="001D0EC6" w:rsidRDefault="001D0EC6">
            <w:pPr>
              <w:jc w:val="right"/>
              <w:rPr>
                <w:rFonts w:ascii="Arial" w:hAnsi="Arial" w:cs="Arial"/>
                <w:b/>
                <w:bCs/>
                <w:color w:val="000000"/>
                <w:sz w:val="15"/>
                <w:szCs w:val="15"/>
              </w:rPr>
            </w:pPr>
          </w:p>
        </w:tc>
      </w:tr>
      <w:tr w:rsidR="001D0EC6" w:rsidRPr="001D0EC6" w14:paraId="631339DB" w14:textId="77777777" w:rsidTr="001D0EC6">
        <w:trPr>
          <w:trHeight w:val="198"/>
        </w:trPr>
        <w:tc>
          <w:tcPr>
            <w:tcW w:w="1087" w:type="pct"/>
            <w:tcBorders>
              <w:top w:val="nil"/>
              <w:left w:val="nil"/>
              <w:bottom w:val="nil"/>
              <w:right w:val="nil"/>
            </w:tcBorders>
            <w:noWrap/>
            <w:vAlign w:val="bottom"/>
            <w:hideMark/>
          </w:tcPr>
          <w:p w14:paraId="4BB969D8"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Aplicações Financeiras</w:t>
            </w:r>
          </w:p>
        </w:tc>
        <w:tc>
          <w:tcPr>
            <w:tcW w:w="145" w:type="pct"/>
            <w:tcBorders>
              <w:top w:val="nil"/>
              <w:left w:val="nil"/>
              <w:bottom w:val="nil"/>
              <w:right w:val="nil"/>
            </w:tcBorders>
            <w:noWrap/>
            <w:vAlign w:val="center"/>
            <w:hideMark/>
          </w:tcPr>
          <w:p w14:paraId="231E4F13"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10</w:t>
            </w:r>
          </w:p>
        </w:tc>
        <w:tc>
          <w:tcPr>
            <w:tcW w:w="462" w:type="pct"/>
            <w:tcBorders>
              <w:top w:val="nil"/>
              <w:left w:val="nil"/>
              <w:bottom w:val="nil"/>
              <w:right w:val="nil"/>
            </w:tcBorders>
            <w:noWrap/>
            <w:vAlign w:val="center"/>
            <w:hideMark/>
          </w:tcPr>
          <w:p w14:paraId="5CCC49F1"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56.188 </w:t>
            </w:r>
          </w:p>
        </w:tc>
        <w:tc>
          <w:tcPr>
            <w:tcW w:w="36" w:type="pct"/>
            <w:tcBorders>
              <w:top w:val="nil"/>
              <w:left w:val="nil"/>
              <w:bottom w:val="nil"/>
              <w:right w:val="nil"/>
            </w:tcBorders>
            <w:noWrap/>
            <w:vAlign w:val="bottom"/>
            <w:hideMark/>
          </w:tcPr>
          <w:p w14:paraId="243D8BAD"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68243F9E"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53.949 </w:t>
            </w:r>
          </w:p>
        </w:tc>
        <w:tc>
          <w:tcPr>
            <w:tcW w:w="36" w:type="pct"/>
            <w:tcBorders>
              <w:top w:val="nil"/>
              <w:left w:val="nil"/>
              <w:bottom w:val="nil"/>
              <w:right w:val="nil"/>
            </w:tcBorders>
            <w:noWrap/>
            <w:vAlign w:val="center"/>
            <w:hideMark/>
          </w:tcPr>
          <w:p w14:paraId="51A96D15"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bottom"/>
            <w:hideMark/>
          </w:tcPr>
          <w:p w14:paraId="6BCAB2EA"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5A3EB79D"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3316DE93"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0F656D65"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412273D0"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61C1CE46" w14:textId="77777777" w:rsidR="001D0EC6" w:rsidRPr="001D0EC6" w:rsidRDefault="001D0EC6">
            <w:pPr>
              <w:rPr>
                <w:sz w:val="15"/>
                <w:szCs w:val="15"/>
              </w:rPr>
            </w:pPr>
          </w:p>
        </w:tc>
      </w:tr>
      <w:tr w:rsidR="001D0EC6" w:rsidRPr="001D0EC6" w14:paraId="6ABF991B" w14:textId="77777777" w:rsidTr="001D0EC6">
        <w:trPr>
          <w:trHeight w:val="198"/>
        </w:trPr>
        <w:tc>
          <w:tcPr>
            <w:tcW w:w="1087" w:type="pct"/>
            <w:tcBorders>
              <w:top w:val="nil"/>
              <w:left w:val="nil"/>
              <w:bottom w:val="nil"/>
              <w:right w:val="nil"/>
            </w:tcBorders>
            <w:noWrap/>
            <w:vAlign w:val="center"/>
            <w:hideMark/>
          </w:tcPr>
          <w:p w14:paraId="739F6C02"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Tributos a Compensar/Recuperar</w:t>
            </w:r>
          </w:p>
        </w:tc>
        <w:tc>
          <w:tcPr>
            <w:tcW w:w="145" w:type="pct"/>
            <w:tcBorders>
              <w:top w:val="nil"/>
              <w:left w:val="nil"/>
              <w:bottom w:val="nil"/>
              <w:right w:val="nil"/>
            </w:tcBorders>
            <w:noWrap/>
            <w:vAlign w:val="center"/>
            <w:hideMark/>
          </w:tcPr>
          <w:p w14:paraId="45FF86AE"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6</w:t>
            </w:r>
          </w:p>
        </w:tc>
        <w:tc>
          <w:tcPr>
            <w:tcW w:w="462" w:type="pct"/>
            <w:tcBorders>
              <w:top w:val="nil"/>
              <w:left w:val="nil"/>
              <w:bottom w:val="nil"/>
              <w:right w:val="nil"/>
            </w:tcBorders>
            <w:noWrap/>
            <w:vAlign w:val="center"/>
            <w:hideMark/>
          </w:tcPr>
          <w:p w14:paraId="76DEA816"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3.034 </w:t>
            </w:r>
          </w:p>
        </w:tc>
        <w:tc>
          <w:tcPr>
            <w:tcW w:w="36" w:type="pct"/>
            <w:tcBorders>
              <w:top w:val="nil"/>
              <w:left w:val="nil"/>
              <w:bottom w:val="nil"/>
              <w:right w:val="nil"/>
            </w:tcBorders>
            <w:noWrap/>
            <w:vAlign w:val="center"/>
            <w:hideMark/>
          </w:tcPr>
          <w:p w14:paraId="56E33CE4"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66A3DC0E"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3.795 </w:t>
            </w:r>
          </w:p>
        </w:tc>
        <w:tc>
          <w:tcPr>
            <w:tcW w:w="36" w:type="pct"/>
            <w:tcBorders>
              <w:top w:val="nil"/>
              <w:left w:val="nil"/>
              <w:bottom w:val="nil"/>
              <w:right w:val="nil"/>
            </w:tcBorders>
            <w:noWrap/>
            <w:vAlign w:val="center"/>
            <w:hideMark/>
          </w:tcPr>
          <w:p w14:paraId="373DEE23"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center"/>
            <w:hideMark/>
          </w:tcPr>
          <w:p w14:paraId="5DE58184"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Não Circulante</w:t>
            </w:r>
          </w:p>
        </w:tc>
        <w:tc>
          <w:tcPr>
            <w:tcW w:w="145" w:type="pct"/>
            <w:tcBorders>
              <w:top w:val="nil"/>
              <w:left w:val="nil"/>
              <w:bottom w:val="nil"/>
              <w:right w:val="nil"/>
            </w:tcBorders>
            <w:noWrap/>
            <w:vAlign w:val="center"/>
            <w:hideMark/>
          </w:tcPr>
          <w:p w14:paraId="48A685C3" w14:textId="77777777" w:rsidR="001D0EC6" w:rsidRPr="001D0EC6" w:rsidRDefault="001D0EC6">
            <w:pPr>
              <w:rPr>
                <w:rFonts w:ascii="Arial" w:hAnsi="Arial" w:cs="Arial"/>
                <w:b/>
                <w:bCs/>
                <w:color w:val="000000"/>
                <w:sz w:val="15"/>
                <w:szCs w:val="15"/>
              </w:rPr>
            </w:pPr>
          </w:p>
        </w:tc>
        <w:tc>
          <w:tcPr>
            <w:tcW w:w="500" w:type="pct"/>
            <w:tcBorders>
              <w:top w:val="nil"/>
              <w:left w:val="nil"/>
              <w:bottom w:val="nil"/>
              <w:right w:val="nil"/>
            </w:tcBorders>
            <w:noWrap/>
            <w:vAlign w:val="center"/>
            <w:hideMark/>
          </w:tcPr>
          <w:p w14:paraId="37665764"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6C337117" w14:textId="77777777" w:rsidR="001D0EC6" w:rsidRPr="001D0EC6" w:rsidRDefault="001D0EC6">
            <w:pPr>
              <w:jc w:val="right"/>
              <w:rPr>
                <w:sz w:val="15"/>
                <w:szCs w:val="15"/>
              </w:rPr>
            </w:pPr>
          </w:p>
        </w:tc>
        <w:tc>
          <w:tcPr>
            <w:tcW w:w="500" w:type="pct"/>
            <w:tcBorders>
              <w:top w:val="nil"/>
              <w:left w:val="nil"/>
              <w:bottom w:val="nil"/>
              <w:right w:val="nil"/>
            </w:tcBorders>
            <w:noWrap/>
            <w:vAlign w:val="center"/>
            <w:hideMark/>
          </w:tcPr>
          <w:p w14:paraId="0C86706D" w14:textId="77777777" w:rsidR="001D0EC6" w:rsidRPr="001D0EC6" w:rsidRDefault="001D0EC6">
            <w:pPr>
              <w:jc w:val="right"/>
              <w:rPr>
                <w:sz w:val="15"/>
                <w:szCs w:val="15"/>
              </w:rPr>
            </w:pPr>
          </w:p>
        </w:tc>
        <w:tc>
          <w:tcPr>
            <w:tcW w:w="36" w:type="pct"/>
            <w:tcBorders>
              <w:top w:val="nil"/>
              <w:left w:val="nil"/>
              <w:bottom w:val="nil"/>
              <w:right w:val="nil"/>
            </w:tcBorders>
            <w:noWrap/>
            <w:vAlign w:val="center"/>
            <w:hideMark/>
          </w:tcPr>
          <w:p w14:paraId="1C93BCD3" w14:textId="77777777" w:rsidR="001D0EC6" w:rsidRPr="001D0EC6" w:rsidRDefault="001D0EC6">
            <w:pPr>
              <w:jc w:val="right"/>
              <w:rPr>
                <w:sz w:val="15"/>
                <w:szCs w:val="15"/>
              </w:rPr>
            </w:pPr>
          </w:p>
        </w:tc>
      </w:tr>
      <w:tr w:rsidR="001D0EC6" w:rsidRPr="001D0EC6" w14:paraId="1FD7B223" w14:textId="77777777" w:rsidTr="001D0EC6">
        <w:trPr>
          <w:trHeight w:val="198"/>
        </w:trPr>
        <w:tc>
          <w:tcPr>
            <w:tcW w:w="1087" w:type="pct"/>
            <w:tcBorders>
              <w:top w:val="nil"/>
              <w:left w:val="nil"/>
              <w:bottom w:val="nil"/>
              <w:right w:val="nil"/>
            </w:tcBorders>
            <w:noWrap/>
            <w:vAlign w:val="bottom"/>
            <w:hideMark/>
          </w:tcPr>
          <w:p w14:paraId="53619253"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Depósitos Judiciais</w:t>
            </w:r>
          </w:p>
        </w:tc>
        <w:tc>
          <w:tcPr>
            <w:tcW w:w="145" w:type="pct"/>
            <w:tcBorders>
              <w:top w:val="nil"/>
              <w:left w:val="nil"/>
              <w:bottom w:val="nil"/>
              <w:right w:val="nil"/>
            </w:tcBorders>
            <w:noWrap/>
            <w:vAlign w:val="center"/>
            <w:hideMark/>
          </w:tcPr>
          <w:p w14:paraId="61375B1C"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7</w:t>
            </w:r>
          </w:p>
        </w:tc>
        <w:tc>
          <w:tcPr>
            <w:tcW w:w="462" w:type="pct"/>
            <w:tcBorders>
              <w:top w:val="nil"/>
              <w:left w:val="nil"/>
              <w:bottom w:val="nil"/>
              <w:right w:val="nil"/>
            </w:tcBorders>
            <w:noWrap/>
            <w:vAlign w:val="center"/>
            <w:hideMark/>
          </w:tcPr>
          <w:p w14:paraId="23AF1CA9"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53.533 </w:t>
            </w:r>
          </w:p>
        </w:tc>
        <w:tc>
          <w:tcPr>
            <w:tcW w:w="36" w:type="pct"/>
            <w:tcBorders>
              <w:top w:val="nil"/>
              <w:left w:val="nil"/>
              <w:bottom w:val="nil"/>
              <w:right w:val="nil"/>
            </w:tcBorders>
            <w:noWrap/>
            <w:vAlign w:val="bottom"/>
            <w:hideMark/>
          </w:tcPr>
          <w:p w14:paraId="0FEB50EB"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518C12D3"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52.566 </w:t>
            </w:r>
          </w:p>
        </w:tc>
        <w:tc>
          <w:tcPr>
            <w:tcW w:w="36" w:type="pct"/>
            <w:tcBorders>
              <w:top w:val="nil"/>
              <w:left w:val="nil"/>
              <w:bottom w:val="nil"/>
              <w:right w:val="nil"/>
            </w:tcBorders>
            <w:noWrap/>
            <w:vAlign w:val="center"/>
            <w:hideMark/>
          </w:tcPr>
          <w:p w14:paraId="05BAFF20"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bottom"/>
            <w:hideMark/>
          </w:tcPr>
          <w:p w14:paraId="71DA1343"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Operações de Arrendamento Mercantil Financeiro</w:t>
            </w:r>
          </w:p>
        </w:tc>
        <w:tc>
          <w:tcPr>
            <w:tcW w:w="145" w:type="pct"/>
            <w:tcBorders>
              <w:top w:val="nil"/>
              <w:left w:val="nil"/>
              <w:bottom w:val="nil"/>
              <w:right w:val="nil"/>
            </w:tcBorders>
            <w:noWrap/>
            <w:vAlign w:val="center"/>
            <w:hideMark/>
          </w:tcPr>
          <w:p w14:paraId="5621EAB9"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22</w:t>
            </w:r>
          </w:p>
        </w:tc>
        <w:tc>
          <w:tcPr>
            <w:tcW w:w="500" w:type="pct"/>
            <w:tcBorders>
              <w:top w:val="nil"/>
              <w:left w:val="nil"/>
              <w:bottom w:val="nil"/>
              <w:right w:val="nil"/>
            </w:tcBorders>
            <w:noWrap/>
            <w:vAlign w:val="center"/>
            <w:hideMark/>
          </w:tcPr>
          <w:p w14:paraId="6E369EEF"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14.732 </w:t>
            </w:r>
          </w:p>
        </w:tc>
        <w:tc>
          <w:tcPr>
            <w:tcW w:w="36" w:type="pct"/>
            <w:tcBorders>
              <w:top w:val="nil"/>
              <w:left w:val="nil"/>
              <w:bottom w:val="nil"/>
              <w:right w:val="nil"/>
            </w:tcBorders>
            <w:noWrap/>
            <w:vAlign w:val="center"/>
            <w:hideMark/>
          </w:tcPr>
          <w:p w14:paraId="407C2DF6"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76FC0903"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14.786 </w:t>
            </w:r>
          </w:p>
        </w:tc>
        <w:tc>
          <w:tcPr>
            <w:tcW w:w="36" w:type="pct"/>
            <w:tcBorders>
              <w:top w:val="nil"/>
              <w:left w:val="nil"/>
              <w:bottom w:val="nil"/>
              <w:right w:val="nil"/>
            </w:tcBorders>
            <w:noWrap/>
            <w:vAlign w:val="bottom"/>
            <w:hideMark/>
          </w:tcPr>
          <w:p w14:paraId="3DF29F57" w14:textId="77777777" w:rsidR="001D0EC6" w:rsidRPr="001D0EC6" w:rsidRDefault="001D0EC6">
            <w:pPr>
              <w:jc w:val="right"/>
              <w:rPr>
                <w:rFonts w:ascii="Arial" w:hAnsi="Arial" w:cs="Arial"/>
                <w:color w:val="000000"/>
                <w:sz w:val="15"/>
                <w:szCs w:val="15"/>
              </w:rPr>
            </w:pPr>
          </w:p>
        </w:tc>
      </w:tr>
      <w:tr w:rsidR="001D0EC6" w:rsidRPr="001D0EC6" w14:paraId="74017EB5" w14:textId="77777777" w:rsidTr="001D0EC6">
        <w:trPr>
          <w:trHeight w:val="198"/>
        </w:trPr>
        <w:tc>
          <w:tcPr>
            <w:tcW w:w="1087" w:type="pct"/>
            <w:tcBorders>
              <w:top w:val="nil"/>
              <w:left w:val="nil"/>
              <w:bottom w:val="nil"/>
              <w:right w:val="nil"/>
            </w:tcBorders>
            <w:noWrap/>
            <w:vAlign w:val="bottom"/>
            <w:hideMark/>
          </w:tcPr>
          <w:p w14:paraId="30D9A0EA"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Superávit - Previdência Privada</w:t>
            </w:r>
          </w:p>
        </w:tc>
        <w:tc>
          <w:tcPr>
            <w:tcW w:w="145" w:type="pct"/>
            <w:tcBorders>
              <w:top w:val="nil"/>
              <w:left w:val="nil"/>
              <w:bottom w:val="nil"/>
              <w:right w:val="nil"/>
            </w:tcBorders>
            <w:noWrap/>
            <w:vAlign w:val="center"/>
            <w:hideMark/>
          </w:tcPr>
          <w:p w14:paraId="27FEED54"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8</w:t>
            </w:r>
          </w:p>
        </w:tc>
        <w:tc>
          <w:tcPr>
            <w:tcW w:w="462" w:type="pct"/>
            <w:tcBorders>
              <w:top w:val="nil"/>
              <w:left w:val="nil"/>
              <w:bottom w:val="nil"/>
              <w:right w:val="nil"/>
            </w:tcBorders>
            <w:noWrap/>
            <w:vAlign w:val="bottom"/>
            <w:hideMark/>
          </w:tcPr>
          <w:p w14:paraId="79E36B74"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 xml:space="preserve">                119.730 </w:t>
            </w:r>
          </w:p>
        </w:tc>
        <w:tc>
          <w:tcPr>
            <w:tcW w:w="36" w:type="pct"/>
            <w:tcBorders>
              <w:top w:val="nil"/>
              <w:left w:val="nil"/>
              <w:bottom w:val="nil"/>
              <w:right w:val="nil"/>
            </w:tcBorders>
            <w:noWrap/>
            <w:vAlign w:val="bottom"/>
            <w:hideMark/>
          </w:tcPr>
          <w:p w14:paraId="249E4D55" w14:textId="77777777" w:rsidR="001D0EC6" w:rsidRPr="001D0EC6" w:rsidRDefault="001D0EC6">
            <w:pPr>
              <w:rPr>
                <w:rFonts w:ascii="Arial" w:hAnsi="Arial" w:cs="Arial"/>
                <w:color w:val="000000"/>
                <w:sz w:val="15"/>
                <w:szCs w:val="15"/>
              </w:rPr>
            </w:pPr>
          </w:p>
        </w:tc>
        <w:tc>
          <w:tcPr>
            <w:tcW w:w="462" w:type="pct"/>
            <w:tcBorders>
              <w:top w:val="nil"/>
              <w:left w:val="nil"/>
              <w:bottom w:val="nil"/>
              <w:right w:val="nil"/>
            </w:tcBorders>
            <w:noWrap/>
            <w:vAlign w:val="bottom"/>
            <w:hideMark/>
          </w:tcPr>
          <w:p w14:paraId="68098A05"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 xml:space="preserve">                185.037 </w:t>
            </w:r>
          </w:p>
        </w:tc>
        <w:tc>
          <w:tcPr>
            <w:tcW w:w="36" w:type="pct"/>
            <w:tcBorders>
              <w:top w:val="nil"/>
              <w:left w:val="nil"/>
              <w:bottom w:val="nil"/>
              <w:right w:val="nil"/>
            </w:tcBorders>
            <w:noWrap/>
            <w:vAlign w:val="center"/>
            <w:hideMark/>
          </w:tcPr>
          <w:p w14:paraId="5100E158" w14:textId="77777777" w:rsidR="001D0EC6" w:rsidRPr="001D0EC6" w:rsidRDefault="001D0EC6">
            <w:pPr>
              <w:rPr>
                <w:rFonts w:ascii="Arial" w:hAnsi="Arial" w:cs="Arial"/>
                <w:color w:val="000000"/>
                <w:sz w:val="15"/>
                <w:szCs w:val="15"/>
              </w:rPr>
            </w:pPr>
          </w:p>
        </w:tc>
        <w:tc>
          <w:tcPr>
            <w:tcW w:w="1555" w:type="pct"/>
            <w:tcBorders>
              <w:top w:val="nil"/>
              <w:left w:val="nil"/>
              <w:bottom w:val="nil"/>
              <w:right w:val="nil"/>
            </w:tcBorders>
            <w:noWrap/>
            <w:vAlign w:val="bottom"/>
            <w:hideMark/>
          </w:tcPr>
          <w:p w14:paraId="29D1CCA7"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Provisão para Riscos Trabalhistas, Cíveis e Fiscais</w:t>
            </w:r>
          </w:p>
        </w:tc>
        <w:tc>
          <w:tcPr>
            <w:tcW w:w="145" w:type="pct"/>
            <w:tcBorders>
              <w:top w:val="nil"/>
              <w:left w:val="nil"/>
              <w:bottom w:val="nil"/>
              <w:right w:val="nil"/>
            </w:tcBorders>
            <w:noWrap/>
            <w:vAlign w:val="center"/>
            <w:hideMark/>
          </w:tcPr>
          <w:p w14:paraId="70A4FAC8"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20</w:t>
            </w:r>
          </w:p>
        </w:tc>
        <w:tc>
          <w:tcPr>
            <w:tcW w:w="500" w:type="pct"/>
            <w:tcBorders>
              <w:top w:val="nil"/>
              <w:left w:val="nil"/>
              <w:bottom w:val="nil"/>
              <w:right w:val="nil"/>
            </w:tcBorders>
            <w:noWrap/>
            <w:vAlign w:val="center"/>
            <w:hideMark/>
          </w:tcPr>
          <w:p w14:paraId="0435BBE0"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66.869 </w:t>
            </w:r>
          </w:p>
        </w:tc>
        <w:tc>
          <w:tcPr>
            <w:tcW w:w="36" w:type="pct"/>
            <w:tcBorders>
              <w:top w:val="nil"/>
              <w:left w:val="nil"/>
              <w:bottom w:val="nil"/>
              <w:right w:val="nil"/>
            </w:tcBorders>
            <w:noWrap/>
            <w:vAlign w:val="center"/>
            <w:hideMark/>
          </w:tcPr>
          <w:p w14:paraId="1C754589"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59F96558"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66.303 </w:t>
            </w:r>
          </w:p>
        </w:tc>
        <w:tc>
          <w:tcPr>
            <w:tcW w:w="36" w:type="pct"/>
            <w:tcBorders>
              <w:top w:val="nil"/>
              <w:left w:val="nil"/>
              <w:bottom w:val="nil"/>
              <w:right w:val="nil"/>
            </w:tcBorders>
            <w:noWrap/>
            <w:vAlign w:val="center"/>
            <w:hideMark/>
          </w:tcPr>
          <w:p w14:paraId="4FB1D33C" w14:textId="77777777" w:rsidR="001D0EC6" w:rsidRPr="001D0EC6" w:rsidRDefault="001D0EC6">
            <w:pPr>
              <w:jc w:val="right"/>
              <w:rPr>
                <w:rFonts w:ascii="Arial" w:hAnsi="Arial" w:cs="Arial"/>
                <w:color w:val="000000"/>
                <w:sz w:val="15"/>
                <w:szCs w:val="15"/>
              </w:rPr>
            </w:pPr>
          </w:p>
        </w:tc>
      </w:tr>
      <w:tr w:rsidR="001D0EC6" w:rsidRPr="001D0EC6" w14:paraId="6D98DC06" w14:textId="77777777" w:rsidTr="001D0EC6">
        <w:trPr>
          <w:trHeight w:val="198"/>
        </w:trPr>
        <w:tc>
          <w:tcPr>
            <w:tcW w:w="1087" w:type="pct"/>
            <w:tcBorders>
              <w:top w:val="nil"/>
              <w:left w:val="nil"/>
              <w:bottom w:val="nil"/>
              <w:right w:val="nil"/>
            </w:tcBorders>
            <w:noWrap/>
            <w:vAlign w:val="center"/>
            <w:hideMark/>
          </w:tcPr>
          <w:p w14:paraId="7866E4C1"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Outros Ativos Realizáveis</w:t>
            </w:r>
          </w:p>
        </w:tc>
        <w:tc>
          <w:tcPr>
            <w:tcW w:w="145" w:type="pct"/>
            <w:tcBorders>
              <w:top w:val="nil"/>
              <w:left w:val="nil"/>
              <w:bottom w:val="nil"/>
              <w:right w:val="nil"/>
            </w:tcBorders>
            <w:noWrap/>
            <w:vAlign w:val="center"/>
            <w:hideMark/>
          </w:tcPr>
          <w:p w14:paraId="1E62BBD3"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9.2</w:t>
            </w:r>
          </w:p>
        </w:tc>
        <w:tc>
          <w:tcPr>
            <w:tcW w:w="462" w:type="pct"/>
            <w:tcBorders>
              <w:top w:val="nil"/>
              <w:left w:val="nil"/>
              <w:bottom w:val="nil"/>
              <w:right w:val="nil"/>
            </w:tcBorders>
            <w:noWrap/>
            <w:vAlign w:val="center"/>
            <w:hideMark/>
          </w:tcPr>
          <w:p w14:paraId="4CCC3CEF"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5.238 </w:t>
            </w:r>
          </w:p>
        </w:tc>
        <w:tc>
          <w:tcPr>
            <w:tcW w:w="36" w:type="pct"/>
            <w:tcBorders>
              <w:top w:val="nil"/>
              <w:left w:val="nil"/>
              <w:bottom w:val="nil"/>
              <w:right w:val="nil"/>
            </w:tcBorders>
            <w:noWrap/>
            <w:vAlign w:val="center"/>
            <w:hideMark/>
          </w:tcPr>
          <w:p w14:paraId="524A67E7" w14:textId="77777777" w:rsidR="001D0EC6" w:rsidRPr="001D0EC6" w:rsidRDefault="001D0EC6">
            <w:pPr>
              <w:jc w:val="right"/>
              <w:rPr>
                <w:rFonts w:ascii="Arial" w:hAnsi="Arial" w:cs="Arial"/>
                <w:color w:val="000000"/>
                <w:sz w:val="15"/>
                <w:szCs w:val="15"/>
              </w:rPr>
            </w:pPr>
          </w:p>
        </w:tc>
        <w:tc>
          <w:tcPr>
            <w:tcW w:w="462" w:type="pct"/>
            <w:tcBorders>
              <w:top w:val="nil"/>
              <w:left w:val="nil"/>
              <w:bottom w:val="nil"/>
              <w:right w:val="nil"/>
            </w:tcBorders>
            <w:noWrap/>
            <w:vAlign w:val="center"/>
            <w:hideMark/>
          </w:tcPr>
          <w:p w14:paraId="0B80E2E9"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6.667 </w:t>
            </w:r>
          </w:p>
        </w:tc>
        <w:tc>
          <w:tcPr>
            <w:tcW w:w="36" w:type="pct"/>
            <w:tcBorders>
              <w:top w:val="nil"/>
              <w:left w:val="nil"/>
              <w:bottom w:val="nil"/>
              <w:right w:val="nil"/>
            </w:tcBorders>
            <w:noWrap/>
            <w:vAlign w:val="center"/>
            <w:hideMark/>
          </w:tcPr>
          <w:p w14:paraId="6A8DBDE3" w14:textId="77777777" w:rsidR="001D0EC6" w:rsidRPr="001D0EC6" w:rsidRDefault="001D0EC6">
            <w:pPr>
              <w:jc w:val="right"/>
              <w:rPr>
                <w:rFonts w:ascii="Arial" w:hAnsi="Arial" w:cs="Arial"/>
                <w:color w:val="000000"/>
                <w:sz w:val="15"/>
                <w:szCs w:val="15"/>
              </w:rPr>
            </w:pPr>
          </w:p>
        </w:tc>
        <w:tc>
          <w:tcPr>
            <w:tcW w:w="1555" w:type="pct"/>
            <w:tcBorders>
              <w:top w:val="nil"/>
              <w:left w:val="nil"/>
              <w:bottom w:val="nil"/>
              <w:right w:val="nil"/>
            </w:tcBorders>
            <w:noWrap/>
            <w:vAlign w:val="bottom"/>
            <w:hideMark/>
          </w:tcPr>
          <w:p w14:paraId="5ABAA4F9"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Provisão para Programa de Indenização por Serviços Prestados</w:t>
            </w:r>
          </w:p>
        </w:tc>
        <w:tc>
          <w:tcPr>
            <w:tcW w:w="145" w:type="pct"/>
            <w:tcBorders>
              <w:top w:val="nil"/>
              <w:left w:val="nil"/>
              <w:bottom w:val="nil"/>
              <w:right w:val="nil"/>
            </w:tcBorders>
            <w:noWrap/>
            <w:vAlign w:val="center"/>
            <w:hideMark/>
          </w:tcPr>
          <w:p w14:paraId="4557D9CB"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15</w:t>
            </w:r>
          </w:p>
        </w:tc>
        <w:tc>
          <w:tcPr>
            <w:tcW w:w="500" w:type="pct"/>
            <w:tcBorders>
              <w:top w:val="nil"/>
              <w:left w:val="nil"/>
              <w:bottom w:val="nil"/>
              <w:right w:val="nil"/>
            </w:tcBorders>
            <w:noWrap/>
            <w:vAlign w:val="center"/>
            <w:hideMark/>
          </w:tcPr>
          <w:p w14:paraId="564B2BD1"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19.063 </w:t>
            </w:r>
          </w:p>
        </w:tc>
        <w:tc>
          <w:tcPr>
            <w:tcW w:w="36" w:type="pct"/>
            <w:tcBorders>
              <w:top w:val="nil"/>
              <w:left w:val="nil"/>
              <w:bottom w:val="nil"/>
              <w:right w:val="nil"/>
            </w:tcBorders>
            <w:noWrap/>
            <w:vAlign w:val="center"/>
            <w:hideMark/>
          </w:tcPr>
          <w:p w14:paraId="1CDCE06C"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609A4D80"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19.075 </w:t>
            </w:r>
          </w:p>
        </w:tc>
        <w:tc>
          <w:tcPr>
            <w:tcW w:w="36" w:type="pct"/>
            <w:tcBorders>
              <w:top w:val="nil"/>
              <w:left w:val="nil"/>
              <w:bottom w:val="nil"/>
              <w:right w:val="nil"/>
            </w:tcBorders>
            <w:noWrap/>
            <w:vAlign w:val="bottom"/>
            <w:hideMark/>
          </w:tcPr>
          <w:p w14:paraId="1A9BFF2B" w14:textId="77777777" w:rsidR="001D0EC6" w:rsidRPr="001D0EC6" w:rsidRDefault="001D0EC6">
            <w:pPr>
              <w:jc w:val="right"/>
              <w:rPr>
                <w:rFonts w:ascii="Arial" w:hAnsi="Arial" w:cs="Arial"/>
                <w:color w:val="000000"/>
                <w:sz w:val="15"/>
                <w:szCs w:val="15"/>
              </w:rPr>
            </w:pPr>
          </w:p>
        </w:tc>
      </w:tr>
      <w:tr w:rsidR="001D0EC6" w:rsidRPr="001D0EC6" w14:paraId="66C2BD69" w14:textId="77777777" w:rsidTr="001D0EC6">
        <w:trPr>
          <w:trHeight w:val="198"/>
        </w:trPr>
        <w:tc>
          <w:tcPr>
            <w:tcW w:w="1087" w:type="pct"/>
            <w:tcBorders>
              <w:top w:val="nil"/>
              <w:left w:val="nil"/>
              <w:bottom w:val="nil"/>
              <w:right w:val="nil"/>
            </w:tcBorders>
            <w:noWrap/>
            <w:vAlign w:val="center"/>
            <w:hideMark/>
          </w:tcPr>
          <w:p w14:paraId="1C3DD65B" w14:textId="77777777" w:rsidR="001D0EC6" w:rsidRPr="001D0EC6" w:rsidRDefault="001D0EC6">
            <w:pPr>
              <w:rPr>
                <w:sz w:val="15"/>
                <w:szCs w:val="15"/>
              </w:rPr>
            </w:pPr>
          </w:p>
        </w:tc>
        <w:tc>
          <w:tcPr>
            <w:tcW w:w="145" w:type="pct"/>
            <w:tcBorders>
              <w:top w:val="nil"/>
              <w:left w:val="nil"/>
              <w:bottom w:val="nil"/>
              <w:right w:val="nil"/>
            </w:tcBorders>
            <w:noWrap/>
            <w:vAlign w:val="center"/>
            <w:hideMark/>
          </w:tcPr>
          <w:p w14:paraId="0B55246C" w14:textId="77777777" w:rsidR="001D0EC6" w:rsidRPr="001D0EC6" w:rsidRDefault="001D0EC6">
            <w:pPr>
              <w:rPr>
                <w:sz w:val="15"/>
                <w:szCs w:val="15"/>
              </w:rPr>
            </w:pPr>
          </w:p>
        </w:tc>
        <w:tc>
          <w:tcPr>
            <w:tcW w:w="462" w:type="pct"/>
            <w:tcBorders>
              <w:top w:val="single" w:sz="4" w:space="0" w:color="auto"/>
              <w:left w:val="nil"/>
              <w:bottom w:val="single" w:sz="4" w:space="0" w:color="auto"/>
              <w:right w:val="nil"/>
            </w:tcBorders>
            <w:noWrap/>
            <w:vAlign w:val="center"/>
            <w:hideMark/>
          </w:tcPr>
          <w:p w14:paraId="5C630206"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237.723 </w:t>
            </w:r>
          </w:p>
        </w:tc>
        <w:tc>
          <w:tcPr>
            <w:tcW w:w="36" w:type="pct"/>
            <w:tcBorders>
              <w:top w:val="nil"/>
              <w:left w:val="nil"/>
              <w:bottom w:val="nil"/>
              <w:right w:val="nil"/>
            </w:tcBorders>
            <w:noWrap/>
            <w:vAlign w:val="bottom"/>
            <w:hideMark/>
          </w:tcPr>
          <w:p w14:paraId="5D518242" w14:textId="77777777" w:rsidR="001D0EC6" w:rsidRPr="001D0EC6" w:rsidRDefault="001D0EC6">
            <w:pPr>
              <w:jc w:val="right"/>
              <w:rPr>
                <w:rFonts w:ascii="Arial" w:hAnsi="Arial" w:cs="Arial"/>
                <w:b/>
                <w:bCs/>
                <w:color w:val="000000"/>
                <w:sz w:val="15"/>
                <w:szCs w:val="15"/>
              </w:rPr>
            </w:pPr>
          </w:p>
        </w:tc>
        <w:tc>
          <w:tcPr>
            <w:tcW w:w="462" w:type="pct"/>
            <w:tcBorders>
              <w:top w:val="single" w:sz="4" w:space="0" w:color="auto"/>
              <w:left w:val="nil"/>
              <w:bottom w:val="single" w:sz="4" w:space="0" w:color="auto"/>
              <w:right w:val="nil"/>
            </w:tcBorders>
            <w:noWrap/>
            <w:vAlign w:val="center"/>
            <w:hideMark/>
          </w:tcPr>
          <w:p w14:paraId="1AFF1544"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302.014 </w:t>
            </w:r>
          </w:p>
        </w:tc>
        <w:tc>
          <w:tcPr>
            <w:tcW w:w="36" w:type="pct"/>
            <w:tcBorders>
              <w:top w:val="nil"/>
              <w:left w:val="nil"/>
              <w:bottom w:val="nil"/>
              <w:right w:val="nil"/>
            </w:tcBorders>
            <w:noWrap/>
            <w:vAlign w:val="center"/>
            <w:hideMark/>
          </w:tcPr>
          <w:p w14:paraId="46DF8BC6" w14:textId="77777777" w:rsidR="001D0EC6" w:rsidRPr="001D0EC6" w:rsidRDefault="001D0EC6">
            <w:pPr>
              <w:jc w:val="right"/>
              <w:rPr>
                <w:rFonts w:ascii="Arial" w:hAnsi="Arial" w:cs="Arial"/>
                <w:b/>
                <w:bCs/>
                <w:color w:val="000000"/>
                <w:sz w:val="15"/>
                <w:szCs w:val="15"/>
              </w:rPr>
            </w:pPr>
          </w:p>
        </w:tc>
        <w:tc>
          <w:tcPr>
            <w:tcW w:w="1555" w:type="pct"/>
            <w:tcBorders>
              <w:top w:val="nil"/>
              <w:left w:val="nil"/>
              <w:bottom w:val="nil"/>
              <w:right w:val="nil"/>
            </w:tcBorders>
            <w:noWrap/>
            <w:vAlign w:val="center"/>
            <w:hideMark/>
          </w:tcPr>
          <w:p w14:paraId="0901FC01"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Grupamento de Ações</w:t>
            </w:r>
          </w:p>
        </w:tc>
        <w:tc>
          <w:tcPr>
            <w:tcW w:w="145" w:type="pct"/>
            <w:tcBorders>
              <w:top w:val="nil"/>
              <w:left w:val="nil"/>
              <w:bottom w:val="nil"/>
              <w:right w:val="nil"/>
            </w:tcBorders>
            <w:noWrap/>
            <w:vAlign w:val="center"/>
            <w:hideMark/>
          </w:tcPr>
          <w:p w14:paraId="2C2D7A5F"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16</w:t>
            </w:r>
          </w:p>
        </w:tc>
        <w:tc>
          <w:tcPr>
            <w:tcW w:w="500" w:type="pct"/>
            <w:tcBorders>
              <w:top w:val="nil"/>
              <w:left w:val="nil"/>
              <w:bottom w:val="nil"/>
              <w:right w:val="nil"/>
            </w:tcBorders>
            <w:noWrap/>
            <w:vAlign w:val="center"/>
            <w:hideMark/>
          </w:tcPr>
          <w:p w14:paraId="67BC5757"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680 </w:t>
            </w:r>
          </w:p>
        </w:tc>
        <w:tc>
          <w:tcPr>
            <w:tcW w:w="36" w:type="pct"/>
            <w:tcBorders>
              <w:top w:val="nil"/>
              <w:left w:val="nil"/>
              <w:bottom w:val="nil"/>
              <w:right w:val="nil"/>
            </w:tcBorders>
            <w:noWrap/>
            <w:vAlign w:val="center"/>
            <w:hideMark/>
          </w:tcPr>
          <w:p w14:paraId="3F6F93B9"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3683085C"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680 </w:t>
            </w:r>
          </w:p>
        </w:tc>
        <w:tc>
          <w:tcPr>
            <w:tcW w:w="36" w:type="pct"/>
            <w:tcBorders>
              <w:top w:val="nil"/>
              <w:left w:val="nil"/>
              <w:bottom w:val="nil"/>
              <w:right w:val="nil"/>
            </w:tcBorders>
            <w:noWrap/>
            <w:vAlign w:val="bottom"/>
            <w:hideMark/>
          </w:tcPr>
          <w:p w14:paraId="5BE47754" w14:textId="77777777" w:rsidR="001D0EC6" w:rsidRPr="001D0EC6" w:rsidRDefault="001D0EC6">
            <w:pPr>
              <w:jc w:val="right"/>
              <w:rPr>
                <w:rFonts w:ascii="Arial" w:hAnsi="Arial" w:cs="Arial"/>
                <w:color w:val="000000"/>
                <w:sz w:val="15"/>
                <w:szCs w:val="15"/>
              </w:rPr>
            </w:pPr>
          </w:p>
        </w:tc>
      </w:tr>
      <w:tr w:rsidR="001D0EC6" w:rsidRPr="001D0EC6" w14:paraId="112A1B1E" w14:textId="77777777" w:rsidTr="001D0EC6">
        <w:trPr>
          <w:trHeight w:val="198"/>
        </w:trPr>
        <w:tc>
          <w:tcPr>
            <w:tcW w:w="1087" w:type="pct"/>
            <w:tcBorders>
              <w:top w:val="nil"/>
              <w:left w:val="nil"/>
              <w:bottom w:val="nil"/>
              <w:right w:val="nil"/>
            </w:tcBorders>
            <w:noWrap/>
            <w:vAlign w:val="center"/>
            <w:hideMark/>
          </w:tcPr>
          <w:p w14:paraId="57E95490" w14:textId="77777777" w:rsidR="001D0EC6" w:rsidRPr="001D0EC6" w:rsidRDefault="001D0EC6">
            <w:pPr>
              <w:rPr>
                <w:sz w:val="15"/>
                <w:szCs w:val="15"/>
              </w:rPr>
            </w:pPr>
          </w:p>
        </w:tc>
        <w:tc>
          <w:tcPr>
            <w:tcW w:w="145" w:type="pct"/>
            <w:tcBorders>
              <w:top w:val="nil"/>
              <w:left w:val="nil"/>
              <w:bottom w:val="nil"/>
              <w:right w:val="nil"/>
            </w:tcBorders>
            <w:noWrap/>
            <w:vAlign w:val="center"/>
            <w:hideMark/>
          </w:tcPr>
          <w:p w14:paraId="2D5DF5F9" w14:textId="77777777" w:rsidR="001D0EC6" w:rsidRPr="001D0EC6" w:rsidRDefault="001D0EC6">
            <w:pPr>
              <w:rPr>
                <w:sz w:val="15"/>
                <w:szCs w:val="15"/>
              </w:rPr>
            </w:pPr>
          </w:p>
        </w:tc>
        <w:tc>
          <w:tcPr>
            <w:tcW w:w="462" w:type="pct"/>
            <w:tcBorders>
              <w:top w:val="nil"/>
              <w:left w:val="nil"/>
              <w:bottom w:val="nil"/>
              <w:right w:val="nil"/>
            </w:tcBorders>
            <w:noWrap/>
            <w:vAlign w:val="center"/>
            <w:hideMark/>
          </w:tcPr>
          <w:p w14:paraId="08B22D3F" w14:textId="77777777" w:rsidR="001D0EC6" w:rsidRPr="001D0EC6" w:rsidRDefault="001D0EC6">
            <w:pPr>
              <w:jc w:val="center"/>
              <w:rPr>
                <w:sz w:val="15"/>
                <w:szCs w:val="15"/>
              </w:rPr>
            </w:pPr>
          </w:p>
        </w:tc>
        <w:tc>
          <w:tcPr>
            <w:tcW w:w="36" w:type="pct"/>
            <w:tcBorders>
              <w:top w:val="nil"/>
              <w:left w:val="nil"/>
              <w:bottom w:val="nil"/>
              <w:right w:val="nil"/>
            </w:tcBorders>
            <w:noWrap/>
            <w:vAlign w:val="center"/>
            <w:hideMark/>
          </w:tcPr>
          <w:p w14:paraId="367E90EB" w14:textId="77777777" w:rsidR="001D0EC6" w:rsidRPr="001D0EC6" w:rsidRDefault="001D0EC6">
            <w:pPr>
              <w:jc w:val="right"/>
              <w:rPr>
                <w:sz w:val="15"/>
                <w:szCs w:val="15"/>
              </w:rPr>
            </w:pPr>
          </w:p>
        </w:tc>
        <w:tc>
          <w:tcPr>
            <w:tcW w:w="462" w:type="pct"/>
            <w:tcBorders>
              <w:top w:val="nil"/>
              <w:left w:val="nil"/>
              <w:bottom w:val="nil"/>
              <w:right w:val="nil"/>
            </w:tcBorders>
            <w:noWrap/>
            <w:vAlign w:val="center"/>
            <w:hideMark/>
          </w:tcPr>
          <w:p w14:paraId="308A68B4" w14:textId="77777777" w:rsidR="001D0EC6" w:rsidRPr="001D0EC6" w:rsidRDefault="001D0EC6">
            <w:pPr>
              <w:jc w:val="right"/>
              <w:rPr>
                <w:sz w:val="15"/>
                <w:szCs w:val="15"/>
              </w:rPr>
            </w:pPr>
          </w:p>
        </w:tc>
        <w:tc>
          <w:tcPr>
            <w:tcW w:w="36" w:type="pct"/>
            <w:tcBorders>
              <w:top w:val="nil"/>
              <w:left w:val="nil"/>
              <w:bottom w:val="nil"/>
              <w:right w:val="nil"/>
            </w:tcBorders>
            <w:noWrap/>
            <w:vAlign w:val="center"/>
            <w:hideMark/>
          </w:tcPr>
          <w:p w14:paraId="48DF995B" w14:textId="77777777" w:rsidR="001D0EC6" w:rsidRPr="001D0EC6" w:rsidRDefault="001D0EC6">
            <w:pPr>
              <w:jc w:val="right"/>
              <w:rPr>
                <w:sz w:val="15"/>
                <w:szCs w:val="15"/>
              </w:rPr>
            </w:pPr>
          </w:p>
        </w:tc>
        <w:tc>
          <w:tcPr>
            <w:tcW w:w="1555" w:type="pct"/>
            <w:tcBorders>
              <w:top w:val="nil"/>
              <w:left w:val="nil"/>
              <w:bottom w:val="nil"/>
              <w:right w:val="nil"/>
            </w:tcBorders>
            <w:noWrap/>
            <w:vAlign w:val="center"/>
            <w:hideMark/>
          </w:tcPr>
          <w:p w14:paraId="450B1B57"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Receitas Diferidas</w:t>
            </w:r>
          </w:p>
        </w:tc>
        <w:tc>
          <w:tcPr>
            <w:tcW w:w="145" w:type="pct"/>
            <w:tcBorders>
              <w:top w:val="nil"/>
              <w:left w:val="nil"/>
              <w:bottom w:val="nil"/>
              <w:right w:val="nil"/>
            </w:tcBorders>
            <w:noWrap/>
            <w:vAlign w:val="center"/>
            <w:hideMark/>
          </w:tcPr>
          <w:p w14:paraId="5624A5EE"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23</w:t>
            </w:r>
          </w:p>
        </w:tc>
        <w:tc>
          <w:tcPr>
            <w:tcW w:w="500" w:type="pct"/>
            <w:tcBorders>
              <w:top w:val="nil"/>
              <w:left w:val="nil"/>
              <w:bottom w:val="nil"/>
              <w:right w:val="nil"/>
            </w:tcBorders>
            <w:noWrap/>
            <w:vAlign w:val="center"/>
            <w:hideMark/>
          </w:tcPr>
          <w:p w14:paraId="56FE86AF"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232.231 </w:t>
            </w:r>
          </w:p>
        </w:tc>
        <w:tc>
          <w:tcPr>
            <w:tcW w:w="36" w:type="pct"/>
            <w:tcBorders>
              <w:top w:val="nil"/>
              <w:left w:val="nil"/>
              <w:bottom w:val="nil"/>
              <w:right w:val="nil"/>
            </w:tcBorders>
            <w:noWrap/>
            <w:vAlign w:val="center"/>
            <w:hideMark/>
          </w:tcPr>
          <w:p w14:paraId="7D81BEA3"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757B75F6"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241.351 </w:t>
            </w:r>
          </w:p>
        </w:tc>
        <w:tc>
          <w:tcPr>
            <w:tcW w:w="36" w:type="pct"/>
            <w:tcBorders>
              <w:top w:val="nil"/>
              <w:left w:val="nil"/>
              <w:bottom w:val="nil"/>
              <w:right w:val="nil"/>
            </w:tcBorders>
            <w:noWrap/>
            <w:vAlign w:val="center"/>
            <w:hideMark/>
          </w:tcPr>
          <w:p w14:paraId="1C695D39" w14:textId="77777777" w:rsidR="001D0EC6" w:rsidRPr="001D0EC6" w:rsidRDefault="001D0EC6">
            <w:pPr>
              <w:jc w:val="right"/>
              <w:rPr>
                <w:rFonts w:ascii="Arial" w:hAnsi="Arial" w:cs="Arial"/>
                <w:color w:val="000000"/>
                <w:sz w:val="15"/>
                <w:szCs w:val="15"/>
              </w:rPr>
            </w:pPr>
          </w:p>
        </w:tc>
      </w:tr>
      <w:tr w:rsidR="001D0EC6" w:rsidRPr="001D0EC6" w14:paraId="7627A16B" w14:textId="77777777" w:rsidTr="001D0EC6">
        <w:trPr>
          <w:trHeight w:val="198"/>
        </w:trPr>
        <w:tc>
          <w:tcPr>
            <w:tcW w:w="1087" w:type="pct"/>
            <w:tcBorders>
              <w:top w:val="nil"/>
              <w:left w:val="nil"/>
              <w:bottom w:val="nil"/>
              <w:right w:val="nil"/>
            </w:tcBorders>
            <w:noWrap/>
            <w:vAlign w:val="bottom"/>
            <w:hideMark/>
          </w:tcPr>
          <w:p w14:paraId="175F0559"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Investimentos</w:t>
            </w:r>
          </w:p>
        </w:tc>
        <w:tc>
          <w:tcPr>
            <w:tcW w:w="145" w:type="pct"/>
            <w:tcBorders>
              <w:top w:val="nil"/>
              <w:left w:val="nil"/>
              <w:bottom w:val="nil"/>
              <w:right w:val="nil"/>
            </w:tcBorders>
            <w:noWrap/>
            <w:vAlign w:val="bottom"/>
            <w:hideMark/>
          </w:tcPr>
          <w:p w14:paraId="335CEAB2"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11</w:t>
            </w:r>
          </w:p>
        </w:tc>
        <w:tc>
          <w:tcPr>
            <w:tcW w:w="462" w:type="pct"/>
            <w:tcBorders>
              <w:top w:val="nil"/>
              <w:left w:val="nil"/>
              <w:bottom w:val="nil"/>
              <w:right w:val="nil"/>
            </w:tcBorders>
            <w:noWrap/>
            <w:vAlign w:val="bottom"/>
            <w:hideMark/>
          </w:tcPr>
          <w:p w14:paraId="0EA46D75"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 xml:space="preserve">                  75.510 </w:t>
            </w:r>
          </w:p>
        </w:tc>
        <w:tc>
          <w:tcPr>
            <w:tcW w:w="36" w:type="pct"/>
            <w:tcBorders>
              <w:top w:val="nil"/>
              <w:left w:val="nil"/>
              <w:bottom w:val="nil"/>
              <w:right w:val="nil"/>
            </w:tcBorders>
            <w:noWrap/>
            <w:vAlign w:val="bottom"/>
            <w:hideMark/>
          </w:tcPr>
          <w:p w14:paraId="5507DD39" w14:textId="77777777" w:rsidR="001D0EC6" w:rsidRPr="001D0EC6" w:rsidRDefault="001D0EC6">
            <w:pPr>
              <w:rPr>
                <w:rFonts w:ascii="Arial" w:hAnsi="Arial" w:cs="Arial"/>
                <w:color w:val="000000"/>
                <w:sz w:val="15"/>
                <w:szCs w:val="15"/>
              </w:rPr>
            </w:pPr>
          </w:p>
        </w:tc>
        <w:tc>
          <w:tcPr>
            <w:tcW w:w="462" w:type="pct"/>
            <w:tcBorders>
              <w:top w:val="nil"/>
              <w:left w:val="nil"/>
              <w:bottom w:val="nil"/>
              <w:right w:val="nil"/>
            </w:tcBorders>
            <w:noWrap/>
            <w:vAlign w:val="bottom"/>
            <w:hideMark/>
          </w:tcPr>
          <w:p w14:paraId="29BEA4A2"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 xml:space="preserve">                  76.332 </w:t>
            </w:r>
          </w:p>
        </w:tc>
        <w:tc>
          <w:tcPr>
            <w:tcW w:w="36" w:type="pct"/>
            <w:tcBorders>
              <w:top w:val="nil"/>
              <w:left w:val="nil"/>
              <w:bottom w:val="nil"/>
              <w:right w:val="nil"/>
            </w:tcBorders>
            <w:noWrap/>
            <w:vAlign w:val="center"/>
            <w:hideMark/>
          </w:tcPr>
          <w:p w14:paraId="11BE94ED" w14:textId="77777777" w:rsidR="001D0EC6" w:rsidRPr="001D0EC6" w:rsidRDefault="001D0EC6">
            <w:pPr>
              <w:rPr>
                <w:rFonts w:ascii="Arial" w:hAnsi="Arial" w:cs="Arial"/>
                <w:color w:val="000000"/>
                <w:sz w:val="15"/>
                <w:szCs w:val="15"/>
              </w:rPr>
            </w:pPr>
          </w:p>
        </w:tc>
        <w:tc>
          <w:tcPr>
            <w:tcW w:w="1555" w:type="pct"/>
            <w:tcBorders>
              <w:top w:val="nil"/>
              <w:left w:val="nil"/>
              <w:bottom w:val="nil"/>
              <w:right w:val="nil"/>
            </w:tcBorders>
            <w:noWrap/>
            <w:vAlign w:val="center"/>
            <w:hideMark/>
          </w:tcPr>
          <w:p w14:paraId="5763F2CE"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Recursos Capitalizáveis</w:t>
            </w:r>
          </w:p>
        </w:tc>
        <w:tc>
          <w:tcPr>
            <w:tcW w:w="145" w:type="pct"/>
            <w:tcBorders>
              <w:top w:val="nil"/>
              <w:left w:val="nil"/>
              <w:bottom w:val="nil"/>
              <w:right w:val="nil"/>
            </w:tcBorders>
            <w:noWrap/>
            <w:vAlign w:val="center"/>
            <w:hideMark/>
          </w:tcPr>
          <w:p w14:paraId="3066B735"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21</w:t>
            </w:r>
          </w:p>
        </w:tc>
        <w:tc>
          <w:tcPr>
            <w:tcW w:w="500" w:type="pct"/>
            <w:tcBorders>
              <w:top w:val="nil"/>
              <w:left w:val="nil"/>
              <w:bottom w:val="nil"/>
              <w:right w:val="nil"/>
            </w:tcBorders>
            <w:noWrap/>
            <w:vAlign w:val="center"/>
            <w:hideMark/>
          </w:tcPr>
          <w:p w14:paraId="6F8F3515"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2.017.599 </w:t>
            </w:r>
          </w:p>
        </w:tc>
        <w:tc>
          <w:tcPr>
            <w:tcW w:w="36" w:type="pct"/>
            <w:tcBorders>
              <w:top w:val="nil"/>
              <w:left w:val="nil"/>
              <w:bottom w:val="nil"/>
              <w:right w:val="nil"/>
            </w:tcBorders>
            <w:noWrap/>
            <w:vAlign w:val="center"/>
            <w:hideMark/>
          </w:tcPr>
          <w:p w14:paraId="63F455BF"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2F8A689D"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1.951.045 </w:t>
            </w:r>
          </w:p>
        </w:tc>
        <w:tc>
          <w:tcPr>
            <w:tcW w:w="36" w:type="pct"/>
            <w:tcBorders>
              <w:top w:val="nil"/>
              <w:left w:val="nil"/>
              <w:bottom w:val="nil"/>
              <w:right w:val="nil"/>
            </w:tcBorders>
            <w:noWrap/>
            <w:vAlign w:val="center"/>
            <w:hideMark/>
          </w:tcPr>
          <w:p w14:paraId="6BDC1BE9" w14:textId="77777777" w:rsidR="001D0EC6" w:rsidRPr="001D0EC6" w:rsidRDefault="001D0EC6">
            <w:pPr>
              <w:jc w:val="right"/>
              <w:rPr>
                <w:rFonts w:ascii="Arial" w:hAnsi="Arial" w:cs="Arial"/>
                <w:color w:val="000000"/>
                <w:sz w:val="15"/>
                <w:szCs w:val="15"/>
              </w:rPr>
            </w:pPr>
          </w:p>
        </w:tc>
      </w:tr>
      <w:tr w:rsidR="001D0EC6" w:rsidRPr="001D0EC6" w14:paraId="10EB07F2" w14:textId="77777777" w:rsidTr="001D0EC6">
        <w:trPr>
          <w:trHeight w:val="198"/>
        </w:trPr>
        <w:tc>
          <w:tcPr>
            <w:tcW w:w="1087" w:type="pct"/>
            <w:tcBorders>
              <w:top w:val="nil"/>
              <w:left w:val="nil"/>
              <w:bottom w:val="nil"/>
              <w:right w:val="nil"/>
            </w:tcBorders>
            <w:noWrap/>
            <w:vAlign w:val="center"/>
            <w:hideMark/>
          </w:tcPr>
          <w:p w14:paraId="696875BD"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Imobilizado</w:t>
            </w:r>
          </w:p>
        </w:tc>
        <w:tc>
          <w:tcPr>
            <w:tcW w:w="145" w:type="pct"/>
            <w:tcBorders>
              <w:top w:val="nil"/>
              <w:left w:val="nil"/>
              <w:bottom w:val="nil"/>
              <w:right w:val="nil"/>
            </w:tcBorders>
            <w:noWrap/>
            <w:vAlign w:val="center"/>
            <w:hideMark/>
          </w:tcPr>
          <w:p w14:paraId="6779B4D7"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12</w:t>
            </w:r>
          </w:p>
        </w:tc>
        <w:tc>
          <w:tcPr>
            <w:tcW w:w="462" w:type="pct"/>
            <w:tcBorders>
              <w:top w:val="nil"/>
              <w:left w:val="nil"/>
              <w:bottom w:val="nil"/>
              <w:right w:val="nil"/>
            </w:tcBorders>
            <w:noWrap/>
            <w:vAlign w:val="bottom"/>
            <w:hideMark/>
          </w:tcPr>
          <w:p w14:paraId="431B8C7F"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 xml:space="preserve">             1.644.303 </w:t>
            </w:r>
          </w:p>
        </w:tc>
        <w:tc>
          <w:tcPr>
            <w:tcW w:w="36" w:type="pct"/>
            <w:tcBorders>
              <w:top w:val="nil"/>
              <w:left w:val="nil"/>
              <w:bottom w:val="nil"/>
              <w:right w:val="nil"/>
            </w:tcBorders>
            <w:noWrap/>
            <w:vAlign w:val="center"/>
            <w:hideMark/>
          </w:tcPr>
          <w:p w14:paraId="12E9CFA9" w14:textId="77777777" w:rsidR="001D0EC6" w:rsidRPr="001D0EC6" w:rsidRDefault="001D0EC6">
            <w:pPr>
              <w:rPr>
                <w:rFonts w:ascii="Arial" w:hAnsi="Arial" w:cs="Arial"/>
                <w:color w:val="000000"/>
                <w:sz w:val="15"/>
                <w:szCs w:val="15"/>
              </w:rPr>
            </w:pPr>
          </w:p>
        </w:tc>
        <w:tc>
          <w:tcPr>
            <w:tcW w:w="462" w:type="pct"/>
            <w:tcBorders>
              <w:top w:val="nil"/>
              <w:left w:val="nil"/>
              <w:bottom w:val="nil"/>
              <w:right w:val="nil"/>
            </w:tcBorders>
            <w:noWrap/>
            <w:vAlign w:val="bottom"/>
            <w:hideMark/>
          </w:tcPr>
          <w:p w14:paraId="2ED052F9"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 xml:space="preserve">             1.697.499 </w:t>
            </w:r>
          </w:p>
        </w:tc>
        <w:tc>
          <w:tcPr>
            <w:tcW w:w="36" w:type="pct"/>
            <w:tcBorders>
              <w:top w:val="nil"/>
              <w:left w:val="nil"/>
              <w:bottom w:val="nil"/>
              <w:right w:val="nil"/>
            </w:tcBorders>
            <w:noWrap/>
            <w:vAlign w:val="center"/>
            <w:hideMark/>
          </w:tcPr>
          <w:p w14:paraId="090BE65D" w14:textId="77777777" w:rsidR="001D0EC6" w:rsidRPr="001D0EC6" w:rsidRDefault="001D0EC6">
            <w:pPr>
              <w:rPr>
                <w:rFonts w:ascii="Arial" w:hAnsi="Arial" w:cs="Arial"/>
                <w:color w:val="000000"/>
                <w:sz w:val="15"/>
                <w:szCs w:val="15"/>
              </w:rPr>
            </w:pPr>
          </w:p>
        </w:tc>
        <w:tc>
          <w:tcPr>
            <w:tcW w:w="1555" w:type="pct"/>
            <w:tcBorders>
              <w:top w:val="nil"/>
              <w:left w:val="nil"/>
              <w:bottom w:val="nil"/>
              <w:right w:val="nil"/>
            </w:tcBorders>
            <w:noWrap/>
            <w:vAlign w:val="center"/>
            <w:hideMark/>
          </w:tcPr>
          <w:p w14:paraId="28913156"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Total do Não Circulante</w:t>
            </w:r>
          </w:p>
        </w:tc>
        <w:tc>
          <w:tcPr>
            <w:tcW w:w="145" w:type="pct"/>
            <w:tcBorders>
              <w:top w:val="nil"/>
              <w:left w:val="nil"/>
              <w:bottom w:val="nil"/>
              <w:right w:val="nil"/>
            </w:tcBorders>
            <w:noWrap/>
            <w:vAlign w:val="center"/>
            <w:hideMark/>
          </w:tcPr>
          <w:p w14:paraId="651E88E1" w14:textId="77777777" w:rsidR="001D0EC6" w:rsidRPr="001D0EC6" w:rsidRDefault="001D0EC6">
            <w:pPr>
              <w:rPr>
                <w:rFonts w:ascii="Arial" w:hAnsi="Arial" w:cs="Arial"/>
                <w:b/>
                <w:bCs/>
                <w:color w:val="000000"/>
                <w:sz w:val="15"/>
                <w:szCs w:val="15"/>
              </w:rPr>
            </w:pPr>
          </w:p>
        </w:tc>
        <w:tc>
          <w:tcPr>
            <w:tcW w:w="500" w:type="pct"/>
            <w:tcBorders>
              <w:top w:val="single" w:sz="4" w:space="0" w:color="auto"/>
              <w:left w:val="nil"/>
              <w:bottom w:val="single" w:sz="4" w:space="0" w:color="auto"/>
              <w:right w:val="nil"/>
            </w:tcBorders>
            <w:noWrap/>
            <w:vAlign w:val="center"/>
            <w:hideMark/>
          </w:tcPr>
          <w:p w14:paraId="5F761B5E"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2.351.174 </w:t>
            </w:r>
          </w:p>
        </w:tc>
        <w:tc>
          <w:tcPr>
            <w:tcW w:w="36" w:type="pct"/>
            <w:tcBorders>
              <w:top w:val="nil"/>
              <w:left w:val="nil"/>
              <w:bottom w:val="nil"/>
              <w:right w:val="nil"/>
            </w:tcBorders>
            <w:noWrap/>
            <w:vAlign w:val="center"/>
            <w:hideMark/>
          </w:tcPr>
          <w:p w14:paraId="5104DA1C" w14:textId="77777777" w:rsidR="001D0EC6" w:rsidRPr="001D0EC6" w:rsidRDefault="001D0EC6">
            <w:pPr>
              <w:jc w:val="right"/>
              <w:rPr>
                <w:rFonts w:ascii="Arial" w:hAnsi="Arial" w:cs="Arial"/>
                <w:b/>
                <w:bCs/>
                <w:color w:val="000000"/>
                <w:sz w:val="15"/>
                <w:szCs w:val="15"/>
              </w:rPr>
            </w:pPr>
          </w:p>
        </w:tc>
        <w:tc>
          <w:tcPr>
            <w:tcW w:w="500" w:type="pct"/>
            <w:tcBorders>
              <w:top w:val="single" w:sz="4" w:space="0" w:color="auto"/>
              <w:left w:val="nil"/>
              <w:bottom w:val="single" w:sz="4" w:space="0" w:color="auto"/>
              <w:right w:val="nil"/>
            </w:tcBorders>
            <w:noWrap/>
            <w:vAlign w:val="center"/>
            <w:hideMark/>
          </w:tcPr>
          <w:p w14:paraId="423052C4"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2.293.240 </w:t>
            </w:r>
          </w:p>
        </w:tc>
        <w:tc>
          <w:tcPr>
            <w:tcW w:w="36" w:type="pct"/>
            <w:tcBorders>
              <w:top w:val="nil"/>
              <w:left w:val="nil"/>
              <w:bottom w:val="nil"/>
              <w:right w:val="nil"/>
            </w:tcBorders>
            <w:noWrap/>
            <w:vAlign w:val="bottom"/>
            <w:hideMark/>
          </w:tcPr>
          <w:p w14:paraId="52E406F0" w14:textId="77777777" w:rsidR="001D0EC6" w:rsidRPr="001D0EC6" w:rsidRDefault="001D0EC6">
            <w:pPr>
              <w:jc w:val="right"/>
              <w:rPr>
                <w:rFonts w:ascii="Arial" w:hAnsi="Arial" w:cs="Arial"/>
                <w:b/>
                <w:bCs/>
                <w:color w:val="000000"/>
                <w:sz w:val="15"/>
                <w:szCs w:val="15"/>
              </w:rPr>
            </w:pPr>
          </w:p>
        </w:tc>
      </w:tr>
      <w:tr w:rsidR="001D0EC6" w:rsidRPr="001D0EC6" w14:paraId="12AC69F5" w14:textId="77777777" w:rsidTr="001D0EC6">
        <w:trPr>
          <w:trHeight w:val="198"/>
        </w:trPr>
        <w:tc>
          <w:tcPr>
            <w:tcW w:w="1087" w:type="pct"/>
            <w:tcBorders>
              <w:top w:val="nil"/>
              <w:left w:val="nil"/>
              <w:bottom w:val="nil"/>
              <w:right w:val="nil"/>
            </w:tcBorders>
            <w:noWrap/>
            <w:vAlign w:val="center"/>
            <w:hideMark/>
          </w:tcPr>
          <w:p w14:paraId="239C91D4"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Intangível</w:t>
            </w:r>
          </w:p>
        </w:tc>
        <w:tc>
          <w:tcPr>
            <w:tcW w:w="145" w:type="pct"/>
            <w:tcBorders>
              <w:top w:val="nil"/>
              <w:left w:val="nil"/>
              <w:bottom w:val="nil"/>
              <w:right w:val="nil"/>
            </w:tcBorders>
            <w:noWrap/>
            <w:vAlign w:val="center"/>
            <w:hideMark/>
          </w:tcPr>
          <w:p w14:paraId="48932D5C"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13</w:t>
            </w:r>
          </w:p>
        </w:tc>
        <w:tc>
          <w:tcPr>
            <w:tcW w:w="462" w:type="pct"/>
            <w:tcBorders>
              <w:top w:val="nil"/>
              <w:left w:val="nil"/>
              <w:bottom w:val="nil"/>
              <w:right w:val="nil"/>
            </w:tcBorders>
            <w:noWrap/>
            <w:vAlign w:val="bottom"/>
            <w:hideMark/>
          </w:tcPr>
          <w:p w14:paraId="513FF6DE"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 xml:space="preserve">                  26.515 </w:t>
            </w:r>
          </w:p>
        </w:tc>
        <w:tc>
          <w:tcPr>
            <w:tcW w:w="36" w:type="pct"/>
            <w:tcBorders>
              <w:top w:val="nil"/>
              <w:left w:val="nil"/>
              <w:bottom w:val="nil"/>
              <w:right w:val="nil"/>
            </w:tcBorders>
            <w:noWrap/>
            <w:vAlign w:val="center"/>
            <w:hideMark/>
          </w:tcPr>
          <w:p w14:paraId="1DEE7153" w14:textId="77777777" w:rsidR="001D0EC6" w:rsidRPr="001D0EC6" w:rsidRDefault="001D0EC6">
            <w:pPr>
              <w:rPr>
                <w:rFonts w:ascii="Arial" w:hAnsi="Arial" w:cs="Arial"/>
                <w:color w:val="000000"/>
                <w:sz w:val="15"/>
                <w:szCs w:val="15"/>
              </w:rPr>
            </w:pPr>
          </w:p>
        </w:tc>
        <w:tc>
          <w:tcPr>
            <w:tcW w:w="462" w:type="pct"/>
            <w:tcBorders>
              <w:top w:val="nil"/>
              <w:left w:val="nil"/>
              <w:bottom w:val="nil"/>
              <w:right w:val="nil"/>
            </w:tcBorders>
            <w:noWrap/>
            <w:vAlign w:val="bottom"/>
            <w:hideMark/>
          </w:tcPr>
          <w:p w14:paraId="5F7E4C5A"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 xml:space="preserve">                  26.581 </w:t>
            </w:r>
          </w:p>
        </w:tc>
        <w:tc>
          <w:tcPr>
            <w:tcW w:w="36" w:type="pct"/>
            <w:tcBorders>
              <w:top w:val="nil"/>
              <w:left w:val="nil"/>
              <w:bottom w:val="nil"/>
              <w:right w:val="nil"/>
            </w:tcBorders>
            <w:noWrap/>
            <w:vAlign w:val="center"/>
            <w:hideMark/>
          </w:tcPr>
          <w:p w14:paraId="0B43F250" w14:textId="77777777" w:rsidR="001D0EC6" w:rsidRPr="001D0EC6" w:rsidRDefault="001D0EC6">
            <w:pPr>
              <w:rPr>
                <w:rFonts w:ascii="Arial" w:hAnsi="Arial" w:cs="Arial"/>
                <w:color w:val="000000"/>
                <w:sz w:val="15"/>
                <w:szCs w:val="15"/>
              </w:rPr>
            </w:pPr>
          </w:p>
        </w:tc>
        <w:tc>
          <w:tcPr>
            <w:tcW w:w="1555" w:type="pct"/>
            <w:tcBorders>
              <w:top w:val="nil"/>
              <w:left w:val="nil"/>
              <w:bottom w:val="nil"/>
              <w:right w:val="nil"/>
            </w:tcBorders>
            <w:noWrap/>
            <w:vAlign w:val="bottom"/>
            <w:hideMark/>
          </w:tcPr>
          <w:p w14:paraId="48B3A3D4"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2EA0E1C5"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6D020FAA"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031FE971"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7A4B511D"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3673C72A" w14:textId="77777777" w:rsidR="001D0EC6" w:rsidRPr="001D0EC6" w:rsidRDefault="001D0EC6">
            <w:pPr>
              <w:rPr>
                <w:sz w:val="15"/>
                <w:szCs w:val="15"/>
              </w:rPr>
            </w:pPr>
          </w:p>
        </w:tc>
      </w:tr>
      <w:tr w:rsidR="001D0EC6" w:rsidRPr="001D0EC6" w14:paraId="484D8B96" w14:textId="77777777" w:rsidTr="001D0EC6">
        <w:trPr>
          <w:trHeight w:val="198"/>
        </w:trPr>
        <w:tc>
          <w:tcPr>
            <w:tcW w:w="1087" w:type="pct"/>
            <w:tcBorders>
              <w:top w:val="nil"/>
              <w:left w:val="nil"/>
              <w:bottom w:val="nil"/>
              <w:right w:val="nil"/>
            </w:tcBorders>
            <w:noWrap/>
            <w:vAlign w:val="center"/>
            <w:hideMark/>
          </w:tcPr>
          <w:p w14:paraId="7B698B5B"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Total do Não Circulante</w:t>
            </w:r>
          </w:p>
        </w:tc>
        <w:tc>
          <w:tcPr>
            <w:tcW w:w="145" w:type="pct"/>
            <w:tcBorders>
              <w:top w:val="nil"/>
              <w:left w:val="nil"/>
              <w:bottom w:val="nil"/>
              <w:right w:val="nil"/>
            </w:tcBorders>
            <w:noWrap/>
            <w:vAlign w:val="center"/>
            <w:hideMark/>
          </w:tcPr>
          <w:p w14:paraId="1B141A79" w14:textId="77777777" w:rsidR="001D0EC6" w:rsidRPr="001D0EC6" w:rsidRDefault="001D0EC6">
            <w:pPr>
              <w:rPr>
                <w:rFonts w:ascii="Arial" w:hAnsi="Arial" w:cs="Arial"/>
                <w:b/>
                <w:bCs/>
                <w:color w:val="000000"/>
                <w:sz w:val="15"/>
                <w:szCs w:val="15"/>
              </w:rPr>
            </w:pPr>
          </w:p>
        </w:tc>
        <w:tc>
          <w:tcPr>
            <w:tcW w:w="462" w:type="pct"/>
            <w:tcBorders>
              <w:top w:val="single" w:sz="4" w:space="0" w:color="auto"/>
              <w:left w:val="nil"/>
              <w:bottom w:val="single" w:sz="4" w:space="0" w:color="auto"/>
              <w:right w:val="nil"/>
            </w:tcBorders>
            <w:noWrap/>
            <w:vAlign w:val="center"/>
            <w:hideMark/>
          </w:tcPr>
          <w:p w14:paraId="6D484389"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1.984.051 </w:t>
            </w:r>
          </w:p>
        </w:tc>
        <w:tc>
          <w:tcPr>
            <w:tcW w:w="36" w:type="pct"/>
            <w:tcBorders>
              <w:top w:val="nil"/>
              <w:left w:val="nil"/>
              <w:bottom w:val="nil"/>
              <w:right w:val="nil"/>
            </w:tcBorders>
            <w:noWrap/>
            <w:vAlign w:val="center"/>
            <w:hideMark/>
          </w:tcPr>
          <w:p w14:paraId="0853C5BA" w14:textId="77777777" w:rsidR="001D0EC6" w:rsidRPr="001D0EC6" w:rsidRDefault="001D0EC6">
            <w:pPr>
              <w:jc w:val="right"/>
              <w:rPr>
                <w:rFonts w:ascii="Arial" w:hAnsi="Arial" w:cs="Arial"/>
                <w:b/>
                <w:bCs/>
                <w:color w:val="000000"/>
                <w:sz w:val="15"/>
                <w:szCs w:val="15"/>
              </w:rPr>
            </w:pPr>
          </w:p>
        </w:tc>
        <w:tc>
          <w:tcPr>
            <w:tcW w:w="462" w:type="pct"/>
            <w:tcBorders>
              <w:top w:val="single" w:sz="4" w:space="0" w:color="auto"/>
              <w:left w:val="nil"/>
              <w:bottom w:val="single" w:sz="4" w:space="0" w:color="auto"/>
              <w:right w:val="nil"/>
            </w:tcBorders>
            <w:noWrap/>
            <w:vAlign w:val="center"/>
            <w:hideMark/>
          </w:tcPr>
          <w:p w14:paraId="10D513DD"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2.102.426 </w:t>
            </w:r>
          </w:p>
        </w:tc>
        <w:tc>
          <w:tcPr>
            <w:tcW w:w="36" w:type="pct"/>
            <w:tcBorders>
              <w:top w:val="nil"/>
              <w:left w:val="nil"/>
              <w:bottom w:val="nil"/>
              <w:right w:val="nil"/>
            </w:tcBorders>
            <w:noWrap/>
            <w:vAlign w:val="center"/>
            <w:hideMark/>
          </w:tcPr>
          <w:p w14:paraId="5967CDF7" w14:textId="77777777" w:rsidR="001D0EC6" w:rsidRPr="001D0EC6" w:rsidRDefault="001D0EC6">
            <w:pPr>
              <w:jc w:val="right"/>
              <w:rPr>
                <w:rFonts w:ascii="Arial" w:hAnsi="Arial" w:cs="Arial"/>
                <w:b/>
                <w:bCs/>
                <w:color w:val="000000"/>
                <w:sz w:val="15"/>
                <w:szCs w:val="15"/>
              </w:rPr>
            </w:pPr>
          </w:p>
        </w:tc>
        <w:tc>
          <w:tcPr>
            <w:tcW w:w="1555" w:type="pct"/>
            <w:tcBorders>
              <w:top w:val="nil"/>
              <w:left w:val="nil"/>
              <w:bottom w:val="nil"/>
              <w:right w:val="nil"/>
            </w:tcBorders>
            <w:vAlign w:val="center"/>
            <w:hideMark/>
          </w:tcPr>
          <w:p w14:paraId="7E555DE9"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Patrimônio Líquido</w:t>
            </w:r>
          </w:p>
        </w:tc>
        <w:tc>
          <w:tcPr>
            <w:tcW w:w="145" w:type="pct"/>
            <w:tcBorders>
              <w:top w:val="nil"/>
              <w:left w:val="nil"/>
              <w:bottom w:val="nil"/>
              <w:right w:val="nil"/>
            </w:tcBorders>
            <w:noWrap/>
            <w:vAlign w:val="center"/>
            <w:hideMark/>
          </w:tcPr>
          <w:p w14:paraId="2C00A40A" w14:textId="77777777" w:rsidR="001D0EC6" w:rsidRPr="001D0EC6" w:rsidRDefault="001D0EC6">
            <w:pPr>
              <w:jc w:val="center"/>
              <w:rPr>
                <w:rFonts w:ascii="Arial" w:hAnsi="Arial" w:cs="Arial"/>
                <w:color w:val="000000"/>
                <w:sz w:val="15"/>
                <w:szCs w:val="15"/>
              </w:rPr>
            </w:pPr>
            <w:r w:rsidRPr="001D0EC6">
              <w:rPr>
                <w:rFonts w:ascii="Arial" w:hAnsi="Arial" w:cs="Arial"/>
                <w:color w:val="000000"/>
                <w:sz w:val="15"/>
                <w:szCs w:val="15"/>
              </w:rPr>
              <w:t>26</w:t>
            </w:r>
          </w:p>
        </w:tc>
        <w:tc>
          <w:tcPr>
            <w:tcW w:w="500" w:type="pct"/>
            <w:tcBorders>
              <w:top w:val="nil"/>
              <w:left w:val="nil"/>
              <w:bottom w:val="nil"/>
              <w:right w:val="nil"/>
            </w:tcBorders>
            <w:noWrap/>
            <w:vAlign w:val="center"/>
            <w:hideMark/>
          </w:tcPr>
          <w:p w14:paraId="2FA1D8CB" w14:textId="77777777" w:rsidR="001D0EC6" w:rsidRPr="001D0EC6" w:rsidRDefault="001D0EC6">
            <w:pPr>
              <w:jc w:val="center"/>
              <w:rPr>
                <w:rFonts w:ascii="Arial" w:hAnsi="Arial" w:cs="Arial"/>
                <w:color w:val="000000"/>
                <w:sz w:val="15"/>
                <w:szCs w:val="15"/>
              </w:rPr>
            </w:pPr>
          </w:p>
        </w:tc>
        <w:tc>
          <w:tcPr>
            <w:tcW w:w="36" w:type="pct"/>
            <w:tcBorders>
              <w:top w:val="nil"/>
              <w:left w:val="nil"/>
              <w:bottom w:val="nil"/>
              <w:right w:val="nil"/>
            </w:tcBorders>
            <w:noWrap/>
            <w:vAlign w:val="center"/>
            <w:hideMark/>
          </w:tcPr>
          <w:p w14:paraId="6F06B052" w14:textId="77777777" w:rsidR="001D0EC6" w:rsidRPr="001D0EC6" w:rsidRDefault="001D0EC6">
            <w:pPr>
              <w:jc w:val="right"/>
              <w:rPr>
                <w:sz w:val="15"/>
                <w:szCs w:val="15"/>
              </w:rPr>
            </w:pPr>
          </w:p>
        </w:tc>
        <w:tc>
          <w:tcPr>
            <w:tcW w:w="500" w:type="pct"/>
            <w:tcBorders>
              <w:top w:val="nil"/>
              <w:left w:val="nil"/>
              <w:bottom w:val="nil"/>
              <w:right w:val="nil"/>
            </w:tcBorders>
            <w:noWrap/>
            <w:vAlign w:val="center"/>
            <w:hideMark/>
          </w:tcPr>
          <w:p w14:paraId="6EA72C0D" w14:textId="77777777" w:rsidR="001D0EC6" w:rsidRPr="001D0EC6" w:rsidRDefault="001D0EC6">
            <w:pPr>
              <w:jc w:val="right"/>
              <w:rPr>
                <w:sz w:val="15"/>
                <w:szCs w:val="15"/>
              </w:rPr>
            </w:pPr>
          </w:p>
        </w:tc>
        <w:tc>
          <w:tcPr>
            <w:tcW w:w="36" w:type="pct"/>
            <w:tcBorders>
              <w:top w:val="nil"/>
              <w:left w:val="nil"/>
              <w:bottom w:val="nil"/>
              <w:right w:val="nil"/>
            </w:tcBorders>
            <w:noWrap/>
            <w:vAlign w:val="bottom"/>
            <w:hideMark/>
          </w:tcPr>
          <w:p w14:paraId="1E51EF14" w14:textId="77777777" w:rsidR="001D0EC6" w:rsidRPr="001D0EC6" w:rsidRDefault="001D0EC6">
            <w:pPr>
              <w:jc w:val="right"/>
              <w:rPr>
                <w:sz w:val="15"/>
                <w:szCs w:val="15"/>
              </w:rPr>
            </w:pPr>
          </w:p>
        </w:tc>
      </w:tr>
      <w:tr w:rsidR="001D0EC6" w:rsidRPr="001D0EC6" w14:paraId="2C95CCDF" w14:textId="77777777" w:rsidTr="001D0EC6">
        <w:trPr>
          <w:trHeight w:val="198"/>
        </w:trPr>
        <w:tc>
          <w:tcPr>
            <w:tcW w:w="1087" w:type="pct"/>
            <w:tcBorders>
              <w:top w:val="nil"/>
              <w:left w:val="nil"/>
              <w:bottom w:val="nil"/>
              <w:right w:val="nil"/>
            </w:tcBorders>
            <w:noWrap/>
            <w:vAlign w:val="bottom"/>
            <w:hideMark/>
          </w:tcPr>
          <w:p w14:paraId="61F0D19B"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6EA61886"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7507B820"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442F8FBF"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6FAA706B"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78A7B77F" w14:textId="77777777" w:rsidR="001D0EC6" w:rsidRPr="001D0EC6" w:rsidRDefault="001D0EC6">
            <w:pPr>
              <w:rPr>
                <w:sz w:val="15"/>
                <w:szCs w:val="15"/>
              </w:rPr>
            </w:pPr>
          </w:p>
        </w:tc>
        <w:tc>
          <w:tcPr>
            <w:tcW w:w="1555" w:type="pct"/>
            <w:tcBorders>
              <w:top w:val="nil"/>
              <w:left w:val="nil"/>
              <w:bottom w:val="nil"/>
              <w:right w:val="nil"/>
            </w:tcBorders>
            <w:noWrap/>
            <w:vAlign w:val="center"/>
            <w:hideMark/>
          </w:tcPr>
          <w:p w14:paraId="55378270"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Capital Social</w:t>
            </w:r>
          </w:p>
        </w:tc>
        <w:tc>
          <w:tcPr>
            <w:tcW w:w="145" w:type="pct"/>
            <w:tcBorders>
              <w:top w:val="nil"/>
              <w:left w:val="nil"/>
              <w:bottom w:val="nil"/>
              <w:right w:val="nil"/>
            </w:tcBorders>
            <w:noWrap/>
            <w:vAlign w:val="center"/>
            <w:hideMark/>
          </w:tcPr>
          <w:p w14:paraId="4D93F3E7" w14:textId="77777777" w:rsidR="001D0EC6" w:rsidRPr="001D0EC6" w:rsidRDefault="001D0EC6">
            <w:pPr>
              <w:rPr>
                <w:rFonts w:ascii="Arial" w:hAnsi="Arial" w:cs="Arial"/>
                <w:color w:val="000000"/>
                <w:sz w:val="15"/>
                <w:szCs w:val="15"/>
              </w:rPr>
            </w:pPr>
          </w:p>
        </w:tc>
        <w:tc>
          <w:tcPr>
            <w:tcW w:w="500" w:type="pct"/>
            <w:tcBorders>
              <w:top w:val="nil"/>
              <w:left w:val="nil"/>
              <w:bottom w:val="nil"/>
              <w:right w:val="nil"/>
            </w:tcBorders>
            <w:noWrap/>
            <w:vAlign w:val="center"/>
            <w:hideMark/>
          </w:tcPr>
          <w:p w14:paraId="4000D05E"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3.719.535 </w:t>
            </w:r>
          </w:p>
        </w:tc>
        <w:tc>
          <w:tcPr>
            <w:tcW w:w="36" w:type="pct"/>
            <w:tcBorders>
              <w:top w:val="nil"/>
              <w:left w:val="nil"/>
              <w:bottom w:val="nil"/>
              <w:right w:val="nil"/>
            </w:tcBorders>
            <w:noWrap/>
            <w:vAlign w:val="center"/>
            <w:hideMark/>
          </w:tcPr>
          <w:p w14:paraId="7A466BC1"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7AA0C17F"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3.719.535 </w:t>
            </w:r>
          </w:p>
        </w:tc>
        <w:tc>
          <w:tcPr>
            <w:tcW w:w="36" w:type="pct"/>
            <w:tcBorders>
              <w:top w:val="nil"/>
              <w:left w:val="nil"/>
              <w:bottom w:val="nil"/>
              <w:right w:val="nil"/>
            </w:tcBorders>
            <w:noWrap/>
            <w:vAlign w:val="center"/>
            <w:hideMark/>
          </w:tcPr>
          <w:p w14:paraId="042C250B" w14:textId="77777777" w:rsidR="001D0EC6" w:rsidRPr="001D0EC6" w:rsidRDefault="001D0EC6">
            <w:pPr>
              <w:jc w:val="right"/>
              <w:rPr>
                <w:rFonts w:ascii="Arial" w:hAnsi="Arial" w:cs="Arial"/>
                <w:color w:val="000000"/>
                <w:sz w:val="15"/>
                <w:szCs w:val="15"/>
              </w:rPr>
            </w:pPr>
          </w:p>
        </w:tc>
      </w:tr>
      <w:tr w:rsidR="001D0EC6" w:rsidRPr="001D0EC6" w14:paraId="62B9C8A8" w14:textId="77777777" w:rsidTr="001D0EC6">
        <w:trPr>
          <w:trHeight w:val="198"/>
        </w:trPr>
        <w:tc>
          <w:tcPr>
            <w:tcW w:w="1087" w:type="pct"/>
            <w:tcBorders>
              <w:top w:val="nil"/>
              <w:left w:val="nil"/>
              <w:bottom w:val="nil"/>
              <w:right w:val="nil"/>
            </w:tcBorders>
            <w:noWrap/>
            <w:vAlign w:val="bottom"/>
            <w:hideMark/>
          </w:tcPr>
          <w:p w14:paraId="09E1517E" w14:textId="77777777" w:rsidR="001D0EC6" w:rsidRPr="001D0EC6" w:rsidRDefault="001D0EC6">
            <w:pPr>
              <w:jc w:val="right"/>
              <w:rPr>
                <w:sz w:val="15"/>
                <w:szCs w:val="15"/>
              </w:rPr>
            </w:pPr>
          </w:p>
        </w:tc>
        <w:tc>
          <w:tcPr>
            <w:tcW w:w="145" w:type="pct"/>
            <w:tcBorders>
              <w:top w:val="nil"/>
              <w:left w:val="nil"/>
              <w:bottom w:val="nil"/>
              <w:right w:val="nil"/>
            </w:tcBorders>
            <w:noWrap/>
            <w:vAlign w:val="bottom"/>
            <w:hideMark/>
          </w:tcPr>
          <w:p w14:paraId="24001762"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328DBE74"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02D0364B"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08BFA009"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3A6B2302" w14:textId="77777777" w:rsidR="001D0EC6" w:rsidRPr="001D0EC6" w:rsidRDefault="001D0EC6">
            <w:pPr>
              <w:rPr>
                <w:sz w:val="15"/>
                <w:szCs w:val="15"/>
              </w:rPr>
            </w:pPr>
          </w:p>
        </w:tc>
        <w:tc>
          <w:tcPr>
            <w:tcW w:w="1555" w:type="pct"/>
            <w:tcBorders>
              <w:top w:val="nil"/>
              <w:left w:val="nil"/>
              <w:bottom w:val="nil"/>
              <w:right w:val="nil"/>
            </w:tcBorders>
            <w:noWrap/>
            <w:vAlign w:val="center"/>
            <w:hideMark/>
          </w:tcPr>
          <w:p w14:paraId="3B2AD4DD"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Prejuízos Acumulados</w:t>
            </w:r>
          </w:p>
        </w:tc>
        <w:tc>
          <w:tcPr>
            <w:tcW w:w="145" w:type="pct"/>
            <w:tcBorders>
              <w:top w:val="nil"/>
              <w:left w:val="nil"/>
              <w:bottom w:val="nil"/>
              <w:right w:val="nil"/>
            </w:tcBorders>
            <w:noWrap/>
            <w:vAlign w:val="center"/>
            <w:hideMark/>
          </w:tcPr>
          <w:p w14:paraId="75350856" w14:textId="77777777" w:rsidR="001D0EC6" w:rsidRPr="001D0EC6" w:rsidRDefault="001D0EC6">
            <w:pPr>
              <w:rPr>
                <w:rFonts w:ascii="Arial" w:hAnsi="Arial" w:cs="Arial"/>
                <w:color w:val="000000"/>
                <w:sz w:val="15"/>
                <w:szCs w:val="15"/>
              </w:rPr>
            </w:pPr>
          </w:p>
        </w:tc>
        <w:tc>
          <w:tcPr>
            <w:tcW w:w="500" w:type="pct"/>
            <w:tcBorders>
              <w:top w:val="nil"/>
              <w:left w:val="nil"/>
              <w:bottom w:val="nil"/>
              <w:right w:val="nil"/>
            </w:tcBorders>
            <w:noWrap/>
            <w:vAlign w:val="center"/>
            <w:hideMark/>
          </w:tcPr>
          <w:p w14:paraId="0E8DB438"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(2.088.823)</w:t>
            </w:r>
          </w:p>
        </w:tc>
        <w:tc>
          <w:tcPr>
            <w:tcW w:w="36" w:type="pct"/>
            <w:tcBorders>
              <w:top w:val="nil"/>
              <w:left w:val="nil"/>
              <w:bottom w:val="nil"/>
              <w:right w:val="nil"/>
            </w:tcBorders>
            <w:noWrap/>
            <w:vAlign w:val="center"/>
            <w:hideMark/>
          </w:tcPr>
          <w:p w14:paraId="6D478E40"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6D291925"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(1.999.280)</w:t>
            </w:r>
          </w:p>
        </w:tc>
        <w:tc>
          <w:tcPr>
            <w:tcW w:w="36" w:type="pct"/>
            <w:tcBorders>
              <w:top w:val="nil"/>
              <w:left w:val="nil"/>
              <w:bottom w:val="nil"/>
              <w:right w:val="nil"/>
            </w:tcBorders>
            <w:noWrap/>
            <w:vAlign w:val="bottom"/>
            <w:hideMark/>
          </w:tcPr>
          <w:p w14:paraId="5CB68FDC" w14:textId="77777777" w:rsidR="001D0EC6" w:rsidRPr="001D0EC6" w:rsidRDefault="001D0EC6">
            <w:pPr>
              <w:jc w:val="right"/>
              <w:rPr>
                <w:rFonts w:ascii="Arial" w:hAnsi="Arial" w:cs="Arial"/>
                <w:color w:val="000000"/>
                <w:sz w:val="15"/>
                <w:szCs w:val="15"/>
              </w:rPr>
            </w:pPr>
          </w:p>
        </w:tc>
      </w:tr>
      <w:tr w:rsidR="001D0EC6" w:rsidRPr="001D0EC6" w14:paraId="4907A970" w14:textId="77777777" w:rsidTr="001D0EC6">
        <w:trPr>
          <w:trHeight w:val="198"/>
        </w:trPr>
        <w:tc>
          <w:tcPr>
            <w:tcW w:w="1087" w:type="pct"/>
            <w:tcBorders>
              <w:top w:val="nil"/>
              <w:left w:val="nil"/>
              <w:bottom w:val="nil"/>
              <w:right w:val="nil"/>
            </w:tcBorders>
            <w:noWrap/>
            <w:vAlign w:val="bottom"/>
            <w:hideMark/>
          </w:tcPr>
          <w:p w14:paraId="0C53B7CA"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02BE834C"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61BFB5F3"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12B42617"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2425FFAC"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60CE2F9E" w14:textId="77777777" w:rsidR="001D0EC6" w:rsidRPr="001D0EC6" w:rsidRDefault="001D0EC6">
            <w:pPr>
              <w:rPr>
                <w:sz w:val="15"/>
                <w:szCs w:val="15"/>
              </w:rPr>
            </w:pPr>
          </w:p>
        </w:tc>
        <w:tc>
          <w:tcPr>
            <w:tcW w:w="1555" w:type="pct"/>
            <w:tcBorders>
              <w:top w:val="nil"/>
              <w:left w:val="nil"/>
              <w:bottom w:val="nil"/>
              <w:right w:val="nil"/>
            </w:tcBorders>
            <w:noWrap/>
            <w:vAlign w:val="center"/>
            <w:hideMark/>
          </w:tcPr>
          <w:p w14:paraId="61059AD6"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Ajuste de Avaliação Patrimonial</w:t>
            </w:r>
          </w:p>
        </w:tc>
        <w:tc>
          <w:tcPr>
            <w:tcW w:w="145" w:type="pct"/>
            <w:tcBorders>
              <w:top w:val="nil"/>
              <w:left w:val="nil"/>
              <w:bottom w:val="nil"/>
              <w:right w:val="nil"/>
            </w:tcBorders>
            <w:noWrap/>
            <w:vAlign w:val="center"/>
            <w:hideMark/>
          </w:tcPr>
          <w:p w14:paraId="2F11E6CC" w14:textId="77777777" w:rsidR="001D0EC6" w:rsidRPr="001D0EC6" w:rsidRDefault="001D0EC6">
            <w:pPr>
              <w:rPr>
                <w:rFonts w:ascii="Arial" w:hAnsi="Arial" w:cs="Arial"/>
                <w:color w:val="000000"/>
                <w:sz w:val="15"/>
                <w:szCs w:val="15"/>
              </w:rPr>
            </w:pPr>
          </w:p>
        </w:tc>
        <w:tc>
          <w:tcPr>
            <w:tcW w:w="500" w:type="pct"/>
            <w:tcBorders>
              <w:top w:val="nil"/>
              <w:left w:val="nil"/>
              <w:bottom w:val="nil"/>
              <w:right w:val="nil"/>
            </w:tcBorders>
            <w:noWrap/>
            <w:vAlign w:val="center"/>
            <w:hideMark/>
          </w:tcPr>
          <w:p w14:paraId="5CCFFEE4"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31.998 </w:t>
            </w:r>
          </w:p>
        </w:tc>
        <w:tc>
          <w:tcPr>
            <w:tcW w:w="36" w:type="pct"/>
            <w:tcBorders>
              <w:top w:val="nil"/>
              <w:left w:val="nil"/>
              <w:bottom w:val="nil"/>
              <w:right w:val="nil"/>
            </w:tcBorders>
            <w:noWrap/>
            <w:vAlign w:val="center"/>
            <w:hideMark/>
          </w:tcPr>
          <w:p w14:paraId="3272686A"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6A1C8073"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31.945 </w:t>
            </w:r>
          </w:p>
        </w:tc>
        <w:tc>
          <w:tcPr>
            <w:tcW w:w="36" w:type="pct"/>
            <w:tcBorders>
              <w:top w:val="nil"/>
              <w:left w:val="nil"/>
              <w:bottom w:val="nil"/>
              <w:right w:val="nil"/>
            </w:tcBorders>
            <w:noWrap/>
            <w:vAlign w:val="center"/>
            <w:hideMark/>
          </w:tcPr>
          <w:p w14:paraId="6278A2BA" w14:textId="77777777" w:rsidR="001D0EC6" w:rsidRPr="001D0EC6" w:rsidRDefault="001D0EC6">
            <w:pPr>
              <w:jc w:val="right"/>
              <w:rPr>
                <w:rFonts w:ascii="Arial" w:hAnsi="Arial" w:cs="Arial"/>
                <w:color w:val="000000"/>
                <w:sz w:val="15"/>
                <w:szCs w:val="15"/>
              </w:rPr>
            </w:pPr>
          </w:p>
        </w:tc>
      </w:tr>
      <w:tr w:rsidR="001D0EC6" w:rsidRPr="001D0EC6" w14:paraId="18555458" w14:textId="77777777" w:rsidTr="001D0EC6">
        <w:trPr>
          <w:trHeight w:val="198"/>
        </w:trPr>
        <w:tc>
          <w:tcPr>
            <w:tcW w:w="1087" w:type="pct"/>
            <w:tcBorders>
              <w:top w:val="nil"/>
              <w:left w:val="nil"/>
              <w:bottom w:val="nil"/>
              <w:right w:val="nil"/>
            </w:tcBorders>
            <w:noWrap/>
            <w:vAlign w:val="bottom"/>
            <w:hideMark/>
          </w:tcPr>
          <w:p w14:paraId="45FC0ECB" w14:textId="77777777" w:rsidR="001D0EC6" w:rsidRPr="001D0EC6" w:rsidRDefault="001D0EC6">
            <w:pPr>
              <w:jc w:val="right"/>
              <w:rPr>
                <w:sz w:val="15"/>
                <w:szCs w:val="15"/>
              </w:rPr>
            </w:pPr>
          </w:p>
        </w:tc>
        <w:tc>
          <w:tcPr>
            <w:tcW w:w="145" w:type="pct"/>
            <w:tcBorders>
              <w:top w:val="nil"/>
              <w:left w:val="nil"/>
              <w:bottom w:val="nil"/>
              <w:right w:val="nil"/>
            </w:tcBorders>
            <w:noWrap/>
            <w:vAlign w:val="bottom"/>
            <w:hideMark/>
          </w:tcPr>
          <w:p w14:paraId="71D06B2B"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63AC4043"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622A3D0E"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09751F73"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6D443EB0" w14:textId="77777777" w:rsidR="001D0EC6" w:rsidRPr="001D0EC6" w:rsidRDefault="001D0EC6">
            <w:pPr>
              <w:rPr>
                <w:sz w:val="15"/>
                <w:szCs w:val="15"/>
              </w:rPr>
            </w:pPr>
          </w:p>
        </w:tc>
        <w:tc>
          <w:tcPr>
            <w:tcW w:w="1555" w:type="pct"/>
            <w:tcBorders>
              <w:top w:val="nil"/>
              <w:left w:val="nil"/>
              <w:bottom w:val="nil"/>
              <w:right w:val="nil"/>
            </w:tcBorders>
            <w:noWrap/>
            <w:vAlign w:val="center"/>
            <w:hideMark/>
          </w:tcPr>
          <w:p w14:paraId="6E25E3D1" w14:textId="77777777" w:rsidR="001D0EC6" w:rsidRPr="001D0EC6" w:rsidRDefault="001D0EC6">
            <w:pPr>
              <w:rPr>
                <w:rFonts w:ascii="Arial" w:hAnsi="Arial" w:cs="Arial"/>
                <w:color w:val="000000"/>
                <w:sz w:val="15"/>
                <w:szCs w:val="15"/>
              </w:rPr>
            </w:pPr>
            <w:r w:rsidRPr="001D0EC6">
              <w:rPr>
                <w:rFonts w:ascii="Arial" w:hAnsi="Arial" w:cs="Arial"/>
                <w:color w:val="000000"/>
                <w:sz w:val="15"/>
                <w:szCs w:val="15"/>
              </w:rPr>
              <w:t>Ações em Tesouraria</w:t>
            </w:r>
          </w:p>
        </w:tc>
        <w:tc>
          <w:tcPr>
            <w:tcW w:w="145" w:type="pct"/>
            <w:tcBorders>
              <w:top w:val="nil"/>
              <w:left w:val="nil"/>
              <w:bottom w:val="nil"/>
              <w:right w:val="nil"/>
            </w:tcBorders>
            <w:noWrap/>
            <w:vAlign w:val="center"/>
            <w:hideMark/>
          </w:tcPr>
          <w:p w14:paraId="3EA1A8C2" w14:textId="77777777" w:rsidR="001D0EC6" w:rsidRPr="001D0EC6" w:rsidRDefault="001D0EC6">
            <w:pPr>
              <w:rPr>
                <w:rFonts w:ascii="Arial" w:hAnsi="Arial" w:cs="Arial"/>
                <w:color w:val="000000"/>
                <w:sz w:val="15"/>
                <w:szCs w:val="15"/>
              </w:rPr>
            </w:pPr>
          </w:p>
        </w:tc>
        <w:tc>
          <w:tcPr>
            <w:tcW w:w="500" w:type="pct"/>
            <w:tcBorders>
              <w:top w:val="nil"/>
              <w:left w:val="nil"/>
              <w:bottom w:val="nil"/>
              <w:right w:val="nil"/>
            </w:tcBorders>
            <w:noWrap/>
            <w:vAlign w:val="center"/>
            <w:hideMark/>
          </w:tcPr>
          <w:p w14:paraId="5AD4009A"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(111)</w:t>
            </w:r>
          </w:p>
        </w:tc>
        <w:tc>
          <w:tcPr>
            <w:tcW w:w="36" w:type="pct"/>
            <w:tcBorders>
              <w:top w:val="nil"/>
              <w:left w:val="nil"/>
              <w:bottom w:val="nil"/>
              <w:right w:val="nil"/>
            </w:tcBorders>
            <w:noWrap/>
            <w:vAlign w:val="center"/>
            <w:hideMark/>
          </w:tcPr>
          <w:p w14:paraId="122803E4" w14:textId="77777777" w:rsidR="001D0EC6" w:rsidRPr="001D0EC6" w:rsidRDefault="001D0EC6">
            <w:pPr>
              <w:jc w:val="right"/>
              <w:rPr>
                <w:rFonts w:ascii="Arial" w:hAnsi="Arial" w:cs="Arial"/>
                <w:color w:val="000000"/>
                <w:sz w:val="15"/>
                <w:szCs w:val="15"/>
              </w:rPr>
            </w:pPr>
          </w:p>
        </w:tc>
        <w:tc>
          <w:tcPr>
            <w:tcW w:w="500" w:type="pct"/>
            <w:tcBorders>
              <w:top w:val="nil"/>
              <w:left w:val="nil"/>
              <w:bottom w:val="nil"/>
              <w:right w:val="nil"/>
            </w:tcBorders>
            <w:noWrap/>
            <w:vAlign w:val="center"/>
            <w:hideMark/>
          </w:tcPr>
          <w:p w14:paraId="242A038B" w14:textId="77777777" w:rsidR="001D0EC6" w:rsidRPr="001D0EC6" w:rsidRDefault="001D0EC6">
            <w:pPr>
              <w:jc w:val="right"/>
              <w:rPr>
                <w:rFonts w:ascii="Arial" w:hAnsi="Arial" w:cs="Arial"/>
                <w:color w:val="000000"/>
                <w:sz w:val="15"/>
                <w:szCs w:val="15"/>
              </w:rPr>
            </w:pPr>
            <w:r w:rsidRPr="001D0EC6">
              <w:rPr>
                <w:rFonts w:ascii="Arial" w:hAnsi="Arial" w:cs="Arial"/>
                <w:color w:val="000000"/>
                <w:sz w:val="15"/>
                <w:szCs w:val="15"/>
              </w:rPr>
              <w:t xml:space="preserve">                       (111)</w:t>
            </w:r>
          </w:p>
        </w:tc>
        <w:tc>
          <w:tcPr>
            <w:tcW w:w="36" w:type="pct"/>
            <w:tcBorders>
              <w:top w:val="nil"/>
              <w:left w:val="nil"/>
              <w:bottom w:val="nil"/>
              <w:right w:val="nil"/>
            </w:tcBorders>
            <w:noWrap/>
            <w:vAlign w:val="center"/>
            <w:hideMark/>
          </w:tcPr>
          <w:p w14:paraId="7AD6AA6F" w14:textId="77777777" w:rsidR="001D0EC6" w:rsidRPr="001D0EC6" w:rsidRDefault="001D0EC6">
            <w:pPr>
              <w:jc w:val="right"/>
              <w:rPr>
                <w:rFonts w:ascii="Arial" w:hAnsi="Arial" w:cs="Arial"/>
                <w:color w:val="000000"/>
                <w:sz w:val="15"/>
                <w:szCs w:val="15"/>
              </w:rPr>
            </w:pPr>
          </w:p>
        </w:tc>
      </w:tr>
      <w:tr w:rsidR="001D0EC6" w:rsidRPr="001D0EC6" w14:paraId="5A685FAF" w14:textId="77777777" w:rsidTr="001D0EC6">
        <w:trPr>
          <w:trHeight w:val="198"/>
        </w:trPr>
        <w:tc>
          <w:tcPr>
            <w:tcW w:w="1087" w:type="pct"/>
            <w:tcBorders>
              <w:top w:val="nil"/>
              <w:left w:val="nil"/>
              <w:bottom w:val="nil"/>
              <w:right w:val="nil"/>
            </w:tcBorders>
            <w:noWrap/>
            <w:vAlign w:val="bottom"/>
            <w:hideMark/>
          </w:tcPr>
          <w:p w14:paraId="1C917CBA" w14:textId="77777777" w:rsidR="001D0EC6" w:rsidRPr="001D0EC6" w:rsidRDefault="001D0EC6">
            <w:pPr>
              <w:jc w:val="right"/>
              <w:rPr>
                <w:sz w:val="15"/>
                <w:szCs w:val="15"/>
              </w:rPr>
            </w:pPr>
          </w:p>
        </w:tc>
        <w:tc>
          <w:tcPr>
            <w:tcW w:w="145" w:type="pct"/>
            <w:tcBorders>
              <w:top w:val="nil"/>
              <w:left w:val="nil"/>
              <w:bottom w:val="nil"/>
              <w:right w:val="nil"/>
            </w:tcBorders>
            <w:noWrap/>
            <w:vAlign w:val="bottom"/>
            <w:hideMark/>
          </w:tcPr>
          <w:p w14:paraId="146AAD5C"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5B896854"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41744A6A"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25578D91"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2ADEAAF9" w14:textId="77777777" w:rsidR="001D0EC6" w:rsidRPr="001D0EC6" w:rsidRDefault="001D0EC6">
            <w:pPr>
              <w:rPr>
                <w:sz w:val="15"/>
                <w:szCs w:val="15"/>
              </w:rPr>
            </w:pPr>
          </w:p>
        </w:tc>
        <w:tc>
          <w:tcPr>
            <w:tcW w:w="1555" w:type="pct"/>
            <w:tcBorders>
              <w:top w:val="nil"/>
              <w:left w:val="nil"/>
              <w:bottom w:val="nil"/>
              <w:right w:val="nil"/>
            </w:tcBorders>
            <w:noWrap/>
            <w:vAlign w:val="center"/>
            <w:hideMark/>
          </w:tcPr>
          <w:p w14:paraId="3B51EE3F"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Total do Patrimônio Líquido</w:t>
            </w:r>
          </w:p>
        </w:tc>
        <w:tc>
          <w:tcPr>
            <w:tcW w:w="145" w:type="pct"/>
            <w:tcBorders>
              <w:top w:val="nil"/>
              <w:left w:val="nil"/>
              <w:bottom w:val="nil"/>
              <w:right w:val="nil"/>
            </w:tcBorders>
            <w:noWrap/>
            <w:vAlign w:val="center"/>
            <w:hideMark/>
          </w:tcPr>
          <w:p w14:paraId="512DADEB" w14:textId="77777777" w:rsidR="001D0EC6" w:rsidRPr="001D0EC6" w:rsidRDefault="001D0EC6">
            <w:pPr>
              <w:rPr>
                <w:rFonts w:ascii="Arial" w:hAnsi="Arial" w:cs="Arial"/>
                <w:b/>
                <w:bCs/>
                <w:color w:val="000000"/>
                <w:sz w:val="15"/>
                <w:szCs w:val="15"/>
              </w:rPr>
            </w:pPr>
          </w:p>
        </w:tc>
        <w:tc>
          <w:tcPr>
            <w:tcW w:w="500" w:type="pct"/>
            <w:tcBorders>
              <w:top w:val="single" w:sz="4" w:space="0" w:color="auto"/>
              <w:left w:val="nil"/>
              <w:bottom w:val="single" w:sz="4" w:space="0" w:color="auto"/>
              <w:right w:val="nil"/>
            </w:tcBorders>
            <w:noWrap/>
            <w:vAlign w:val="center"/>
            <w:hideMark/>
          </w:tcPr>
          <w:p w14:paraId="6075F1B4"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1.662.599 </w:t>
            </w:r>
          </w:p>
        </w:tc>
        <w:tc>
          <w:tcPr>
            <w:tcW w:w="36" w:type="pct"/>
            <w:tcBorders>
              <w:top w:val="nil"/>
              <w:left w:val="nil"/>
              <w:bottom w:val="nil"/>
              <w:right w:val="nil"/>
            </w:tcBorders>
            <w:noWrap/>
            <w:vAlign w:val="center"/>
            <w:hideMark/>
          </w:tcPr>
          <w:p w14:paraId="27C65E5C" w14:textId="77777777" w:rsidR="001D0EC6" w:rsidRPr="001D0EC6" w:rsidRDefault="001D0EC6">
            <w:pPr>
              <w:jc w:val="right"/>
              <w:rPr>
                <w:rFonts w:ascii="Arial" w:hAnsi="Arial" w:cs="Arial"/>
                <w:b/>
                <w:bCs/>
                <w:color w:val="000000"/>
                <w:sz w:val="15"/>
                <w:szCs w:val="15"/>
              </w:rPr>
            </w:pPr>
          </w:p>
        </w:tc>
        <w:tc>
          <w:tcPr>
            <w:tcW w:w="500" w:type="pct"/>
            <w:tcBorders>
              <w:top w:val="single" w:sz="4" w:space="0" w:color="auto"/>
              <w:left w:val="nil"/>
              <w:bottom w:val="single" w:sz="4" w:space="0" w:color="auto"/>
              <w:right w:val="nil"/>
            </w:tcBorders>
            <w:noWrap/>
            <w:vAlign w:val="center"/>
            <w:hideMark/>
          </w:tcPr>
          <w:p w14:paraId="001EAC58"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1.752.089 </w:t>
            </w:r>
          </w:p>
        </w:tc>
        <w:tc>
          <w:tcPr>
            <w:tcW w:w="36" w:type="pct"/>
            <w:tcBorders>
              <w:top w:val="nil"/>
              <w:left w:val="nil"/>
              <w:bottom w:val="nil"/>
              <w:right w:val="nil"/>
            </w:tcBorders>
            <w:noWrap/>
            <w:vAlign w:val="center"/>
            <w:hideMark/>
          </w:tcPr>
          <w:p w14:paraId="33C652EF" w14:textId="77777777" w:rsidR="001D0EC6" w:rsidRPr="001D0EC6" w:rsidRDefault="001D0EC6">
            <w:pPr>
              <w:jc w:val="right"/>
              <w:rPr>
                <w:rFonts w:ascii="Arial" w:hAnsi="Arial" w:cs="Arial"/>
                <w:b/>
                <w:bCs/>
                <w:color w:val="000000"/>
                <w:sz w:val="15"/>
                <w:szCs w:val="15"/>
              </w:rPr>
            </w:pPr>
          </w:p>
        </w:tc>
      </w:tr>
      <w:tr w:rsidR="001D0EC6" w:rsidRPr="001D0EC6" w14:paraId="21CCE984" w14:textId="77777777" w:rsidTr="001D0EC6">
        <w:trPr>
          <w:trHeight w:val="198"/>
        </w:trPr>
        <w:tc>
          <w:tcPr>
            <w:tcW w:w="1087" w:type="pct"/>
            <w:tcBorders>
              <w:top w:val="nil"/>
              <w:left w:val="nil"/>
              <w:bottom w:val="nil"/>
              <w:right w:val="nil"/>
            </w:tcBorders>
            <w:noWrap/>
            <w:vAlign w:val="bottom"/>
            <w:hideMark/>
          </w:tcPr>
          <w:p w14:paraId="712BA206" w14:textId="77777777" w:rsidR="001D0EC6" w:rsidRPr="001D0EC6" w:rsidRDefault="001D0EC6">
            <w:pPr>
              <w:jc w:val="right"/>
              <w:rPr>
                <w:sz w:val="15"/>
                <w:szCs w:val="15"/>
              </w:rPr>
            </w:pPr>
          </w:p>
        </w:tc>
        <w:tc>
          <w:tcPr>
            <w:tcW w:w="145" w:type="pct"/>
            <w:tcBorders>
              <w:top w:val="nil"/>
              <w:left w:val="nil"/>
              <w:bottom w:val="nil"/>
              <w:right w:val="nil"/>
            </w:tcBorders>
            <w:noWrap/>
            <w:vAlign w:val="bottom"/>
            <w:hideMark/>
          </w:tcPr>
          <w:p w14:paraId="31F3BE23"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6ED2053A"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0A1F6AF9"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72579152"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246EDFD7" w14:textId="77777777" w:rsidR="001D0EC6" w:rsidRPr="001D0EC6" w:rsidRDefault="001D0EC6">
            <w:pPr>
              <w:rPr>
                <w:sz w:val="15"/>
                <w:szCs w:val="15"/>
              </w:rPr>
            </w:pPr>
          </w:p>
        </w:tc>
        <w:tc>
          <w:tcPr>
            <w:tcW w:w="1555" w:type="pct"/>
            <w:tcBorders>
              <w:top w:val="nil"/>
              <w:left w:val="nil"/>
              <w:bottom w:val="nil"/>
              <w:right w:val="nil"/>
            </w:tcBorders>
            <w:noWrap/>
            <w:vAlign w:val="bottom"/>
            <w:hideMark/>
          </w:tcPr>
          <w:p w14:paraId="4C8E080E"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7FD7EFD4"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1A1883B1"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3980D187"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1DF2F2AD"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0C548708" w14:textId="77777777" w:rsidR="001D0EC6" w:rsidRPr="001D0EC6" w:rsidRDefault="001D0EC6">
            <w:pPr>
              <w:rPr>
                <w:sz w:val="15"/>
                <w:szCs w:val="15"/>
              </w:rPr>
            </w:pPr>
          </w:p>
        </w:tc>
      </w:tr>
      <w:tr w:rsidR="001D0EC6" w:rsidRPr="001D0EC6" w14:paraId="7474E83F" w14:textId="77777777" w:rsidTr="001D0EC6">
        <w:trPr>
          <w:trHeight w:val="198"/>
        </w:trPr>
        <w:tc>
          <w:tcPr>
            <w:tcW w:w="1087" w:type="pct"/>
            <w:tcBorders>
              <w:top w:val="nil"/>
              <w:left w:val="nil"/>
              <w:bottom w:val="nil"/>
              <w:right w:val="nil"/>
            </w:tcBorders>
            <w:noWrap/>
            <w:vAlign w:val="bottom"/>
            <w:hideMark/>
          </w:tcPr>
          <w:p w14:paraId="4D273BDA" w14:textId="77777777" w:rsidR="001D0EC6" w:rsidRPr="001D0EC6" w:rsidRDefault="001D0EC6">
            <w:pPr>
              <w:jc w:val="right"/>
              <w:rPr>
                <w:sz w:val="15"/>
                <w:szCs w:val="15"/>
              </w:rPr>
            </w:pPr>
          </w:p>
        </w:tc>
        <w:tc>
          <w:tcPr>
            <w:tcW w:w="145" w:type="pct"/>
            <w:tcBorders>
              <w:top w:val="nil"/>
              <w:left w:val="nil"/>
              <w:bottom w:val="nil"/>
              <w:right w:val="nil"/>
            </w:tcBorders>
            <w:noWrap/>
            <w:vAlign w:val="bottom"/>
            <w:hideMark/>
          </w:tcPr>
          <w:p w14:paraId="752FFE4C"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4D3B9D39"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030B780A"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6A08D36C"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6FA3D47D" w14:textId="77777777" w:rsidR="001D0EC6" w:rsidRPr="001D0EC6" w:rsidRDefault="001D0EC6">
            <w:pPr>
              <w:rPr>
                <w:sz w:val="15"/>
                <w:szCs w:val="15"/>
              </w:rPr>
            </w:pPr>
          </w:p>
        </w:tc>
        <w:tc>
          <w:tcPr>
            <w:tcW w:w="1555" w:type="pct"/>
            <w:tcBorders>
              <w:top w:val="nil"/>
              <w:left w:val="nil"/>
              <w:bottom w:val="nil"/>
              <w:right w:val="nil"/>
            </w:tcBorders>
            <w:noWrap/>
            <w:vAlign w:val="bottom"/>
            <w:hideMark/>
          </w:tcPr>
          <w:p w14:paraId="7B1BB2B9"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70A45206"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6AEBA2E5"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6CD508A0"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43B8CF72" w14:textId="77777777" w:rsidR="001D0EC6" w:rsidRPr="001D0EC6" w:rsidRDefault="001D0EC6">
            <w:pPr>
              <w:rPr>
                <w:sz w:val="15"/>
                <w:szCs w:val="15"/>
              </w:rPr>
            </w:pPr>
          </w:p>
        </w:tc>
        <w:tc>
          <w:tcPr>
            <w:tcW w:w="36" w:type="pct"/>
            <w:tcBorders>
              <w:top w:val="nil"/>
              <w:left w:val="nil"/>
              <w:bottom w:val="nil"/>
              <w:right w:val="nil"/>
            </w:tcBorders>
            <w:noWrap/>
            <w:vAlign w:val="center"/>
            <w:hideMark/>
          </w:tcPr>
          <w:p w14:paraId="23FB22DB" w14:textId="77777777" w:rsidR="001D0EC6" w:rsidRPr="001D0EC6" w:rsidRDefault="001D0EC6">
            <w:pPr>
              <w:rPr>
                <w:sz w:val="15"/>
                <w:szCs w:val="15"/>
              </w:rPr>
            </w:pPr>
          </w:p>
        </w:tc>
      </w:tr>
      <w:tr w:rsidR="001D0EC6" w:rsidRPr="001D0EC6" w14:paraId="5D9CB23A" w14:textId="77777777" w:rsidTr="001D0EC6">
        <w:trPr>
          <w:trHeight w:val="198"/>
        </w:trPr>
        <w:tc>
          <w:tcPr>
            <w:tcW w:w="1087" w:type="pct"/>
            <w:tcBorders>
              <w:top w:val="nil"/>
              <w:left w:val="nil"/>
              <w:bottom w:val="nil"/>
              <w:right w:val="nil"/>
            </w:tcBorders>
            <w:noWrap/>
            <w:vAlign w:val="bottom"/>
            <w:hideMark/>
          </w:tcPr>
          <w:p w14:paraId="43FEBE09" w14:textId="77777777" w:rsidR="001D0EC6" w:rsidRPr="001D0EC6" w:rsidRDefault="001D0EC6">
            <w:pPr>
              <w:jc w:val="right"/>
              <w:rPr>
                <w:sz w:val="15"/>
                <w:szCs w:val="15"/>
              </w:rPr>
            </w:pPr>
          </w:p>
        </w:tc>
        <w:tc>
          <w:tcPr>
            <w:tcW w:w="145" w:type="pct"/>
            <w:tcBorders>
              <w:top w:val="nil"/>
              <w:left w:val="nil"/>
              <w:bottom w:val="nil"/>
              <w:right w:val="nil"/>
            </w:tcBorders>
            <w:noWrap/>
            <w:vAlign w:val="bottom"/>
            <w:hideMark/>
          </w:tcPr>
          <w:p w14:paraId="1ECD3092"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40CD0796"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14A8E853"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2EE58208"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35BA4A7E" w14:textId="77777777" w:rsidR="001D0EC6" w:rsidRPr="001D0EC6" w:rsidRDefault="001D0EC6">
            <w:pPr>
              <w:rPr>
                <w:sz w:val="15"/>
                <w:szCs w:val="15"/>
              </w:rPr>
            </w:pPr>
          </w:p>
        </w:tc>
        <w:tc>
          <w:tcPr>
            <w:tcW w:w="1555" w:type="pct"/>
            <w:tcBorders>
              <w:top w:val="nil"/>
              <w:left w:val="nil"/>
              <w:bottom w:val="nil"/>
              <w:right w:val="nil"/>
            </w:tcBorders>
            <w:noWrap/>
            <w:vAlign w:val="bottom"/>
            <w:hideMark/>
          </w:tcPr>
          <w:p w14:paraId="46C89898"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1892CA60"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526A7F78"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5AA8FA14"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1F8EC927"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43C7A89F" w14:textId="77777777" w:rsidR="001D0EC6" w:rsidRPr="001D0EC6" w:rsidRDefault="001D0EC6">
            <w:pPr>
              <w:rPr>
                <w:sz w:val="15"/>
                <w:szCs w:val="15"/>
              </w:rPr>
            </w:pPr>
          </w:p>
        </w:tc>
      </w:tr>
      <w:tr w:rsidR="001D0EC6" w:rsidRPr="001D0EC6" w14:paraId="108DC9FF" w14:textId="77777777" w:rsidTr="001D0EC6">
        <w:trPr>
          <w:trHeight w:val="198"/>
        </w:trPr>
        <w:tc>
          <w:tcPr>
            <w:tcW w:w="1087" w:type="pct"/>
            <w:tcBorders>
              <w:top w:val="nil"/>
              <w:left w:val="nil"/>
              <w:bottom w:val="nil"/>
              <w:right w:val="nil"/>
            </w:tcBorders>
            <w:noWrap/>
            <w:vAlign w:val="center"/>
            <w:hideMark/>
          </w:tcPr>
          <w:p w14:paraId="5F6E4C6F"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Total do Ativo</w:t>
            </w:r>
          </w:p>
        </w:tc>
        <w:tc>
          <w:tcPr>
            <w:tcW w:w="145" w:type="pct"/>
            <w:tcBorders>
              <w:top w:val="nil"/>
              <w:left w:val="nil"/>
              <w:bottom w:val="nil"/>
              <w:right w:val="nil"/>
            </w:tcBorders>
            <w:noWrap/>
            <w:vAlign w:val="center"/>
            <w:hideMark/>
          </w:tcPr>
          <w:p w14:paraId="257737B6" w14:textId="77777777" w:rsidR="001D0EC6" w:rsidRPr="001D0EC6" w:rsidRDefault="001D0EC6">
            <w:pPr>
              <w:rPr>
                <w:rFonts w:ascii="Arial" w:hAnsi="Arial" w:cs="Arial"/>
                <w:b/>
                <w:bCs/>
                <w:color w:val="000000"/>
                <w:sz w:val="15"/>
                <w:szCs w:val="15"/>
              </w:rPr>
            </w:pPr>
          </w:p>
        </w:tc>
        <w:tc>
          <w:tcPr>
            <w:tcW w:w="462" w:type="pct"/>
            <w:tcBorders>
              <w:top w:val="single" w:sz="4" w:space="0" w:color="auto"/>
              <w:left w:val="nil"/>
              <w:bottom w:val="double" w:sz="6" w:space="0" w:color="auto"/>
              <w:right w:val="nil"/>
            </w:tcBorders>
            <w:noWrap/>
            <w:vAlign w:val="center"/>
            <w:hideMark/>
          </w:tcPr>
          <w:p w14:paraId="69A0FE7B"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4.391.061 </w:t>
            </w:r>
          </w:p>
        </w:tc>
        <w:tc>
          <w:tcPr>
            <w:tcW w:w="36" w:type="pct"/>
            <w:tcBorders>
              <w:top w:val="nil"/>
              <w:left w:val="nil"/>
              <w:bottom w:val="nil"/>
              <w:right w:val="nil"/>
            </w:tcBorders>
            <w:noWrap/>
            <w:vAlign w:val="center"/>
            <w:hideMark/>
          </w:tcPr>
          <w:p w14:paraId="604FABD1" w14:textId="77777777" w:rsidR="001D0EC6" w:rsidRPr="001D0EC6" w:rsidRDefault="001D0EC6">
            <w:pPr>
              <w:jc w:val="right"/>
              <w:rPr>
                <w:rFonts w:ascii="Arial" w:hAnsi="Arial" w:cs="Arial"/>
                <w:b/>
                <w:bCs/>
                <w:color w:val="000000"/>
                <w:sz w:val="15"/>
                <w:szCs w:val="15"/>
              </w:rPr>
            </w:pPr>
          </w:p>
        </w:tc>
        <w:tc>
          <w:tcPr>
            <w:tcW w:w="462" w:type="pct"/>
            <w:tcBorders>
              <w:top w:val="single" w:sz="4" w:space="0" w:color="auto"/>
              <w:left w:val="nil"/>
              <w:bottom w:val="double" w:sz="6" w:space="0" w:color="auto"/>
              <w:right w:val="nil"/>
            </w:tcBorders>
            <w:noWrap/>
            <w:vAlign w:val="center"/>
            <w:hideMark/>
          </w:tcPr>
          <w:p w14:paraId="6B7F69C8"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4.412.466 </w:t>
            </w:r>
          </w:p>
        </w:tc>
        <w:tc>
          <w:tcPr>
            <w:tcW w:w="36" w:type="pct"/>
            <w:tcBorders>
              <w:top w:val="nil"/>
              <w:left w:val="nil"/>
              <w:bottom w:val="nil"/>
              <w:right w:val="nil"/>
            </w:tcBorders>
            <w:noWrap/>
            <w:vAlign w:val="bottom"/>
            <w:hideMark/>
          </w:tcPr>
          <w:p w14:paraId="120A1D56" w14:textId="77777777" w:rsidR="001D0EC6" w:rsidRPr="001D0EC6" w:rsidRDefault="001D0EC6">
            <w:pPr>
              <w:jc w:val="right"/>
              <w:rPr>
                <w:rFonts w:ascii="Arial" w:hAnsi="Arial" w:cs="Arial"/>
                <w:b/>
                <w:bCs/>
                <w:color w:val="000000"/>
                <w:sz w:val="15"/>
                <w:szCs w:val="15"/>
              </w:rPr>
            </w:pPr>
          </w:p>
        </w:tc>
        <w:tc>
          <w:tcPr>
            <w:tcW w:w="1555" w:type="pct"/>
            <w:tcBorders>
              <w:top w:val="nil"/>
              <w:left w:val="nil"/>
              <w:bottom w:val="nil"/>
              <w:right w:val="nil"/>
            </w:tcBorders>
            <w:noWrap/>
            <w:vAlign w:val="center"/>
            <w:hideMark/>
          </w:tcPr>
          <w:p w14:paraId="29143380" w14:textId="77777777" w:rsidR="001D0EC6" w:rsidRPr="001D0EC6" w:rsidRDefault="001D0EC6">
            <w:pPr>
              <w:rPr>
                <w:rFonts w:ascii="Arial" w:hAnsi="Arial" w:cs="Arial"/>
                <w:b/>
                <w:bCs/>
                <w:color w:val="000000"/>
                <w:sz w:val="15"/>
                <w:szCs w:val="15"/>
              </w:rPr>
            </w:pPr>
            <w:r w:rsidRPr="001D0EC6">
              <w:rPr>
                <w:rFonts w:ascii="Arial" w:hAnsi="Arial" w:cs="Arial"/>
                <w:b/>
                <w:bCs/>
                <w:color w:val="000000"/>
                <w:sz w:val="15"/>
                <w:szCs w:val="15"/>
              </w:rPr>
              <w:t>Total do Passivo</w:t>
            </w:r>
          </w:p>
        </w:tc>
        <w:tc>
          <w:tcPr>
            <w:tcW w:w="145" w:type="pct"/>
            <w:tcBorders>
              <w:top w:val="nil"/>
              <w:left w:val="nil"/>
              <w:bottom w:val="nil"/>
              <w:right w:val="nil"/>
            </w:tcBorders>
            <w:noWrap/>
            <w:vAlign w:val="center"/>
            <w:hideMark/>
          </w:tcPr>
          <w:p w14:paraId="07088561" w14:textId="77777777" w:rsidR="001D0EC6" w:rsidRPr="001D0EC6" w:rsidRDefault="001D0EC6">
            <w:pPr>
              <w:rPr>
                <w:rFonts w:ascii="Arial" w:hAnsi="Arial" w:cs="Arial"/>
                <w:b/>
                <w:bCs/>
                <w:color w:val="000000"/>
                <w:sz w:val="15"/>
                <w:szCs w:val="15"/>
              </w:rPr>
            </w:pPr>
          </w:p>
        </w:tc>
        <w:tc>
          <w:tcPr>
            <w:tcW w:w="500" w:type="pct"/>
            <w:tcBorders>
              <w:top w:val="single" w:sz="4" w:space="0" w:color="auto"/>
              <w:left w:val="nil"/>
              <w:bottom w:val="double" w:sz="6" w:space="0" w:color="auto"/>
              <w:right w:val="nil"/>
            </w:tcBorders>
            <w:noWrap/>
            <w:vAlign w:val="center"/>
            <w:hideMark/>
          </w:tcPr>
          <w:p w14:paraId="6CF17F7A"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4.391.061 </w:t>
            </w:r>
          </w:p>
        </w:tc>
        <w:tc>
          <w:tcPr>
            <w:tcW w:w="36" w:type="pct"/>
            <w:tcBorders>
              <w:top w:val="nil"/>
              <w:left w:val="nil"/>
              <w:bottom w:val="nil"/>
              <w:right w:val="nil"/>
            </w:tcBorders>
            <w:noWrap/>
            <w:vAlign w:val="center"/>
            <w:hideMark/>
          </w:tcPr>
          <w:p w14:paraId="07B44FBA" w14:textId="77777777" w:rsidR="001D0EC6" w:rsidRPr="001D0EC6" w:rsidRDefault="001D0EC6">
            <w:pPr>
              <w:jc w:val="right"/>
              <w:rPr>
                <w:rFonts w:ascii="Arial" w:hAnsi="Arial" w:cs="Arial"/>
                <w:b/>
                <w:bCs/>
                <w:color w:val="000000"/>
                <w:sz w:val="15"/>
                <w:szCs w:val="15"/>
              </w:rPr>
            </w:pPr>
          </w:p>
        </w:tc>
        <w:tc>
          <w:tcPr>
            <w:tcW w:w="500" w:type="pct"/>
            <w:tcBorders>
              <w:top w:val="single" w:sz="4" w:space="0" w:color="auto"/>
              <w:left w:val="nil"/>
              <w:bottom w:val="double" w:sz="6" w:space="0" w:color="auto"/>
              <w:right w:val="nil"/>
            </w:tcBorders>
            <w:noWrap/>
            <w:vAlign w:val="center"/>
            <w:hideMark/>
          </w:tcPr>
          <w:p w14:paraId="2B635555" w14:textId="77777777" w:rsidR="001D0EC6" w:rsidRPr="001D0EC6" w:rsidRDefault="001D0EC6">
            <w:pPr>
              <w:jc w:val="right"/>
              <w:rPr>
                <w:rFonts w:ascii="Arial" w:hAnsi="Arial" w:cs="Arial"/>
                <w:b/>
                <w:bCs/>
                <w:color w:val="000000"/>
                <w:sz w:val="15"/>
                <w:szCs w:val="15"/>
              </w:rPr>
            </w:pPr>
            <w:r w:rsidRPr="001D0EC6">
              <w:rPr>
                <w:rFonts w:ascii="Arial" w:hAnsi="Arial" w:cs="Arial"/>
                <w:b/>
                <w:bCs/>
                <w:color w:val="000000"/>
                <w:sz w:val="15"/>
                <w:szCs w:val="15"/>
              </w:rPr>
              <w:t xml:space="preserve">               4.412.466 </w:t>
            </w:r>
          </w:p>
        </w:tc>
        <w:tc>
          <w:tcPr>
            <w:tcW w:w="36" w:type="pct"/>
            <w:tcBorders>
              <w:top w:val="nil"/>
              <w:left w:val="nil"/>
              <w:bottom w:val="nil"/>
              <w:right w:val="nil"/>
            </w:tcBorders>
            <w:noWrap/>
            <w:vAlign w:val="bottom"/>
            <w:hideMark/>
          </w:tcPr>
          <w:p w14:paraId="1CCD71A7" w14:textId="77777777" w:rsidR="001D0EC6" w:rsidRPr="001D0EC6" w:rsidRDefault="001D0EC6">
            <w:pPr>
              <w:jc w:val="right"/>
              <w:rPr>
                <w:rFonts w:ascii="Arial" w:hAnsi="Arial" w:cs="Arial"/>
                <w:b/>
                <w:bCs/>
                <w:color w:val="000000"/>
                <w:sz w:val="15"/>
                <w:szCs w:val="15"/>
              </w:rPr>
            </w:pPr>
          </w:p>
        </w:tc>
      </w:tr>
      <w:tr w:rsidR="001D0EC6" w:rsidRPr="001D0EC6" w14:paraId="4DF78E99" w14:textId="77777777" w:rsidTr="001D0EC6">
        <w:trPr>
          <w:trHeight w:val="198"/>
        </w:trPr>
        <w:tc>
          <w:tcPr>
            <w:tcW w:w="1087" w:type="pct"/>
            <w:tcBorders>
              <w:top w:val="nil"/>
              <w:left w:val="nil"/>
              <w:bottom w:val="nil"/>
              <w:right w:val="nil"/>
            </w:tcBorders>
            <w:noWrap/>
            <w:vAlign w:val="bottom"/>
            <w:hideMark/>
          </w:tcPr>
          <w:p w14:paraId="2A8AE333"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2D3AF1C5"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4959EF07"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1A33BEEE" w14:textId="77777777" w:rsidR="001D0EC6" w:rsidRPr="001D0EC6" w:rsidRDefault="001D0EC6">
            <w:pPr>
              <w:rPr>
                <w:sz w:val="15"/>
                <w:szCs w:val="15"/>
              </w:rPr>
            </w:pPr>
          </w:p>
        </w:tc>
        <w:tc>
          <w:tcPr>
            <w:tcW w:w="462" w:type="pct"/>
            <w:tcBorders>
              <w:top w:val="nil"/>
              <w:left w:val="nil"/>
              <w:bottom w:val="nil"/>
              <w:right w:val="nil"/>
            </w:tcBorders>
            <w:noWrap/>
            <w:vAlign w:val="bottom"/>
            <w:hideMark/>
          </w:tcPr>
          <w:p w14:paraId="4E306CB4"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32C710BB" w14:textId="77777777" w:rsidR="001D0EC6" w:rsidRPr="001D0EC6" w:rsidRDefault="001D0EC6">
            <w:pPr>
              <w:rPr>
                <w:sz w:val="15"/>
                <w:szCs w:val="15"/>
              </w:rPr>
            </w:pPr>
          </w:p>
        </w:tc>
        <w:tc>
          <w:tcPr>
            <w:tcW w:w="1555" w:type="pct"/>
            <w:tcBorders>
              <w:top w:val="nil"/>
              <w:left w:val="nil"/>
              <w:bottom w:val="nil"/>
              <w:right w:val="nil"/>
            </w:tcBorders>
            <w:noWrap/>
            <w:vAlign w:val="bottom"/>
            <w:hideMark/>
          </w:tcPr>
          <w:p w14:paraId="19D99986"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4BE35703"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6B8DE3CE"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3D694E3F"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0BEB9CD5"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68EC57F7" w14:textId="77777777" w:rsidR="001D0EC6" w:rsidRPr="001D0EC6" w:rsidRDefault="001D0EC6">
            <w:pPr>
              <w:rPr>
                <w:sz w:val="15"/>
                <w:szCs w:val="15"/>
              </w:rPr>
            </w:pPr>
          </w:p>
        </w:tc>
      </w:tr>
      <w:tr w:rsidR="001D0EC6" w:rsidRPr="001D0EC6" w14:paraId="405FD4CA" w14:textId="77777777" w:rsidTr="001D0EC6">
        <w:trPr>
          <w:trHeight w:val="198"/>
        </w:trPr>
        <w:tc>
          <w:tcPr>
            <w:tcW w:w="2192" w:type="pct"/>
            <w:gridSpan w:val="5"/>
            <w:tcBorders>
              <w:top w:val="nil"/>
              <w:left w:val="nil"/>
              <w:bottom w:val="nil"/>
              <w:right w:val="nil"/>
            </w:tcBorders>
            <w:noWrap/>
            <w:vAlign w:val="bottom"/>
            <w:hideMark/>
          </w:tcPr>
          <w:p w14:paraId="2D2664B1" w14:textId="77777777" w:rsidR="001D0EC6" w:rsidRPr="001D0EC6" w:rsidRDefault="001D0EC6">
            <w:pPr>
              <w:rPr>
                <w:rFonts w:ascii="Arial" w:hAnsi="Arial" w:cs="Arial"/>
                <w:b/>
                <w:bCs/>
                <w:sz w:val="15"/>
                <w:szCs w:val="15"/>
              </w:rPr>
            </w:pPr>
            <w:r w:rsidRPr="001D0EC6">
              <w:rPr>
                <w:rFonts w:ascii="Arial" w:hAnsi="Arial" w:cs="Arial"/>
                <w:b/>
                <w:bCs/>
                <w:sz w:val="15"/>
                <w:szCs w:val="15"/>
              </w:rPr>
              <w:t>As notas explicativas são parte integrante das demonstrações contábeis</w:t>
            </w:r>
          </w:p>
        </w:tc>
        <w:tc>
          <w:tcPr>
            <w:tcW w:w="36" w:type="pct"/>
            <w:tcBorders>
              <w:top w:val="nil"/>
              <w:left w:val="nil"/>
              <w:bottom w:val="nil"/>
              <w:right w:val="nil"/>
            </w:tcBorders>
            <w:noWrap/>
            <w:vAlign w:val="bottom"/>
            <w:hideMark/>
          </w:tcPr>
          <w:p w14:paraId="34F19D5D" w14:textId="77777777" w:rsidR="001D0EC6" w:rsidRPr="001D0EC6" w:rsidRDefault="001D0EC6">
            <w:pPr>
              <w:rPr>
                <w:rFonts w:ascii="Arial" w:hAnsi="Arial" w:cs="Arial"/>
                <w:b/>
                <w:bCs/>
                <w:sz w:val="15"/>
                <w:szCs w:val="15"/>
              </w:rPr>
            </w:pPr>
          </w:p>
        </w:tc>
        <w:tc>
          <w:tcPr>
            <w:tcW w:w="1555" w:type="pct"/>
            <w:tcBorders>
              <w:top w:val="nil"/>
              <w:left w:val="nil"/>
              <w:bottom w:val="nil"/>
              <w:right w:val="nil"/>
            </w:tcBorders>
            <w:noWrap/>
            <w:vAlign w:val="bottom"/>
            <w:hideMark/>
          </w:tcPr>
          <w:p w14:paraId="342EC211" w14:textId="77777777" w:rsidR="001D0EC6" w:rsidRPr="001D0EC6" w:rsidRDefault="001D0EC6">
            <w:pPr>
              <w:rPr>
                <w:sz w:val="15"/>
                <w:szCs w:val="15"/>
              </w:rPr>
            </w:pPr>
          </w:p>
        </w:tc>
        <w:tc>
          <w:tcPr>
            <w:tcW w:w="145" w:type="pct"/>
            <w:tcBorders>
              <w:top w:val="nil"/>
              <w:left w:val="nil"/>
              <w:bottom w:val="nil"/>
              <w:right w:val="nil"/>
            </w:tcBorders>
            <w:noWrap/>
            <w:vAlign w:val="bottom"/>
            <w:hideMark/>
          </w:tcPr>
          <w:p w14:paraId="00D7D262"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72AEA2A9"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30A31BEB" w14:textId="77777777" w:rsidR="001D0EC6" w:rsidRPr="001D0EC6" w:rsidRDefault="001D0EC6">
            <w:pPr>
              <w:rPr>
                <w:sz w:val="15"/>
                <w:szCs w:val="15"/>
              </w:rPr>
            </w:pPr>
          </w:p>
        </w:tc>
        <w:tc>
          <w:tcPr>
            <w:tcW w:w="500" w:type="pct"/>
            <w:tcBorders>
              <w:top w:val="nil"/>
              <w:left w:val="nil"/>
              <w:bottom w:val="nil"/>
              <w:right w:val="nil"/>
            </w:tcBorders>
            <w:noWrap/>
            <w:vAlign w:val="bottom"/>
            <w:hideMark/>
          </w:tcPr>
          <w:p w14:paraId="7C72C263" w14:textId="77777777" w:rsidR="001D0EC6" w:rsidRPr="001D0EC6" w:rsidRDefault="001D0EC6">
            <w:pPr>
              <w:rPr>
                <w:sz w:val="15"/>
                <w:szCs w:val="15"/>
              </w:rPr>
            </w:pPr>
          </w:p>
        </w:tc>
        <w:tc>
          <w:tcPr>
            <w:tcW w:w="36" w:type="pct"/>
            <w:tcBorders>
              <w:top w:val="nil"/>
              <w:left w:val="nil"/>
              <w:bottom w:val="nil"/>
              <w:right w:val="nil"/>
            </w:tcBorders>
            <w:noWrap/>
            <w:vAlign w:val="bottom"/>
            <w:hideMark/>
          </w:tcPr>
          <w:p w14:paraId="59983CC2" w14:textId="77777777" w:rsidR="001D0EC6" w:rsidRPr="001D0EC6" w:rsidRDefault="001D0EC6">
            <w:pPr>
              <w:rPr>
                <w:sz w:val="15"/>
                <w:szCs w:val="15"/>
              </w:rPr>
            </w:pPr>
          </w:p>
        </w:tc>
      </w:tr>
    </w:tbl>
    <w:p w14:paraId="7F64B738" w14:textId="77777777" w:rsidR="00F54F45" w:rsidRDefault="00F54F45" w:rsidP="009A6C45">
      <w:pPr>
        <w:rPr>
          <w:rFonts w:ascii="Arial" w:hAnsi="Arial" w:cs="Arial"/>
          <w:b/>
          <w:bCs/>
          <w:sz w:val="18"/>
          <w:szCs w:val="18"/>
        </w:rPr>
        <w:sectPr w:rsidR="00F54F45" w:rsidSect="006056D5">
          <w:headerReference w:type="first" r:id="rId20"/>
          <w:footerReference w:type="first" r:id="rId21"/>
          <w:pgSz w:w="16838" w:h="11906" w:orient="landscape" w:code="9"/>
          <w:pgMar w:top="1134" w:right="395" w:bottom="851" w:left="1418" w:header="794" w:footer="850" w:gutter="0"/>
          <w:cols w:space="708"/>
          <w:titlePg/>
          <w:docGrid w:linePitch="360"/>
        </w:sectPr>
      </w:pPr>
    </w:p>
    <w:p w14:paraId="1CD85F2A" w14:textId="670FCD9B" w:rsidR="0002009A" w:rsidRPr="0074499F" w:rsidRDefault="0002009A" w:rsidP="0074499F">
      <w:pPr>
        <w:sectPr w:rsidR="0002009A" w:rsidRPr="0074499F" w:rsidSect="006056D5">
          <w:type w:val="continuous"/>
          <w:pgSz w:w="16838" w:h="11906" w:orient="landscape" w:code="9"/>
          <w:pgMar w:top="1134" w:right="395" w:bottom="851" w:left="1418" w:header="794" w:footer="1134"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581"/>
        <w:gridCol w:w="535"/>
        <w:gridCol w:w="147"/>
        <w:gridCol w:w="1733"/>
        <w:gridCol w:w="189"/>
        <w:gridCol w:w="1733"/>
        <w:gridCol w:w="146"/>
      </w:tblGrid>
      <w:tr w:rsidR="000826B8" w:rsidRPr="000826B8" w14:paraId="22C7DD1F" w14:textId="77777777" w:rsidTr="000826B8">
        <w:trPr>
          <w:trHeight w:val="232"/>
        </w:trPr>
        <w:tc>
          <w:tcPr>
            <w:tcW w:w="4927" w:type="pct"/>
            <w:gridSpan w:val="6"/>
            <w:tcBorders>
              <w:top w:val="nil"/>
              <w:left w:val="nil"/>
              <w:bottom w:val="nil"/>
              <w:right w:val="nil"/>
            </w:tcBorders>
            <w:noWrap/>
            <w:vAlign w:val="bottom"/>
            <w:hideMark/>
          </w:tcPr>
          <w:p w14:paraId="4C8B9C7A" w14:textId="77777777" w:rsidR="000826B8" w:rsidRPr="000826B8" w:rsidRDefault="000826B8">
            <w:pPr>
              <w:jc w:val="center"/>
              <w:rPr>
                <w:rFonts w:ascii="Arial" w:hAnsi="Arial" w:cs="Arial"/>
                <w:b/>
                <w:bCs/>
                <w:sz w:val="16"/>
                <w:szCs w:val="16"/>
              </w:rPr>
            </w:pPr>
            <w:r w:rsidRPr="000826B8">
              <w:rPr>
                <w:rFonts w:ascii="Arial" w:hAnsi="Arial" w:cs="Arial"/>
                <w:b/>
                <w:bCs/>
                <w:sz w:val="16"/>
                <w:szCs w:val="16"/>
              </w:rPr>
              <w:lastRenderedPageBreak/>
              <w:t>TELECOMUNICAÇÕES BRASILEIRAS S.A - "TELEBRAS"</w:t>
            </w:r>
          </w:p>
        </w:tc>
        <w:tc>
          <w:tcPr>
            <w:tcW w:w="73" w:type="pct"/>
            <w:tcBorders>
              <w:top w:val="nil"/>
              <w:left w:val="nil"/>
              <w:bottom w:val="nil"/>
              <w:right w:val="nil"/>
            </w:tcBorders>
            <w:noWrap/>
            <w:vAlign w:val="bottom"/>
            <w:hideMark/>
          </w:tcPr>
          <w:p w14:paraId="22FEC492" w14:textId="77777777" w:rsidR="000826B8" w:rsidRPr="000826B8" w:rsidRDefault="000826B8">
            <w:pPr>
              <w:jc w:val="center"/>
              <w:rPr>
                <w:rFonts w:ascii="Arial" w:hAnsi="Arial" w:cs="Arial"/>
                <w:b/>
                <w:bCs/>
                <w:sz w:val="16"/>
                <w:szCs w:val="16"/>
              </w:rPr>
            </w:pPr>
          </w:p>
        </w:tc>
      </w:tr>
      <w:tr w:rsidR="000826B8" w:rsidRPr="000826B8" w14:paraId="18816DF1" w14:textId="77777777" w:rsidTr="000826B8">
        <w:trPr>
          <w:trHeight w:val="232"/>
        </w:trPr>
        <w:tc>
          <w:tcPr>
            <w:tcW w:w="4927" w:type="pct"/>
            <w:gridSpan w:val="6"/>
            <w:tcBorders>
              <w:top w:val="nil"/>
              <w:left w:val="nil"/>
              <w:bottom w:val="nil"/>
              <w:right w:val="nil"/>
            </w:tcBorders>
            <w:noWrap/>
            <w:vAlign w:val="bottom"/>
            <w:hideMark/>
          </w:tcPr>
          <w:p w14:paraId="687ABE0F" w14:textId="77777777" w:rsidR="000826B8" w:rsidRPr="000826B8" w:rsidRDefault="000826B8">
            <w:pPr>
              <w:jc w:val="center"/>
              <w:rPr>
                <w:rFonts w:ascii="Arial" w:hAnsi="Arial" w:cs="Arial"/>
                <w:b/>
                <w:bCs/>
                <w:sz w:val="16"/>
                <w:szCs w:val="16"/>
              </w:rPr>
            </w:pPr>
            <w:r w:rsidRPr="000826B8">
              <w:rPr>
                <w:rFonts w:ascii="Arial" w:hAnsi="Arial" w:cs="Arial"/>
                <w:b/>
                <w:bCs/>
                <w:sz w:val="16"/>
                <w:szCs w:val="16"/>
              </w:rPr>
              <w:t>CNPJ 00.336.701/0001-04</w:t>
            </w:r>
          </w:p>
        </w:tc>
        <w:tc>
          <w:tcPr>
            <w:tcW w:w="73" w:type="pct"/>
            <w:tcBorders>
              <w:top w:val="nil"/>
              <w:left w:val="nil"/>
              <w:bottom w:val="nil"/>
              <w:right w:val="nil"/>
            </w:tcBorders>
            <w:noWrap/>
            <w:vAlign w:val="bottom"/>
            <w:hideMark/>
          </w:tcPr>
          <w:p w14:paraId="47DA3072" w14:textId="77777777" w:rsidR="000826B8" w:rsidRPr="000826B8" w:rsidRDefault="000826B8">
            <w:pPr>
              <w:jc w:val="center"/>
              <w:rPr>
                <w:rFonts w:ascii="Arial" w:hAnsi="Arial" w:cs="Arial"/>
                <w:b/>
                <w:bCs/>
                <w:sz w:val="16"/>
                <w:szCs w:val="16"/>
              </w:rPr>
            </w:pPr>
          </w:p>
        </w:tc>
      </w:tr>
      <w:tr w:rsidR="000826B8" w:rsidRPr="000826B8" w14:paraId="781F479C" w14:textId="77777777" w:rsidTr="000826B8">
        <w:trPr>
          <w:trHeight w:val="232"/>
        </w:trPr>
        <w:tc>
          <w:tcPr>
            <w:tcW w:w="4927" w:type="pct"/>
            <w:gridSpan w:val="6"/>
            <w:tcBorders>
              <w:top w:val="nil"/>
              <w:left w:val="nil"/>
              <w:bottom w:val="nil"/>
              <w:right w:val="nil"/>
            </w:tcBorders>
            <w:noWrap/>
            <w:vAlign w:val="bottom"/>
            <w:hideMark/>
          </w:tcPr>
          <w:p w14:paraId="386378F0" w14:textId="77777777" w:rsidR="000826B8" w:rsidRPr="000826B8" w:rsidRDefault="000826B8">
            <w:pPr>
              <w:jc w:val="center"/>
              <w:rPr>
                <w:rFonts w:ascii="Arial" w:hAnsi="Arial" w:cs="Arial"/>
                <w:b/>
                <w:bCs/>
                <w:sz w:val="16"/>
                <w:szCs w:val="16"/>
              </w:rPr>
            </w:pPr>
            <w:r w:rsidRPr="000826B8">
              <w:rPr>
                <w:rFonts w:ascii="Arial" w:hAnsi="Arial" w:cs="Arial"/>
                <w:b/>
                <w:bCs/>
                <w:sz w:val="16"/>
                <w:szCs w:val="16"/>
              </w:rPr>
              <w:t xml:space="preserve">Demonstrações do Resultado </w:t>
            </w:r>
          </w:p>
        </w:tc>
        <w:tc>
          <w:tcPr>
            <w:tcW w:w="73" w:type="pct"/>
            <w:tcBorders>
              <w:top w:val="nil"/>
              <w:left w:val="nil"/>
              <w:bottom w:val="nil"/>
              <w:right w:val="nil"/>
            </w:tcBorders>
            <w:noWrap/>
            <w:vAlign w:val="bottom"/>
            <w:hideMark/>
          </w:tcPr>
          <w:p w14:paraId="5B23667A" w14:textId="77777777" w:rsidR="000826B8" w:rsidRPr="000826B8" w:rsidRDefault="000826B8">
            <w:pPr>
              <w:jc w:val="center"/>
              <w:rPr>
                <w:rFonts w:ascii="Arial" w:hAnsi="Arial" w:cs="Arial"/>
                <w:b/>
                <w:bCs/>
                <w:sz w:val="16"/>
                <w:szCs w:val="16"/>
              </w:rPr>
            </w:pPr>
          </w:p>
        </w:tc>
      </w:tr>
      <w:tr w:rsidR="000826B8" w:rsidRPr="000826B8" w14:paraId="3C8E19EB" w14:textId="77777777" w:rsidTr="000826B8">
        <w:trPr>
          <w:trHeight w:val="232"/>
        </w:trPr>
        <w:tc>
          <w:tcPr>
            <w:tcW w:w="5000" w:type="pct"/>
            <w:gridSpan w:val="7"/>
            <w:tcBorders>
              <w:top w:val="nil"/>
              <w:left w:val="nil"/>
              <w:bottom w:val="nil"/>
              <w:right w:val="nil"/>
            </w:tcBorders>
            <w:noWrap/>
            <w:vAlign w:val="bottom"/>
            <w:hideMark/>
          </w:tcPr>
          <w:p w14:paraId="630B1E16" w14:textId="77777777" w:rsidR="000826B8" w:rsidRPr="000826B8" w:rsidRDefault="000826B8">
            <w:pPr>
              <w:jc w:val="center"/>
              <w:rPr>
                <w:rFonts w:ascii="Arial" w:hAnsi="Arial" w:cs="Arial"/>
                <w:b/>
                <w:bCs/>
                <w:sz w:val="16"/>
                <w:szCs w:val="16"/>
              </w:rPr>
            </w:pPr>
            <w:r w:rsidRPr="000826B8">
              <w:rPr>
                <w:rFonts w:ascii="Arial" w:hAnsi="Arial" w:cs="Arial"/>
                <w:b/>
                <w:bCs/>
                <w:sz w:val="16"/>
                <w:szCs w:val="16"/>
              </w:rPr>
              <w:t>Períodos findos em 31 de março de 2026 e 2025</w:t>
            </w:r>
          </w:p>
        </w:tc>
      </w:tr>
      <w:tr w:rsidR="000826B8" w:rsidRPr="000826B8" w14:paraId="26CBC4E2" w14:textId="77777777" w:rsidTr="000826B8">
        <w:trPr>
          <w:trHeight w:val="232"/>
        </w:trPr>
        <w:tc>
          <w:tcPr>
            <w:tcW w:w="4927" w:type="pct"/>
            <w:gridSpan w:val="6"/>
            <w:tcBorders>
              <w:top w:val="nil"/>
              <w:left w:val="nil"/>
              <w:bottom w:val="nil"/>
              <w:right w:val="nil"/>
            </w:tcBorders>
            <w:noWrap/>
            <w:vAlign w:val="bottom"/>
            <w:hideMark/>
          </w:tcPr>
          <w:p w14:paraId="328523BD" w14:textId="77777777" w:rsidR="000826B8" w:rsidRPr="000826B8" w:rsidRDefault="000826B8">
            <w:pPr>
              <w:jc w:val="center"/>
              <w:rPr>
                <w:rFonts w:ascii="Arial" w:hAnsi="Arial" w:cs="Arial"/>
                <w:b/>
                <w:bCs/>
                <w:sz w:val="16"/>
                <w:szCs w:val="16"/>
              </w:rPr>
            </w:pPr>
            <w:r w:rsidRPr="000826B8">
              <w:rPr>
                <w:rFonts w:ascii="Arial" w:hAnsi="Arial" w:cs="Arial"/>
                <w:b/>
                <w:bCs/>
                <w:sz w:val="16"/>
                <w:szCs w:val="16"/>
              </w:rPr>
              <w:t>Em milhares de reais, exceto quando indicado de outra forma</w:t>
            </w:r>
          </w:p>
        </w:tc>
        <w:tc>
          <w:tcPr>
            <w:tcW w:w="73" w:type="pct"/>
            <w:tcBorders>
              <w:top w:val="nil"/>
              <w:left w:val="nil"/>
              <w:bottom w:val="nil"/>
              <w:right w:val="nil"/>
            </w:tcBorders>
            <w:noWrap/>
            <w:vAlign w:val="bottom"/>
            <w:hideMark/>
          </w:tcPr>
          <w:p w14:paraId="38B8DB8F" w14:textId="77777777" w:rsidR="000826B8" w:rsidRPr="000826B8" w:rsidRDefault="000826B8">
            <w:pPr>
              <w:jc w:val="center"/>
              <w:rPr>
                <w:rFonts w:ascii="Arial" w:hAnsi="Arial" w:cs="Arial"/>
                <w:b/>
                <w:bCs/>
                <w:sz w:val="16"/>
                <w:szCs w:val="16"/>
              </w:rPr>
            </w:pPr>
          </w:p>
        </w:tc>
      </w:tr>
      <w:tr w:rsidR="000826B8" w:rsidRPr="000826B8" w14:paraId="45C34598" w14:textId="77777777" w:rsidTr="000826B8">
        <w:trPr>
          <w:trHeight w:val="232"/>
        </w:trPr>
        <w:tc>
          <w:tcPr>
            <w:tcW w:w="2773" w:type="pct"/>
            <w:tcBorders>
              <w:top w:val="nil"/>
              <w:left w:val="nil"/>
              <w:bottom w:val="nil"/>
              <w:right w:val="nil"/>
            </w:tcBorders>
            <w:noWrap/>
            <w:vAlign w:val="bottom"/>
            <w:hideMark/>
          </w:tcPr>
          <w:p w14:paraId="724CD3F6"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086C779C"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44355D3C"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4E469E2A" w14:textId="77777777" w:rsidR="000826B8" w:rsidRPr="000826B8" w:rsidRDefault="000826B8">
            <w:pPr>
              <w:rPr>
                <w:sz w:val="16"/>
                <w:szCs w:val="16"/>
              </w:rPr>
            </w:pPr>
          </w:p>
        </w:tc>
        <w:tc>
          <w:tcPr>
            <w:tcW w:w="94" w:type="pct"/>
            <w:tcBorders>
              <w:top w:val="nil"/>
              <w:left w:val="nil"/>
              <w:bottom w:val="nil"/>
              <w:right w:val="nil"/>
            </w:tcBorders>
            <w:noWrap/>
            <w:vAlign w:val="bottom"/>
            <w:hideMark/>
          </w:tcPr>
          <w:p w14:paraId="062E8329"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416A5D76"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28906018" w14:textId="77777777" w:rsidR="000826B8" w:rsidRPr="000826B8" w:rsidRDefault="000826B8">
            <w:pPr>
              <w:rPr>
                <w:sz w:val="16"/>
                <w:szCs w:val="16"/>
              </w:rPr>
            </w:pPr>
          </w:p>
        </w:tc>
      </w:tr>
      <w:tr w:rsidR="000826B8" w:rsidRPr="000826B8" w14:paraId="62E73093" w14:textId="77777777" w:rsidTr="000826B8">
        <w:trPr>
          <w:trHeight w:val="232"/>
        </w:trPr>
        <w:tc>
          <w:tcPr>
            <w:tcW w:w="2773" w:type="pct"/>
            <w:tcBorders>
              <w:top w:val="nil"/>
              <w:left w:val="nil"/>
              <w:bottom w:val="nil"/>
              <w:right w:val="nil"/>
            </w:tcBorders>
            <w:noWrap/>
            <w:vAlign w:val="bottom"/>
            <w:hideMark/>
          </w:tcPr>
          <w:p w14:paraId="6F51BFFE"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2E3F6311" w14:textId="77777777" w:rsidR="000826B8" w:rsidRPr="000826B8" w:rsidRDefault="000826B8">
            <w:pPr>
              <w:rPr>
                <w:sz w:val="16"/>
                <w:szCs w:val="16"/>
              </w:rPr>
            </w:pPr>
          </w:p>
        </w:tc>
        <w:tc>
          <w:tcPr>
            <w:tcW w:w="1889" w:type="pct"/>
            <w:gridSpan w:val="4"/>
            <w:tcBorders>
              <w:top w:val="nil"/>
              <w:left w:val="nil"/>
              <w:bottom w:val="single" w:sz="4" w:space="0" w:color="000000"/>
              <w:right w:val="nil"/>
            </w:tcBorders>
            <w:noWrap/>
            <w:vAlign w:val="bottom"/>
            <w:hideMark/>
          </w:tcPr>
          <w:p w14:paraId="50C85D50"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31B0B39C" w14:textId="77777777" w:rsidR="000826B8" w:rsidRPr="000826B8" w:rsidRDefault="000826B8">
            <w:pPr>
              <w:jc w:val="center"/>
              <w:rPr>
                <w:sz w:val="16"/>
                <w:szCs w:val="16"/>
              </w:rPr>
            </w:pPr>
          </w:p>
        </w:tc>
      </w:tr>
      <w:tr w:rsidR="000826B8" w:rsidRPr="000826B8" w14:paraId="6249A1A6" w14:textId="77777777" w:rsidTr="000826B8">
        <w:trPr>
          <w:trHeight w:val="232"/>
        </w:trPr>
        <w:tc>
          <w:tcPr>
            <w:tcW w:w="2773" w:type="pct"/>
            <w:tcBorders>
              <w:top w:val="nil"/>
              <w:left w:val="nil"/>
              <w:bottom w:val="nil"/>
              <w:right w:val="nil"/>
            </w:tcBorders>
            <w:noWrap/>
            <w:vAlign w:val="bottom"/>
            <w:hideMark/>
          </w:tcPr>
          <w:p w14:paraId="5A3F6D7D"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4E583870" w14:textId="77777777" w:rsidR="000826B8" w:rsidRPr="000826B8" w:rsidRDefault="000826B8">
            <w:pPr>
              <w:rPr>
                <w:rFonts w:ascii="Arial" w:hAnsi="Arial" w:cs="Arial"/>
                <w:b/>
                <w:bCs/>
                <w:sz w:val="16"/>
                <w:szCs w:val="16"/>
              </w:rPr>
            </w:pPr>
            <w:r w:rsidRPr="000826B8">
              <w:rPr>
                <w:rFonts w:ascii="Arial" w:hAnsi="Arial" w:cs="Arial"/>
                <w:b/>
                <w:bCs/>
                <w:sz w:val="16"/>
                <w:szCs w:val="16"/>
              </w:rPr>
              <w:t>Nota</w:t>
            </w:r>
          </w:p>
        </w:tc>
        <w:tc>
          <w:tcPr>
            <w:tcW w:w="73" w:type="pct"/>
            <w:tcBorders>
              <w:top w:val="nil"/>
              <w:left w:val="nil"/>
              <w:bottom w:val="nil"/>
              <w:right w:val="nil"/>
            </w:tcBorders>
            <w:noWrap/>
            <w:vAlign w:val="bottom"/>
            <w:hideMark/>
          </w:tcPr>
          <w:p w14:paraId="297A0D56" w14:textId="77777777" w:rsidR="000826B8" w:rsidRPr="000826B8" w:rsidRDefault="000826B8">
            <w:pPr>
              <w:rPr>
                <w:rFonts w:ascii="Arial" w:hAnsi="Arial" w:cs="Arial"/>
                <w:b/>
                <w:bCs/>
                <w:sz w:val="16"/>
                <w:szCs w:val="16"/>
              </w:rPr>
            </w:pPr>
          </w:p>
        </w:tc>
        <w:tc>
          <w:tcPr>
            <w:tcW w:w="861" w:type="pct"/>
            <w:tcBorders>
              <w:top w:val="nil"/>
              <w:left w:val="nil"/>
              <w:bottom w:val="single" w:sz="4" w:space="0" w:color="auto"/>
              <w:right w:val="nil"/>
            </w:tcBorders>
            <w:noWrap/>
            <w:vAlign w:val="bottom"/>
            <w:hideMark/>
          </w:tcPr>
          <w:p w14:paraId="4A5E5E41" w14:textId="77777777" w:rsidR="000826B8" w:rsidRPr="000826B8" w:rsidRDefault="000826B8">
            <w:pPr>
              <w:jc w:val="center"/>
              <w:rPr>
                <w:rFonts w:ascii="Arial" w:hAnsi="Arial" w:cs="Arial"/>
                <w:b/>
                <w:bCs/>
                <w:color w:val="000000"/>
                <w:sz w:val="16"/>
                <w:szCs w:val="16"/>
              </w:rPr>
            </w:pPr>
            <w:r w:rsidRPr="000826B8">
              <w:rPr>
                <w:rFonts w:ascii="Arial" w:hAnsi="Arial" w:cs="Arial"/>
                <w:b/>
                <w:bCs/>
                <w:color w:val="000000"/>
                <w:sz w:val="16"/>
                <w:szCs w:val="16"/>
              </w:rPr>
              <w:t>31/03/2026</w:t>
            </w:r>
          </w:p>
        </w:tc>
        <w:tc>
          <w:tcPr>
            <w:tcW w:w="94" w:type="pct"/>
            <w:tcBorders>
              <w:top w:val="nil"/>
              <w:left w:val="nil"/>
              <w:bottom w:val="nil"/>
              <w:right w:val="nil"/>
            </w:tcBorders>
            <w:noWrap/>
            <w:vAlign w:val="bottom"/>
            <w:hideMark/>
          </w:tcPr>
          <w:p w14:paraId="2152BE6E" w14:textId="77777777" w:rsidR="000826B8" w:rsidRPr="000826B8" w:rsidRDefault="000826B8">
            <w:pPr>
              <w:jc w:val="center"/>
              <w:rPr>
                <w:rFonts w:ascii="Arial" w:hAnsi="Arial" w:cs="Arial"/>
                <w:b/>
                <w:bCs/>
                <w:color w:val="000000"/>
                <w:sz w:val="16"/>
                <w:szCs w:val="16"/>
              </w:rPr>
            </w:pPr>
          </w:p>
        </w:tc>
        <w:tc>
          <w:tcPr>
            <w:tcW w:w="861" w:type="pct"/>
            <w:tcBorders>
              <w:top w:val="nil"/>
              <w:left w:val="nil"/>
              <w:bottom w:val="single" w:sz="4" w:space="0" w:color="auto"/>
              <w:right w:val="nil"/>
            </w:tcBorders>
            <w:noWrap/>
            <w:vAlign w:val="bottom"/>
            <w:hideMark/>
          </w:tcPr>
          <w:p w14:paraId="7E603B21" w14:textId="77777777" w:rsidR="000826B8" w:rsidRPr="000826B8" w:rsidRDefault="000826B8">
            <w:pPr>
              <w:jc w:val="center"/>
              <w:rPr>
                <w:rFonts w:ascii="Arial" w:hAnsi="Arial" w:cs="Arial"/>
                <w:b/>
                <w:bCs/>
                <w:color w:val="000000"/>
                <w:sz w:val="16"/>
                <w:szCs w:val="16"/>
              </w:rPr>
            </w:pPr>
            <w:r w:rsidRPr="000826B8">
              <w:rPr>
                <w:rFonts w:ascii="Arial" w:hAnsi="Arial" w:cs="Arial"/>
                <w:b/>
                <w:bCs/>
                <w:color w:val="000000"/>
                <w:sz w:val="16"/>
                <w:szCs w:val="16"/>
              </w:rPr>
              <w:t>31/03/2025</w:t>
            </w:r>
          </w:p>
        </w:tc>
        <w:tc>
          <w:tcPr>
            <w:tcW w:w="73" w:type="pct"/>
            <w:tcBorders>
              <w:top w:val="nil"/>
              <w:left w:val="nil"/>
              <w:bottom w:val="nil"/>
              <w:right w:val="nil"/>
            </w:tcBorders>
            <w:noWrap/>
            <w:vAlign w:val="bottom"/>
            <w:hideMark/>
          </w:tcPr>
          <w:p w14:paraId="4CC95188" w14:textId="77777777" w:rsidR="000826B8" w:rsidRPr="000826B8" w:rsidRDefault="000826B8">
            <w:pPr>
              <w:jc w:val="center"/>
              <w:rPr>
                <w:rFonts w:ascii="Arial" w:hAnsi="Arial" w:cs="Arial"/>
                <w:b/>
                <w:bCs/>
                <w:color w:val="000000"/>
                <w:sz w:val="16"/>
                <w:szCs w:val="16"/>
              </w:rPr>
            </w:pPr>
          </w:p>
        </w:tc>
      </w:tr>
      <w:tr w:rsidR="000826B8" w:rsidRPr="000826B8" w14:paraId="234ABDD7" w14:textId="77777777" w:rsidTr="000826B8">
        <w:trPr>
          <w:trHeight w:val="232"/>
        </w:trPr>
        <w:tc>
          <w:tcPr>
            <w:tcW w:w="2773" w:type="pct"/>
            <w:tcBorders>
              <w:top w:val="nil"/>
              <w:left w:val="nil"/>
              <w:bottom w:val="nil"/>
              <w:right w:val="nil"/>
            </w:tcBorders>
            <w:noWrap/>
            <w:vAlign w:val="bottom"/>
            <w:hideMark/>
          </w:tcPr>
          <w:p w14:paraId="3DCB55F1"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3CACC2F6"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4AC02AFD"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493DFAA9" w14:textId="77777777" w:rsidR="000826B8" w:rsidRPr="000826B8" w:rsidRDefault="000826B8">
            <w:pPr>
              <w:rPr>
                <w:sz w:val="16"/>
                <w:szCs w:val="16"/>
              </w:rPr>
            </w:pPr>
          </w:p>
        </w:tc>
        <w:tc>
          <w:tcPr>
            <w:tcW w:w="94" w:type="pct"/>
            <w:tcBorders>
              <w:top w:val="nil"/>
              <w:left w:val="nil"/>
              <w:bottom w:val="nil"/>
              <w:right w:val="nil"/>
            </w:tcBorders>
            <w:noWrap/>
            <w:vAlign w:val="bottom"/>
            <w:hideMark/>
          </w:tcPr>
          <w:p w14:paraId="69C5FB8F" w14:textId="77777777" w:rsidR="000826B8" w:rsidRPr="000826B8" w:rsidRDefault="000826B8">
            <w:pPr>
              <w:rPr>
                <w:sz w:val="16"/>
                <w:szCs w:val="16"/>
              </w:rPr>
            </w:pPr>
          </w:p>
        </w:tc>
        <w:tc>
          <w:tcPr>
            <w:tcW w:w="861" w:type="pct"/>
            <w:tcBorders>
              <w:top w:val="nil"/>
              <w:left w:val="nil"/>
              <w:bottom w:val="nil"/>
              <w:right w:val="nil"/>
            </w:tcBorders>
            <w:noWrap/>
            <w:vAlign w:val="center"/>
            <w:hideMark/>
          </w:tcPr>
          <w:p w14:paraId="6B5098CE"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0E02FA58" w14:textId="77777777" w:rsidR="000826B8" w:rsidRPr="000826B8" w:rsidRDefault="000826B8">
            <w:pPr>
              <w:jc w:val="center"/>
              <w:rPr>
                <w:sz w:val="16"/>
                <w:szCs w:val="16"/>
              </w:rPr>
            </w:pPr>
          </w:p>
        </w:tc>
      </w:tr>
      <w:tr w:rsidR="000826B8" w:rsidRPr="000826B8" w14:paraId="10F26E43" w14:textId="77777777" w:rsidTr="000826B8">
        <w:trPr>
          <w:trHeight w:val="232"/>
        </w:trPr>
        <w:tc>
          <w:tcPr>
            <w:tcW w:w="2773" w:type="pct"/>
            <w:tcBorders>
              <w:top w:val="nil"/>
              <w:left w:val="nil"/>
              <w:bottom w:val="nil"/>
              <w:right w:val="nil"/>
            </w:tcBorders>
            <w:noWrap/>
            <w:vAlign w:val="bottom"/>
            <w:hideMark/>
          </w:tcPr>
          <w:p w14:paraId="0561999B"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0C4E8124"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3ABCED8A"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7CF18818" w14:textId="77777777" w:rsidR="000826B8" w:rsidRPr="000826B8" w:rsidRDefault="000826B8">
            <w:pPr>
              <w:rPr>
                <w:sz w:val="16"/>
                <w:szCs w:val="16"/>
              </w:rPr>
            </w:pPr>
          </w:p>
        </w:tc>
        <w:tc>
          <w:tcPr>
            <w:tcW w:w="94" w:type="pct"/>
            <w:tcBorders>
              <w:top w:val="nil"/>
              <w:left w:val="nil"/>
              <w:bottom w:val="nil"/>
              <w:right w:val="nil"/>
            </w:tcBorders>
            <w:noWrap/>
            <w:vAlign w:val="bottom"/>
            <w:hideMark/>
          </w:tcPr>
          <w:p w14:paraId="58FEED10"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46D971D4"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1EF0A4E3" w14:textId="77777777" w:rsidR="000826B8" w:rsidRPr="000826B8" w:rsidRDefault="000826B8">
            <w:pPr>
              <w:rPr>
                <w:sz w:val="16"/>
                <w:szCs w:val="16"/>
              </w:rPr>
            </w:pPr>
          </w:p>
        </w:tc>
      </w:tr>
      <w:tr w:rsidR="000826B8" w:rsidRPr="000826B8" w14:paraId="327BFE66" w14:textId="77777777" w:rsidTr="000826B8">
        <w:trPr>
          <w:trHeight w:val="232"/>
        </w:trPr>
        <w:tc>
          <w:tcPr>
            <w:tcW w:w="2773" w:type="pct"/>
            <w:tcBorders>
              <w:top w:val="nil"/>
              <w:left w:val="nil"/>
              <w:bottom w:val="nil"/>
              <w:right w:val="nil"/>
            </w:tcBorders>
            <w:noWrap/>
            <w:vAlign w:val="bottom"/>
            <w:hideMark/>
          </w:tcPr>
          <w:p w14:paraId="3F7CB2FE" w14:textId="77777777" w:rsidR="000826B8" w:rsidRPr="000826B8" w:rsidRDefault="000826B8">
            <w:pPr>
              <w:rPr>
                <w:rFonts w:ascii="Arial" w:hAnsi="Arial" w:cs="Arial"/>
                <w:b/>
                <w:bCs/>
                <w:sz w:val="16"/>
                <w:szCs w:val="16"/>
              </w:rPr>
            </w:pPr>
            <w:r w:rsidRPr="000826B8">
              <w:rPr>
                <w:rFonts w:ascii="Arial" w:hAnsi="Arial" w:cs="Arial"/>
                <w:b/>
                <w:bCs/>
                <w:sz w:val="16"/>
                <w:szCs w:val="16"/>
              </w:rPr>
              <w:t>RECEITA OPERACIONAL LÍQUIDA</w:t>
            </w:r>
          </w:p>
        </w:tc>
        <w:tc>
          <w:tcPr>
            <w:tcW w:w="266" w:type="pct"/>
            <w:tcBorders>
              <w:top w:val="nil"/>
              <w:left w:val="nil"/>
              <w:bottom w:val="nil"/>
              <w:right w:val="nil"/>
            </w:tcBorders>
            <w:noWrap/>
            <w:vAlign w:val="bottom"/>
            <w:hideMark/>
          </w:tcPr>
          <w:p w14:paraId="2DEB8C06" w14:textId="77777777" w:rsidR="000826B8" w:rsidRPr="000826B8" w:rsidRDefault="000826B8">
            <w:pPr>
              <w:jc w:val="center"/>
              <w:rPr>
                <w:rFonts w:ascii="Arial" w:hAnsi="Arial" w:cs="Arial"/>
                <w:sz w:val="16"/>
                <w:szCs w:val="16"/>
              </w:rPr>
            </w:pPr>
            <w:r w:rsidRPr="000826B8">
              <w:rPr>
                <w:rFonts w:ascii="Arial" w:hAnsi="Arial" w:cs="Arial"/>
                <w:sz w:val="16"/>
                <w:szCs w:val="16"/>
              </w:rPr>
              <w:t>27</w:t>
            </w:r>
          </w:p>
        </w:tc>
        <w:tc>
          <w:tcPr>
            <w:tcW w:w="73" w:type="pct"/>
            <w:tcBorders>
              <w:top w:val="nil"/>
              <w:left w:val="nil"/>
              <w:bottom w:val="nil"/>
              <w:right w:val="nil"/>
            </w:tcBorders>
            <w:noWrap/>
            <w:vAlign w:val="bottom"/>
            <w:hideMark/>
          </w:tcPr>
          <w:p w14:paraId="40677C2D" w14:textId="77777777" w:rsidR="000826B8" w:rsidRPr="000826B8" w:rsidRDefault="000826B8">
            <w:pPr>
              <w:jc w:val="center"/>
              <w:rPr>
                <w:rFonts w:ascii="Arial" w:hAnsi="Arial" w:cs="Arial"/>
                <w:sz w:val="16"/>
                <w:szCs w:val="16"/>
              </w:rPr>
            </w:pPr>
          </w:p>
        </w:tc>
        <w:tc>
          <w:tcPr>
            <w:tcW w:w="861" w:type="pct"/>
            <w:tcBorders>
              <w:top w:val="nil"/>
              <w:left w:val="nil"/>
              <w:bottom w:val="nil"/>
              <w:right w:val="nil"/>
            </w:tcBorders>
            <w:noWrap/>
            <w:vAlign w:val="bottom"/>
            <w:hideMark/>
          </w:tcPr>
          <w:p w14:paraId="5D139473"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134.913 </w:t>
            </w:r>
          </w:p>
        </w:tc>
        <w:tc>
          <w:tcPr>
            <w:tcW w:w="94" w:type="pct"/>
            <w:tcBorders>
              <w:top w:val="nil"/>
              <w:left w:val="nil"/>
              <w:bottom w:val="nil"/>
              <w:right w:val="nil"/>
            </w:tcBorders>
            <w:noWrap/>
            <w:vAlign w:val="bottom"/>
            <w:hideMark/>
          </w:tcPr>
          <w:p w14:paraId="5332F244" w14:textId="77777777" w:rsidR="000826B8" w:rsidRPr="000826B8" w:rsidRDefault="000826B8" w:rsidP="000826B8">
            <w:pPr>
              <w:jc w:val="right"/>
              <w:rPr>
                <w:rFonts w:ascii="Arial" w:hAnsi="Arial" w:cs="Arial"/>
                <w:b/>
                <w:bCs/>
                <w:color w:val="000000"/>
                <w:sz w:val="16"/>
                <w:szCs w:val="16"/>
              </w:rPr>
            </w:pPr>
          </w:p>
        </w:tc>
        <w:tc>
          <w:tcPr>
            <w:tcW w:w="861" w:type="pct"/>
            <w:tcBorders>
              <w:top w:val="nil"/>
              <w:left w:val="nil"/>
              <w:bottom w:val="nil"/>
              <w:right w:val="nil"/>
            </w:tcBorders>
            <w:noWrap/>
            <w:vAlign w:val="bottom"/>
            <w:hideMark/>
          </w:tcPr>
          <w:p w14:paraId="64850985"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114.387 </w:t>
            </w:r>
          </w:p>
        </w:tc>
        <w:tc>
          <w:tcPr>
            <w:tcW w:w="73" w:type="pct"/>
            <w:tcBorders>
              <w:top w:val="nil"/>
              <w:left w:val="nil"/>
              <w:bottom w:val="nil"/>
              <w:right w:val="nil"/>
            </w:tcBorders>
            <w:noWrap/>
            <w:vAlign w:val="bottom"/>
            <w:hideMark/>
          </w:tcPr>
          <w:p w14:paraId="5ECB25F5" w14:textId="77777777" w:rsidR="000826B8" w:rsidRPr="000826B8" w:rsidRDefault="000826B8" w:rsidP="000826B8">
            <w:pPr>
              <w:jc w:val="right"/>
              <w:rPr>
                <w:rFonts w:ascii="Arial" w:hAnsi="Arial" w:cs="Arial"/>
                <w:b/>
                <w:bCs/>
                <w:color w:val="000000"/>
                <w:sz w:val="16"/>
                <w:szCs w:val="16"/>
              </w:rPr>
            </w:pPr>
          </w:p>
        </w:tc>
      </w:tr>
      <w:tr w:rsidR="000826B8" w:rsidRPr="000826B8" w14:paraId="3AFCE292" w14:textId="77777777" w:rsidTr="000826B8">
        <w:trPr>
          <w:trHeight w:val="232"/>
        </w:trPr>
        <w:tc>
          <w:tcPr>
            <w:tcW w:w="2773" w:type="pct"/>
            <w:tcBorders>
              <w:top w:val="nil"/>
              <w:left w:val="nil"/>
              <w:bottom w:val="nil"/>
              <w:right w:val="nil"/>
            </w:tcBorders>
            <w:noWrap/>
            <w:vAlign w:val="bottom"/>
            <w:hideMark/>
          </w:tcPr>
          <w:p w14:paraId="59DB5317"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4E0F707F"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415B9B7E"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72690511"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41F44447"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52EC2F3C"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49DCE9A9" w14:textId="77777777" w:rsidR="000826B8" w:rsidRPr="000826B8" w:rsidRDefault="000826B8" w:rsidP="000826B8">
            <w:pPr>
              <w:jc w:val="right"/>
              <w:rPr>
                <w:sz w:val="16"/>
                <w:szCs w:val="16"/>
              </w:rPr>
            </w:pPr>
          </w:p>
        </w:tc>
      </w:tr>
      <w:tr w:rsidR="000826B8" w:rsidRPr="000826B8" w14:paraId="72682BF4" w14:textId="77777777" w:rsidTr="000826B8">
        <w:trPr>
          <w:trHeight w:val="232"/>
        </w:trPr>
        <w:tc>
          <w:tcPr>
            <w:tcW w:w="2773" w:type="pct"/>
            <w:tcBorders>
              <w:top w:val="nil"/>
              <w:left w:val="nil"/>
              <w:bottom w:val="nil"/>
              <w:right w:val="nil"/>
            </w:tcBorders>
            <w:noWrap/>
            <w:vAlign w:val="bottom"/>
            <w:hideMark/>
          </w:tcPr>
          <w:p w14:paraId="128CBD47" w14:textId="77777777" w:rsidR="000826B8" w:rsidRPr="000826B8" w:rsidRDefault="000826B8">
            <w:pPr>
              <w:rPr>
                <w:rFonts w:ascii="Arial" w:hAnsi="Arial" w:cs="Arial"/>
                <w:sz w:val="16"/>
                <w:szCs w:val="16"/>
              </w:rPr>
            </w:pPr>
            <w:r w:rsidRPr="000826B8">
              <w:rPr>
                <w:rFonts w:ascii="Arial" w:hAnsi="Arial" w:cs="Arial"/>
                <w:sz w:val="16"/>
                <w:szCs w:val="16"/>
              </w:rPr>
              <w:t xml:space="preserve">Custos dos Serviços Prestados </w:t>
            </w:r>
          </w:p>
        </w:tc>
        <w:tc>
          <w:tcPr>
            <w:tcW w:w="266" w:type="pct"/>
            <w:tcBorders>
              <w:top w:val="nil"/>
              <w:left w:val="nil"/>
              <w:bottom w:val="nil"/>
              <w:right w:val="nil"/>
            </w:tcBorders>
            <w:noWrap/>
            <w:vAlign w:val="bottom"/>
            <w:hideMark/>
          </w:tcPr>
          <w:p w14:paraId="3C461626" w14:textId="77777777" w:rsidR="000826B8" w:rsidRPr="000826B8" w:rsidRDefault="000826B8">
            <w:pPr>
              <w:jc w:val="center"/>
              <w:rPr>
                <w:rFonts w:ascii="Arial" w:hAnsi="Arial" w:cs="Arial"/>
                <w:sz w:val="16"/>
                <w:szCs w:val="16"/>
              </w:rPr>
            </w:pPr>
            <w:r w:rsidRPr="000826B8">
              <w:rPr>
                <w:rFonts w:ascii="Arial" w:hAnsi="Arial" w:cs="Arial"/>
                <w:sz w:val="16"/>
                <w:szCs w:val="16"/>
              </w:rPr>
              <w:t>28</w:t>
            </w:r>
          </w:p>
        </w:tc>
        <w:tc>
          <w:tcPr>
            <w:tcW w:w="73" w:type="pct"/>
            <w:tcBorders>
              <w:top w:val="nil"/>
              <w:left w:val="nil"/>
              <w:bottom w:val="nil"/>
              <w:right w:val="nil"/>
            </w:tcBorders>
            <w:noWrap/>
            <w:vAlign w:val="bottom"/>
            <w:hideMark/>
          </w:tcPr>
          <w:p w14:paraId="67CC82F9" w14:textId="77777777" w:rsidR="000826B8" w:rsidRPr="000826B8" w:rsidRDefault="000826B8">
            <w:pPr>
              <w:jc w:val="center"/>
              <w:rPr>
                <w:rFonts w:ascii="Arial" w:hAnsi="Arial" w:cs="Arial"/>
                <w:sz w:val="16"/>
                <w:szCs w:val="16"/>
              </w:rPr>
            </w:pPr>
          </w:p>
        </w:tc>
        <w:tc>
          <w:tcPr>
            <w:tcW w:w="861" w:type="pct"/>
            <w:tcBorders>
              <w:top w:val="nil"/>
              <w:left w:val="nil"/>
              <w:bottom w:val="nil"/>
              <w:right w:val="nil"/>
            </w:tcBorders>
            <w:noWrap/>
            <w:vAlign w:val="bottom"/>
            <w:hideMark/>
          </w:tcPr>
          <w:p w14:paraId="2BC97C20"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(187.085)</w:t>
            </w:r>
          </w:p>
        </w:tc>
        <w:tc>
          <w:tcPr>
            <w:tcW w:w="94" w:type="pct"/>
            <w:tcBorders>
              <w:top w:val="nil"/>
              <w:left w:val="nil"/>
              <w:bottom w:val="nil"/>
              <w:right w:val="nil"/>
            </w:tcBorders>
            <w:noWrap/>
            <w:vAlign w:val="bottom"/>
            <w:hideMark/>
          </w:tcPr>
          <w:p w14:paraId="6BABA027"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322BF1C7"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(159.321)</w:t>
            </w:r>
          </w:p>
        </w:tc>
        <w:tc>
          <w:tcPr>
            <w:tcW w:w="73" w:type="pct"/>
            <w:tcBorders>
              <w:top w:val="nil"/>
              <w:left w:val="nil"/>
              <w:bottom w:val="nil"/>
              <w:right w:val="nil"/>
            </w:tcBorders>
            <w:noWrap/>
            <w:vAlign w:val="bottom"/>
            <w:hideMark/>
          </w:tcPr>
          <w:p w14:paraId="5AE731A3" w14:textId="77777777" w:rsidR="000826B8" w:rsidRPr="000826B8" w:rsidRDefault="000826B8" w:rsidP="000826B8">
            <w:pPr>
              <w:jc w:val="right"/>
              <w:rPr>
                <w:rFonts w:ascii="Arial" w:hAnsi="Arial" w:cs="Arial"/>
                <w:color w:val="000000"/>
                <w:sz w:val="16"/>
                <w:szCs w:val="16"/>
              </w:rPr>
            </w:pPr>
          </w:p>
        </w:tc>
      </w:tr>
      <w:tr w:rsidR="000826B8" w:rsidRPr="000826B8" w14:paraId="10AD1EAD" w14:textId="77777777" w:rsidTr="000826B8">
        <w:trPr>
          <w:trHeight w:val="232"/>
        </w:trPr>
        <w:tc>
          <w:tcPr>
            <w:tcW w:w="2773" w:type="pct"/>
            <w:tcBorders>
              <w:top w:val="nil"/>
              <w:left w:val="nil"/>
              <w:bottom w:val="nil"/>
              <w:right w:val="nil"/>
            </w:tcBorders>
            <w:noWrap/>
            <w:vAlign w:val="bottom"/>
            <w:hideMark/>
          </w:tcPr>
          <w:p w14:paraId="216B2581"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268A9510"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2D85606E"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70D118BA"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20AE7D53"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610AA667"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709EA1AB" w14:textId="77777777" w:rsidR="000826B8" w:rsidRPr="000826B8" w:rsidRDefault="000826B8" w:rsidP="000826B8">
            <w:pPr>
              <w:jc w:val="right"/>
              <w:rPr>
                <w:sz w:val="16"/>
                <w:szCs w:val="16"/>
              </w:rPr>
            </w:pPr>
          </w:p>
        </w:tc>
      </w:tr>
      <w:tr w:rsidR="000826B8" w:rsidRPr="000826B8" w14:paraId="1F48BE0F" w14:textId="77777777" w:rsidTr="000826B8">
        <w:trPr>
          <w:trHeight w:val="232"/>
        </w:trPr>
        <w:tc>
          <w:tcPr>
            <w:tcW w:w="2773" w:type="pct"/>
            <w:tcBorders>
              <w:top w:val="nil"/>
              <w:left w:val="nil"/>
              <w:bottom w:val="nil"/>
              <w:right w:val="nil"/>
            </w:tcBorders>
            <w:noWrap/>
            <w:vAlign w:val="bottom"/>
            <w:hideMark/>
          </w:tcPr>
          <w:p w14:paraId="5C7E8892" w14:textId="77777777" w:rsidR="000826B8" w:rsidRPr="000826B8" w:rsidRDefault="000826B8">
            <w:pPr>
              <w:rPr>
                <w:rFonts w:ascii="Arial" w:hAnsi="Arial" w:cs="Arial"/>
                <w:b/>
                <w:bCs/>
                <w:sz w:val="16"/>
                <w:szCs w:val="16"/>
              </w:rPr>
            </w:pPr>
            <w:r w:rsidRPr="000826B8">
              <w:rPr>
                <w:rFonts w:ascii="Arial" w:hAnsi="Arial" w:cs="Arial"/>
                <w:b/>
                <w:bCs/>
                <w:sz w:val="16"/>
                <w:szCs w:val="16"/>
              </w:rPr>
              <w:t>Prejuízo Bruto</w:t>
            </w:r>
          </w:p>
        </w:tc>
        <w:tc>
          <w:tcPr>
            <w:tcW w:w="266" w:type="pct"/>
            <w:tcBorders>
              <w:top w:val="nil"/>
              <w:left w:val="nil"/>
              <w:bottom w:val="nil"/>
              <w:right w:val="nil"/>
            </w:tcBorders>
            <w:noWrap/>
            <w:vAlign w:val="bottom"/>
            <w:hideMark/>
          </w:tcPr>
          <w:p w14:paraId="7D4A2BF1" w14:textId="77777777" w:rsidR="000826B8" w:rsidRPr="000826B8" w:rsidRDefault="000826B8">
            <w:pPr>
              <w:rPr>
                <w:rFonts w:ascii="Arial" w:hAnsi="Arial" w:cs="Arial"/>
                <w:b/>
                <w:bCs/>
                <w:sz w:val="16"/>
                <w:szCs w:val="16"/>
              </w:rPr>
            </w:pPr>
          </w:p>
        </w:tc>
        <w:tc>
          <w:tcPr>
            <w:tcW w:w="73" w:type="pct"/>
            <w:tcBorders>
              <w:top w:val="nil"/>
              <w:left w:val="nil"/>
              <w:bottom w:val="nil"/>
              <w:right w:val="nil"/>
            </w:tcBorders>
            <w:noWrap/>
            <w:vAlign w:val="bottom"/>
            <w:hideMark/>
          </w:tcPr>
          <w:p w14:paraId="2184B3C4" w14:textId="20F7800B" w:rsidR="000826B8" w:rsidRPr="000826B8" w:rsidRDefault="000826B8">
            <w:pPr>
              <w:jc w:val="center"/>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7AF11960"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(52.172)</w:t>
            </w:r>
          </w:p>
        </w:tc>
        <w:tc>
          <w:tcPr>
            <w:tcW w:w="94" w:type="pct"/>
            <w:tcBorders>
              <w:top w:val="nil"/>
              <w:left w:val="nil"/>
              <w:bottom w:val="single" w:sz="4" w:space="0" w:color="auto"/>
              <w:right w:val="nil"/>
            </w:tcBorders>
            <w:noWrap/>
            <w:vAlign w:val="bottom"/>
            <w:hideMark/>
          </w:tcPr>
          <w:p w14:paraId="0E677A67"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w:t>
            </w:r>
          </w:p>
        </w:tc>
        <w:tc>
          <w:tcPr>
            <w:tcW w:w="861" w:type="pct"/>
            <w:tcBorders>
              <w:top w:val="single" w:sz="4" w:space="0" w:color="auto"/>
              <w:left w:val="nil"/>
              <w:bottom w:val="single" w:sz="4" w:space="0" w:color="auto"/>
              <w:right w:val="nil"/>
            </w:tcBorders>
            <w:noWrap/>
            <w:vAlign w:val="bottom"/>
            <w:hideMark/>
          </w:tcPr>
          <w:p w14:paraId="32CF8514"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(44.934)</w:t>
            </w:r>
          </w:p>
        </w:tc>
        <w:tc>
          <w:tcPr>
            <w:tcW w:w="73" w:type="pct"/>
            <w:tcBorders>
              <w:top w:val="nil"/>
              <w:left w:val="nil"/>
              <w:bottom w:val="nil"/>
              <w:right w:val="nil"/>
            </w:tcBorders>
            <w:noWrap/>
            <w:vAlign w:val="bottom"/>
            <w:hideMark/>
          </w:tcPr>
          <w:p w14:paraId="5E312AED" w14:textId="77777777" w:rsidR="000826B8" w:rsidRPr="000826B8" w:rsidRDefault="000826B8" w:rsidP="000826B8">
            <w:pPr>
              <w:jc w:val="right"/>
              <w:rPr>
                <w:rFonts w:ascii="Arial" w:hAnsi="Arial" w:cs="Arial"/>
                <w:b/>
                <w:bCs/>
                <w:color w:val="000000"/>
                <w:sz w:val="16"/>
                <w:szCs w:val="16"/>
              </w:rPr>
            </w:pPr>
          </w:p>
        </w:tc>
      </w:tr>
      <w:tr w:rsidR="000826B8" w:rsidRPr="000826B8" w14:paraId="5147054A" w14:textId="77777777" w:rsidTr="000826B8">
        <w:trPr>
          <w:trHeight w:val="232"/>
        </w:trPr>
        <w:tc>
          <w:tcPr>
            <w:tcW w:w="2773" w:type="pct"/>
            <w:tcBorders>
              <w:top w:val="nil"/>
              <w:left w:val="nil"/>
              <w:bottom w:val="nil"/>
              <w:right w:val="nil"/>
            </w:tcBorders>
            <w:noWrap/>
            <w:vAlign w:val="bottom"/>
            <w:hideMark/>
          </w:tcPr>
          <w:p w14:paraId="44B017DF"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3290985C"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7031CCCC"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418AA3F9"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7EC156A7"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5A2644A5"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09245113" w14:textId="77777777" w:rsidR="000826B8" w:rsidRPr="000826B8" w:rsidRDefault="000826B8" w:rsidP="000826B8">
            <w:pPr>
              <w:jc w:val="right"/>
              <w:rPr>
                <w:sz w:val="16"/>
                <w:szCs w:val="16"/>
              </w:rPr>
            </w:pPr>
          </w:p>
        </w:tc>
      </w:tr>
      <w:tr w:rsidR="000826B8" w:rsidRPr="000826B8" w14:paraId="46950016" w14:textId="77777777" w:rsidTr="000826B8">
        <w:trPr>
          <w:trHeight w:val="232"/>
        </w:trPr>
        <w:tc>
          <w:tcPr>
            <w:tcW w:w="2773" w:type="pct"/>
            <w:tcBorders>
              <w:top w:val="nil"/>
              <w:left w:val="nil"/>
              <w:bottom w:val="nil"/>
              <w:right w:val="nil"/>
            </w:tcBorders>
            <w:noWrap/>
            <w:vAlign w:val="bottom"/>
            <w:hideMark/>
          </w:tcPr>
          <w:p w14:paraId="2CA2DB59" w14:textId="77777777" w:rsidR="000826B8" w:rsidRPr="000826B8" w:rsidRDefault="000826B8">
            <w:pPr>
              <w:rPr>
                <w:rFonts w:ascii="Arial" w:hAnsi="Arial" w:cs="Arial"/>
                <w:b/>
                <w:bCs/>
                <w:sz w:val="16"/>
                <w:szCs w:val="16"/>
              </w:rPr>
            </w:pPr>
            <w:r w:rsidRPr="000826B8">
              <w:rPr>
                <w:rFonts w:ascii="Arial" w:hAnsi="Arial" w:cs="Arial"/>
                <w:b/>
                <w:bCs/>
                <w:sz w:val="16"/>
                <w:szCs w:val="16"/>
              </w:rPr>
              <w:t>Receitas / (Despesas) Operacionais</w:t>
            </w:r>
          </w:p>
        </w:tc>
        <w:tc>
          <w:tcPr>
            <w:tcW w:w="266" w:type="pct"/>
            <w:tcBorders>
              <w:top w:val="nil"/>
              <w:left w:val="nil"/>
              <w:bottom w:val="nil"/>
              <w:right w:val="nil"/>
            </w:tcBorders>
            <w:noWrap/>
            <w:vAlign w:val="bottom"/>
            <w:hideMark/>
          </w:tcPr>
          <w:p w14:paraId="7EC5BBA5" w14:textId="77777777" w:rsidR="000826B8" w:rsidRPr="000826B8" w:rsidRDefault="000826B8">
            <w:pPr>
              <w:rPr>
                <w:rFonts w:ascii="Arial" w:hAnsi="Arial" w:cs="Arial"/>
                <w:b/>
                <w:bCs/>
                <w:sz w:val="16"/>
                <w:szCs w:val="16"/>
              </w:rPr>
            </w:pPr>
          </w:p>
        </w:tc>
        <w:tc>
          <w:tcPr>
            <w:tcW w:w="73" w:type="pct"/>
            <w:tcBorders>
              <w:top w:val="nil"/>
              <w:left w:val="nil"/>
              <w:bottom w:val="nil"/>
              <w:right w:val="nil"/>
            </w:tcBorders>
            <w:noWrap/>
            <w:vAlign w:val="bottom"/>
            <w:hideMark/>
          </w:tcPr>
          <w:p w14:paraId="02BCB2BD" w14:textId="51F7F9EA" w:rsidR="000826B8" w:rsidRPr="000826B8" w:rsidRDefault="000826B8">
            <w:pPr>
              <w:jc w:val="center"/>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1C21B1A3"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(25.179)</w:t>
            </w:r>
          </w:p>
        </w:tc>
        <w:tc>
          <w:tcPr>
            <w:tcW w:w="94" w:type="pct"/>
            <w:tcBorders>
              <w:top w:val="nil"/>
              <w:left w:val="nil"/>
              <w:bottom w:val="nil"/>
              <w:right w:val="nil"/>
            </w:tcBorders>
            <w:noWrap/>
            <w:vAlign w:val="bottom"/>
            <w:hideMark/>
          </w:tcPr>
          <w:p w14:paraId="53A87DCD" w14:textId="77777777" w:rsidR="000826B8" w:rsidRPr="000826B8" w:rsidRDefault="000826B8" w:rsidP="000826B8">
            <w:pPr>
              <w:jc w:val="right"/>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01EF0C2D"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49.507 </w:t>
            </w:r>
          </w:p>
        </w:tc>
        <w:tc>
          <w:tcPr>
            <w:tcW w:w="73" w:type="pct"/>
            <w:tcBorders>
              <w:top w:val="nil"/>
              <w:left w:val="nil"/>
              <w:bottom w:val="nil"/>
              <w:right w:val="nil"/>
            </w:tcBorders>
            <w:noWrap/>
            <w:vAlign w:val="bottom"/>
            <w:hideMark/>
          </w:tcPr>
          <w:p w14:paraId="4AB2C0A3" w14:textId="77777777" w:rsidR="000826B8" w:rsidRPr="000826B8" w:rsidRDefault="000826B8" w:rsidP="000826B8">
            <w:pPr>
              <w:jc w:val="right"/>
              <w:rPr>
                <w:rFonts w:ascii="Arial" w:hAnsi="Arial" w:cs="Arial"/>
                <w:b/>
                <w:bCs/>
                <w:color w:val="000000"/>
                <w:sz w:val="16"/>
                <w:szCs w:val="16"/>
              </w:rPr>
            </w:pPr>
          </w:p>
        </w:tc>
      </w:tr>
      <w:tr w:rsidR="000826B8" w:rsidRPr="000826B8" w14:paraId="5FA2E86C" w14:textId="77777777" w:rsidTr="000826B8">
        <w:trPr>
          <w:trHeight w:val="232"/>
        </w:trPr>
        <w:tc>
          <w:tcPr>
            <w:tcW w:w="2773" w:type="pct"/>
            <w:tcBorders>
              <w:top w:val="nil"/>
              <w:left w:val="nil"/>
              <w:bottom w:val="nil"/>
              <w:right w:val="nil"/>
            </w:tcBorders>
            <w:noWrap/>
            <w:vAlign w:val="bottom"/>
            <w:hideMark/>
          </w:tcPr>
          <w:p w14:paraId="5D3138C9" w14:textId="77777777" w:rsidR="000826B8" w:rsidRPr="000826B8" w:rsidRDefault="000826B8">
            <w:pPr>
              <w:rPr>
                <w:rFonts w:ascii="Arial" w:hAnsi="Arial" w:cs="Arial"/>
                <w:sz w:val="16"/>
                <w:szCs w:val="16"/>
              </w:rPr>
            </w:pPr>
            <w:r w:rsidRPr="000826B8">
              <w:rPr>
                <w:rFonts w:ascii="Arial" w:hAnsi="Arial" w:cs="Arial"/>
                <w:sz w:val="16"/>
                <w:szCs w:val="16"/>
              </w:rPr>
              <w:t>Comercialização dos Serviços</w:t>
            </w:r>
          </w:p>
        </w:tc>
        <w:tc>
          <w:tcPr>
            <w:tcW w:w="266" w:type="pct"/>
            <w:tcBorders>
              <w:top w:val="nil"/>
              <w:left w:val="nil"/>
              <w:bottom w:val="nil"/>
              <w:right w:val="nil"/>
            </w:tcBorders>
            <w:noWrap/>
            <w:vAlign w:val="bottom"/>
            <w:hideMark/>
          </w:tcPr>
          <w:p w14:paraId="445C6D55" w14:textId="77777777" w:rsidR="000826B8" w:rsidRPr="000826B8" w:rsidRDefault="000826B8">
            <w:pPr>
              <w:jc w:val="center"/>
              <w:rPr>
                <w:rFonts w:ascii="Arial" w:hAnsi="Arial" w:cs="Arial"/>
                <w:sz w:val="16"/>
                <w:szCs w:val="16"/>
              </w:rPr>
            </w:pPr>
            <w:r w:rsidRPr="000826B8">
              <w:rPr>
                <w:rFonts w:ascii="Arial" w:hAnsi="Arial" w:cs="Arial"/>
                <w:sz w:val="16"/>
                <w:szCs w:val="16"/>
              </w:rPr>
              <w:t>28</w:t>
            </w:r>
          </w:p>
        </w:tc>
        <w:tc>
          <w:tcPr>
            <w:tcW w:w="73" w:type="pct"/>
            <w:tcBorders>
              <w:top w:val="nil"/>
              <w:left w:val="nil"/>
              <w:bottom w:val="nil"/>
              <w:right w:val="nil"/>
            </w:tcBorders>
            <w:noWrap/>
            <w:vAlign w:val="bottom"/>
            <w:hideMark/>
          </w:tcPr>
          <w:p w14:paraId="28DB2874" w14:textId="77777777" w:rsidR="000826B8" w:rsidRPr="000826B8" w:rsidRDefault="000826B8">
            <w:pPr>
              <w:jc w:val="center"/>
              <w:rPr>
                <w:rFonts w:ascii="Arial" w:hAnsi="Arial" w:cs="Arial"/>
                <w:sz w:val="16"/>
                <w:szCs w:val="16"/>
              </w:rPr>
            </w:pPr>
          </w:p>
        </w:tc>
        <w:tc>
          <w:tcPr>
            <w:tcW w:w="861" w:type="pct"/>
            <w:tcBorders>
              <w:top w:val="nil"/>
              <w:left w:val="nil"/>
              <w:bottom w:val="nil"/>
              <w:right w:val="nil"/>
            </w:tcBorders>
            <w:noWrap/>
            <w:vAlign w:val="bottom"/>
            <w:hideMark/>
          </w:tcPr>
          <w:p w14:paraId="7AABA40F"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(7.378)</w:t>
            </w:r>
          </w:p>
        </w:tc>
        <w:tc>
          <w:tcPr>
            <w:tcW w:w="94" w:type="pct"/>
            <w:tcBorders>
              <w:top w:val="nil"/>
              <w:left w:val="nil"/>
              <w:bottom w:val="nil"/>
              <w:right w:val="nil"/>
            </w:tcBorders>
            <w:noWrap/>
            <w:vAlign w:val="bottom"/>
            <w:hideMark/>
          </w:tcPr>
          <w:p w14:paraId="25C1BCF3"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147A8687"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(6.311)</w:t>
            </w:r>
          </w:p>
        </w:tc>
        <w:tc>
          <w:tcPr>
            <w:tcW w:w="73" w:type="pct"/>
            <w:tcBorders>
              <w:top w:val="nil"/>
              <w:left w:val="nil"/>
              <w:bottom w:val="nil"/>
              <w:right w:val="nil"/>
            </w:tcBorders>
            <w:noWrap/>
            <w:vAlign w:val="bottom"/>
            <w:hideMark/>
          </w:tcPr>
          <w:p w14:paraId="3B87B120" w14:textId="77777777" w:rsidR="000826B8" w:rsidRPr="000826B8" w:rsidRDefault="000826B8" w:rsidP="000826B8">
            <w:pPr>
              <w:jc w:val="right"/>
              <w:rPr>
                <w:rFonts w:ascii="Arial" w:hAnsi="Arial" w:cs="Arial"/>
                <w:color w:val="000000"/>
                <w:sz w:val="16"/>
                <w:szCs w:val="16"/>
              </w:rPr>
            </w:pPr>
          </w:p>
        </w:tc>
      </w:tr>
      <w:tr w:rsidR="000826B8" w:rsidRPr="000826B8" w14:paraId="03D8605C" w14:textId="77777777" w:rsidTr="000826B8">
        <w:trPr>
          <w:trHeight w:val="232"/>
        </w:trPr>
        <w:tc>
          <w:tcPr>
            <w:tcW w:w="2773" w:type="pct"/>
            <w:tcBorders>
              <w:top w:val="nil"/>
              <w:left w:val="nil"/>
              <w:bottom w:val="nil"/>
              <w:right w:val="nil"/>
            </w:tcBorders>
            <w:noWrap/>
            <w:vAlign w:val="bottom"/>
            <w:hideMark/>
          </w:tcPr>
          <w:p w14:paraId="07BB623C" w14:textId="77777777" w:rsidR="000826B8" w:rsidRPr="000826B8" w:rsidRDefault="000826B8">
            <w:pPr>
              <w:rPr>
                <w:rFonts w:ascii="Arial" w:hAnsi="Arial" w:cs="Arial"/>
                <w:sz w:val="16"/>
                <w:szCs w:val="16"/>
              </w:rPr>
            </w:pPr>
            <w:r w:rsidRPr="000826B8">
              <w:rPr>
                <w:rFonts w:ascii="Arial" w:hAnsi="Arial" w:cs="Arial"/>
                <w:sz w:val="16"/>
                <w:szCs w:val="16"/>
              </w:rPr>
              <w:t>Despesas Gerais e Administrativas</w:t>
            </w:r>
          </w:p>
        </w:tc>
        <w:tc>
          <w:tcPr>
            <w:tcW w:w="266" w:type="pct"/>
            <w:tcBorders>
              <w:top w:val="nil"/>
              <w:left w:val="nil"/>
              <w:bottom w:val="nil"/>
              <w:right w:val="nil"/>
            </w:tcBorders>
            <w:noWrap/>
            <w:vAlign w:val="bottom"/>
            <w:hideMark/>
          </w:tcPr>
          <w:p w14:paraId="3AB459F6" w14:textId="77777777" w:rsidR="000826B8" w:rsidRPr="000826B8" w:rsidRDefault="000826B8">
            <w:pPr>
              <w:jc w:val="center"/>
              <w:rPr>
                <w:rFonts w:ascii="Arial" w:hAnsi="Arial" w:cs="Arial"/>
                <w:sz w:val="16"/>
                <w:szCs w:val="16"/>
              </w:rPr>
            </w:pPr>
            <w:r w:rsidRPr="000826B8">
              <w:rPr>
                <w:rFonts w:ascii="Arial" w:hAnsi="Arial" w:cs="Arial"/>
                <w:sz w:val="16"/>
                <w:szCs w:val="16"/>
              </w:rPr>
              <w:t>28</w:t>
            </w:r>
          </w:p>
        </w:tc>
        <w:tc>
          <w:tcPr>
            <w:tcW w:w="73" w:type="pct"/>
            <w:tcBorders>
              <w:top w:val="nil"/>
              <w:left w:val="nil"/>
              <w:bottom w:val="nil"/>
              <w:right w:val="nil"/>
            </w:tcBorders>
            <w:noWrap/>
            <w:vAlign w:val="bottom"/>
            <w:hideMark/>
          </w:tcPr>
          <w:p w14:paraId="33EBF4C1" w14:textId="77777777" w:rsidR="000826B8" w:rsidRPr="000826B8" w:rsidRDefault="000826B8">
            <w:pPr>
              <w:jc w:val="center"/>
              <w:rPr>
                <w:rFonts w:ascii="Arial" w:hAnsi="Arial" w:cs="Arial"/>
                <w:sz w:val="16"/>
                <w:szCs w:val="16"/>
              </w:rPr>
            </w:pPr>
          </w:p>
        </w:tc>
        <w:tc>
          <w:tcPr>
            <w:tcW w:w="861" w:type="pct"/>
            <w:tcBorders>
              <w:top w:val="nil"/>
              <w:left w:val="nil"/>
              <w:bottom w:val="nil"/>
              <w:right w:val="nil"/>
            </w:tcBorders>
            <w:noWrap/>
            <w:vAlign w:val="bottom"/>
            <w:hideMark/>
          </w:tcPr>
          <w:p w14:paraId="7E196767"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(26.814)</w:t>
            </w:r>
          </w:p>
        </w:tc>
        <w:tc>
          <w:tcPr>
            <w:tcW w:w="94" w:type="pct"/>
            <w:tcBorders>
              <w:top w:val="nil"/>
              <w:left w:val="nil"/>
              <w:bottom w:val="nil"/>
              <w:right w:val="nil"/>
            </w:tcBorders>
            <w:noWrap/>
            <w:vAlign w:val="bottom"/>
            <w:hideMark/>
          </w:tcPr>
          <w:p w14:paraId="2FA0CBB6"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46B3D12B"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(21.756)</w:t>
            </w:r>
          </w:p>
        </w:tc>
        <w:tc>
          <w:tcPr>
            <w:tcW w:w="73" w:type="pct"/>
            <w:tcBorders>
              <w:top w:val="nil"/>
              <w:left w:val="nil"/>
              <w:bottom w:val="nil"/>
              <w:right w:val="nil"/>
            </w:tcBorders>
            <w:noWrap/>
            <w:vAlign w:val="bottom"/>
            <w:hideMark/>
          </w:tcPr>
          <w:p w14:paraId="7B6C4678" w14:textId="77777777" w:rsidR="000826B8" w:rsidRPr="000826B8" w:rsidRDefault="000826B8" w:rsidP="000826B8">
            <w:pPr>
              <w:jc w:val="right"/>
              <w:rPr>
                <w:rFonts w:ascii="Arial" w:hAnsi="Arial" w:cs="Arial"/>
                <w:color w:val="000000"/>
                <w:sz w:val="16"/>
                <w:szCs w:val="16"/>
              </w:rPr>
            </w:pPr>
          </w:p>
        </w:tc>
      </w:tr>
      <w:tr w:rsidR="000826B8" w:rsidRPr="000826B8" w14:paraId="3BAC001E" w14:textId="77777777" w:rsidTr="000826B8">
        <w:trPr>
          <w:trHeight w:val="232"/>
        </w:trPr>
        <w:tc>
          <w:tcPr>
            <w:tcW w:w="2773" w:type="pct"/>
            <w:tcBorders>
              <w:top w:val="nil"/>
              <w:left w:val="nil"/>
              <w:bottom w:val="nil"/>
              <w:right w:val="nil"/>
            </w:tcBorders>
            <w:noWrap/>
            <w:vAlign w:val="bottom"/>
            <w:hideMark/>
          </w:tcPr>
          <w:p w14:paraId="1EF55927" w14:textId="77777777" w:rsidR="000826B8" w:rsidRPr="000826B8" w:rsidRDefault="000826B8">
            <w:pPr>
              <w:rPr>
                <w:rFonts w:ascii="Arial" w:hAnsi="Arial" w:cs="Arial"/>
                <w:sz w:val="16"/>
                <w:szCs w:val="16"/>
              </w:rPr>
            </w:pPr>
            <w:r w:rsidRPr="000826B8">
              <w:rPr>
                <w:rFonts w:ascii="Arial" w:hAnsi="Arial" w:cs="Arial"/>
                <w:sz w:val="16"/>
                <w:szCs w:val="16"/>
              </w:rPr>
              <w:t>Resultado de Equivalência Patrimonial</w:t>
            </w:r>
          </w:p>
        </w:tc>
        <w:tc>
          <w:tcPr>
            <w:tcW w:w="266" w:type="pct"/>
            <w:tcBorders>
              <w:top w:val="nil"/>
              <w:left w:val="nil"/>
              <w:bottom w:val="nil"/>
              <w:right w:val="nil"/>
            </w:tcBorders>
            <w:noWrap/>
            <w:vAlign w:val="bottom"/>
            <w:hideMark/>
          </w:tcPr>
          <w:p w14:paraId="4569FBB1" w14:textId="77777777" w:rsidR="000826B8" w:rsidRPr="000826B8" w:rsidRDefault="000826B8">
            <w:pPr>
              <w:jc w:val="center"/>
              <w:rPr>
                <w:rFonts w:ascii="Arial" w:hAnsi="Arial" w:cs="Arial"/>
                <w:sz w:val="16"/>
                <w:szCs w:val="16"/>
              </w:rPr>
            </w:pPr>
            <w:r w:rsidRPr="000826B8">
              <w:rPr>
                <w:rFonts w:ascii="Arial" w:hAnsi="Arial" w:cs="Arial"/>
                <w:sz w:val="16"/>
                <w:szCs w:val="16"/>
              </w:rPr>
              <w:t>11</w:t>
            </w:r>
          </w:p>
        </w:tc>
        <w:tc>
          <w:tcPr>
            <w:tcW w:w="73" w:type="pct"/>
            <w:tcBorders>
              <w:top w:val="nil"/>
              <w:left w:val="nil"/>
              <w:bottom w:val="nil"/>
              <w:right w:val="nil"/>
            </w:tcBorders>
            <w:noWrap/>
            <w:vAlign w:val="bottom"/>
            <w:hideMark/>
          </w:tcPr>
          <w:p w14:paraId="0DE99CEE" w14:textId="77777777" w:rsidR="000826B8" w:rsidRPr="000826B8" w:rsidRDefault="000826B8">
            <w:pPr>
              <w:jc w:val="center"/>
              <w:rPr>
                <w:rFonts w:ascii="Arial" w:hAnsi="Arial" w:cs="Arial"/>
                <w:sz w:val="16"/>
                <w:szCs w:val="16"/>
              </w:rPr>
            </w:pPr>
          </w:p>
        </w:tc>
        <w:tc>
          <w:tcPr>
            <w:tcW w:w="861" w:type="pct"/>
            <w:tcBorders>
              <w:top w:val="nil"/>
              <w:left w:val="nil"/>
              <w:bottom w:val="nil"/>
              <w:right w:val="nil"/>
            </w:tcBorders>
            <w:noWrap/>
            <w:vAlign w:val="bottom"/>
            <w:hideMark/>
          </w:tcPr>
          <w:p w14:paraId="563611F4"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(82)</w:t>
            </w:r>
          </w:p>
        </w:tc>
        <w:tc>
          <w:tcPr>
            <w:tcW w:w="94" w:type="pct"/>
            <w:tcBorders>
              <w:top w:val="nil"/>
              <w:left w:val="nil"/>
              <w:bottom w:val="nil"/>
              <w:right w:val="nil"/>
            </w:tcBorders>
            <w:noWrap/>
            <w:vAlign w:val="bottom"/>
            <w:hideMark/>
          </w:tcPr>
          <w:p w14:paraId="735BA005"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1D16CC9D"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(716)</w:t>
            </w:r>
          </w:p>
        </w:tc>
        <w:tc>
          <w:tcPr>
            <w:tcW w:w="73" w:type="pct"/>
            <w:tcBorders>
              <w:top w:val="nil"/>
              <w:left w:val="nil"/>
              <w:bottom w:val="nil"/>
              <w:right w:val="nil"/>
            </w:tcBorders>
            <w:noWrap/>
            <w:vAlign w:val="bottom"/>
            <w:hideMark/>
          </w:tcPr>
          <w:p w14:paraId="0EB472FD" w14:textId="77777777" w:rsidR="000826B8" w:rsidRPr="000826B8" w:rsidRDefault="000826B8" w:rsidP="000826B8">
            <w:pPr>
              <w:jc w:val="right"/>
              <w:rPr>
                <w:rFonts w:ascii="Arial" w:hAnsi="Arial" w:cs="Arial"/>
                <w:color w:val="000000"/>
                <w:sz w:val="16"/>
                <w:szCs w:val="16"/>
              </w:rPr>
            </w:pPr>
          </w:p>
        </w:tc>
      </w:tr>
      <w:tr w:rsidR="000826B8" w:rsidRPr="000826B8" w14:paraId="5CF54930" w14:textId="77777777" w:rsidTr="000826B8">
        <w:trPr>
          <w:trHeight w:val="232"/>
        </w:trPr>
        <w:tc>
          <w:tcPr>
            <w:tcW w:w="2773" w:type="pct"/>
            <w:tcBorders>
              <w:top w:val="nil"/>
              <w:left w:val="nil"/>
              <w:bottom w:val="nil"/>
              <w:right w:val="nil"/>
            </w:tcBorders>
            <w:noWrap/>
            <w:vAlign w:val="bottom"/>
            <w:hideMark/>
          </w:tcPr>
          <w:p w14:paraId="508D5F2E" w14:textId="77777777" w:rsidR="000826B8" w:rsidRPr="000826B8" w:rsidRDefault="000826B8">
            <w:pPr>
              <w:rPr>
                <w:rFonts w:ascii="Arial" w:hAnsi="Arial" w:cs="Arial"/>
                <w:sz w:val="16"/>
                <w:szCs w:val="16"/>
              </w:rPr>
            </w:pPr>
            <w:r w:rsidRPr="000826B8">
              <w:rPr>
                <w:rFonts w:ascii="Arial" w:hAnsi="Arial" w:cs="Arial"/>
                <w:sz w:val="16"/>
                <w:szCs w:val="16"/>
              </w:rPr>
              <w:t>Outras Receitas / (Despesas) Operacionais</w:t>
            </w:r>
          </w:p>
        </w:tc>
        <w:tc>
          <w:tcPr>
            <w:tcW w:w="266" w:type="pct"/>
            <w:tcBorders>
              <w:top w:val="nil"/>
              <w:left w:val="nil"/>
              <w:bottom w:val="nil"/>
              <w:right w:val="nil"/>
            </w:tcBorders>
            <w:noWrap/>
            <w:vAlign w:val="bottom"/>
            <w:hideMark/>
          </w:tcPr>
          <w:p w14:paraId="5A895135" w14:textId="77777777" w:rsidR="000826B8" w:rsidRPr="000826B8" w:rsidRDefault="000826B8">
            <w:pPr>
              <w:jc w:val="center"/>
              <w:rPr>
                <w:rFonts w:ascii="Arial" w:hAnsi="Arial" w:cs="Arial"/>
                <w:sz w:val="16"/>
                <w:szCs w:val="16"/>
              </w:rPr>
            </w:pPr>
            <w:r w:rsidRPr="000826B8">
              <w:rPr>
                <w:rFonts w:ascii="Arial" w:hAnsi="Arial" w:cs="Arial"/>
                <w:sz w:val="16"/>
                <w:szCs w:val="16"/>
              </w:rPr>
              <w:t>29</w:t>
            </w:r>
          </w:p>
        </w:tc>
        <w:tc>
          <w:tcPr>
            <w:tcW w:w="73" w:type="pct"/>
            <w:tcBorders>
              <w:top w:val="nil"/>
              <w:left w:val="nil"/>
              <w:bottom w:val="nil"/>
              <w:right w:val="nil"/>
            </w:tcBorders>
            <w:noWrap/>
            <w:vAlign w:val="bottom"/>
            <w:hideMark/>
          </w:tcPr>
          <w:p w14:paraId="60FD54DD" w14:textId="5B7452E2" w:rsidR="000826B8" w:rsidRPr="000826B8" w:rsidRDefault="000826B8">
            <w:pPr>
              <w:jc w:val="center"/>
              <w:rPr>
                <w:rFonts w:ascii="Arial" w:hAnsi="Arial" w:cs="Arial"/>
                <w:color w:val="000000"/>
                <w:sz w:val="16"/>
                <w:szCs w:val="16"/>
              </w:rPr>
            </w:pPr>
          </w:p>
        </w:tc>
        <w:tc>
          <w:tcPr>
            <w:tcW w:w="861" w:type="pct"/>
            <w:tcBorders>
              <w:top w:val="nil"/>
              <w:left w:val="nil"/>
              <w:bottom w:val="nil"/>
              <w:right w:val="nil"/>
            </w:tcBorders>
            <w:noWrap/>
            <w:vAlign w:val="bottom"/>
            <w:hideMark/>
          </w:tcPr>
          <w:p w14:paraId="71AD90BA"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9.095 </w:t>
            </w:r>
          </w:p>
        </w:tc>
        <w:tc>
          <w:tcPr>
            <w:tcW w:w="94" w:type="pct"/>
            <w:tcBorders>
              <w:top w:val="nil"/>
              <w:left w:val="nil"/>
              <w:bottom w:val="nil"/>
              <w:right w:val="nil"/>
            </w:tcBorders>
            <w:noWrap/>
            <w:vAlign w:val="bottom"/>
            <w:hideMark/>
          </w:tcPr>
          <w:p w14:paraId="2A9625BC"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5D326201"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78.290 </w:t>
            </w:r>
          </w:p>
        </w:tc>
        <w:tc>
          <w:tcPr>
            <w:tcW w:w="73" w:type="pct"/>
            <w:tcBorders>
              <w:top w:val="nil"/>
              <w:left w:val="nil"/>
              <w:bottom w:val="nil"/>
              <w:right w:val="nil"/>
            </w:tcBorders>
            <w:noWrap/>
            <w:vAlign w:val="bottom"/>
            <w:hideMark/>
          </w:tcPr>
          <w:p w14:paraId="70E6AFDB" w14:textId="77777777" w:rsidR="000826B8" w:rsidRPr="000826B8" w:rsidRDefault="000826B8" w:rsidP="000826B8">
            <w:pPr>
              <w:jc w:val="right"/>
              <w:rPr>
                <w:rFonts w:ascii="Arial" w:hAnsi="Arial" w:cs="Arial"/>
                <w:color w:val="000000"/>
                <w:sz w:val="16"/>
                <w:szCs w:val="16"/>
              </w:rPr>
            </w:pPr>
          </w:p>
        </w:tc>
      </w:tr>
      <w:tr w:rsidR="000826B8" w:rsidRPr="000826B8" w14:paraId="6254D9C0" w14:textId="77777777" w:rsidTr="000826B8">
        <w:trPr>
          <w:trHeight w:val="232"/>
        </w:trPr>
        <w:tc>
          <w:tcPr>
            <w:tcW w:w="2773" w:type="pct"/>
            <w:tcBorders>
              <w:top w:val="nil"/>
              <w:left w:val="nil"/>
              <w:bottom w:val="nil"/>
              <w:right w:val="nil"/>
            </w:tcBorders>
            <w:noWrap/>
            <w:vAlign w:val="bottom"/>
            <w:hideMark/>
          </w:tcPr>
          <w:p w14:paraId="49058E2E" w14:textId="77777777" w:rsidR="000826B8" w:rsidRPr="000826B8" w:rsidRDefault="000826B8">
            <w:pPr>
              <w:rPr>
                <w:rFonts w:ascii="Arial" w:hAnsi="Arial" w:cs="Arial"/>
                <w:sz w:val="16"/>
                <w:szCs w:val="16"/>
              </w:rPr>
            </w:pPr>
            <w:r w:rsidRPr="000826B8">
              <w:rPr>
                <w:rFonts w:ascii="Arial" w:hAnsi="Arial" w:cs="Arial"/>
                <w:sz w:val="16"/>
                <w:szCs w:val="16"/>
              </w:rPr>
              <w:t xml:space="preserve">   Outras Receitas Operacionais</w:t>
            </w:r>
          </w:p>
        </w:tc>
        <w:tc>
          <w:tcPr>
            <w:tcW w:w="266" w:type="pct"/>
            <w:tcBorders>
              <w:top w:val="nil"/>
              <w:left w:val="nil"/>
              <w:bottom w:val="nil"/>
              <w:right w:val="nil"/>
            </w:tcBorders>
            <w:noWrap/>
            <w:vAlign w:val="bottom"/>
            <w:hideMark/>
          </w:tcPr>
          <w:p w14:paraId="752C4915" w14:textId="77777777" w:rsidR="000826B8" w:rsidRPr="000826B8" w:rsidRDefault="000826B8">
            <w:pPr>
              <w:rPr>
                <w:rFonts w:ascii="Arial" w:hAnsi="Arial" w:cs="Arial"/>
                <w:sz w:val="16"/>
                <w:szCs w:val="16"/>
              </w:rPr>
            </w:pPr>
          </w:p>
        </w:tc>
        <w:tc>
          <w:tcPr>
            <w:tcW w:w="73" w:type="pct"/>
            <w:tcBorders>
              <w:top w:val="nil"/>
              <w:left w:val="nil"/>
              <w:bottom w:val="nil"/>
              <w:right w:val="nil"/>
            </w:tcBorders>
            <w:noWrap/>
            <w:vAlign w:val="bottom"/>
            <w:hideMark/>
          </w:tcPr>
          <w:p w14:paraId="3EFCAAAF"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7E2CBF61"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12.830 </w:t>
            </w:r>
          </w:p>
        </w:tc>
        <w:tc>
          <w:tcPr>
            <w:tcW w:w="94" w:type="pct"/>
            <w:tcBorders>
              <w:top w:val="nil"/>
              <w:left w:val="nil"/>
              <w:bottom w:val="nil"/>
              <w:right w:val="nil"/>
            </w:tcBorders>
            <w:noWrap/>
            <w:vAlign w:val="bottom"/>
            <w:hideMark/>
          </w:tcPr>
          <w:p w14:paraId="15B6FB34"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27CFC33F"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81.745 </w:t>
            </w:r>
          </w:p>
        </w:tc>
        <w:tc>
          <w:tcPr>
            <w:tcW w:w="73" w:type="pct"/>
            <w:tcBorders>
              <w:top w:val="nil"/>
              <w:left w:val="nil"/>
              <w:bottom w:val="nil"/>
              <w:right w:val="nil"/>
            </w:tcBorders>
            <w:noWrap/>
            <w:vAlign w:val="bottom"/>
            <w:hideMark/>
          </w:tcPr>
          <w:p w14:paraId="68821B0E" w14:textId="77777777" w:rsidR="000826B8" w:rsidRPr="000826B8" w:rsidRDefault="000826B8" w:rsidP="000826B8">
            <w:pPr>
              <w:jc w:val="right"/>
              <w:rPr>
                <w:rFonts w:ascii="Arial" w:hAnsi="Arial" w:cs="Arial"/>
                <w:color w:val="000000"/>
                <w:sz w:val="16"/>
                <w:szCs w:val="16"/>
              </w:rPr>
            </w:pPr>
          </w:p>
        </w:tc>
      </w:tr>
      <w:tr w:rsidR="000826B8" w:rsidRPr="000826B8" w14:paraId="73296917" w14:textId="77777777" w:rsidTr="000826B8">
        <w:trPr>
          <w:trHeight w:val="232"/>
        </w:trPr>
        <w:tc>
          <w:tcPr>
            <w:tcW w:w="2773" w:type="pct"/>
            <w:tcBorders>
              <w:top w:val="nil"/>
              <w:left w:val="nil"/>
              <w:bottom w:val="nil"/>
              <w:right w:val="nil"/>
            </w:tcBorders>
            <w:noWrap/>
            <w:vAlign w:val="bottom"/>
            <w:hideMark/>
          </w:tcPr>
          <w:p w14:paraId="6C3289A4" w14:textId="77777777" w:rsidR="000826B8" w:rsidRPr="000826B8" w:rsidRDefault="000826B8">
            <w:pPr>
              <w:rPr>
                <w:rFonts w:ascii="Arial" w:hAnsi="Arial" w:cs="Arial"/>
                <w:sz w:val="16"/>
                <w:szCs w:val="16"/>
              </w:rPr>
            </w:pPr>
            <w:r w:rsidRPr="000826B8">
              <w:rPr>
                <w:rFonts w:ascii="Arial" w:hAnsi="Arial" w:cs="Arial"/>
                <w:sz w:val="16"/>
                <w:szCs w:val="16"/>
              </w:rPr>
              <w:t xml:space="preserve">   Outras Despesas Operacionais</w:t>
            </w:r>
          </w:p>
        </w:tc>
        <w:tc>
          <w:tcPr>
            <w:tcW w:w="266" w:type="pct"/>
            <w:tcBorders>
              <w:top w:val="nil"/>
              <w:left w:val="nil"/>
              <w:bottom w:val="nil"/>
              <w:right w:val="nil"/>
            </w:tcBorders>
            <w:noWrap/>
            <w:vAlign w:val="bottom"/>
            <w:hideMark/>
          </w:tcPr>
          <w:p w14:paraId="69D7522F" w14:textId="77777777" w:rsidR="000826B8" w:rsidRPr="000826B8" w:rsidRDefault="000826B8">
            <w:pPr>
              <w:rPr>
                <w:rFonts w:ascii="Arial" w:hAnsi="Arial" w:cs="Arial"/>
                <w:sz w:val="16"/>
                <w:szCs w:val="16"/>
              </w:rPr>
            </w:pPr>
          </w:p>
        </w:tc>
        <w:tc>
          <w:tcPr>
            <w:tcW w:w="73" w:type="pct"/>
            <w:tcBorders>
              <w:top w:val="nil"/>
              <w:left w:val="nil"/>
              <w:bottom w:val="nil"/>
              <w:right w:val="nil"/>
            </w:tcBorders>
            <w:noWrap/>
            <w:vAlign w:val="bottom"/>
            <w:hideMark/>
          </w:tcPr>
          <w:p w14:paraId="0478CDCA"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297B6366"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(3.735)</w:t>
            </w:r>
          </w:p>
        </w:tc>
        <w:tc>
          <w:tcPr>
            <w:tcW w:w="94" w:type="pct"/>
            <w:tcBorders>
              <w:top w:val="nil"/>
              <w:left w:val="nil"/>
              <w:bottom w:val="nil"/>
              <w:right w:val="nil"/>
            </w:tcBorders>
            <w:noWrap/>
            <w:vAlign w:val="bottom"/>
            <w:hideMark/>
          </w:tcPr>
          <w:p w14:paraId="7DA10F8D"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26DE89B6"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(3.455)</w:t>
            </w:r>
          </w:p>
        </w:tc>
        <w:tc>
          <w:tcPr>
            <w:tcW w:w="73" w:type="pct"/>
            <w:tcBorders>
              <w:top w:val="nil"/>
              <w:left w:val="nil"/>
              <w:bottom w:val="nil"/>
              <w:right w:val="nil"/>
            </w:tcBorders>
            <w:noWrap/>
            <w:vAlign w:val="bottom"/>
            <w:hideMark/>
          </w:tcPr>
          <w:p w14:paraId="4255DDC3" w14:textId="77777777" w:rsidR="000826B8" w:rsidRPr="000826B8" w:rsidRDefault="000826B8" w:rsidP="000826B8">
            <w:pPr>
              <w:jc w:val="right"/>
              <w:rPr>
                <w:rFonts w:ascii="Arial" w:hAnsi="Arial" w:cs="Arial"/>
                <w:color w:val="000000"/>
                <w:sz w:val="16"/>
                <w:szCs w:val="16"/>
              </w:rPr>
            </w:pPr>
          </w:p>
        </w:tc>
      </w:tr>
      <w:tr w:rsidR="000826B8" w:rsidRPr="000826B8" w14:paraId="278544C9" w14:textId="77777777" w:rsidTr="000826B8">
        <w:trPr>
          <w:trHeight w:val="232"/>
        </w:trPr>
        <w:tc>
          <w:tcPr>
            <w:tcW w:w="2773" w:type="pct"/>
            <w:tcBorders>
              <w:top w:val="nil"/>
              <w:left w:val="nil"/>
              <w:bottom w:val="nil"/>
              <w:right w:val="nil"/>
            </w:tcBorders>
            <w:noWrap/>
            <w:vAlign w:val="bottom"/>
            <w:hideMark/>
          </w:tcPr>
          <w:p w14:paraId="16B17CBC"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320B08FF"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6C64EA29"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76782AB1"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7B0AB59E"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64E66F33"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7744DAA8" w14:textId="77777777" w:rsidR="000826B8" w:rsidRPr="000826B8" w:rsidRDefault="000826B8" w:rsidP="000826B8">
            <w:pPr>
              <w:jc w:val="right"/>
              <w:rPr>
                <w:sz w:val="16"/>
                <w:szCs w:val="16"/>
              </w:rPr>
            </w:pPr>
          </w:p>
        </w:tc>
      </w:tr>
      <w:tr w:rsidR="000826B8" w:rsidRPr="000826B8" w14:paraId="3915EC05" w14:textId="77777777" w:rsidTr="000826B8">
        <w:trPr>
          <w:trHeight w:val="232"/>
        </w:trPr>
        <w:tc>
          <w:tcPr>
            <w:tcW w:w="2773" w:type="pct"/>
            <w:tcBorders>
              <w:top w:val="nil"/>
              <w:left w:val="nil"/>
              <w:bottom w:val="nil"/>
              <w:right w:val="nil"/>
            </w:tcBorders>
            <w:noWrap/>
            <w:vAlign w:val="bottom"/>
            <w:hideMark/>
          </w:tcPr>
          <w:p w14:paraId="3EACA045" w14:textId="77777777" w:rsidR="000826B8" w:rsidRPr="000826B8" w:rsidRDefault="000826B8">
            <w:pPr>
              <w:rPr>
                <w:rFonts w:ascii="Arial" w:hAnsi="Arial" w:cs="Arial"/>
                <w:b/>
                <w:bCs/>
                <w:sz w:val="16"/>
                <w:szCs w:val="16"/>
              </w:rPr>
            </w:pPr>
            <w:r w:rsidRPr="000826B8">
              <w:rPr>
                <w:rFonts w:ascii="Arial" w:hAnsi="Arial" w:cs="Arial"/>
                <w:b/>
                <w:bCs/>
                <w:sz w:val="16"/>
                <w:szCs w:val="16"/>
              </w:rPr>
              <w:t>Lucro/(Prejuízo) Operacional antes do Resultado Financeiro</w:t>
            </w:r>
          </w:p>
        </w:tc>
        <w:tc>
          <w:tcPr>
            <w:tcW w:w="266" w:type="pct"/>
            <w:tcBorders>
              <w:top w:val="nil"/>
              <w:left w:val="nil"/>
              <w:bottom w:val="nil"/>
              <w:right w:val="nil"/>
            </w:tcBorders>
            <w:noWrap/>
            <w:vAlign w:val="bottom"/>
            <w:hideMark/>
          </w:tcPr>
          <w:p w14:paraId="7F8D5B51" w14:textId="77777777" w:rsidR="000826B8" w:rsidRPr="000826B8" w:rsidRDefault="000826B8">
            <w:pPr>
              <w:rPr>
                <w:rFonts w:ascii="Arial" w:hAnsi="Arial" w:cs="Arial"/>
                <w:b/>
                <w:bCs/>
                <w:sz w:val="16"/>
                <w:szCs w:val="16"/>
              </w:rPr>
            </w:pPr>
          </w:p>
        </w:tc>
        <w:tc>
          <w:tcPr>
            <w:tcW w:w="73" w:type="pct"/>
            <w:tcBorders>
              <w:top w:val="nil"/>
              <w:left w:val="nil"/>
              <w:bottom w:val="nil"/>
              <w:right w:val="nil"/>
            </w:tcBorders>
            <w:noWrap/>
            <w:vAlign w:val="bottom"/>
            <w:hideMark/>
          </w:tcPr>
          <w:p w14:paraId="6CF533F9" w14:textId="189C926D" w:rsidR="000826B8" w:rsidRPr="000826B8" w:rsidRDefault="000826B8">
            <w:pPr>
              <w:jc w:val="center"/>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15D7D9E9"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(77.351)</w:t>
            </w:r>
          </w:p>
        </w:tc>
        <w:tc>
          <w:tcPr>
            <w:tcW w:w="94" w:type="pct"/>
            <w:tcBorders>
              <w:top w:val="nil"/>
              <w:left w:val="nil"/>
              <w:bottom w:val="nil"/>
              <w:right w:val="nil"/>
            </w:tcBorders>
            <w:noWrap/>
            <w:vAlign w:val="bottom"/>
            <w:hideMark/>
          </w:tcPr>
          <w:p w14:paraId="14CF7C44" w14:textId="77777777" w:rsidR="000826B8" w:rsidRPr="000826B8" w:rsidRDefault="000826B8" w:rsidP="000826B8">
            <w:pPr>
              <w:jc w:val="right"/>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76DEEE27"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4.573 </w:t>
            </w:r>
          </w:p>
        </w:tc>
        <w:tc>
          <w:tcPr>
            <w:tcW w:w="73" w:type="pct"/>
            <w:tcBorders>
              <w:top w:val="nil"/>
              <w:left w:val="nil"/>
              <w:bottom w:val="nil"/>
              <w:right w:val="nil"/>
            </w:tcBorders>
            <w:noWrap/>
            <w:vAlign w:val="bottom"/>
            <w:hideMark/>
          </w:tcPr>
          <w:p w14:paraId="616349DF" w14:textId="77777777" w:rsidR="000826B8" w:rsidRPr="000826B8" w:rsidRDefault="000826B8" w:rsidP="000826B8">
            <w:pPr>
              <w:jc w:val="right"/>
              <w:rPr>
                <w:rFonts w:ascii="Arial" w:hAnsi="Arial" w:cs="Arial"/>
                <w:b/>
                <w:bCs/>
                <w:color w:val="000000"/>
                <w:sz w:val="16"/>
                <w:szCs w:val="16"/>
              </w:rPr>
            </w:pPr>
          </w:p>
        </w:tc>
      </w:tr>
      <w:tr w:rsidR="000826B8" w:rsidRPr="000826B8" w14:paraId="329E4A8A" w14:textId="77777777" w:rsidTr="000826B8">
        <w:trPr>
          <w:trHeight w:val="232"/>
        </w:trPr>
        <w:tc>
          <w:tcPr>
            <w:tcW w:w="2773" w:type="pct"/>
            <w:tcBorders>
              <w:top w:val="nil"/>
              <w:left w:val="nil"/>
              <w:bottom w:val="nil"/>
              <w:right w:val="nil"/>
            </w:tcBorders>
            <w:noWrap/>
            <w:vAlign w:val="bottom"/>
            <w:hideMark/>
          </w:tcPr>
          <w:p w14:paraId="190C46E6"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0708992F"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6FE95951"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66146FEF"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3917193D"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463004D6"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3B36711D" w14:textId="77777777" w:rsidR="000826B8" w:rsidRPr="000826B8" w:rsidRDefault="000826B8" w:rsidP="000826B8">
            <w:pPr>
              <w:jc w:val="right"/>
              <w:rPr>
                <w:sz w:val="16"/>
                <w:szCs w:val="16"/>
              </w:rPr>
            </w:pPr>
          </w:p>
        </w:tc>
      </w:tr>
      <w:tr w:rsidR="000826B8" w:rsidRPr="000826B8" w14:paraId="3047E57D" w14:textId="77777777" w:rsidTr="000826B8">
        <w:trPr>
          <w:trHeight w:val="232"/>
        </w:trPr>
        <w:tc>
          <w:tcPr>
            <w:tcW w:w="2773" w:type="pct"/>
            <w:tcBorders>
              <w:top w:val="nil"/>
              <w:left w:val="nil"/>
              <w:bottom w:val="nil"/>
              <w:right w:val="nil"/>
            </w:tcBorders>
            <w:noWrap/>
            <w:vAlign w:val="bottom"/>
            <w:hideMark/>
          </w:tcPr>
          <w:p w14:paraId="7D9E6446" w14:textId="77777777" w:rsidR="000826B8" w:rsidRPr="000826B8" w:rsidRDefault="000826B8">
            <w:pPr>
              <w:rPr>
                <w:rFonts w:ascii="Arial" w:hAnsi="Arial" w:cs="Arial"/>
                <w:b/>
                <w:bCs/>
                <w:sz w:val="16"/>
                <w:szCs w:val="16"/>
              </w:rPr>
            </w:pPr>
            <w:r w:rsidRPr="000826B8">
              <w:rPr>
                <w:rFonts w:ascii="Arial" w:hAnsi="Arial" w:cs="Arial"/>
                <w:b/>
                <w:bCs/>
                <w:sz w:val="16"/>
                <w:szCs w:val="16"/>
              </w:rPr>
              <w:t>Resultado Financeiro</w:t>
            </w:r>
          </w:p>
        </w:tc>
        <w:tc>
          <w:tcPr>
            <w:tcW w:w="266" w:type="pct"/>
            <w:tcBorders>
              <w:top w:val="nil"/>
              <w:left w:val="nil"/>
              <w:bottom w:val="nil"/>
              <w:right w:val="nil"/>
            </w:tcBorders>
            <w:noWrap/>
            <w:vAlign w:val="bottom"/>
            <w:hideMark/>
          </w:tcPr>
          <w:p w14:paraId="4079D0F5" w14:textId="77777777" w:rsidR="000826B8" w:rsidRPr="000826B8" w:rsidRDefault="000826B8">
            <w:pPr>
              <w:jc w:val="center"/>
              <w:rPr>
                <w:rFonts w:ascii="Arial" w:hAnsi="Arial" w:cs="Arial"/>
                <w:sz w:val="16"/>
                <w:szCs w:val="16"/>
              </w:rPr>
            </w:pPr>
            <w:r w:rsidRPr="000826B8">
              <w:rPr>
                <w:rFonts w:ascii="Arial" w:hAnsi="Arial" w:cs="Arial"/>
                <w:sz w:val="16"/>
                <w:szCs w:val="16"/>
              </w:rPr>
              <w:t>30</w:t>
            </w:r>
          </w:p>
        </w:tc>
        <w:tc>
          <w:tcPr>
            <w:tcW w:w="73" w:type="pct"/>
            <w:tcBorders>
              <w:top w:val="nil"/>
              <w:left w:val="nil"/>
              <w:bottom w:val="nil"/>
              <w:right w:val="nil"/>
            </w:tcBorders>
            <w:noWrap/>
            <w:vAlign w:val="bottom"/>
            <w:hideMark/>
          </w:tcPr>
          <w:p w14:paraId="1C5226D7" w14:textId="49AA2FC5" w:rsidR="000826B8" w:rsidRPr="000826B8" w:rsidRDefault="000826B8">
            <w:pPr>
              <w:jc w:val="center"/>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16A8C5CC"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(12.192)</w:t>
            </w:r>
          </w:p>
        </w:tc>
        <w:tc>
          <w:tcPr>
            <w:tcW w:w="94" w:type="pct"/>
            <w:tcBorders>
              <w:top w:val="nil"/>
              <w:left w:val="nil"/>
              <w:bottom w:val="nil"/>
              <w:right w:val="nil"/>
            </w:tcBorders>
            <w:noWrap/>
            <w:vAlign w:val="bottom"/>
            <w:hideMark/>
          </w:tcPr>
          <w:p w14:paraId="63B8E5B8" w14:textId="77777777" w:rsidR="000826B8" w:rsidRPr="000826B8" w:rsidRDefault="000826B8" w:rsidP="000826B8">
            <w:pPr>
              <w:jc w:val="right"/>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4751B00A"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(11.197)</w:t>
            </w:r>
          </w:p>
        </w:tc>
        <w:tc>
          <w:tcPr>
            <w:tcW w:w="73" w:type="pct"/>
            <w:tcBorders>
              <w:top w:val="nil"/>
              <w:left w:val="nil"/>
              <w:bottom w:val="nil"/>
              <w:right w:val="nil"/>
            </w:tcBorders>
            <w:noWrap/>
            <w:vAlign w:val="bottom"/>
            <w:hideMark/>
          </w:tcPr>
          <w:p w14:paraId="23DB5490" w14:textId="77777777" w:rsidR="000826B8" w:rsidRPr="000826B8" w:rsidRDefault="000826B8" w:rsidP="000826B8">
            <w:pPr>
              <w:jc w:val="right"/>
              <w:rPr>
                <w:rFonts w:ascii="Arial" w:hAnsi="Arial" w:cs="Arial"/>
                <w:b/>
                <w:bCs/>
                <w:color w:val="000000"/>
                <w:sz w:val="16"/>
                <w:szCs w:val="16"/>
              </w:rPr>
            </w:pPr>
          </w:p>
        </w:tc>
      </w:tr>
      <w:tr w:rsidR="000826B8" w:rsidRPr="000826B8" w14:paraId="59771A7D" w14:textId="77777777" w:rsidTr="000826B8">
        <w:trPr>
          <w:trHeight w:val="232"/>
        </w:trPr>
        <w:tc>
          <w:tcPr>
            <w:tcW w:w="2773" w:type="pct"/>
            <w:tcBorders>
              <w:top w:val="nil"/>
              <w:left w:val="nil"/>
              <w:bottom w:val="nil"/>
              <w:right w:val="nil"/>
            </w:tcBorders>
            <w:noWrap/>
            <w:vAlign w:val="bottom"/>
            <w:hideMark/>
          </w:tcPr>
          <w:p w14:paraId="513BC9B2" w14:textId="77777777" w:rsidR="000826B8" w:rsidRPr="000826B8" w:rsidRDefault="000826B8">
            <w:pPr>
              <w:rPr>
                <w:rFonts w:ascii="Arial" w:hAnsi="Arial" w:cs="Arial"/>
                <w:sz w:val="16"/>
                <w:szCs w:val="16"/>
              </w:rPr>
            </w:pPr>
            <w:r w:rsidRPr="000826B8">
              <w:rPr>
                <w:rFonts w:ascii="Arial" w:hAnsi="Arial" w:cs="Arial"/>
                <w:sz w:val="16"/>
                <w:szCs w:val="16"/>
              </w:rPr>
              <w:t>Receitas Financeiras</w:t>
            </w:r>
          </w:p>
        </w:tc>
        <w:tc>
          <w:tcPr>
            <w:tcW w:w="266" w:type="pct"/>
            <w:tcBorders>
              <w:top w:val="nil"/>
              <w:left w:val="nil"/>
              <w:bottom w:val="nil"/>
              <w:right w:val="nil"/>
            </w:tcBorders>
            <w:noWrap/>
            <w:vAlign w:val="bottom"/>
            <w:hideMark/>
          </w:tcPr>
          <w:p w14:paraId="7DB590F8" w14:textId="77777777" w:rsidR="000826B8" w:rsidRPr="000826B8" w:rsidRDefault="000826B8">
            <w:pPr>
              <w:rPr>
                <w:rFonts w:ascii="Arial" w:hAnsi="Arial" w:cs="Arial"/>
                <w:sz w:val="16"/>
                <w:szCs w:val="16"/>
              </w:rPr>
            </w:pPr>
          </w:p>
        </w:tc>
        <w:tc>
          <w:tcPr>
            <w:tcW w:w="73" w:type="pct"/>
            <w:tcBorders>
              <w:top w:val="nil"/>
              <w:left w:val="nil"/>
              <w:bottom w:val="nil"/>
              <w:right w:val="nil"/>
            </w:tcBorders>
            <w:noWrap/>
            <w:vAlign w:val="bottom"/>
            <w:hideMark/>
          </w:tcPr>
          <w:p w14:paraId="39877C18"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1DB08441"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56.889 </w:t>
            </w:r>
          </w:p>
        </w:tc>
        <w:tc>
          <w:tcPr>
            <w:tcW w:w="94" w:type="pct"/>
            <w:tcBorders>
              <w:top w:val="nil"/>
              <w:left w:val="nil"/>
              <w:bottom w:val="nil"/>
              <w:right w:val="nil"/>
            </w:tcBorders>
            <w:noWrap/>
            <w:vAlign w:val="bottom"/>
            <w:hideMark/>
          </w:tcPr>
          <w:p w14:paraId="17CE7BCC"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676FEDD7"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50.121 </w:t>
            </w:r>
          </w:p>
        </w:tc>
        <w:tc>
          <w:tcPr>
            <w:tcW w:w="73" w:type="pct"/>
            <w:tcBorders>
              <w:top w:val="nil"/>
              <w:left w:val="nil"/>
              <w:bottom w:val="nil"/>
              <w:right w:val="nil"/>
            </w:tcBorders>
            <w:noWrap/>
            <w:vAlign w:val="bottom"/>
            <w:hideMark/>
          </w:tcPr>
          <w:p w14:paraId="4C043BCE" w14:textId="77777777" w:rsidR="000826B8" w:rsidRPr="000826B8" w:rsidRDefault="000826B8" w:rsidP="000826B8">
            <w:pPr>
              <w:jc w:val="right"/>
              <w:rPr>
                <w:rFonts w:ascii="Arial" w:hAnsi="Arial" w:cs="Arial"/>
                <w:color w:val="000000"/>
                <w:sz w:val="16"/>
                <w:szCs w:val="16"/>
              </w:rPr>
            </w:pPr>
          </w:p>
        </w:tc>
      </w:tr>
      <w:tr w:rsidR="000826B8" w:rsidRPr="000826B8" w14:paraId="39BBB3CF" w14:textId="77777777" w:rsidTr="000826B8">
        <w:trPr>
          <w:trHeight w:val="232"/>
        </w:trPr>
        <w:tc>
          <w:tcPr>
            <w:tcW w:w="2773" w:type="pct"/>
            <w:tcBorders>
              <w:top w:val="nil"/>
              <w:left w:val="nil"/>
              <w:bottom w:val="nil"/>
              <w:right w:val="nil"/>
            </w:tcBorders>
            <w:noWrap/>
            <w:vAlign w:val="bottom"/>
            <w:hideMark/>
          </w:tcPr>
          <w:p w14:paraId="49400048" w14:textId="77777777" w:rsidR="000826B8" w:rsidRPr="000826B8" w:rsidRDefault="000826B8">
            <w:pPr>
              <w:rPr>
                <w:rFonts w:ascii="Arial" w:hAnsi="Arial" w:cs="Arial"/>
                <w:sz w:val="16"/>
                <w:szCs w:val="16"/>
              </w:rPr>
            </w:pPr>
            <w:r w:rsidRPr="000826B8">
              <w:rPr>
                <w:rFonts w:ascii="Arial" w:hAnsi="Arial" w:cs="Arial"/>
                <w:sz w:val="16"/>
                <w:szCs w:val="16"/>
              </w:rPr>
              <w:t>Despesas Financeiras</w:t>
            </w:r>
          </w:p>
        </w:tc>
        <w:tc>
          <w:tcPr>
            <w:tcW w:w="266" w:type="pct"/>
            <w:tcBorders>
              <w:top w:val="nil"/>
              <w:left w:val="nil"/>
              <w:bottom w:val="nil"/>
              <w:right w:val="nil"/>
            </w:tcBorders>
            <w:noWrap/>
            <w:vAlign w:val="bottom"/>
            <w:hideMark/>
          </w:tcPr>
          <w:p w14:paraId="37579FF3" w14:textId="77777777" w:rsidR="000826B8" w:rsidRPr="000826B8" w:rsidRDefault="000826B8">
            <w:pPr>
              <w:rPr>
                <w:rFonts w:ascii="Arial" w:hAnsi="Arial" w:cs="Arial"/>
                <w:sz w:val="16"/>
                <w:szCs w:val="16"/>
              </w:rPr>
            </w:pPr>
          </w:p>
        </w:tc>
        <w:tc>
          <w:tcPr>
            <w:tcW w:w="73" w:type="pct"/>
            <w:tcBorders>
              <w:top w:val="nil"/>
              <w:left w:val="nil"/>
              <w:bottom w:val="nil"/>
              <w:right w:val="nil"/>
            </w:tcBorders>
            <w:noWrap/>
            <w:vAlign w:val="bottom"/>
            <w:hideMark/>
          </w:tcPr>
          <w:p w14:paraId="37A0064B"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111E3CFF"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(69.081)</w:t>
            </w:r>
          </w:p>
        </w:tc>
        <w:tc>
          <w:tcPr>
            <w:tcW w:w="94" w:type="pct"/>
            <w:tcBorders>
              <w:top w:val="nil"/>
              <w:left w:val="nil"/>
              <w:bottom w:val="nil"/>
              <w:right w:val="nil"/>
            </w:tcBorders>
            <w:noWrap/>
            <w:vAlign w:val="bottom"/>
            <w:hideMark/>
          </w:tcPr>
          <w:p w14:paraId="5016BCA1"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134F5CF5"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(61.318)</w:t>
            </w:r>
          </w:p>
        </w:tc>
        <w:tc>
          <w:tcPr>
            <w:tcW w:w="73" w:type="pct"/>
            <w:tcBorders>
              <w:top w:val="nil"/>
              <w:left w:val="nil"/>
              <w:bottom w:val="nil"/>
              <w:right w:val="nil"/>
            </w:tcBorders>
            <w:noWrap/>
            <w:vAlign w:val="bottom"/>
            <w:hideMark/>
          </w:tcPr>
          <w:p w14:paraId="66ADEF21" w14:textId="77777777" w:rsidR="000826B8" w:rsidRPr="000826B8" w:rsidRDefault="000826B8" w:rsidP="000826B8">
            <w:pPr>
              <w:jc w:val="right"/>
              <w:rPr>
                <w:rFonts w:ascii="Arial" w:hAnsi="Arial" w:cs="Arial"/>
                <w:color w:val="000000"/>
                <w:sz w:val="16"/>
                <w:szCs w:val="16"/>
              </w:rPr>
            </w:pPr>
          </w:p>
        </w:tc>
      </w:tr>
      <w:tr w:rsidR="000826B8" w:rsidRPr="000826B8" w14:paraId="66AF499F" w14:textId="77777777" w:rsidTr="000826B8">
        <w:trPr>
          <w:trHeight w:val="232"/>
        </w:trPr>
        <w:tc>
          <w:tcPr>
            <w:tcW w:w="2773" w:type="pct"/>
            <w:tcBorders>
              <w:top w:val="nil"/>
              <w:left w:val="nil"/>
              <w:bottom w:val="nil"/>
              <w:right w:val="nil"/>
            </w:tcBorders>
            <w:noWrap/>
            <w:vAlign w:val="bottom"/>
            <w:hideMark/>
          </w:tcPr>
          <w:p w14:paraId="70EDD879"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6F9696B6"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7F20AE96" w14:textId="77777777" w:rsidR="000826B8" w:rsidRPr="000826B8" w:rsidRDefault="000826B8">
            <w:pPr>
              <w:jc w:val="center"/>
              <w:rPr>
                <w:sz w:val="16"/>
                <w:szCs w:val="16"/>
              </w:rPr>
            </w:pPr>
          </w:p>
        </w:tc>
        <w:tc>
          <w:tcPr>
            <w:tcW w:w="861" w:type="pct"/>
            <w:tcBorders>
              <w:top w:val="nil"/>
              <w:left w:val="nil"/>
              <w:bottom w:val="nil"/>
              <w:right w:val="nil"/>
            </w:tcBorders>
            <w:noWrap/>
            <w:vAlign w:val="bottom"/>
            <w:hideMark/>
          </w:tcPr>
          <w:p w14:paraId="23D6B50B"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7EEC26E8"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449D9029"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6BB054BA" w14:textId="77777777" w:rsidR="000826B8" w:rsidRPr="000826B8" w:rsidRDefault="000826B8" w:rsidP="000826B8">
            <w:pPr>
              <w:jc w:val="right"/>
              <w:rPr>
                <w:sz w:val="16"/>
                <w:szCs w:val="16"/>
              </w:rPr>
            </w:pPr>
          </w:p>
        </w:tc>
      </w:tr>
      <w:tr w:rsidR="000826B8" w:rsidRPr="000826B8" w14:paraId="7BD1D750" w14:textId="77777777" w:rsidTr="000826B8">
        <w:trPr>
          <w:trHeight w:val="232"/>
        </w:trPr>
        <w:tc>
          <w:tcPr>
            <w:tcW w:w="2773" w:type="pct"/>
            <w:tcBorders>
              <w:top w:val="nil"/>
              <w:left w:val="nil"/>
              <w:bottom w:val="nil"/>
              <w:right w:val="nil"/>
            </w:tcBorders>
            <w:noWrap/>
            <w:vAlign w:val="bottom"/>
            <w:hideMark/>
          </w:tcPr>
          <w:p w14:paraId="6DA841E2" w14:textId="77777777" w:rsidR="000826B8" w:rsidRPr="000826B8" w:rsidRDefault="000826B8">
            <w:pPr>
              <w:rPr>
                <w:rFonts w:ascii="Arial" w:hAnsi="Arial" w:cs="Arial"/>
                <w:b/>
                <w:bCs/>
                <w:color w:val="000000"/>
                <w:sz w:val="16"/>
                <w:szCs w:val="16"/>
              </w:rPr>
            </w:pPr>
            <w:r w:rsidRPr="000826B8">
              <w:rPr>
                <w:rFonts w:ascii="Arial" w:hAnsi="Arial" w:cs="Arial"/>
                <w:b/>
                <w:bCs/>
                <w:color w:val="000000"/>
                <w:sz w:val="16"/>
                <w:szCs w:val="16"/>
              </w:rPr>
              <w:t>Resultado Antes dos Tributos sobre o Resultado</w:t>
            </w:r>
          </w:p>
        </w:tc>
        <w:tc>
          <w:tcPr>
            <w:tcW w:w="266" w:type="pct"/>
            <w:tcBorders>
              <w:top w:val="nil"/>
              <w:left w:val="nil"/>
              <w:bottom w:val="nil"/>
              <w:right w:val="nil"/>
            </w:tcBorders>
            <w:noWrap/>
            <w:vAlign w:val="bottom"/>
            <w:hideMark/>
          </w:tcPr>
          <w:p w14:paraId="6AF4753B" w14:textId="77777777" w:rsidR="000826B8" w:rsidRPr="000826B8" w:rsidRDefault="000826B8">
            <w:pPr>
              <w:rPr>
                <w:rFonts w:ascii="Arial" w:hAnsi="Arial" w:cs="Arial"/>
                <w:b/>
                <w:bCs/>
                <w:color w:val="000000"/>
                <w:sz w:val="16"/>
                <w:szCs w:val="16"/>
              </w:rPr>
            </w:pPr>
          </w:p>
        </w:tc>
        <w:tc>
          <w:tcPr>
            <w:tcW w:w="73" w:type="pct"/>
            <w:tcBorders>
              <w:top w:val="nil"/>
              <w:left w:val="nil"/>
              <w:bottom w:val="nil"/>
              <w:right w:val="nil"/>
            </w:tcBorders>
            <w:noWrap/>
            <w:vAlign w:val="bottom"/>
            <w:hideMark/>
          </w:tcPr>
          <w:p w14:paraId="3F425BA2" w14:textId="77777777" w:rsidR="000826B8" w:rsidRPr="000826B8" w:rsidRDefault="000826B8">
            <w:pPr>
              <w:rPr>
                <w:sz w:val="16"/>
                <w:szCs w:val="16"/>
              </w:rPr>
            </w:pPr>
          </w:p>
        </w:tc>
        <w:tc>
          <w:tcPr>
            <w:tcW w:w="861" w:type="pct"/>
            <w:tcBorders>
              <w:top w:val="single" w:sz="4" w:space="0" w:color="auto"/>
              <w:left w:val="nil"/>
              <w:bottom w:val="single" w:sz="4" w:space="0" w:color="auto"/>
              <w:right w:val="nil"/>
            </w:tcBorders>
            <w:noWrap/>
            <w:vAlign w:val="bottom"/>
            <w:hideMark/>
          </w:tcPr>
          <w:p w14:paraId="6FC231C9"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(89.543)</w:t>
            </w:r>
          </w:p>
        </w:tc>
        <w:tc>
          <w:tcPr>
            <w:tcW w:w="94" w:type="pct"/>
            <w:tcBorders>
              <w:top w:val="nil"/>
              <w:left w:val="nil"/>
              <w:bottom w:val="nil"/>
              <w:right w:val="nil"/>
            </w:tcBorders>
            <w:noWrap/>
            <w:vAlign w:val="bottom"/>
            <w:hideMark/>
          </w:tcPr>
          <w:p w14:paraId="07FCE75B" w14:textId="77777777" w:rsidR="000826B8" w:rsidRPr="000826B8" w:rsidRDefault="000826B8" w:rsidP="000826B8">
            <w:pPr>
              <w:jc w:val="right"/>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0C4440F0"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(6.624)</w:t>
            </w:r>
          </w:p>
        </w:tc>
        <w:tc>
          <w:tcPr>
            <w:tcW w:w="73" w:type="pct"/>
            <w:tcBorders>
              <w:top w:val="nil"/>
              <w:left w:val="nil"/>
              <w:bottom w:val="nil"/>
              <w:right w:val="nil"/>
            </w:tcBorders>
            <w:noWrap/>
            <w:vAlign w:val="bottom"/>
            <w:hideMark/>
          </w:tcPr>
          <w:p w14:paraId="317BF77A" w14:textId="77777777" w:rsidR="000826B8" w:rsidRPr="000826B8" w:rsidRDefault="000826B8" w:rsidP="000826B8">
            <w:pPr>
              <w:jc w:val="right"/>
              <w:rPr>
                <w:rFonts w:ascii="Arial" w:hAnsi="Arial" w:cs="Arial"/>
                <w:b/>
                <w:bCs/>
                <w:color w:val="000000"/>
                <w:sz w:val="16"/>
                <w:szCs w:val="16"/>
              </w:rPr>
            </w:pPr>
          </w:p>
        </w:tc>
      </w:tr>
      <w:tr w:rsidR="000826B8" w:rsidRPr="000826B8" w14:paraId="4D946EFA" w14:textId="77777777" w:rsidTr="000826B8">
        <w:trPr>
          <w:trHeight w:val="232"/>
        </w:trPr>
        <w:tc>
          <w:tcPr>
            <w:tcW w:w="2773" w:type="pct"/>
            <w:tcBorders>
              <w:top w:val="nil"/>
              <w:left w:val="nil"/>
              <w:bottom w:val="nil"/>
              <w:right w:val="nil"/>
            </w:tcBorders>
            <w:noWrap/>
            <w:vAlign w:val="bottom"/>
            <w:hideMark/>
          </w:tcPr>
          <w:p w14:paraId="3C3E09A8"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33053398"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69992595"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3343BD64"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48C56D42"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58FD6533"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0C2048C5" w14:textId="77777777" w:rsidR="000826B8" w:rsidRPr="000826B8" w:rsidRDefault="000826B8" w:rsidP="000826B8">
            <w:pPr>
              <w:jc w:val="right"/>
              <w:rPr>
                <w:sz w:val="16"/>
                <w:szCs w:val="16"/>
              </w:rPr>
            </w:pPr>
          </w:p>
        </w:tc>
      </w:tr>
      <w:tr w:rsidR="000826B8" w:rsidRPr="000826B8" w14:paraId="2F8F21BE" w14:textId="77777777" w:rsidTr="000826B8">
        <w:trPr>
          <w:trHeight w:val="232"/>
        </w:trPr>
        <w:tc>
          <w:tcPr>
            <w:tcW w:w="2773" w:type="pct"/>
            <w:tcBorders>
              <w:top w:val="nil"/>
              <w:left w:val="nil"/>
              <w:bottom w:val="nil"/>
              <w:right w:val="nil"/>
            </w:tcBorders>
            <w:noWrap/>
            <w:vAlign w:val="bottom"/>
            <w:hideMark/>
          </w:tcPr>
          <w:p w14:paraId="52725C9D" w14:textId="77777777" w:rsidR="000826B8" w:rsidRPr="000826B8" w:rsidRDefault="000826B8">
            <w:pPr>
              <w:rPr>
                <w:rFonts w:ascii="Arial" w:hAnsi="Arial" w:cs="Arial"/>
                <w:b/>
                <w:bCs/>
                <w:color w:val="000000"/>
                <w:sz w:val="16"/>
                <w:szCs w:val="16"/>
              </w:rPr>
            </w:pPr>
            <w:r w:rsidRPr="000826B8">
              <w:rPr>
                <w:rFonts w:ascii="Arial" w:hAnsi="Arial" w:cs="Arial"/>
                <w:b/>
                <w:bCs/>
                <w:color w:val="000000"/>
                <w:sz w:val="16"/>
                <w:szCs w:val="16"/>
              </w:rPr>
              <w:t>Tributos sobre o Resultado do Período</w:t>
            </w:r>
          </w:p>
        </w:tc>
        <w:tc>
          <w:tcPr>
            <w:tcW w:w="266" w:type="pct"/>
            <w:tcBorders>
              <w:top w:val="nil"/>
              <w:left w:val="nil"/>
              <w:bottom w:val="nil"/>
              <w:right w:val="nil"/>
            </w:tcBorders>
            <w:noWrap/>
            <w:vAlign w:val="bottom"/>
            <w:hideMark/>
          </w:tcPr>
          <w:p w14:paraId="0857CD2D" w14:textId="77777777" w:rsidR="000826B8" w:rsidRPr="000826B8" w:rsidRDefault="000826B8">
            <w:pPr>
              <w:rPr>
                <w:rFonts w:ascii="Arial" w:hAnsi="Arial" w:cs="Arial"/>
                <w:b/>
                <w:bCs/>
                <w:color w:val="000000"/>
                <w:sz w:val="16"/>
                <w:szCs w:val="16"/>
              </w:rPr>
            </w:pPr>
          </w:p>
        </w:tc>
        <w:tc>
          <w:tcPr>
            <w:tcW w:w="73" w:type="pct"/>
            <w:tcBorders>
              <w:top w:val="nil"/>
              <w:left w:val="nil"/>
              <w:bottom w:val="nil"/>
              <w:right w:val="nil"/>
            </w:tcBorders>
            <w:noWrap/>
            <w:vAlign w:val="bottom"/>
            <w:hideMark/>
          </w:tcPr>
          <w:p w14:paraId="2B66FE88" w14:textId="77777777" w:rsidR="000826B8" w:rsidRPr="000826B8" w:rsidRDefault="000826B8">
            <w:pPr>
              <w:rPr>
                <w:sz w:val="16"/>
                <w:szCs w:val="16"/>
              </w:rPr>
            </w:pPr>
          </w:p>
        </w:tc>
        <w:tc>
          <w:tcPr>
            <w:tcW w:w="861" w:type="pct"/>
            <w:tcBorders>
              <w:top w:val="single" w:sz="4" w:space="0" w:color="auto"/>
              <w:left w:val="nil"/>
              <w:bottom w:val="single" w:sz="4" w:space="0" w:color="auto"/>
              <w:right w:val="nil"/>
            </w:tcBorders>
            <w:noWrap/>
            <w:vAlign w:val="bottom"/>
            <w:hideMark/>
          </w:tcPr>
          <w:p w14:paraId="293F7050"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  </w:t>
            </w:r>
          </w:p>
        </w:tc>
        <w:tc>
          <w:tcPr>
            <w:tcW w:w="94" w:type="pct"/>
            <w:tcBorders>
              <w:top w:val="nil"/>
              <w:left w:val="nil"/>
              <w:bottom w:val="nil"/>
              <w:right w:val="nil"/>
            </w:tcBorders>
            <w:noWrap/>
            <w:vAlign w:val="bottom"/>
            <w:hideMark/>
          </w:tcPr>
          <w:p w14:paraId="01C47CCA" w14:textId="77777777" w:rsidR="000826B8" w:rsidRPr="000826B8" w:rsidRDefault="000826B8" w:rsidP="000826B8">
            <w:pPr>
              <w:jc w:val="right"/>
              <w:rPr>
                <w:rFonts w:ascii="Arial" w:hAnsi="Arial" w:cs="Arial"/>
                <w:b/>
                <w:bCs/>
                <w:color w:val="000000"/>
                <w:sz w:val="16"/>
                <w:szCs w:val="16"/>
              </w:rPr>
            </w:pPr>
          </w:p>
        </w:tc>
        <w:tc>
          <w:tcPr>
            <w:tcW w:w="861" w:type="pct"/>
            <w:tcBorders>
              <w:top w:val="single" w:sz="4" w:space="0" w:color="auto"/>
              <w:left w:val="nil"/>
              <w:bottom w:val="single" w:sz="4" w:space="0" w:color="auto"/>
              <w:right w:val="nil"/>
            </w:tcBorders>
            <w:noWrap/>
            <w:vAlign w:val="bottom"/>
            <w:hideMark/>
          </w:tcPr>
          <w:p w14:paraId="69F40F0C"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(4.281)</w:t>
            </w:r>
          </w:p>
        </w:tc>
        <w:tc>
          <w:tcPr>
            <w:tcW w:w="73" w:type="pct"/>
            <w:tcBorders>
              <w:top w:val="nil"/>
              <w:left w:val="nil"/>
              <w:bottom w:val="nil"/>
              <w:right w:val="nil"/>
            </w:tcBorders>
            <w:noWrap/>
            <w:vAlign w:val="bottom"/>
            <w:hideMark/>
          </w:tcPr>
          <w:p w14:paraId="52F22C02" w14:textId="77777777" w:rsidR="000826B8" w:rsidRPr="000826B8" w:rsidRDefault="000826B8" w:rsidP="000826B8">
            <w:pPr>
              <w:jc w:val="right"/>
              <w:rPr>
                <w:rFonts w:ascii="Arial" w:hAnsi="Arial" w:cs="Arial"/>
                <w:b/>
                <w:bCs/>
                <w:color w:val="000000"/>
                <w:sz w:val="16"/>
                <w:szCs w:val="16"/>
              </w:rPr>
            </w:pPr>
          </w:p>
        </w:tc>
      </w:tr>
      <w:tr w:rsidR="000826B8" w:rsidRPr="000826B8" w14:paraId="11EB63BC" w14:textId="77777777" w:rsidTr="000826B8">
        <w:trPr>
          <w:trHeight w:val="232"/>
        </w:trPr>
        <w:tc>
          <w:tcPr>
            <w:tcW w:w="2773" w:type="pct"/>
            <w:tcBorders>
              <w:top w:val="nil"/>
              <w:left w:val="nil"/>
              <w:bottom w:val="nil"/>
              <w:right w:val="nil"/>
            </w:tcBorders>
            <w:noWrap/>
            <w:vAlign w:val="bottom"/>
            <w:hideMark/>
          </w:tcPr>
          <w:p w14:paraId="210E47C6" w14:textId="505CBC89" w:rsidR="000826B8" w:rsidRPr="000826B8" w:rsidRDefault="000826B8">
            <w:pPr>
              <w:rPr>
                <w:rFonts w:ascii="Arial" w:hAnsi="Arial" w:cs="Arial"/>
                <w:color w:val="000000"/>
                <w:sz w:val="16"/>
                <w:szCs w:val="16"/>
              </w:rPr>
            </w:pPr>
            <w:r w:rsidRPr="000826B8">
              <w:rPr>
                <w:rFonts w:ascii="Arial" w:hAnsi="Arial" w:cs="Arial"/>
                <w:color w:val="000000"/>
                <w:sz w:val="16"/>
                <w:szCs w:val="16"/>
              </w:rPr>
              <w:t xml:space="preserve">Imposto de Renda Pessoa Jurídica </w:t>
            </w:r>
          </w:p>
        </w:tc>
        <w:tc>
          <w:tcPr>
            <w:tcW w:w="266" w:type="pct"/>
            <w:tcBorders>
              <w:top w:val="nil"/>
              <w:left w:val="nil"/>
              <w:bottom w:val="nil"/>
              <w:right w:val="nil"/>
            </w:tcBorders>
            <w:noWrap/>
            <w:vAlign w:val="bottom"/>
            <w:hideMark/>
          </w:tcPr>
          <w:p w14:paraId="3BE430ED" w14:textId="77777777" w:rsidR="000826B8" w:rsidRPr="000826B8" w:rsidRDefault="000826B8">
            <w:pPr>
              <w:rPr>
                <w:rFonts w:ascii="Arial" w:hAnsi="Arial" w:cs="Arial"/>
                <w:color w:val="000000"/>
                <w:sz w:val="16"/>
                <w:szCs w:val="16"/>
              </w:rPr>
            </w:pPr>
          </w:p>
        </w:tc>
        <w:tc>
          <w:tcPr>
            <w:tcW w:w="73" w:type="pct"/>
            <w:tcBorders>
              <w:top w:val="nil"/>
              <w:left w:val="nil"/>
              <w:bottom w:val="nil"/>
              <w:right w:val="nil"/>
            </w:tcBorders>
            <w:noWrap/>
            <w:vAlign w:val="bottom"/>
            <w:hideMark/>
          </w:tcPr>
          <w:p w14:paraId="3C35BE34"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74CE9D04"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  </w:t>
            </w:r>
          </w:p>
        </w:tc>
        <w:tc>
          <w:tcPr>
            <w:tcW w:w="94" w:type="pct"/>
            <w:tcBorders>
              <w:top w:val="nil"/>
              <w:left w:val="nil"/>
              <w:bottom w:val="nil"/>
              <w:right w:val="nil"/>
            </w:tcBorders>
            <w:noWrap/>
            <w:vAlign w:val="bottom"/>
            <w:hideMark/>
          </w:tcPr>
          <w:p w14:paraId="356A9146"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5453F6C8"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(3.146)</w:t>
            </w:r>
          </w:p>
        </w:tc>
        <w:tc>
          <w:tcPr>
            <w:tcW w:w="73" w:type="pct"/>
            <w:tcBorders>
              <w:top w:val="nil"/>
              <w:left w:val="nil"/>
              <w:bottom w:val="nil"/>
              <w:right w:val="nil"/>
            </w:tcBorders>
            <w:noWrap/>
            <w:vAlign w:val="bottom"/>
            <w:hideMark/>
          </w:tcPr>
          <w:p w14:paraId="342F3405" w14:textId="77777777" w:rsidR="000826B8" w:rsidRPr="000826B8" w:rsidRDefault="000826B8" w:rsidP="000826B8">
            <w:pPr>
              <w:jc w:val="right"/>
              <w:rPr>
                <w:rFonts w:ascii="Arial" w:hAnsi="Arial" w:cs="Arial"/>
                <w:color w:val="000000"/>
                <w:sz w:val="16"/>
                <w:szCs w:val="16"/>
              </w:rPr>
            </w:pPr>
          </w:p>
        </w:tc>
      </w:tr>
      <w:tr w:rsidR="000826B8" w:rsidRPr="000826B8" w14:paraId="7F03F507" w14:textId="77777777" w:rsidTr="000826B8">
        <w:trPr>
          <w:trHeight w:val="232"/>
        </w:trPr>
        <w:tc>
          <w:tcPr>
            <w:tcW w:w="2773" w:type="pct"/>
            <w:tcBorders>
              <w:top w:val="nil"/>
              <w:left w:val="nil"/>
              <w:bottom w:val="nil"/>
              <w:right w:val="nil"/>
            </w:tcBorders>
            <w:noWrap/>
            <w:vAlign w:val="bottom"/>
            <w:hideMark/>
          </w:tcPr>
          <w:p w14:paraId="0E5DD474" w14:textId="77777777" w:rsidR="000826B8" w:rsidRPr="000826B8" w:rsidRDefault="000826B8">
            <w:pPr>
              <w:rPr>
                <w:rFonts w:ascii="Arial" w:hAnsi="Arial" w:cs="Arial"/>
                <w:color w:val="000000"/>
                <w:sz w:val="16"/>
                <w:szCs w:val="16"/>
              </w:rPr>
            </w:pPr>
            <w:r w:rsidRPr="000826B8">
              <w:rPr>
                <w:rFonts w:ascii="Arial" w:hAnsi="Arial" w:cs="Arial"/>
                <w:color w:val="000000"/>
                <w:sz w:val="16"/>
                <w:szCs w:val="16"/>
              </w:rPr>
              <w:t>Contribuição Social sobre o Lucro Líquido</w:t>
            </w:r>
          </w:p>
        </w:tc>
        <w:tc>
          <w:tcPr>
            <w:tcW w:w="266" w:type="pct"/>
            <w:tcBorders>
              <w:top w:val="nil"/>
              <w:left w:val="nil"/>
              <w:bottom w:val="nil"/>
              <w:right w:val="nil"/>
            </w:tcBorders>
            <w:noWrap/>
            <w:vAlign w:val="bottom"/>
            <w:hideMark/>
          </w:tcPr>
          <w:p w14:paraId="40AC1F9C" w14:textId="77777777" w:rsidR="000826B8" w:rsidRPr="000826B8" w:rsidRDefault="000826B8">
            <w:pPr>
              <w:rPr>
                <w:rFonts w:ascii="Arial" w:hAnsi="Arial" w:cs="Arial"/>
                <w:color w:val="000000"/>
                <w:sz w:val="16"/>
                <w:szCs w:val="16"/>
              </w:rPr>
            </w:pPr>
          </w:p>
        </w:tc>
        <w:tc>
          <w:tcPr>
            <w:tcW w:w="73" w:type="pct"/>
            <w:tcBorders>
              <w:top w:val="nil"/>
              <w:left w:val="nil"/>
              <w:bottom w:val="nil"/>
              <w:right w:val="nil"/>
            </w:tcBorders>
            <w:noWrap/>
            <w:vAlign w:val="bottom"/>
            <w:hideMark/>
          </w:tcPr>
          <w:p w14:paraId="264589BA"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54C1672E"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  </w:t>
            </w:r>
          </w:p>
        </w:tc>
        <w:tc>
          <w:tcPr>
            <w:tcW w:w="94" w:type="pct"/>
            <w:tcBorders>
              <w:top w:val="nil"/>
              <w:left w:val="nil"/>
              <w:bottom w:val="nil"/>
              <w:right w:val="nil"/>
            </w:tcBorders>
            <w:noWrap/>
            <w:vAlign w:val="bottom"/>
            <w:hideMark/>
          </w:tcPr>
          <w:p w14:paraId="1AA03BE9" w14:textId="77777777" w:rsidR="000826B8" w:rsidRPr="000826B8" w:rsidRDefault="000826B8" w:rsidP="000826B8">
            <w:pPr>
              <w:jc w:val="right"/>
              <w:rPr>
                <w:rFonts w:ascii="Arial" w:hAnsi="Arial" w:cs="Arial"/>
                <w:color w:val="000000"/>
                <w:sz w:val="16"/>
                <w:szCs w:val="16"/>
              </w:rPr>
            </w:pPr>
          </w:p>
        </w:tc>
        <w:tc>
          <w:tcPr>
            <w:tcW w:w="861" w:type="pct"/>
            <w:tcBorders>
              <w:top w:val="nil"/>
              <w:left w:val="nil"/>
              <w:bottom w:val="nil"/>
              <w:right w:val="nil"/>
            </w:tcBorders>
            <w:noWrap/>
            <w:vAlign w:val="bottom"/>
            <w:hideMark/>
          </w:tcPr>
          <w:p w14:paraId="10271837" w14:textId="77777777" w:rsidR="000826B8" w:rsidRPr="000826B8" w:rsidRDefault="000826B8" w:rsidP="000826B8">
            <w:pPr>
              <w:jc w:val="right"/>
              <w:rPr>
                <w:rFonts w:ascii="Arial" w:hAnsi="Arial" w:cs="Arial"/>
                <w:color w:val="000000"/>
                <w:sz w:val="16"/>
                <w:szCs w:val="16"/>
              </w:rPr>
            </w:pPr>
            <w:r w:rsidRPr="000826B8">
              <w:rPr>
                <w:rFonts w:ascii="Arial" w:hAnsi="Arial" w:cs="Arial"/>
                <w:color w:val="000000"/>
                <w:sz w:val="16"/>
                <w:szCs w:val="16"/>
              </w:rPr>
              <w:t xml:space="preserve">                    (1.135)</w:t>
            </w:r>
          </w:p>
        </w:tc>
        <w:tc>
          <w:tcPr>
            <w:tcW w:w="73" w:type="pct"/>
            <w:tcBorders>
              <w:top w:val="nil"/>
              <w:left w:val="nil"/>
              <w:bottom w:val="nil"/>
              <w:right w:val="nil"/>
            </w:tcBorders>
            <w:noWrap/>
            <w:vAlign w:val="bottom"/>
            <w:hideMark/>
          </w:tcPr>
          <w:p w14:paraId="46D89CCB" w14:textId="77777777" w:rsidR="000826B8" w:rsidRPr="000826B8" w:rsidRDefault="000826B8" w:rsidP="000826B8">
            <w:pPr>
              <w:jc w:val="right"/>
              <w:rPr>
                <w:rFonts w:ascii="Arial" w:hAnsi="Arial" w:cs="Arial"/>
                <w:color w:val="000000"/>
                <w:sz w:val="16"/>
                <w:szCs w:val="16"/>
              </w:rPr>
            </w:pPr>
          </w:p>
        </w:tc>
      </w:tr>
      <w:tr w:rsidR="000826B8" w:rsidRPr="000826B8" w14:paraId="38753D33" w14:textId="77777777" w:rsidTr="000826B8">
        <w:trPr>
          <w:trHeight w:val="232"/>
        </w:trPr>
        <w:tc>
          <w:tcPr>
            <w:tcW w:w="2773" w:type="pct"/>
            <w:tcBorders>
              <w:top w:val="nil"/>
              <w:left w:val="nil"/>
              <w:bottom w:val="nil"/>
              <w:right w:val="nil"/>
            </w:tcBorders>
            <w:noWrap/>
            <w:vAlign w:val="bottom"/>
            <w:hideMark/>
          </w:tcPr>
          <w:p w14:paraId="55DC1337"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76DA009D"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24568CDC"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27669749"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25C68A50"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4CB4DAC8"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5139FB94" w14:textId="77777777" w:rsidR="000826B8" w:rsidRPr="000826B8" w:rsidRDefault="000826B8" w:rsidP="000826B8">
            <w:pPr>
              <w:jc w:val="right"/>
              <w:rPr>
                <w:sz w:val="16"/>
                <w:szCs w:val="16"/>
              </w:rPr>
            </w:pPr>
          </w:p>
        </w:tc>
      </w:tr>
      <w:tr w:rsidR="000826B8" w:rsidRPr="000826B8" w14:paraId="79F33250" w14:textId="77777777" w:rsidTr="000826B8">
        <w:trPr>
          <w:trHeight w:val="232"/>
        </w:trPr>
        <w:tc>
          <w:tcPr>
            <w:tcW w:w="2773" w:type="pct"/>
            <w:tcBorders>
              <w:top w:val="nil"/>
              <w:left w:val="nil"/>
              <w:bottom w:val="nil"/>
              <w:right w:val="nil"/>
            </w:tcBorders>
            <w:noWrap/>
            <w:vAlign w:val="bottom"/>
            <w:hideMark/>
          </w:tcPr>
          <w:p w14:paraId="04B99E9B" w14:textId="49AEBCEF" w:rsidR="000826B8" w:rsidRPr="000826B8" w:rsidRDefault="000826B8">
            <w:pPr>
              <w:rPr>
                <w:rFonts w:ascii="Arial" w:hAnsi="Arial" w:cs="Arial"/>
                <w:b/>
                <w:bCs/>
                <w:sz w:val="16"/>
                <w:szCs w:val="16"/>
              </w:rPr>
            </w:pPr>
            <w:r w:rsidRPr="000826B8">
              <w:rPr>
                <w:rFonts w:ascii="Arial" w:hAnsi="Arial" w:cs="Arial"/>
                <w:b/>
                <w:bCs/>
                <w:sz w:val="16"/>
                <w:szCs w:val="16"/>
              </w:rPr>
              <w:t>Prejuízo do Período</w:t>
            </w:r>
          </w:p>
        </w:tc>
        <w:tc>
          <w:tcPr>
            <w:tcW w:w="266" w:type="pct"/>
            <w:tcBorders>
              <w:top w:val="nil"/>
              <w:left w:val="nil"/>
              <w:bottom w:val="nil"/>
              <w:right w:val="nil"/>
            </w:tcBorders>
            <w:noWrap/>
            <w:vAlign w:val="bottom"/>
            <w:hideMark/>
          </w:tcPr>
          <w:p w14:paraId="600641F3" w14:textId="77777777" w:rsidR="000826B8" w:rsidRPr="000826B8" w:rsidRDefault="000826B8">
            <w:pPr>
              <w:rPr>
                <w:rFonts w:ascii="Arial" w:hAnsi="Arial" w:cs="Arial"/>
                <w:b/>
                <w:bCs/>
                <w:sz w:val="16"/>
                <w:szCs w:val="16"/>
              </w:rPr>
            </w:pPr>
          </w:p>
        </w:tc>
        <w:tc>
          <w:tcPr>
            <w:tcW w:w="73" w:type="pct"/>
            <w:tcBorders>
              <w:top w:val="nil"/>
              <w:left w:val="nil"/>
              <w:bottom w:val="nil"/>
              <w:right w:val="nil"/>
            </w:tcBorders>
            <w:noWrap/>
            <w:vAlign w:val="bottom"/>
            <w:hideMark/>
          </w:tcPr>
          <w:p w14:paraId="6B1CF678" w14:textId="77777777" w:rsidR="000826B8" w:rsidRPr="000826B8" w:rsidRDefault="000826B8">
            <w:pPr>
              <w:jc w:val="center"/>
              <w:rPr>
                <w:sz w:val="16"/>
                <w:szCs w:val="16"/>
              </w:rPr>
            </w:pPr>
          </w:p>
        </w:tc>
        <w:tc>
          <w:tcPr>
            <w:tcW w:w="861" w:type="pct"/>
            <w:tcBorders>
              <w:top w:val="single" w:sz="4" w:space="0" w:color="auto"/>
              <w:left w:val="nil"/>
              <w:bottom w:val="double" w:sz="6" w:space="0" w:color="auto"/>
              <w:right w:val="nil"/>
            </w:tcBorders>
            <w:noWrap/>
            <w:vAlign w:val="bottom"/>
            <w:hideMark/>
          </w:tcPr>
          <w:p w14:paraId="512848B6"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(89.543)</w:t>
            </w:r>
          </w:p>
        </w:tc>
        <w:tc>
          <w:tcPr>
            <w:tcW w:w="94" w:type="pct"/>
            <w:tcBorders>
              <w:top w:val="nil"/>
              <w:left w:val="nil"/>
              <w:bottom w:val="nil"/>
              <w:right w:val="nil"/>
            </w:tcBorders>
            <w:noWrap/>
            <w:vAlign w:val="bottom"/>
            <w:hideMark/>
          </w:tcPr>
          <w:p w14:paraId="117A5658" w14:textId="77777777" w:rsidR="000826B8" w:rsidRPr="000826B8" w:rsidRDefault="000826B8" w:rsidP="000826B8">
            <w:pPr>
              <w:jc w:val="right"/>
              <w:rPr>
                <w:rFonts w:ascii="Arial" w:hAnsi="Arial" w:cs="Arial"/>
                <w:b/>
                <w:bCs/>
                <w:color w:val="000000"/>
                <w:sz w:val="16"/>
                <w:szCs w:val="16"/>
              </w:rPr>
            </w:pPr>
          </w:p>
        </w:tc>
        <w:tc>
          <w:tcPr>
            <w:tcW w:w="861" w:type="pct"/>
            <w:tcBorders>
              <w:top w:val="single" w:sz="4" w:space="0" w:color="auto"/>
              <w:left w:val="nil"/>
              <w:bottom w:val="double" w:sz="6" w:space="0" w:color="auto"/>
              <w:right w:val="nil"/>
            </w:tcBorders>
            <w:noWrap/>
            <w:vAlign w:val="bottom"/>
            <w:hideMark/>
          </w:tcPr>
          <w:p w14:paraId="1D4F3AD9" w14:textId="77777777" w:rsidR="000826B8" w:rsidRPr="000826B8" w:rsidRDefault="000826B8" w:rsidP="000826B8">
            <w:pPr>
              <w:jc w:val="right"/>
              <w:rPr>
                <w:rFonts w:ascii="Arial" w:hAnsi="Arial" w:cs="Arial"/>
                <w:b/>
                <w:bCs/>
                <w:color w:val="000000"/>
                <w:sz w:val="16"/>
                <w:szCs w:val="16"/>
              </w:rPr>
            </w:pPr>
            <w:r w:rsidRPr="000826B8">
              <w:rPr>
                <w:rFonts w:ascii="Arial" w:hAnsi="Arial" w:cs="Arial"/>
                <w:b/>
                <w:bCs/>
                <w:color w:val="000000"/>
                <w:sz w:val="16"/>
                <w:szCs w:val="16"/>
              </w:rPr>
              <w:t xml:space="preserve">                  (10.905)</w:t>
            </w:r>
          </w:p>
        </w:tc>
        <w:tc>
          <w:tcPr>
            <w:tcW w:w="73" w:type="pct"/>
            <w:tcBorders>
              <w:top w:val="nil"/>
              <w:left w:val="nil"/>
              <w:bottom w:val="nil"/>
              <w:right w:val="nil"/>
            </w:tcBorders>
            <w:noWrap/>
            <w:vAlign w:val="bottom"/>
            <w:hideMark/>
          </w:tcPr>
          <w:p w14:paraId="03915840" w14:textId="77777777" w:rsidR="000826B8" w:rsidRPr="000826B8" w:rsidRDefault="000826B8" w:rsidP="000826B8">
            <w:pPr>
              <w:jc w:val="right"/>
              <w:rPr>
                <w:rFonts w:ascii="Arial" w:hAnsi="Arial" w:cs="Arial"/>
                <w:b/>
                <w:bCs/>
                <w:color w:val="000000"/>
                <w:sz w:val="16"/>
                <w:szCs w:val="16"/>
              </w:rPr>
            </w:pPr>
          </w:p>
        </w:tc>
      </w:tr>
      <w:tr w:rsidR="000826B8" w:rsidRPr="000826B8" w14:paraId="1DC38601" w14:textId="77777777" w:rsidTr="000826B8">
        <w:trPr>
          <w:trHeight w:val="232"/>
        </w:trPr>
        <w:tc>
          <w:tcPr>
            <w:tcW w:w="2773" w:type="pct"/>
            <w:tcBorders>
              <w:top w:val="nil"/>
              <w:left w:val="nil"/>
              <w:bottom w:val="nil"/>
              <w:right w:val="nil"/>
            </w:tcBorders>
            <w:noWrap/>
            <w:vAlign w:val="bottom"/>
            <w:hideMark/>
          </w:tcPr>
          <w:p w14:paraId="01DE2792"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42A0ACEF"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29171CB4"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76B4E1A1"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1440DF31"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17BF1E77"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1A006F88" w14:textId="77777777" w:rsidR="000826B8" w:rsidRPr="000826B8" w:rsidRDefault="000826B8" w:rsidP="000826B8">
            <w:pPr>
              <w:jc w:val="right"/>
              <w:rPr>
                <w:sz w:val="16"/>
                <w:szCs w:val="16"/>
              </w:rPr>
            </w:pPr>
          </w:p>
        </w:tc>
      </w:tr>
      <w:tr w:rsidR="000826B8" w:rsidRPr="000826B8" w14:paraId="12078799" w14:textId="77777777" w:rsidTr="000826B8">
        <w:trPr>
          <w:trHeight w:val="232"/>
        </w:trPr>
        <w:tc>
          <w:tcPr>
            <w:tcW w:w="2773" w:type="pct"/>
            <w:tcBorders>
              <w:top w:val="nil"/>
              <w:left w:val="nil"/>
              <w:bottom w:val="nil"/>
              <w:right w:val="nil"/>
            </w:tcBorders>
            <w:noWrap/>
            <w:vAlign w:val="bottom"/>
            <w:hideMark/>
          </w:tcPr>
          <w:p w14:paraId="70F8A6C8" w14:textId="77777777" w:rsidR="000826B8" w:rsidRPr="000826B8" w:rsidRDefault="000826B8">
            <w:pPr>
              <w:rPr>
                <w:rFonts w:ascii="Arial" w:hAnsi="Arial" w:cs="Arial"/>
                <w:b/>
                <w:bCs/>
                <w:sz w:val="16"/>
                <w:szCs w:val="16"/>
              </w:rPr>
            </w:pPr>
            <w:r w:rsidRPr="000826B8">
              <w:rPr>
                <w:rFonts w:ascii="Arial" w:hAnsi="Arial" w:cs="Arial"/>
                <w:b/>
                <w:bCs/>
                <w:sz w:val="16"/>
                <w:szCs w:val="16"/>
              </w:rPr>
              <w:t>Prejuízo Básico e Diluído por Ação em Reais:</w:t>
            </w:r>
          </w:p>
        </w:tc>
        <w:tc>
          <w:tcPr>
            <w:tcW w:w="266" w:type="pct"/>
            <w:tcBorders>
              <w:top w:val="nil"/>
              <w:left w:val="nil"/>
              <w:bottom w:val="nil"/>
              <w:right w:val="nil"/>
            </w:tcBorders>
            <w:noWrap/>
            <w:vAlign w:val="bottom"/>
            <w:hideMark/>
          </w:tcPr>
          <w:p w14:paraId="0E233F5E" w14:textId="77777777" w:rsidR="000826B8" w:rsidRPr="000826B8" w:rsidRDefault="000826B8">
            <w:pPr>
              <w:jc w:val="center"/>
              <w:rPr>
                <w:rFonts w:ascii="Arial" w:hAnsi="Arial" w:cs="Arial"/>
                <w:sz w:val="16"/>
                <w:szCs w:val="16"/>
              </w:rPr>
            </w:pPr>
            <w:r w:rsidRPr="000826B8">
              <w:rPr>
                <w:rFonts w:ascii="Arial" w:hAnsi="Arial" w:cs="Arial"/>
                <w:sz w:val="16"/>
                <w:szCs w:val="16"/>
              </w:rPr>
              <w:t>26.5</w:t>
            </w:r>
          </w:p>
        </w:tc>
        <w:tc>
          <w:tcPr>
            <w:tcW w:w="73" w:type="pct"/>
            <w:tcBorders>
              <w:top w:val="nil"/>
              <w:left w:val="nil"/>
              <w:bottom w:val="nil"/>
              <w:right w:val="nil"/>
            </w:tcBorders>
            <w:noWrap/>
            <w:vAlign w:val="bottom"/>
            <w:hideMark/>
          </w:tcPr>
          <w:p w14:paraId="7942C499" w14:textId="77777777" w:rsidR="000826B8" w:rsidRPr="000826B8" w:rsidRDefault="000826B8">
            <w:pPr>
              <w:jc w:val="center"/>
              <w:rPr>
                <w:rFonts w:ascii="Arial" w:hAnsi="Arial" w:cs="Arial"/>
                <w:sz w:val="16"/>
                <w:szCs w:val="16"/>
              </w:rPr>
            </w:pPr>
          </w:p>
        </w:tc>
        <w:tc>
          <w:tcPr>
            <w:tcW w:w="861" w:type="pct"/>
            <w:tcBorders>
              <w:top w:val="nil"/>
              <w:left w:val="nil"/>
              <w:bottom w:val="nil"/>
              <w:right w:val="nil"/>
            </w:tcBorders>
            <w:noWrap/>
            <w:vAlign w:val="bottom"/>
            <w:hideMark/>
          </w:tcPr>
          <w:p w14:paraId="117D1E6A" w14:textId="77777777" w:rsidR="000826B8" w:rsidRPr="000826B8" w:rsidRDefault="000826B8" w:rsidP="000826B8">
            <w:pPr>
              <w:jc w:val="right"/>
              <w:rPr>
                <w:sz w:val="16"/>
                <w:szCs w:val="16"/>
              </w:rPr>
            </w:pPr>
          </w:p>
        </w:tc>
        <w:tc>
          <w:tcPr>
            <w:tcW w:w="94" w:type="pct"/>
            <w:tcBorders>
              <w:top w:val="nil"/>
              <w:left w:val="nil"/>
              <w:bottom w:val="nil"/>
              <w:right w:val="nil"/>
            </w:tcBorders>
            <w:noWrap/>
            <w:vAlign w:val="bottom"/>
            <w:hideMark/>
          </w:tcPr>
          <w:p w14:paraId="080493AA" w14:textId="77777777" w:rsidR="000826B8" w:rsidRPr="000826B8" w:rsidRDefault="000826B8" w:rsidP="000826B8">
            <w:pPr>
              <w:jc w:val="right"/>
              <w:rPr>
                <w:sz w:val="16"/>
                <w:szCs w:val="16"/>
              </w:rPr>
            </w:pPr>
          </w:p>
        </w:tc>
        <w:tc>
          <w:tcPr>
            <w:tcW w:w="861" w:type="pct"/>
            <w:tcBorders>
              <w:top w:val="nil"/>
              <w:left w:val="nil"/>
              <w:bottom w:val="nil"/>
              <w:right w:val="nil"/>
            </w:tcBorders>
            <w:noWrap/>
            <w:vAlign w:val="bottom"/>
            <w:hideMark/>
          </w:tcPr>
          <w:p w14:paraId="32A19B5A" w14:textId="77777777" w:rsidR="000826B8" w:rsidRPr="000826B8" w:rsidRDefault="000826B8" w:rsidP="000826B8">
            <w:pPr>
              <w:jc w:val="right"/>
              <w:rPr>
                <w:sz w:val="16"/>
                <w:szCs w:val="16"/>
              </w:rPr>
            </w:pPr>
          </w:p>
        </w:tc>
        <w:tc>
          <w:tcPr>
            <w:tcW w:w="73" w:type="pct"/>
            <w:tcBorders>
              <w:top w:val="nil"/>
              <w:left w:val="nil"/>
              <w:bottom w:val="nil"/>
              <w:right w:val="nil"/>
            </w:tcBorders>
            <w:noWrap/>
            <w:vAlign w:val="bottom"/>
            <w:hideMark/>
          </w:tcPr>
          <w:p w14:paraId="7CD1A72E" w14:textId="77777777" w:rsidR="000826B8" w:rsidRPr="000826B8" w:rsidRDefault="000826B8" w:rsidP="000826B8">
            <w:pPr>
              <w:jc w:val="right"/>
              <w:rPr>
                <w:sz w:val="16"/>
                <w:szCs w:val="16"/>
              </w:rPr>
            </w:pPr>
          </w:p>
        </w:tc>
      </w:tr>
      <w:tr w:rsidR="000826B8" w:rsidRPr="000826B8" w14:paraId="7451D2D8" w14:textId="77777777" w:rsidTr="000826B8">
        <w:trPr>
          <w:trHeight w:val="232"/>
        </w:trPr>
        <w:tc>
          <w:tcPr>
            <w:tcW w:w="2773" w:type="pct"/>
            <w:tcBorders>
              <w:top w:val="nil"/>
              <w:left w:val="nil"/>
              <w:bottom w:val="nil"/>
              <w:right w:val="nil"/>
            </w:tcBorders>
            <w:noWrap/>
            <w:vAlign w:val="bottom"/>
            <w:hideMark/>
          </w:tcPr>
          <w:p w14:paraId="45E9C409" w14:textId="77777777" w:rsidR="000826B8" w:rsidRPr="000826B8" w:rsidRDefault="000826B8">
            <w:pPr>
              <w:rPr>
                <w:rFonts w:ascii="Arial" w:hAnsi="Arial" w:cs="Arial"/>
                <w:sz w:val="16"/>
                <w:szCs w:val="16"/>
              </w:rPr>
            </w:pPr>
            <w:r w:rsidRPr="000826B8">
              <w:rPr>
                <w:rFonts w:ascii="Arial" w:hAnsi="Arial" w:cs="Arial"/>
                <w:sz w:val="16"/>
                <w:szCs w:val="16"/>
              </w:rPr>
              <w:t xml:space="preserve">   Ações Ordinárias – Básicas e diluídas</w:t>
            </w:r>
          </w:p>
        </w:tc>
        <w:tc>
          <w:tcPr>
            <w:tcW w:w="266" w:type="pct"/>
            <w:tcBorders>
              <w:top w:val="nil"/>
              <w:left w:val="nil"/>
              <w:bottom w:val="nil"/>
              <w:right w:val="nil"/>
            </w:tcBorders>
            <w:noWrap/>
            <w:vAlign w:val="bottom"/>
            <w:hideMark/>
          </w:tcPr>
          <w:p w14:paraId="341263BD" w14:textId="77777777" w:rsidR="000826B8" w:rsidRPr="000826B8" w:rsidRDefault="000826B8">
            <w:pPr>
              <w:rPr>
                <w:rFonts w:ascii="Arial" w:hAnsi="Arial" w:cs="Arial"/>
                <w:sz w:val="16"/>
                <w:szCs w:val="16"/>
              </w:rPr>
            </w:pPr>
          </w:p>
        </w:tc>
        <w:tc>
          <w:tcPr>
            <w:tcW w:w="73" w:type="pct"/>
            <w:tcBorders>
              <w:top w:val="nil"/>
              <w:left w:val="nil"/>
              <w:bottom w:val="nil"/>
              <w:right w:val="nil"/>
            </w:tcBorders>
            <w:noWrap/>
            <w:vAlign w:val="bottom"/>
            <w:hideMark/>
          </w:tcPr>
          <w:p w14:paraId="408914AA" w14:textId="77777777" w:rsidR="000826B8" w:rsidRPr="000826B8" w:rsidRDefault="000826B8">
            <w:pPr>
              <w:rPr>
                <w:sz w:val="16"/>
                <w:szCs w:val="16"/>
              </w:rPr>
            </w:pPr>
          </w:p>
        </w:tc>
        <w:tc>
          <w:tcPr>
            <w:tcW w:w="861" w:type="pct"/>
            <w:tcBorders>
              <w:top w:val="nil"/>
              <w:left w:val="nil"/>
              <w:bottom w:val="nil"/>
              <w:right w:val="nil"/>
            </w:tcBorders>
            <w:noWrap/>
            <w:vAlign w:val="center"/>
            <w:hideMark/>
          </w:tcPr>
          <w:p w14:paraId="65EA90C7" w14:textId="77777777" w:rsidR="000826B8" w:rsidRPr="000826B8" w:rsidRDefault="000826B8" w:rsidP="000826B8">
            <w:pPr>
              <w:jc w:val="right"/>
              <w:rPr>
                <w:rFonts w:ascii="Arial" w:hAnsi="Arial" w:cs="Arial"/>
                <w:sz w:val="16"/>
                <w:szCs w:val="16"/>
              </w:rPr>
            </w:pPr>
            <w:r w:rsidRPr="000826B8">
              <w:rPr>
                <w:rFonts w:ascii="Arial" w:hAnsi="Arial" w:cs="Arial"/>
                <w:sz w:val="16"/>
                <w:szCs w:val="16"/>
              </w:rPr>
              <w:t xml:space="preserve">                  (0,8780)</w:t>
            </w:r>
          </w:p>
        </w:tc>
        <w:tc>
          <w:tcPr>
            <w:tcW w:w="94" w:type="pct"/>
            <w:tcBorders>
              <w:top w:val="nil"/>
              <w:left w:val="nil"/>
              <w:bottom w:val="nil"/>
              <w:right w:val="nil"/>
            </w:tcBorders>
            <w:noWrap/>
            <w:vAlign w:val="center"/>
            <w:hideMark/>
          </w:tcPr>
          <w:p w14:paraId="72C10605" w14:textId="77777777" w:rsidR="000826B8" w:rsidRPr="000826B8" w:rsidRDefault="000826B8" w:rsidP="000826B8">
            <w:pPr>
              <w:jc w:val="right"/>
              <w:rPr>
                <w:rFonts w:ascii="Arial" w:hAnsi="Arial" w:cs="Arial"/>
                <w:sz w:val="16"/>
                <w:szCs w:val="16"/>
              </w:rPr>
            </w:pPr>
          </w:p>
        </w:tc>
        <w:tc>
          <w:tcPr>
            <w:tcW w:w="861" w:type="pct"/>
            <w:tcBorders>
              <w:top w:val="nil"/>
              <w:left w:val="nil"/>
              <w:bottom w:val="nil"/>
              <w:right w:val="nil"/>
            </w:tcBorders>
            <w:noWrap/>
            <w:vAlign w:val="center"/>
            <w:hideMark/>
          </w:tcPr>
          <w:p w14:paraId="7210E4F3" w14:textId="77777777" w:rsidR="000826B8" w:rsidRPr="000826B8" w:rsidRDefault="000826B8" w:rsidP="000826B8">
            <w:pPr>
              <w:jc w:val="right"/>
              <w:rPr>
                <w:rFonts w:ascii="Arial" w:hAnsi="Arial" w:cs="Arial"/>
                <w:sz w:val="16"/>
                <w:szCs w:val="16"/>
              </w:rPr>
            </w:pPr>
            <w:r w:rsidRPr="000826B8">
              <w:rPr>
                <w:rFonts w:ascii="Arial" w:hAnsi="Arial" w:cs="Arial"/>
                <w:sz w:val="16"/>
                <w:szCs w:val="16"/>
              </w:rPr>
              <w:t xml:space="preserve">                  (0,1262)</w:t>
            </w:r>
          </w:p>
        </w:tc>
        <w:tc>
          <w:tcPr>
            <w:tcW w:w="73" w:type="pct"/>
            <w:tcBorders>
              <w:top w:val="nil"/>
              <w:left w:val="nil"/>
              <w:bottom w:val="nil"/>
              <w:right w:val="nil"/>
            </w:tcBorders>
            <w:noWrap/>
            <w:vAlign w:val="bottom"/>
            <w:hideMark/>
          </w:tcPr>
          <w:p w14:paraId="0D2C374A" w14:textId="77777777" w:rsidR="000826B8" w:rsidRPr="000826B8" w:rsidRDefault="000826B8" w:rsidP="000826B8">
            <w:pPr>
              <w:jc w:val="right"/>
              <w:rPr>
                <w:rFonts w:ascii="Arial" w:hAnsi="Arial" w:cs="Arial"/>
                <w:sz w:val="16"/>
                <w:szCs w:val="16"/>
              </w:rPr>
            </w:pPr>
          </w:p>
        </w:tc>
      </w:tr>
      <w:tr w:rsidR="000826B8" w:rsidRPr="000826B8" w14:paraId="4D9D4760" w14:textId="77777777" w:rsidTr="000826B8">
        <w:trPr>
          <w:trHeight w:val="232"/>
        </w:trPr>
        <w:tc>
          <w:tcPr>
            <w:tcW w:w="2773" w:type="pct"/>
            <w:tcBorders>
              <w:top w:val="nil"/>
              <w:left w:val="nil"/>
              <w:bottom w:val="nil"/>
              <w:right w:val="nil"/>
            </w:tcBorders>
            <w:noWrap/>
            <w:vAlign w:val="bottom"/>
            <w:hideMark/>
          </w:tcPr>
          <w:p w14:paraId="021294D2" w14:textId="77777777" w:rsidR="000826B8" w:rsidRPr="000826B8" w:rsidRDefault="000826B8">
            <w:pPr>
              <w:rPr>
                <w:rFonts w:ascii="Arial" w:hAnsi="Arial" w:cs="Arial"/>
                <w:sz w:val="16"/>
                <w:szCs w:val="16"/>
              </w:rPr>
            </w:pPr>
            <w:r w:rsidRPr="000826B8">
              <w:rPr>
                <w:rFonts w:ascii="Arial" w:hAnsi="Arial" w:cs="Arial"/>
                <w:sz w:val="16"/>
                <w:szCs w:val="16"/>
              </w:rPr>
              <w:t xml:space="preserve">   Ações Preferenciais – Básicas e diluídas</w:t>
            </w:r>
          </w:p>
        </w:tc>
        <w:tc>
          <w:tcPr>
            <w:tcW w:w="266" w:type="pct"/>
            <w:tcBorders>
              <w:top w:val="nil"/>
              <w:left w:val="nil"/>
              <w:bottom w:val="nil"/>
              <w:right w:val="nil"/>
            </w:tcBorders>
            <w:noWrap/>
            <w:vAlign w:val="bottom"/>
            <w:hideMark/>
          </w:tcPr>
          <w:p w14:paraId="1DE3E294" w14:textId="77777777" w:rsidR="000826B8" w:rsidRPr="000826B8" w:rsidRDefault="000826B8">
            <w:pPr>
              <w:rPr>
                <w:rFonts w:ascii="Arial" w:hAnsi="Arial" w:cs="Arial"/>
                <w:sz w:val="16"/>
                <w:szCs w:val="16"/>
              </w:rPr>
            </w:pPr>
          </w:p>
        </w:tc>
        <w:tc>
          <w:tcPr>
            <w:tcW w:w="73" w:type="pct"/>
            <w:tcBorders>
              <w:top w:val="nil"/>
              <w:left w:val="nil"/>
              <w:bottom w:val="nil"/>
              <w:right w:val="nil"/>
            </w:tcBorders>
            <w:noWrap/>
            <w:vAlign w:val="bottom"/>
            <w:hideMark/>
          </w:tcPr>
          <w:p w14:paraId="4A781AA3"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7CA2CC02" w14:textId="77777777" w:rsidR="000826B8" w:rsidRPr="000826B8" w:rsidRDefault="000826B8" w:rsidP="000826B8">
            <w:pPr>
              <w:jc w:val="right"/>
              <w:rPr>
                <w:rFonts w:ascii="Arial" w:hAnsi="Arial" w:cs="Arial"/>
                <w:sz w:val="16"/>
                <w:szCs w:val="16"/>
              </w:rPr>
            </w:pPr>
            <w:r w:rsidRPr="000826B8">
              <w:rPr>
                <w:rFonts w:ascii="Arial" w:hAnsi="Arial" w:cs="Arial"/>
                <w:sz w:val="16"/>
                <w:szCs w:val="16"/>
              </w:rPr>
              <w:t xml:space="preserve">                  (0,8780)</w:t>
            </w:r>
          </w:p>
        </w:tc>
        <w:tc>
          <w:tcPr>
            <w:tcW w:w="94" w:type="pct"/>
            <w:tcBorders>
              <w:top w:val="nil"/>
              <w:left w:val="nil"/>
              <w:bottom w:val="nil"/>
              <w:right w:val="nil"/>
            </w:tcBorders>
            <w:noWrap/>
            <w:vAlign w:val="bottom"/>
            <w:hideMark/>
          </w:tcPr>
          <w:p w14:paraId="0C795F0B" w14:textId="77777777" w:rsidR="000826B8" w:rsidRPr="000826B8" w:rsidRDefault="000826B8" w:rsidP="000826B8">
            <w:pPr>
              <w:jc w:val="right"/>
              <w:rPr>
                <w:rFonts w:ascii="Arial" w:hAnsi="Arial" w:cs="Arial"/>
                <w:sz w:val="16"/>
                <w:szCs w:val="16"/>
              </w:rPr>
            </w:pPr>
          </w:p>
        </w:tc>
        <w:tc>
          <w:tcPr>
            <w:tcW w:w="861" w:type="pct"/>
            <w:tcBorders>
              <w:top w:val="nil"/>
              <w:left w:val="nil"/>
              <w:bottom w:val="nil"/>
              <w:right w:val="nil"/>
            </w:tcBorders>
            <w:noWrap/>
            <w:vAlign w:val="bottom"/>
            <w:hideMark/>
          </w:tcPr>
          <w:p w14:paraId="273FD548" w14:textId="77777777" w:rsidR="000826B8" w:rsidRPr="000826B8" w:rsidRDefault="000826B8" w:rsidP="000826B8">
            <w:pPr>
              <w:jc w:val="right"/>
              <w:rPr>
                <w:rFonts w:ascii="Arial" w:hAnsi="Arial" w:cs="Arial"/>
                <w:sz w:val="16"/>
                <w:szCs w:val="16"/>
              </w:rPr>
            </w:pPr>
            <w:r w:rsidRPr="000826B8">
              <w:rPr>
                <w:rFonts w:ascii="Arial" w:hAnsi="Arial" w:cs="Arial"/>
                <w:sz w:val="16"/>
                <w:szCs w:val="16"/>
              </w:rPr>
              <w:t xml:space="preserve">                  (0,1262)</w:t>
            </w:r>
          </w:p>
        </w:tc>
        <w:tc>
          <w:tcPr>
            <w:tcW w:w="73" w:type="pct"/>
            <w:tcBorders>
              <w:top w:val="nil"/>
              <w:left w:val="nil"/>
              <w:bottom w:val="nil"/>
              <w:right w:val="nil"/>
            </w:tcBorders>
            <w:noWrap/>
            <w:vAlign w:val="bottom"/>
            <w:hideMark/>
          </w:tcPr>
          <w:p w14:paraId="56E5EC0B" w14:textId="77777777" w:rsidR="000826B8" w:rsidRPr="000826B8" w:rsidRDefault="000826B8" w:rsidP="000826B8">
            <w:pPr>
              <w:jc w:val="right"/>
              <w:rPr>
                <w:rFonts w:ascii="Arial" w:hAnsi="Arial" w:cs="Arial"/>
                <w:sz w:val="16"/>
                <w:szCs w:val="16"/>
              </w:rPr>
            </w:pPr>
          </w:p>
        </w:tc>
      </w:tr>
      <w:tr w:rsidR="000826B8" w:rsidRPr="000826B8" w14:paraId="47B232E0" w14:textId="77777777" w:rsidTr="000826B8">
        <w:trPr>
          <w:trHeight w:val="232"/>
        </w:trPr>
        <w:tc>
          <w:tcPr>
            <w:tcW w:w="2773" w:type="pct"/>
            <w:tcBorders>
              <w:top w:val="nil"/>
              <w:left w:val="nil"/>
              <w:bottom w:val="nil"/>
              <w:right w:val="nil"/>
            </w:tcBorders>
            <w:noWrap/>
            <w:vAlign w:val="bottom"/>
            <w:hideMark/>
          </w:tcPr>
          <w:p w14:paraId="25C7FE80"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047B3910"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0648D602"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3346D13C" w14:textId="77777777" w:rsidR="000826B8" w:rsidRPr="000826B8" w:rsidRDefault="000826B8">
            <w:pPr>
              <w:rPr>
                <w:sz w:val="16"/>
                <w:szCs w:val="16"/>
              </w:rPr>
            </w:pPr>
          </w:p>
        </w:tc>
        <w:tc>
          <w:tcPr>
            <w:tcW w:w="94" w:type="pct"/>
            <w:tcBorders>
              <w:top w:val="nil"/>
              <w:left w:val="nil"/>
              <w:bottom w:val="nil"/>
              <w:right w:val="nil"/>
            </w:tcBorders>
            <w:noWrap/>
            <w:vAlign w:val="bottom"/>
            <w:hideMark/>
          </w:tcPr>
          <w:p w14:paraId="3ED5C1B7"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297557EF"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15BB261F" w14:textId="77777777" w:rsidR="000826B8" w:rsidRPr="000826B8" w:rsidRDefault="000826B8">
            <w:pPr>
              <w:rPr>
                <w:sz w:val="16"/>
                <w:szCs w:val="16"/>
              </w:rPr>
            </w:pPr>
          </w:p>
        </w:tc>
      </w:tr>
      <w:tr w:rsidR="000826B8" w:rsidRPr="000826B8" w14:paraId="1B43048A" w14:textId="77777777" w:rsidTr="000826B8">
        <w:trPr>
          <w:trHeight w:val="232"/>
        </w:trPr>
        <w:tc>
          <w:tcPr>
            <w:tcW w:w="2773" w:type="pct"/>
            <w:tcBorders>
              <w:top w:val="nil"/>
              <w:left w:val="nil"/>
              <w:bottom w:val="nil"/>
              <w:right w:val="nil"/>
            </w:tcBorders>
            <w:noWrap/>
            <w:vAlign w:val="bottom"/>
            <w:hideMark/>
          </w:tcPr>
          <w:p w14:paraId="1A569D62" w14:textId="77777777" w:rsidR="000826B8" w:rsidRPr="000826B8" w:rsidRDefault="000826B8">
            <w:pPr>
              <w:rPr>
                <w:sz w:val="16"/>
                <w:szCs w:val="16"/>
              </w:rPr>
            </w:pPr>
          </w:p>
        </w:tc>
        <w:tc>
          <w:tcPr>
            <w:tcW w:w="266" w:type="pct"/>
            <w:tcBorders>
              <w:top w:val="nil"/>
              <w:left w:val="nil"/>
              <w:bottom w:val="nil"/>
              <w:right w:val="nil"/>
            </w:tcBorders>
            <w:noWrap/>
            <w:vAlign w:val="bottom"/>
            <w:hideMark/>
          </w:tcPr>
          <w:p w14:paraId="07E0828F"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4AFD6624"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764443C6" w14:textId="77777777" w:rsidR="000826B8" w:rsidRPr="000826B8" w:rsidRDefault="000826B8">
            <w:pPr>
              <w:rPr>
                <w:sz w:val="16"/>
                <w:szCs w:val="16"/>
              </w:rPr>
            </w:pPr>
          </w:p>
        </w:tc>
        <w:tc>
          <w:tcPr>
            <w:tcW w:w="94" w:type="pct"/>
            <w:tcBorders>
              <w:top w:val="nil"/>
              <w:left w:val="nil"/>
              <w:bottom w:val="nil"/>
              <w:right w:val="nil"/>
            </w:tcBorders>
            <w:noWrap/>
            <w:vAlign w:val="bottom"/>
            <w:hideMark/>
          </w:tcPr>
          <w:p w14:paraId="33E8F4D2" w14:textId="77777777" w:rsidR="000826B8" w:rsidRPr="000826B8" w:rsidRDefault="000826B8">
            <w:pPr>
              <w:rPr>
                <w:sz w:val="16"/>
                <w:szCs w:val="16"/>
              </w:rPr>
            </w:pPr>
          </w:p>
        </w:tc>
        <w:tc>
          <w:tcPr>
            <w:tcW w:w="861" w:type="pct"/>
            <w:tcBorders>
              <w:top w:val="nil"/>
              <w:left w:val="nil"/>
              <w:bottom w:val="nil"/>
              <w:right w:val="nil"/>
            </w:tcBorders>
            <w:noWrap/>
            <w:vAlign w:val="bottom"/>
            <w:hideMark/>
          </w:tcPr>
          <w:p w14:paraId="0B04F9BA"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58ED1B74" w14:textId="77777777" w:rsidR="000826B8" w:rsidRPr="000826B8" w:rsidRDefault="000826B8">
            <w:pPr>
              <w:rPr>
                <w:sz w:val="16"/>
                <w:szCs w:val="16"/>
              </w:rPr>
            </w:pPr>
          </w:p>
        </w:tc>
      </w:tr>
      <w:tr w:rsidR="000826B8" w:rsidRPr="000826B8" w14:paraId="24036377" w14:textId="77777777" w:rsidTr="000826B8">
        <w:trPr>
          <w:trHeight w:val="232"/>
        </w:trPr>
        <w:tc>
          <w:tcPr>
            <w:tcW w:w="3972" w:type="pct"/>
            <w:gridSpan w:val="4"/>
            <w:tcBorders>
              <w:top w:val="nil"/>
              <w:left w:val="nil"/>
              <w:bottom w:val="nil"/>
              <w:right w:val="nil"/>
            </w:tcBorders>
            <w:noWrap/>
            <w:vAlign w:val="bottom"/>
            <w:hideMark/>
          </w:tcPr>
          <w:p w14:paraId="7511DBF9" w14:textId="77777777" w:rsidR="000826B8" w:rsidRPr="000826B8" w:rsidRDefault="000826B8">
            <w:pPr>
              <w:rPr>
                <w:rFonts w:ascii="Arial" w:hAnsi="Arial" w:cs="Arial"/>
                <w:b/>
                <w:bCs/>
                <w:sz w:val="16"/>
                <w:szCs w:val="16"/>
              </w:rPr>
            </w:pPr>
            <w:r w:rsidRPr="000826B8">
              <w:rPr>
                <w:rFonts w:ascii="Arial" w:hAnsi="Arial" w:cs="Arial"/>
                <w:b/>
                <w:bCs/>
                <w:sz w:val="16"/>
                <w:szCs w:val="16"/>
              </w:rPr>
              <w:t>As notas explicativas são parte integrante das demonstrações contábeis</w:t>
            </w:r>
          </w:p>
        </w:tc>
        <w:tc>
          <w:tcPr>
            <w:tcW w:w="94" w:type="pct"/>
            <w:tcBorders>
              <w:top w:val="nil"/>
              <w:left w:val="nil"/>
              <w:bottom w:val="nil"/>
              <w:right w:val="nil"/>
            </w:tcBorders>
            <w:noWrap/>
            <w:vAlign w:val="bottom"/>
            <w:hideMark/>
          </w:tcPr>
          <w:p w14:paraId="4930E85A" w14:textId="77777777" w:rsidR="000826B8" w:rsidRPr="000826B8" w:rsidRDefault="000826B8">
            <w:pPr>
              <w:rPr>
                <w:rFonts w:ascii="Arial" w:hAnsi="Arial" w:cs="Arial"/>
                <w:b/>
                <w:bCs/>
                <w:sz w:val="16"/>
                <w:szCs w:val="16"/>
              </w:rPr>
            </w:pPr>
          </w:p>
        </w:tc>
        <w:tc>
          <w:tcPr>
            <w:tcW w:w="861" w:type="pct"/>
            <w:tcBorders>
              <w:top w:val="nil"/>
              <w:left w:val="nil"/>
              <w:bottom w:val="nil"/>
              <w:right w:val="nil"/>
            </w:tcBorders>
            <w:noWrap/>
            <w:vAlign w:val="bottom"/>
            <w:hideMark/>
          </w:tcPr>
          <w:p w14:paraId="744E9923" w14:textId="77777777" w:rsidR="000826B8" w:rsidRPr="000826B8" w:rsidRDefault="000826B8">
            <w:pPr>
              <w:rPr>
                <w:sz w:val="16"/>
                <w:szCs w:val="16"/>
              </w:rPr>
            </w:pPr>
          </w:p>
        </w:tc>
        <w:tc>
          <w:tcPr>
            <w:tcW w:w="73" w:type="pct"/>
            <w:tcBorders>
              <w:top w:val="nil"/>
              <w:left w:val="nil"/>
              <w:bottom w:val="nil"/>
              <w:right w:val="nil"/>
            </w:tcBorders>
            <w:noWrap/>
            <w:vAlign w:val="bottom"/>
            <w:hideMark/>
          </w:tcPr>
          <w:p w14:paraId="0655C8C2" w14:textId="77777777" w:rsidR="000826B8" w:rsidRPr="000826B8" w:rsidRDefault="000826B8">
            <w:pPr>
              <w:rPr>
                <w:sz w:val="16"/>
                <w:szCs w:val="16"/>
              </w:rPr>
            </w:pPr>
          </w:p>
        </w:tc>
      </w:tr>
    </w:tbl>
    <w:p w14:paraId="0A611481" w14:textId="036742C4" w:rsidR="00474F9B" w:rsidRDefault="00474F9B" w:rsidP="00422A1C">
      <w:pPr>
        <w:ind w:left="1" w:firstLine="1"/>
        <w:rPr>
          <w:noProof/>
        </w:rPr>
      </w:pPr>
    </w:p>
    <w:p w14:paraId="75177535" w14:textId="18CE9B1D" w:rsidR="00925432" w:rsidRPr="00925432" w:rsidRDefault="00925432" w:rsidP="00925432"/>
    <w:p w14:paraId="1518B49F" w14:textId="0D861B7E" w:rsidR="00925432" w:rsidRPr="00925432" w:rsidRDefault="00925432" w:rsidP="00925432"/>
    <w:p w14:paraId="2BD11C1A" w14:textId="77777777" w:rsidR="00474F9B" w:rsidRDefault="00474F9B" w:rsidP="00474F9B">
      <w:pPr>
        <w:rPr>
          <w:noProof/>
        </w:rPr>
      </w:pPr>
    </w:p>
    <w:p w14:paraId="35AF7EA6" w14:textId="2337B998" w:rsidR="007A5D5D" w:rsidRDefault="007A5D5D" w:rsidP="00474F9B">
      <w:pPr>
        <w:rPr>
          <w:noProof/>
        </w:rPr>
      </w:pPr>
    </w:p>
    <w:p w14:paraId="2BD7B790" w14:textId="78F0536A" w:rsidR="007C5EEC" w:rsidRDefault="007C5EEC" w:rsidP="00474F9B">
      <w:pPr>
        <w:rPr>
          <w:noProof/>
        </w:rPr>
      </w:pPr>
    </w:p>
    <w:p w14:paraId="36BCF555" w14:textId="0DA7CEE5" w:rsidR="00136B00" w:rsidRDefault="00136B00" w:rsidP="00474F9B">
      <w:pPr>
        <w:rPr>
          <w:noProof/>
        </w:rPr>
      </w:pPr>
    </w:p>
    <w:p w14:paraId="79B8F21E" w14:textId="472D7251" w:rsidR="00136B00" w:rsidRDefault="00136B00" w:rsidP="00474F9B">
      <w:pPr>
        <w:rPr>
          <w:noProof/>
        </w:rPr>
      </w:pPr>
    </w:p>
    <w:p w14:paraId="35876C5C" w14:textId="2754E495" w:rsidR="00136B00" w:rsidRDefault="00136B00" w:rsidP="00474F9B">
      <w:pPr>
        <w:rPr>
          <w:noProof/>
        </w:rPr>
      </w:pPr>
    </w:p>
    <w:p w14:paraId="7ED1F5D3" w14:textId="57D0ADB7" w:rsidR="00136B00" w:rsidRDefault="00136B00" w:rsidP="00474F9B">
      <w:pPr>
        <w:rPr>
          <w:noProof/>
        </w:rPr>
      </w:pPr>
    </w:p>
    <w:p w14:paraId="7BA52E4D" w14:textId="0AEE4499" w:rsidR="00136B00" w:rsidRDefault="00136B00" w:rsidP="00474F9B">
      <w:pPr>
        <w:rPr>
          <w:noProof/>
        </w:rPr>
      </w:pPr>
    </w:p>
    <w:p w14:paraId="71CA6889" w14:textId="7D19507E" w:rsidR="00136B00" w:rsidRDefault="00136B00" w:rsidP="00474F9B">
      <w:pPr>
        <w:rPr>
          <w:noProof/>
        </w:rPr>
      </w:pPr>
    </w:p>
    <w:p w14:paraId="1B32F54E" w14:textId="0CF96557" w:rsidR="00AE469A" w:rsidRDefault="00AE469A" w:rsidP="00474F9B">
      <w:pPr>
        <w:rPr>
          <w:noProof/>
        </w:rPr>
      </w:pPr>
    </w:p>
    <w:p w14:paraId="56B17054" w14:textId="547C4A15" w:rsidR="00AE469A" w:rsidRDefault="00AE469A" w:rsidP="00474F9B">
      <w:pPr>
        <w:rPr>
          <w:noProof/>
        </w:rPr>
      </w:pPr>
    </w:p>
    <w:tbl>
      <w:tblPr>
        <w:tblW w:w="5000" w:type="pct"/>
        <w:tblCellMar>
          <w:left w:w="70" w:type="dxa"/>
          <w:right w:w="70" w:type="dxa"/>
        </w:tblCellMar>
        <w:tblLook w:val="04A0" w:firstRow="1" w:lastRow="0" w:firstColumn="1" w:lastColumn="0" w:noHBand="0" w:noVBand="1"/>
      </w:tblPr>
      <w:tblGrid>
        <w:gridCol w:w="6770"/>
        <w:gridCol w:w="146"/>
        <w:gridCol w:w="1408"/>
        <w:gridCol w:w="185"/>
        <w:gridCol w:w="1409"/>
        <w:gridCol w:w="146"/>
      </w:tblGrid>
      <w:tr w:rsidR="00627F19" w:rsidRPr="00627F19" w14:paraId="4D612990" w14:textId="77777777" w:rsidTr="00627F19">
        <w:trPr>
          <w:trHeight w:val="232"/>
        </w:trPr>
        <w:tc>
          <w:tcPr>
            <w:tcW w:w="5000" w:type="pct"/>
            <w:gridSpan w:val="6"/>
            <w:tcBorders>
              <w:top w:val="nil"/>
              <w:left w:val="nil"/>
              <w:bottom w:val="nil"/>
              <w:right w:val="nil"/>
            </w:tcBorders>
            <w:noWrap/>
            <w:vAlign w:val="bottom"/>
            <w:hideMark/>
          </w:tcPr>
          <w:p w14:paraId="2E7B5B0F" w14:textId="77777777" w:rsidR="00627F19" w:rsidRPr="00627F19" w:rsidRDefault="00627F19">
            <w:pPr>
              <w:jc w:val="center"/>
              <w:rPr>
                <w:rFonts w:ascii="Arial" w:hAnsi="Arial" w:cs="Arial"/>
                <w:b/>
                <w:bCs/>
                <w:sz w:val="16"/>
                <w:szCs w:val="16"/>
              </w:rPr>
            </w:pPr>
            <w:r w:rsidRPr="00627F19">
              <w:rPr>
                <w:rFonts w:ascii="Arial" w:hAnsi="Arial" w:cs="Arial"/>
                <w:b/>
                <w:bCs/>
                <w:sz w:val="16"/>
                <w:szCs w:val="16"/>
              </w:rPr>
              <w:t>TELECOMUNICAÇÕES BRASILEIRAS S.A - "TELEBRAS"</w:t>
            </w:r>
          </w:p>
        </w:tc>
      </w:tr>
      <w:tr w:rsidR="00627F19" w:rsidRPr="00627F19" w14:paraId="25BED91E" w14:textId="77777777" w:rsidTr="00627F19">
        <w:trPr>
          <w:trHeight w:val="232"/>
        </w:trPr>
        <w:tc>
          <w:tcPr>
            <w:tcW w:w="5000" w:type="pct"/>
            <w:gridSpan w:val="6"/>
            <w:tcBorders>
              <w:top w:val="nil"/>
              <w:left w:val="nil"/>
              <w:bottom w:val="nil"/>
              <w:right w:val="nil"/>
            </w:tcBorders>
            <w:noWrap/>
            <w:vAlign w:val="bottom"/>
            <w:hideMark/>
          </w:tcPr>
          <w:p w14:paraId="23844E5C" w14:textId="77777777" w:rsidR="00627F19" w:rsidRPr="00627F19" w:rsidRDefault="00627F19">
            <w:pPr>
              <w:jc w:val="center"/>
              <w:rPr>
                <w:rFonts w:ascii="Arial" w:hAnsi="Arial" w:cs="Arial"/>
                <w:b/>
                <w:bCs/>
                <w:sz w:val="16"/>
                <w:szCs w:val="16"/>
              </w:rPr>
            </w:pPr>
            <w:r w:rsidRPr="00627F19">
              <w:rPr>
                <w:rFonts w:ascii="Arial" w:hAnsi="Arial" w:cs="Arial"/>
                <w:b/>
                <w:bCs/>
                <w:sz w:val="16"/>
                <w:szCs w:val="16"/>
              </w:rPr>
              <w:t>CNPJ 00.336.701/0001-04</w:t>
            </w:r>
          </w:p>
        </w:tc>
      </w:tr>
      <w:tr w:rsidR="00627F19" w:rsidRPr="00627F19" w14:paraId="72CA4662" w14:textId="77777777" w:rsidTr="00627F19">
        <w:trPr>
          <w:trHeight w:val="232"/>
        </w:trPr>
        <w:tc>
          <w:tcPr>
            <w:tcW w:w="5000" w:type="pct"/>
            <w:gridSpan w:val="6"/>
            <w:tcBorders>
              <w:top w:val="nil"/>
              <w:left w:val="nil"/>
              <w:bottom w:val="nil"/>
              <w:right w:val="nil"/>
            </w:tcBorders>
            <w:noWrap/>
            <w:vAlign w:val="bottom"/>
            <w:hideMark/>
          </w:tcPr>
          <w:p w14:paraId="259C287F" w14:textId="77777777" w:rsidR="00627F19" w:rsidRPr="00627F19" w:rsidRDefault="00627F19">
            <w:pPr>
              <w:jc w:val="center"/>
              <w:rPr>
                <w:rFonts w:ascii="Arial" w:hAnsi="Arial" w:cs="Arial"/>
                <w:b/>
                <w:bCs/>
                <w:sz w:val="16"/>
                <w:szCs w:val="16"/>
              </w:rPr>
            </w:pPr>
            <w:r w:rsidRPr="00627F19">
              <w:rPr>
                <w:rFonts w:ascii="Arial" w:hAnsi="Arial" w:cs="Arial"/>
                <w:b/>
                <w:bCs/>
                <w:sz w:val="16"/>
                <w:szCs w:val="16"/>
              </w:rPr>
              <w:t>Demonstrações dos Resultados Abrangentes</w:t>
            </w:r>
          </w:p>
        </w:tc>
      </w:tr>
      <w:tr w:rsidR="00627F19" w:rsidRPr="00627F19" w14:paraId="3DDEDA2C" w14:textId="77777777" w:rsidTr="00627F19">
        <w:trPr>
          <w:trHeight w:val="232"/>
        </w:trPr>
        <w:tc>
          <w:tcPr>
            <w:tcW w:w="5000" w:type="pct"/>
            <w:gridSpan w:val="6"/>
            <w:tcBorders>
              <w:top w:val="nil"/>
              <w:left w:val="nil"/>
              <w:bottom w:val="nil"/>
              <w:right w:val="nil"/>
            </w:tcBorders>
            <w:noWrap/>
            <w:vAlign w:val="bottom"/>
            <w:hideMark/>
          </w:tcPr>
          <w:p w14:paraId="54FB0AEC" w14:textId="77777777" w:rsidR="00627F19" w:rsidRPr="00627F19" w:rsidRDefault="00627F19">
            <w:pPr>
              <w:jc w:val="center"/>
              <w:rPr>
                <w:rFonts w:ascii="Arial" w:hAnsi="Arial" w:cs="Arial"/>
                <w:b/>
                <w:bCs/>
                <w:sz w:val="16"/>
                <w:szCs w:val="16"/>
              </w:rPr>
            </w:pPr>
            <w:r w:rsidRPr="00627F19">
              <w:rPr>
                <w:rFonts w:ascii="Arial" w:hAnsi="Arial" w:cs="Arial"/>
                <w:b/>
                <w:bCs/>
                <w:sz w:val="16"/>
                <w:szCs w:val="16"/>
              </w:rPr>
              <w:t>Períodos findos em 31 de março de 2026 e 2025</w:t>
            </w:r>
          </w:p>
        </w:tc>
      </w:tr>
      <w:tr w:rsidR="00627F19" w:rsidRPr="00627F19" w14:paraId="164F376C" w14:textId="77777777" w:rsidTr="00627F19">
        <w:trPr>
          <w:trHeight w:val="232"/>
        </w:trPr>
        <w:tc>
          <w:tcPr>
            <w:tcW w:w="5000" w:type="pct"/>
            <w:gridSpan w:val="6"/>
            <w:tcBorders>
              <w:top w:val="nil"/>
              <w:left w:val="nil"/>
              <w:bottom w:val="nil"/>
              <w:right w:val="nil"/>
            </w:tcBorders>
            <w:noWrap/>
            <w:vAlign w:val="bottom"/>
            <w:hideMark/>
          </w:tcPr>
          <w:p w14:paraId="2964AD0B" w14:textId="77777777" w:rsidR="00627F19" w:rsidRPr="00627F19" w:rsidRDefault="00627F19">
            <w:pPr>
              <w:jc w:val="center"/>
              <w:rPr>
                <w:rFonts w:ascii="Arial" w:hAnsi="Arial" w:cs="Arial"/>
                <w:b/>
                <w:bCs/>
                <w:sz w:val="16"/>
                <w:szCs w:val="16"/>
              </w:rPr>
            </w:pPr>
            <w:r w:rsidRPr="00627F19">
              <w:rPr>
                <w:rFonts w:ascii="Arial" w:hAnsi="Arial" w:cs="Arial"/>
                <w:b/>
                <w:bCs/>
                <w:sz w:val="16"/>
                <w:szCs w:val="16"/>
              </w:rPr>
              <w:t>Em milhares de reais, exceto quando indicado de outra forma</w:t>
            </w:r>
          </w:p>
        </w:tc>
      </w:tr>
      <w:tr w:rsidR="00627F19" w:rsidRPr="00627F19" w14:paraId="1D2E14A1" w14:textId="77777777" w:rsidTr="00627F19">
        <w:trPr>
          <w:trHeight w:val="232"/>
        </w:trPr>
        <w:tc>
          <w:tcPr>
            <w:tcW w:w="3372" w:type="pct"/>
            <w:tcBorders>
              <w:top w:val="nil"/>
              <w:left w:val="nil"/>
              <w:bottom w:val="nil"/>
              <w:right w:val="nil"/>
            </w:tcBorders>
            <w:noWrap/>
            <w:vAlign w:val="bottom"/>
            <w:hideMark/>
          </w:tcPr>
          <w:p w14:paraId="780DD517" w14:textId="77777777" w:rsidR="00627F19" w:rsidRPr="00627F19" w:rsidRDefault="00627F19">
            <w:pPr>
              <w:jc w:val="center"/>
              <w:rPr>
                <w:rFonts w:ascii="Arial" w:hAnsi="Arial" w:cs="Arial"/>
                <w:b/>
                <w:bCs/>
                <w:sz w:val="16"/>
                <w:szCs w:val="16"/>
              </w:rPr>
            </w:pPr>
          </w:p>
        </w:tc>
        <w:tc>
          <w:tcPr>
            <w:tcW w:w="64" w:type="pct"/>
            <w:tcBorders>
              <w:top w:val="nil"/>
              <w:left w:val="nil"/>
              <w:bottom w:val="nil"/>
              <w:right w:val="nil"/>
            </w:tcBorders>
            <w:noWrap/>
            <w:vAlign w:val="bottom"/>
            <w:hideMark/>
          </w:tcPr>
          <w:p w14:paraId="45B4CFA9"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448F6D6C"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4D6598B5"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4DA034BD"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16142076" w14:textId="77777777" w:rsidR="00627F19" w:rsidRPr="00627F19" w:rsidRDefault="00627F19">
            <w:pPr>
              <w:rPr>
                <w:sz w:val="16"/>
                <w:szCs w:val="16"/>
              </w:rPr>
            </w:pPr>
          </w:p>
        </w:tc>
      </w:tr>
      <w:tr w:rsidR="00627F19" w:rsidRPr="00627F19" w14:paraId="4066179A" w14:textId="77777777" w:rsidTr="00627F19">
        <w:trPr>
          <w:trHeight w:val="232"/>
        </w:trPr>
        <w:tc>
          <w:tcPr>
            <w:tcW w:w="3372" w:type="pct"/>
            <w:tcBorders>
              <w:top w:val="nil"/>
              <w:left w:val="nil"/>
              <w:bottom w:val="nil"/>
              <w:right w:val="nil"/>
            </w:tcBorders>
            <w:noWrap/>
            <w:vAlign w:val="bottom"/>
            <w:hideMark/>
          </w:tcPr>
          <w:p w14:paraId="0BDA1C17"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4974494A"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0D2C78CC"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7E22E693"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1BF485A6"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0EB7E8AE" w14:textId="77777777" w:rsidR="00627F19" w:rsidRPr="00627F19" w:rsidRDefault="00627F19">
            <w:pPr>
              <w:rPr>
                <w:sz w:val="16"/>
                <w:szCs w:val="16"/>
              </w:rPr>
            </w:pPr>
          </w:p>
        </w:tc>
      </w:tr>
      <w:tr w:rsidR="00627F19" w:rsidRPr="00627F19" w14:paraId="0653394D" w14:textId="77777777" w:rsidTr="00627F19">
        <w:trPr>
          <w:trHeight w:val="232"/>
        </w:trPr>
        <w:tc>
          <w:tcPr>
            <w:tcW w:w="3372" w:type="pct"/>
            <w:tcBorders>
              <w:top w:val="nil"/>
              <w:left w:val="nil"/>
              <w:bottom w:val="nil"/>
              <w:right w:val="nil"/>
            </w:tcBorders>
            <w:noWrap/>
            <w:vAlign w:val="bottom"/>
            <w:hideMark/>
          </w:tcPr>
          <w:p w14:paraId="27A45839" w14:textId="77777777" w:rsidR="00627F19" w:rsidRPr="00627F19" w:rsidRDefault="00627F19">
            <w:pPr>
              <w:rPr>
                <w:sz w:val="16"/>
                <w:szCs w:val="16"/>
              </w:rPr>
            </w:pPr>
          </w:p>
        </w:tc>
        <w:tc>
          <w:tcPr>
            <w:tcW w:w="1564" w:type="pct"/>
            <w:gridSpan w:val="4"/>
            <w:tcBorders>
              <w:top w:val="nil"/>
              <w:left w:val="nil"/>
              <w:bottom w:val="nil"/>
              <w:right w:val="nil"/>
            </w:tcBorders>
            <w:noWrap/>
            <w:vAlign w:val="bottom"/>
            <w:hideMark/>
          </w:tcPr>
          <w:p w14:paraId="66D93E0C"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372E4D2B" w14:textId="77777777" w:rsidR="00627F19" w:rsidRPr="00627F19" w:rsidRDefault="00627F19">
            <w:pPr>
              <w:jc w:val="center"/>
              <w:rPr>
                <w:sz w:val="16"/>
                <w:szCs w:val="16"/>
              </w:rPr>
            </w:pPr>
          </w:p>
        </w:tc>
      </w:tr>
      <w:tr w:rsidR="00627F19" w:rsidRPr="00627F19" w14:paraId="396AED0F" w14:textId="77777777" w:rsidTr="00627F19">
        <w:trPr>
          <w:trHeight w:val="232"/>
        </w:trPr>
        <w:tc>
          <w:tcPr>
            <w:tcW w:w="3372" w:type="pct"/>
            <w:tcBorders>
              <w:top w:val="nil"/>
              <w:left w:val="nil"/>
              <w:bottom w:val="nil"/>
              <w:right w:val="nil"/>
            </w:tcBorders>
            <w:noWrap/>
            <w:vAlign w:val="bottom"/>
            <w:hideMark/>
          </w:tcPr>
          <w:p w14:paraId="41C9E7CF"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79CEC9CF" w14:textId="77777777" w:rsidR="00627F19" w:rsidRPr="00627F19" w:rsidRDefault="00627F19">
            <w:pPr>
              <w:rPr>
                <w:sz w:val="16"/>
                <w:szCs w:val="16"/>
              </w:rPr>
            </w:pPr>
          </w:p>
        </w:tc>
        <w:tc>
          <w:tcPr>
            <w:tcW w:w="1500" w:type="pct"/>
            <w:gridSpan w:val="3"/>
            <w:tcBorders>
              <w:top w:val="nil"/>
              <w:left w:val="nil"/>
              <w:bottom w:val="single" w:sz="4" w:space="0" w:color="auto"/>
              <w:right w:val="nil"/>
            </w:tcBorders>
            <w:noWrap/>
            <w:vAlign w:val="bottom"/>
            <w:hideMark/>
          </w:tcPr>
          <w:p w14:paraId="0D2113B2" w14:textId="77777777" w:rsidR="00627F19" w:rsidRPr="00627F19" w:rsidRDefault="00627F19">
            <w:pPr>
              <w:jc w:val="center"/>
              <w:rPr>
                <w:rFonts w:ascii="Arial" w:hAnsi="Arial" w:cs="Arial"/>
                <w:b/>
                <w:bCs/>
                <w:color w:val="000000"/>
                <w:sz w:val="16"/>
                <w:szCs w:val="16"/>
              </w:rPr>
            </w:pPr>
            <w:r w:rsidRPr="00627F19">
              <w:rPr>
                <w:rFonts w:ascii="Arial" w:hAnsi="Arial" w:cs="Arial"/>
                <w:b/>
                <w:bCs/>
                <w:color w:val="000000"/>
                <w:sz w:val="16"/>
                <w:szCs w:val="16"/>
              </w:rPr>
              <w:t> </w:t>
            </w:r>
          </w:p>
        </w:tc>
        <w:tc>
          <w:tcPr>
            <w:tcW w:w="64" w:type="pct"/>
            <w:tcBorders>
              <w:top w:val="nil"/>
              <w:left w:val="nil"/>
              <w:bottom w:val="nil"/>
              <w:right w:val="nil"/>
            </w:tcBorders>
            <w:noWrap/>
            <w:vAlign w:val="bottom"/>
            <w:hideMark/>
          </w:tcPr>
          <w:p w14:paraId="48FD5321" w14:textId="77777777" w:rsidR="00627F19" w:rsidRPr="00627F19" w:rsidRDefault="00627F19">
            <w:pPr>
              <w:jc w:val="center"/>
              <w:rPr>
                <w:rFonts w:ascii="Arial" w:hAnsi="Arial" w:cs="Arial"/>
                <w:b/>
                <w:bCs/>
                <w:color w:val="000000"/>
                <w:sz w:val="16"/>
                <w:szCs w:val="16"/>
              </w:rPr>
            </w:pPr>
          </w:p>
        </w:tc>
      </w:tr>
      <w:tr w:rsidR="00627F19" w:rsidRPr="00627F19" w14:paraId="5AEE81B7" w14:textId="77777777" w:rsidTr="00627F19">
        <w:trPr>
          <w:trHeight w:val="232"/>
        </w:trPr>
        <w:tc>
          <w:tcPr>
            <w:tcW w:w="3372" w:type="pct"/>
            <w:tcBorders>
              <w:top w:val="nil"/>
              <w:left w:val="nil"/>
              <w:bottom w:val="nil"/>
              <w:right w:val="nil"/>
            </w:tcBorders>
            <w:noWrap/>
            <w:vAlign w:val="bottom"/>
            <w:hideMark/>
          </w:tcPr>
          <w:p w14:paraId="56152AA5"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0511DFC0" w14:textId="77777777" w:rsidR="00627F19" w:rsidRPr="00627F19" w:rsidRDefault="00627F19">
            <w:pPr>
              <w:rPr>
                <w:sz w:val="16"/>
                <w:szCs w:val="16"/>
              </w:rPr>
            </w:pPr>
          </w:p>
        </w:tc>
        <w:tc>
          <w:tcPr>
            <w:tcW w:w="708" w:type="pct"/>
            <w:tcBorders>
              <w:top w:val="nil"/>
              <w:left w:val="nil"/>
              <w:bottom w:val="single" w:sz="4" w:space="0" w:color="auto"/>
              <w:right w:val="nil"/>
            </w:tcBorders>
            <w:noWrap/>
            <w:vAlign w:val="bottom"/>
            <w:hideMark/>
          </w:tcPr>
          <w:p w14:paraId="19C17A21" w14:textId="77777777" w:rsidR="00627F19" w:rsidRPr="00627F19" w:rsidRDefault="00627F19">
            <w:pPr>
              <w:jc w:val="center"/>
              <w:rPr>
                <w:rFonts w:ascii="Arial" w:hAnsi="Arial" w:cs="Arial"/>
                <w:b/>
                <w:bCs/>
                <w:color w:val="000000"/>
                <w:sz w:val="16"/>
                <w:szCs w:val="16"/>
              </w:rPr>
            </w:pPr>
            <w:r w:rsidRPr="00627F19">
              <w:rPr>
                <w:rFonts w:ascii="Arial" w:hAnsi="Arial" w:cs="Arial"/>
                <w:b/>
                <w:bCs/>
                <w:color w:val="000000"/>
                <w:sz w:val="16"/>
                <w:szCs w:val="16"/>
              </w:rPr>
              <w:t>31/03/2026</w:t>
            </w:r>
          </w:p>
        </w:tc>
        <w:tc>
          <w:tcPr>
            <w:tcW w:w="84" w:type="pct"/>
            <w:tcBorders>
              <w:top w:val="single" w:sz="4" w:space="0" w:color="auto"/>
              <w:left w:val="nil"/>
              <w:bottom w:val="nil"/>
              <w:right w:val="nil"/>
            </w:tcBorders>
            <w:noWrap/>
            <w:vAlign w:val="bottom"/>
            <w:hideMark/>
          </w:tcPr>
          <w:p w14:paraId="2E77125D" w14:textId="77777777" w:rsidR="00627F19" w:rsidRPr="00627F19" w:rsidRDefault="00627F19">
            <w:pPr>
              <w:jc w:val="center"/>
              <w:rPr>
                <w:rFonts w:ascii="Arial" w:hAnsi="Arial" w:cs="Arial"/>
                <w:b/>
                <w:bCs/>
                <w:color w:val="000000"/>
                <w:sz w:val="16"/>
                <w:szCs w:val="16"/>
              </w:rPr>
            </w:pPr>
            <w:r w:rsidRPr="00627F19">
              <w:rPr>
                <w:rFonts w:ascii="Arial" w:hAnsi="Arial" w:cs="Arial"/>
                <w:b/>
                <w:bCs/>
                <w:color w:val="000000"/>
                <w:sz w:val="16"/>
                <w:szCs w:val="16"/>
              </w:rPr>
              <w:t> </w:t>
            </w:r>
          </w:p>
        </w:tc>
        <w:tc>
          <w:tcPr>
            <w:tcW w:w="708" w:type="pct"/>
            <w:tcBorders>
              <w:top w:val="nil"/>
              <w:left w:val="nil"/>
              <w:bottom w:val="single" w:sz="4" w:space="0" w:color="auto"/>
              <w:right w:val="nil"/>
            </w:tcBorders>
            <w:noWrap/>
            <w:vAlign w:val="bottom"/>
            <w:hideMark/>
          </w:tcPr>
          <w:p w14:paraId="2908537A" w14:textId="77777777" w:rsidR="00627F19" w:rsidRPr="00627F19" w:rsidRDefault="00627F19">
            <w:pPr>
              <w:jc w:val="center"/>
              <w:rPr>
                <w:rFonts w:ascii="Arial" w:hAnsi="Arial" w:cs="Arial"/>
                <w:b/>
                <w:bCs/>
                <w:color w:val="000000"/>
                <w:sz w:val="16"/>
                <w:szCs w:val="16"/>
              </w:rPr>
            </w:pPr>
            <w:r w:rsidRPr="00627F19">
              <w:rPr>
                <w:rFonts w:ascii="Arial" w:hAnsi="Arial" w:cs="Arial"/>
                <w:b/>
                <w:bCs/>
                <w:color w:val="000000"/>
                <w:sz w:val="16"/>
                <w:szCs w:val="16"/>
              </w:rPr>
              <w:t>31/03/2025</w:t>
            </w:r>
          </w:p>
        </w:tc>
        <w:tc>
          <w:tcPr>
            <w:tcW w:w="64" w:type="pct"/>
            <w:tcBorders>
              <w:top w:val="nil"/>
              <w:left w:val="nil"/>
              <w:bottom w:val="nil"/>
              <w:right w:val="nil"/>
            </w:tcBorders>
            <w:noWrap/>
            <w:vAlign w:val="bottom"/>
            <w:hideMark/>
          </w:tcPr>
          <w:p w14:paraId="3F77330E" w14:textId="77777777" w:rsidR="00627F19" w:rsidRPr="00627F19" w:rsidRDefault="00627F19">
            <w:pPr>
              <w:jc w:val="center"/>
              <w:rPr>
                <w:rFonts w:ascii="Arial" w:hAnsi="Arial" w:cs="Arial"/>
                <w:b/>
                <w:bCs/>
                <w:color w:val="000000"/>
                <w:sz w:val="16"/>
                <w:szCs w:val="16"/>
              </w:rPr>
            </w:pPr>
          </w:p>
        </w:tc>
      </w:tr>
      <w:tr w:rsidR="00627F19" w:rsidRPr="00627F19" w14:paraId="51045097" w14:textId="77777777" w:rsidTr="00627F19">
        <w:trPr>
          <w:trHeight w:val="232"/>
        </w:trPr>
        <w:tc>
          <w:tcPr>
            <w:tcW w:w="3372" w:type="pct"/>
            <w:tcBorders>
              <w:top w:val="nil"/>
              <w:left w:val="nil"/>
              <w:bottom w:val="nil"/>
              <w:right w:val="nil"/>
            </w:tcBorders>
            <w:noWrap/>
            <w:vAlign w:val="bottom"/>
            <w:hideMark/>
          </w:tcPr>
          <w:p w14:paraId="0AF33D53" w14:textId="77777777" w:rsidR="00627F19" w:rsidRPr="00627F19" w:rsidRDefault="00627F19">
            <w:pPr>
              <w:jc w:val="center"/>
              <w:rPr>
                <w:sz w:val="16"/>
                <w:szCs w:val="16"/>
              </w:rPr>
            </w:pPr>
          </w:p>
        </w:tc>
        <w:tc>
          <w:tcPr>
            <w:tcW w:w="64" w:type="pct"/>
            <w:tcBorders>
              <w:top w:val="nil"/>
              <w:left w:val="nil"/>
              <w:bottom w:val="nil"/>
              <w:right w:val="nil"/>
            </w:tcBorders>
            <w:noWrap/>
            <w:vAlign w:val="bottom"/>
            <w:hideMark/>
          </w:tcPr>
          <w:p w14:paraId="30844596"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5D6E5A51"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6D8BB28F" w14:textId="77777777" w:rsidR="00627F19" w:rsidRPr="00627F19" w:rsidRDefault="00627F19">
            <w:pPr>
              <w:rPr>
                <w:sz w:val="16"/>
                <w:szCs w:val="16"/>
              </w:rPr>
            </w:pPr>
          </w:p>
        </w:tc>
        <w:tc>
          <w:tcPr>
            <w:tcW w:w="708" w:type="pct"/>
            <w:tcBorders>
              <w:top w:val="nil"/>
              <w:left w:val="nil"/>
              <w:bottom w:val="nil"/>
              <w:right w:val="nil"/>
            </w:tcBorders>
            <w:noWrap/>
            <w:vAlign w:val="center"/>
            <w:hideMark/>
          </w:tcPr>
          <w:p w14:paraId="234E0FB0"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04BC909C" w14:textId="77777777" w:rsidR="00627F19" w:rsidRPr="00627F19" w:rsidRDefault="00627F19">
            <w:pPr>
              <w:jc w:val="center"/>
              <w:rPr>
                <w:sz w:val="16"/>
                <w:szCs w:val="16"/>
              </w:rPr>
            </w:pPr>
          </w:p>
        </w:tc>
      </w:tr>
      <w:tr w:rsidR="00627F19" w:rsidRPr="00627F19" w14:paraId="7C3BB189" w14:textId="77777777" w:rsidTr="00627F19">
        <w:trPr>
          <w:trHeight w:val="232"/>
        </w:trPr>
        <w:tc>
          <w:tcPr>
            <w:tcW w:w="3372" w:type="pct"/>
            <w:tcBorders>
              <w:top w:val="nil"/>
              <w:left w:val="nil"/>
              <w:bottom w:val="nil"/>
              <w:right w:val="nil"/>
            </w:tcBorders>
            <w:noWrap/>
            <w:vAlign w:val="bottom"/>
            <w:hideMark/>
          </w:tcPr>
          <w:p w14:paraId="2D94993B"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38C7473F"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50051B6B"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6EF9C869"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7F8A5D9A"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7A35C7B7" w14:textId="77777777" w:rsidR="00627F19" w:rsidRPr="00627F19" w:rsidRDefault="00627F19">
            <w:pPr>
              <w:rPr>
                <w:sz w:val="16"/>
                <w:szCs w:val="16"/>
              </w:rPr>
            </w:pPr>
          </w:p>
        </w:tc>
      </w:tr>
      <w:tr w:rsidR="00627F19" w:rsidRPr="00627F19" w14:paraId="0F7ADF22" w14:textId="77777777" w:rsidTr="00627F19">
        <w:trPr>
          <w:trHeight w:val="232"/>
        </w:trPr>
        <w:tc>
          <w:tcPr>
            <w:tcW w:w="3372" w:type="pct"/>
            <w:tcBorders>
              <w:top w:val="nil"/>
              <w:left w:val="nil"/>
              <w:bottom w:val="nil"/>
              <w:right w:val="nil"/>
            </w:tcBorders>
            <w:noWrap/>
            <w:vAlign w:val="bottom"/>
            <w:hideMark/>
          </w:tcPr>
          <w:p w14:paraId="1916D0EE" w14:textId="55414BCF" w:rsidR="00627F19" w:rsidRPr="00627F19" w:rsidRDefault="00627F19">
            <w:pPr>
              <w:rPr>
                <w:rFonts w:ascii="Arial" w:hAnsi="Arial" w:cs="Arial"/>
                <w:b/>
                <w:bCs/>
                <w:sz w:val="16"/>
                <w:szCs w:val="16"/>
              </w:rPr>
            </w:pPr>
            <w:r w:rsidRPr="00627F19">
              <w:rPr>
                <w:rFonts w:ascii="Arial" w:hAnsi="Arial" w:cs="Arial"/>
                <w:b/>
                <w:bCs/>
                <w:sz w:val="16"/>
                <w:szCs w:val="16"/>
              </w:rPr>
              <w:t>Prejuízo do Período</w:t>
            </w:r>
          </w:p>
        </w:tc>
        <w:tc>
          <w:tcPr>
            <w:tcW w:w="64" w:type="pct"/>
            <w:tcBorders>
              <w:top w:val="nil"/>
              <w:left w:val="nil"/>
              <w:bottom w:val="nil"/>
              <w:right w:val="nil"/>
            </w:tcBorders>
            <w:noWrap/>
            <w:vAlign w:val="bottom"/>
            <w:hideMark/>
          </w:tcPr>
          <w:p w14:paraId="1B59ED31" w14:textId="77777777" w:rsidR="00627F19" w:rsidRPr="00627F19" w:rsidRDefault="00627F19">
            <w:pPr>
              <w:rPr>
                <w:rFonts w:ascii="Arial" w:hAnsi="Arial" w:cs="Arial"/>
                <w:b/>
                <w:bCs/>
                <w:sz w:val="16"/>
                <w:szCs w:val="16"/>
              </w:rPr>
            </w:pPr>
          </w:p>
        </w:tc>
        <w:tc>
          <w:tcPr>
            <w:tcW w:w="708" w:type="pct"/>
            <w:tcBorders>
              <w:top w:val="nil"/>
              <w:left w:val="nil"/>
              <w:bottom w:val="nil"/>
              <w:right w:val="nil"/>
            </w:tcBorders>
            <w:noWrap/>
            <w:vAlign w:val="bottom"/>
            <w:hideMark/>
          </w:tcPr>
          <w:p w14:paraId="63ED2327"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(89.543)</w:t>
            </w:r>
          </w:p>
        </w:tc>
        <w:tc>
          <w:tcPr>
            <w:tcW w:w="84" w:type="pct"/>
            <w:tcBorders>
              <w:top w:val="nil"/>
              <w:left w:val="nil"/>
              <w:bottom w:val="nil"/>
              <w:right w:val="nil"/>
            </w:tcBorders>
            <w:noWrap/>
            <w:vAlign w:val="bottom"/>
            <w:hideMark/>
          </w:tcPr>
          <w:p w14:paraId="1B6A6B68" w14:textId="77777777" w:rsidR="00627F19" w:rsidRPr="00627F19" w:rsidRDefault="00627F19">
            <w:pPr>
              <w:rPr>
                <w:rFonts w:ascii="Arial" w:hAnsi="Arial" w:cs="Arial"/>
                <w:b/>
                <w:bCs/>
                <w:sz w:val="16"/>
                <w:szCs w:val="16"/>
              </w:rPr>
            </w:pPr>
          </w:p>
        </w:tc>
        <w:tc>
          <w:tcPr>
            <w:tcW w:w="708" w:type="pct"/>
            <w:tcBorders>
              <w:top w:val="nil"/>
              <w:left w:val="nil"/>
              <w:bottom w:val="nil"/>
              <w:right w:val="nil"/>
            </w:tcBorders>
            <w:noWrap/>
            <w:vAlign w:val="bottom"/>
            <w:hideMark/>
          </w:tcPr>
          <w:p w14:paraId="5CA73F42"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(10.905)</w:t>
            </w:r>
          </w:p>
        </w:tc>
        <w:tc>
          <w:tcPr>
            <w:tcW w:w="64" w:type="pct"/>
            <w:tcBorders>
              <w:top w:val="nil"/>
              <w:left w:val="nil"/>
              <w:bottom w:val="nil"/>
              <w:right w:val="nil"/>
            </w:tcBorders>
            <w:noWrap/>
            <w:vAlign w:val="bottom"/>
            <w:hideMark/>
          </w:tcPr>
          <w:p w14:paraId="1732B5F3" w14:textId="77777777" w:rsidR="00627F19" w:rsidRPr="00627F19" w:rsidRDefault="00627F19">
            <w:pPr>
              <w:rPr>
                <w:rFonts w:ascii="Arial" w:hAnsi="Arial" w:cs="Arial"/>
                <w:b/>
                <w:bCs/>
                <w:sz w:val="16"/>
                <w:szCs w:val="16"/>
              </w:rPr>
            </w:pPr>
          </w:p>
        </w:tc>
      </w:tr>
      <w:tr w:rsidR="00627F19" w:rsidRPr="00627F19" w14:paraId="57D21197" w14:textId="77777777" w:rsidTr="00627F19">
        <w:trPr>
          <w:trHeight w:val="232"/>
        </w:trPr>
        <w:tc>
          <w:tcPr>
            <w:tcW w:w="3372" w:type="pct"/>
            <w:tcBorders>
              <w:top w:val="nil"/>
              <w:left w:val="nil"/>
              <w:bottom w:val="nil"/>
              <w:right w:val="nil"/>
            </w:tcBorders>
            <w:noWrap/>
            <w:vAlign w:val="bottom"/>
            <w:hideMark/>
          </w:tcPr>
          <w:p w14:paraId="77CEC323"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522100DD"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572AEE88"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250DC5DA"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1C6C0BFF"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7814FA45" w14:textId="77777777" w:rsidR="00627F19" w:rsidRPr="00627F19" w:rsidRDefault="00627F19">
            <w:pPr>
              <w:rPr>
                <w:sz w:val="16"/>
                <w:szCs w:val="16"/>
              </w:rPr>
            </w:pPr>
          </w:p>
        </w:tc>
      </w:tr>
      <w:tr w:rsidR="00627F19" w:rsidRPr="00627F19" w14:paraId="6F7177B8" w14:textId="77777777" w:rsidTr="00627F19">
        <w:trPr>
          <w:trHeight w:val="232"/>
        </w:trPr>
        <w:tc>
          <w:tcPr>
            <w:tcW w:w="3372" w:type="pct"/>
            <w:tcBorders>
              <w:top w:val="nil"/>
              <w:left w:val="nil"/>
              <w:bottom w:val="nil"/>
              <w:right w:val="nil"/>
            </w:tcBorders>
            <w:noWrap/>
            <w:vAlign w:val="bottom"/>
            <w:hideMark/>
          </w:tcPr>
          <w:p w14:paraId="30F9B6AE" w14:textId="77777777" w:rsidR="00627F19" w:rsidRPr="00627F19" w:rsidRDefault="00627F19">
            <w:pPr>
              <w:rPr>
                <w:rFonts w:ascii="Arial" w:hAnsi="Arial" w:cs="Arial"/>
                <w:b/>
                <w:bCs/>
                <w:sz w:val="16"/>
                <w:szCs w:val="16"/>
              </w:rPr>
            </w:pPr>
            <w:r w:rsidRPr="00627F19">
              <w:rPr>
                <w:rFonts w:ascii="Arial" w:hAnsi="Arial" w:cs="Arial"/>
                <w:b/>
                <w:bCs/>
                <w:sz w:val="16"/>
                <w:szCs w:val="16"/>
              </w:rPr>
              <w:t>Outros Resultados Abrangentes</w:t>
            </w:r>
          </w:p>
        </w:tc>
        <w:tc>
          <w:tcPr>
            <w:tcW w:w="64" w:type="pct"/>
            <w:tcBorders>
              <w:top w:val="nil"/>
              <w:left w:val="nil"/>
              <w:bottom w:val="nil"/>
              <w:right w:val="nil"/>
            </w:tcBorders>
            <w:noWrap/>
            <w:vAlign w:val="bottom"/>
            <w:hideMark/>
          </w:tcPr>
          <w:p w14:paraId="76E20F78" w14:textId="77777777" w:rsidR="00627F19" w:rsidRPr="00627F19" w:rsidRDefault="00627F19">
            <w:pPr>
              <w:rPr>
                <w:rFonts w:ascii="Arial" w:hAnsi="Arial" w:cs="Arial"/>
                <w:b/>
                <w:bCs/>
                <w:sz w:val="16"/>
                <w:szCs w:val="16"/>
              </w:rPr>
            </w:pPr>
          </w:p>
        </w:tc>
        <w:tc>
          <w:tcPr>
            <w:tcW w:w="708" w:type="pct"/>
            <w:tcBorders>
              <w:top w:val="nil"/>
              <w:left w:val="nil"/>
              <w:bottom w:val="nil"/>
              <w:right w:val="nil"/>
            </w:tcBorders>
            <w:noWrap/>
            <w:vAlign w:val="bottom"/>
            <w:hideMark/>
          </w:tcPr>
          <w:p w14:paraId="59785BC3"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53 </w:t>
            </w:r>
          </w:p>
        </w:tc>
        <w:tc>
          <w:tcPr>
            <w:tcW w:w="84" w:type="pct"/>
            <w:tcBorders>
              <w:top w:val="nil"/>
              <w:left w:val="nil"/>
              <w:bottom w:val="nil"/>
              <w:right w:val="nil"/>
            </w:tcBorders>
            <w:noWrap/>
            <w:vAlign w:val="bottom"/>
            <w:hideMark/>
          </w:tcPr>
          <w:p w14:paraId="79653AB4" w14:textId="77777777" w:rsidR="00627F19" w:rsidRPr="00627F19" w:rsidRDefault="00627F19">
            <w:pPr>
              <w:rPr>
                <w:rFonts w:ascii="Arial" w:hAnsi="Arial" w:cs="Arial"/>
                <w:b/>
                <w:bCs/>
                <w:sz w:val="16"/>
                <w:szCs w:val="16"/>
              </w:rPr>
            </w:pPr>
          </w:p>
        </w:tc>
        <w:tc>
          <w:tcPr>
            <w:tcW w:w="708" w:type="pct"/>
            <w:tcBorders>
              <w:top w:val="nil"/>
              <w:left w:val="nil"/>
              <w:bottom w:val="nil"/>
              <w:right w:val="nil"/>
            </w:tcBorders>
            <w:noWrap/>
            <w:vAlign w:val="bottom"/>
            <w:hideMark/>
          </w:tcPr>
          <w:p w14:paraId="3B89F6B0"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(3.517)</w:t>
            </w:r>
          </w:p>
        </w:tc>
        <w:tc>
          <w:tcPr>
            <w:tcW w:w="64" w:type="pct"/>
            <w:tcBorders>
              <w:top w:val="nil"/>
              <w:left w:val="nil"/>
              <w:bottom w:val="nil"/>
              <w:right w:val="nil"/>
            </w:tcBorders>
            <w:noWrap/>
            <w:vAlign w:val="bottom"/>
            <w:hideMark/>
          </w:tcPr>
          <w:p w14:paraId="36C99BF9" w14:textId="77777777" w:rsidR="00627F19" w:rsidRPr="00627F19" w:rsidRDefault="00627F19">
            <w:pPr>
              <w:rPr>
                <w:rFonts w:ascii="Arial" w:hAnsi="Arial" w:cs="Arial"/>
                <w:b/>
                <w:bCs/>
                <w:sz w:val="16"/>
                <w:szCs w:val="16"/>
              </w:rPr>
            </w:pPr>
          </w:p>
        </w:tc>
      </w:tr>
      <w:tr w:rsidR="00627F19" w:rsidRPr="00627F19" w14:paraId="7B6B7F87" w14:textId="77777777" w:rsidTr="00627F19">
        <w:trPr>
          <w:trHeight w:val="232"/>
        </w:trPr>
        <w:tc>
          <w:tcPr>
            <w:tcW w:w="3372" w:type="pct"/>
            <w:tcBorders>
              <w:top w:val="nil"/>
              <w:left w:val="nil"/>
              <w:bottom w:val="nil"/>
              <w:right w:val="nil"/>
            </w:tcBorders>
            <w:noWrap/>
            <w:vAlign w:val="bottom"/>
            <w:hideMark/>
          </w:tcPr>
          <w:p w14:paraId="6F0ACCFF"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0C6735EC"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6E8C45C5"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165D88C3"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1D544D6D"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462B04FF" w14:textId="77777777" w:rsidR="00627F19" w:rsidRPr="00627F19" w:rsidRDefault="00627F19">
            <w:pPr>
              <w:rPr>
                <w:sz w:val="16"/>
                <w:szCs w:val="16"/>
              </w:rPr>
            </w:pPr>
          </w:p>
        </w:tc>
      </w:tr>
      <w:tr w:rsidR="00627F19" w:rsidRPr="00627F19" w14:paraId="14991C91" w14:textId="77777777" w:rsidTr="00627F19">
        <w:trPr>
          <w:trHeight w:val="232"/>
        </w:trPr>
        <w:tc>
          <w:tcPr>
            <w:tcW w:w="3372" w:type="pct"/>
            <w:tcBorders>
              <w:top w:val="nil"/>
              <w:left w:val="nil"/>
              <w:bottom w:val="nil"/>
              <w:right w:val="nil"/>
            </w:tcBorders>
            <w:noWrap/>
            <w:vAlign w:val="bottom"/>
            <w:hideMark/>
          </w:tcPr>
          <w:p w14:paraId="66085687" w14:textId="4247402B" w:rsidR="00627F19" w:rsidRPr="00627F19" w:rsidRDefault="00627F19">
            <w:pPr>
              <w:rPr>
                <w:rFonts w:ascii="Arial" w:hAnsi="Arial" w:cs="Arial"/>
                <w:b/>
                <w:bCs/>
                <w:sz w:val="16"/>
                <w:szCs w:val="16"/>
              </w:rPr>
            </w:pPr>
            <w:r w:rsidRPr="00627F19">
              <w:rPr>
                <w:rFonts w:ascii="Arial" w:hAnsi="Arial" w:cs="Arial"/>
                <w:b/>
                <w:bCs/>
                <w:sz w:val="16"/>
                <w:szCs w:val="16"/>
              </w:rPr>
              <w:t>Itens que poderão ser Reclassificados para o Resultado:</w:t>
            </w:r>
          </w:p>
        </w:tc>
        <w:tc>
          <w:tcPr>
            <w:tcW w:w="64" w:type="pct"/>
            <w:tcBorders>
              <w:top w:val="nil"/>
              <w:left w:val="nil"/>
              <w:bottom w:val="nil"/>
              <w:right w:val="nil"/>
            </w:tcBorders>
            <w:noWrap/>
            <w:vAlign w:val="bottom"/>
            <w:hideMark/>
          </w:tcPr>
          <w:p w14:paraId="68EC55E0" w14:textId="77777777" w:rsidR="00627F19" w:rsidRPr="00627F19" w:rsidRDefault="00627F19">
            <w:pPr>
              <w:rPr>
                <w:rFonts w:ascii="Arial" w:hAnsi="Arial" w:cs="Arial"/>
                <w:b/>
                <w:bCs/>
                <w:sz w:val="16"/>
                <w:szCs w:val="16"/>
              </w:rPr>
            </w:pPr>
          </w:p>
        </w:tc>
        <w:tc>
          <w:tcPr>
            <w:tcW w:w="708" w:type="pct"/>
            <w:tcBorders>
              <w:top w:val="nil"/>
              <w:left w:val="nil"/>
              <w:bottom w:val="nil"/>
              <w:right w:val="nil"/>
            </w:tcBorders>
            <w:noWrap/>
            <w:vAlign w:val="bottom"/>
            <w:hideMark/>
          </w:tcPr>
          <w:p w14:paraId="4DA7749A"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(740)</w:t>
            </w:r>
          </w:p>
        </w:tc>
        <w:tc>
          <w:tcPr>
            <w:tcW w:w="84" w:type="pct"/>
            <w:tcBorders>
              <w:top w:val="nil"/>
              <w:left w:val="nil"/>
              <w:bottom w:val="nil"/>
              <w:right w:val="nil"/>
            </w:tcBorders>
            <w:noWrap/>
            <w:vAlign w:val="bottom"/>
            <w:hideMark/>
          </w:tcPr>
          <w:p w14:paraId="2C3105F2" w14:textId="77777777" w:rsidR="00627F19" w:rsidRPr="00627F19" w:rsidRDefault="00627F19">
            <w:pPr>
              <w:rPr>
                <w:rFonts w:ascii="Arial" w:hAnsi="Arial" w:cs="Arial"/>
                <w:b/>
                <w:bCs/>
                <w:sz w:val="16"/>
                <w:szCs w:val="16"/>
              </w:rPr>
            </w:pPr>
          </w:p>
        </w:tc>
        <w:tc>
          <w:tcPr>
            <w:tcW w:w="708" w:type="pct"/>
            <w:tcBorders>
              <w:top w:val="nil"/>
              <w:left w:val="nil"/>
              <w:bottom w:val="nil"/>
              <w:right w:val="nil"/>
            </w:tcBorders>
            <w:noWrap/>
            <w:vAlign w:val="bottom"/>
            <w:hideMark/>
          </w:tcPr>
          <w:p w14:paraId="6FBDF21F"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(3.783)</w:t>
            </w:r>
          </w:p>
        </w:tc>
        <w:tc>
          <w:tcPr>
            <w:tcW w:w="64" w:type="pct"/>
            <w:tcBorders>
              <w:top w:val="nil"/>
              <w:left w:val="nil"/>
              <w:bottom w:val="nil"/>
              <w:right w:val="nil"/>
            </w:tcBorders>
            <w:noWrap/>
            <w:vAlign w:val="bottom"/>
            <w:hideMark/>
          </w:tcPr>
          <w:p w14:paraId="64FE8DF7" w14:textId="77777777" w:rsidR="00627F19" w:rsidRPr="00627F19" w:rsidRDefault="00627F19">
            <w:pPr>
              <w:rPr>
                <w:rFonts w:ascii="Arial" w:hAnsi="Arial" w:cs="Arial"/>
                <w:b/>
                <w:bCs/>
                <w:sz w:val="16"/>
                <w:szCs w:val="16"/>
              </w:rPr>
            </w:pPr>
          </w:p>
        </w:tc>
      </w:tr>
      <w:tr w:rsidR="00627F19" w:rsidRPr="00627F19" w14:paraId="685C1F3B" w14:textId="77777777" w:rsidTr="00627F19">
        <w:trPr>
          <w:trHeight w:val="232"/>
        </w:trPr>
        <w:tc>
          <w:tcPr>
            <w:tcW w:w="3372" w:type="pct"/>
            <w:tcBorders>
              <w:top w:val="nil"/>
              <w:left w:val="nil"/>
              <w:bottom w:val="nil"/>
              <w:right w:val="nil"/>
            </w:tcBorders>
            <w:vAlign w:val="center"/>
            <w:hideMark/>
          </w:tcPr>
          <w:p w14:paraId="50E9A65D" w14:textId="77777777" w:rsidR="00627F19" w:rsidRPr="00627F19" w:rsidRDefault="00627F19">
            <w:pPr>
              <w:ind w:firstLineChars="100" w:firstLine="160"/>
              <w:rPr>
                <w:rFonts w:ascii="Arial" w:hAnsi="Arial" w:cs="Arial"/>
                <w:sz w:val="16"/>
                <w:szCs w:val="16"/>
              </w:rPr>
            </w:pPr>
            <w:r w:rsidRPr="00627F19">
              <w:rPr>
                <w:rFonts w:ascii="Arial" w:hAnsi="Arial" w:cs="Arial"/>
                <w:sz w:val="16"/>
                <w:szCs w:val="16"/>
              </w:rPr>
              <w:t>Equivalência patrimonial sobre Outros Resultados Abrangentes em Coligadas</w:t>
            </w:r>
          </w:p>
        </w:tc>
        <w:tc>
          <w:tcPr>
            <w:tcW w:w="64" w:type="pct"/>
            <w:tcBorders>
              <w:top w:val="nil"/>
              <w:left w:val="nil"/>
              <w:bottom w:val="nil"/>
              <w:right w:val="nil"/>
            </w:tcBorders>
            <w:noWrap/>
            <w:vAlign w:val="bottom"/>
            <w:hideMark/>
          </w:tcPr>
          <w:p w14:paraId="2EA026C3" w14:textId="77777777" w:rsidR="00627F19" w:rsidRPr="00627F19" w:rsidRDefault="00627F19">
            <w:pPr>
              <w:ind w:firstLineChars="100" w:firstLine="160"/>
              <w:rPr>
                <w:rFonts w:ascii="Arial" w:hAnsi="Arial" w:cs="Arial"/>
                <w:sz w:val="16"/>
                <w:szCs w:val="16"/>
              </w:rPr>
            </w:pPr>
          </w:p>
        </w:tc>
        <w:tc>
          <w:tcPr>
            <w:tcW w:w="708" w:type="pct"/>
            <w:tcBorders>
              <w:top w:val="nil"/>
              <w:left w:val="nil"/>
              <w:bottom w:val="nil"/>
              <w:right w:val="nil"/>
            </w:tcBorders>
            <w:noWrap/>
            <w:vAlign w:val="bottom"/>
            <w:hideMark/>
          </w:tcPr>
          <w:p w14:paraId="50FBCCAC" w14:textId="77777777" w:rsidR="00627F19" w:rsidRPr="00627F19" w:rsidRDefault="00627F19">
            <w:pPr>
              <w:rPr>
                <w:rFonts w:ascii="Arial" w:hAnsi="Arial" w:cs="Arial"/>
                <w:sz w:val="16"/>
                <w:szCs w:val="16"/>
              </w:rPr>
            </w:pPr>
            <w:r w:rsidRPr="00627F19">
              <w:rPr>
                <w:rFonts w:ascii="Arial" w:hAnsi="Arial" w:cs="Arial"/>
                <w:sz w:val="16"/>
                <w:szCs w:val="16"/>
              </w:rPr>
              <w:t xml:space="preserve">                  (740)</w:t>
            </w:r>
          </w:p>
        </w:tc>
        <w:tc>
          <w:tcPr>
            <w:tcW w:w="84" w:type="pct"/>
            <w:tcBorders>
              <w:top w:val="nil"/>
              <w:left w:val="nil"/>
              <w:bottom w:val="nil"/>
              <w:right w:val="nil"/>
            </w:tcBorders>
            <w:noWrap/>
            <w:vAlign w:val="bottom"/>
            <w:hideMark/>
          </w:tcPr>
          <w:p w14:paraId="66E7C769" w14:textId="77777777" w:rsidR="00627F19" w:rsidRPr="00627F19" w:rsidRDefault="00627F19">
            <w:pPr>
              <w:rPr>
                <w:rFonts w:ascii="Arial" w:hAnsi="Arial" w:cs="Arial"/>
                <w:sz w:val="16"/>
                <w:szCs w:val="16"/>
              </w:rPr>
            </w:pPr>
          </w:p>
        </w:tc>
        <w:tc>
          <w:tcPr>
            <w:tcW w:w="708" w:type="pct"/>
            <w:tcBorders>
              <w:top w:val="nil"/>
              <w:left w:val="nil"/>
              <w:bottom w:val="nil"/>
              <w:right w:val="nil"/>
            </w:tcBorders>
            <w:noWrap/>
            <w:vAlign w:val="bottom"/>
            <w:hideMark/>
          </w:tcPr>
          <w:p w14:paraId="64D9FAAF" w14:textId="77777777" w:rsidR="00627F19" w:rsidRPr="00627F19" w:rsidRDefault="00627F19">
            <w:pPr>
              <w:rPr>
                <w:rFonts w:ascii="Arial" w:hAnsi="Arial" w:cs="Arial"/>
                <w:sz w:val="16"/>
                <w:szCs w:val="16"/>
              </w:rPr>
            </w:pPr>
            <w:r w:rsidRPr="00627F19">
              <w:rPr>
                <w:rFonts w:ascii="Arial" w:hAnsi="Arial" w:cs="Arial"/>
                <w:sz w:val="16"/>
                <w:szCs w:val="16"/>
              </w:rPr>
              <w:t xml:space="preserve">               (3.783)</w:t>
            </w:r>
          </w:p>
        </w:tc>
        <w:tc>
          <w:tcPr>
            <w:tcW w:w="64" w:type="pct"/>
            <w:tcBorders>
              <w:top w:val="nil"/>
              <w:left w:val="nil"/>
              <w:bottom w:val="nil"/>
              <w:right w:val="nil"/>
            </w:tcBorders>
            <w:noWrap/>
            <w:vAlign w:val="bottom"/>
            <w:hideMark/>
          </w:tcPr>
          <w:p w14:paraId="1972E8DD" w14:textId="77777777" w:rsidR="00627F19" w:rsidRPr="00627F19" w:rsidRDefault="00627F19">
            <w:pPr>
              <w:rPr>
                <w:rFonts w:ascii="Arial" w:hAnsi="Arial" w:cs="Arial"/>
                <w:sz w:val="16"/>
                <w:szCs w:val="16"/>
              </w:rPr>
            </w:pPr>
          </w:p>
        </w:tc>
      </w:tr>
      <w:tr w:rsidR="00627F19" w:rsidRPr="00627F19" w14:paraId="5969C6CA" w14:textId="77777777" w:rsidTr="00627F19">
        <w:trPr>
          <w:trHeight w:val="232"/>
        </w:trPr>
        <w:tc>
          <w:tcPr>
            <w:tcW w:w="3372" w:type="pct"/>
            <w:tcBorders>
              <w:top w:val="nil"/>
              <w:left w:val="nil"/>
              <w:bottom w:val="nil"/>
              <w:right w:val="nil"/>
            </w:tcBorders>
            <w:vAlign w:val="center"/>
            <w:hideMark/>
          </w:tcPr>
          <w:p w14:paraId="3126F612"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3EBAF000"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2495F336"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27A035D6"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483E16B4"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10F9C791" w14:textId="77777777" w:rsidR="00627F19" w:rsidRPr="00627F19" w:rsidRDefault="00627F19">
            <w:pPr>
              <w:rPr>
                <w:sz w:val="16"/>
                <w:szCs w:val="16"/>
              </w:rPr>
            </w:pPr>
          </w:p>
        </w:tc>
      </w:tr>
      <w:tr w:rsidR="00627F19" w:rsidRPr="00627F19" w14:paraId="6DAAC080" w14:textId="77777777" w:rsidTr="00627F19">
        <w:trPr>
          <w:trHeight w:val="232"/>
        </w:trPr>
        <w:tc>
          <w:tcPr>
            <w:tcW w:w="3372" w:type="pct"/>
            <w:tcBorders>
              <w:top w:val="nil"/>
              <w:left w:val="nil"/>
              <w:bottom w:val="nil"/>
              <w:right w:val="nil"/>
            </w:tcBorders>
            <w:noWrap/>
            <w:vAlign w:val="bottom"/>
            <w:hideMark/>
          </w:tcPr>
          <w:p w14:paraId="49FC074D" w14:textId="31CD470B" w:rsidR="00627F19" w:rsidRPr="00627F19" w:rsidRDefault="00627F19">
            <w:pPr>
              <w:rPr>
                <w:rFonts w:ascii="Arial" w:hAnsi="Arial" w:cs="Arial"/>
                <w:b/>
                <w:bCs/>
                <w:sz w:val="16"/>
                <w:szCs w:val="16"/>
              </w:rPr>
            </w:pPr>
            <w:r w:rsidRPr="00627F19">
              <w:rPr>
                <w:rFonts w:ascii="Arial" w:hAnsi="Arial" w:cs="Arial"/>
                <w:b/>
                <w:bCs/>
                <w:sz w:val="16"/>
                <w:szCs w:val="16"/>
              </w:rPr>
              <w:t>Itens que não serão Reclassificados para o Resultado:</w:t>
            </w:r>
          </w:p>
        </w:tc>
        <w:tc>
          <w:tcPr>
            <w:tcW w:w="64" w:type="pct"/>
            <w:tcBorders>
              <w:top w:val="nil"/>
              <w:left w:val="nil"/>
              <w:bottom w:val="nil"/>
              <w:right w:val="nil"/>
            </w:tcBorders>
            <w:noWrap/>
            <w:vAlign w:val="bottom"/>
            <w:hideMark/>
          </w:tcPr>
          <w:p w14:paraId="64B0FF98" w14:textId="77777777" w:rsidR="00627F19" w:rsidRPr="00627F19" w:rsidRDefault="00627F19">
            <w:pPr>
              <w:rPr>
                <w:rFonts w:ascii="Arial" w:hAnsi="Arial" w:cs="Arial"/>
                <w:b/>
                <w:bCs/>
                <w:sz w:val="16"/>
                <w:szCs w:val="16"/>
              </w:rPr>
            </w:pPr>
          </w:p>
        </w:tc>
        <w:tc>
          <w:tcPr>
            <w:tcW w:w="708" w:type="pct"/>
            <w:tcBorders>
              <w:top w:val="nil"/>
              <w:left w:val="nil"/>
              <w:bottom w:val="nil"/>
              <w:right w:val="nil"/>
            </w:tcBorders>
            <w:noWrap/>
            <w:vAlign w:val="bottom"/>
            <w:hideMark/>
          </w:tcPr>
          <w:p w14:paraId="754A5643"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793 </w:t>
            </w:r>
          </w:p>
        </w:tc>
        <w:tc>
          <w:tcPr>
            <w:tcW w:w="84" w:type="pct"/>
            <w:tcBorders>
              <w:top w:val="nil"/>
              <w:left w:val="nil"/>
              <w:bottom w:val="nil"/>
              <w:right w:val="nil"/>
            </w:tcBorders>
            <w:noWrap/>
            <w:vAlign w:val="bottom"/>
            <w:hideMark/>
          </w:tcPr>
          <w:p w14:paraId="3FDC45B2" w14:textId="77777777" w:rsidR="00627F19" w:rsidRPr="00627F19" w:rsidRDefault="00627F19">
            <w:pPr>
              <w:rPr>
                <w:rFonts w:ascii="Arial" w:hAnsi="Arial" w:cs="Arial"/>
                <w:b/>
                <w:bCs/>
                <w:sz w:val="16"/>
                <w:szCs w:val="16"/>
              </w:rPr>
            </w:pPr>
          </w:p>
        </w:tc>
        <w:tc>
          <w:tcPr>
            <w:tcW w:w="708" w:type="pct"/>
            <w:tcBorders>
              <w:top w:val="nil"/>
              <w:left w:val="nil"/>
              <w:bottom w:val="nil"/>
              <w:right w:val="nil"/>
            </w:tcBorders>
            <w:noWrap/>
            <w:vAlign w:val="bottom"/>
            <w:hideMark/>
          </w:tcPr>
          <w:p w14:paraId="006A9329"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266 </w:t>
            </w:r>
          </w:p>
        </w:tc>
        <w:tc>
          <w:tcPr>
            <w:tcW w:w="64" w:type="pct"/>
            <w:tcBorders>
              <w:top w:val="nil"/>
              <w:left w:val="nil"/>
              <w:bottom w:val="nil"/>
              <w:right w:val="nil"/>
            </w:tcBorders>
            <w:noWrap/>
            <w:vAlign w:val="bottom"/>
            <w:hideMark/>
          </w:tcPr>
          <w:p w14:paraId="139C490A" w14:textId="77777777" w:rsidR="00627F19" w:rsidRPr="00627F19" w:rsidRDefault="00627F19">
            <w:pPr>
              <w:rPr>
                <w:rFonts w:ascii="Arial" w:hAnsi="Arial" w:cs="Arial"/>
                <w:b/>
                <w:bCs/>
                <w:sz w:val="16"/>
                <w:szCs w:val="16"/>
              </w:rPr>
            </w:pPr>
          </w:p>
        </w:tc>
      </w:tr>
      <w:tr w:rsidR="00627F19" w:rsidRPr="00627F19" w14:paraId="48085625" w14:textId="77777777" w:rsidTr="00627F19">
        <w:trPr>
          <w:trHeight w:val="232"/>
        </w:trPr>
        <w:tc>
          <w:tcPr>
            <w:tcW w:w="3372" w:type="pct"/>
            <w:tcBorders>
              <w:top w:val="nil"/>
              <w:left w:val="nil"/>
              <w:bottom w:val="nil"/>
              <w:right w:val="nil"/>
            </w:tcBorders>
            <w:vAlign w:val="center"/>
            <w:hideMark/>
          </w:tcPr>
          <w:p w14:paraId="4AA7D8DC" w14:textId="77777777" w:rsidR="00627F19" w:rsidRPr="00627F19" w:rsidRDefault="00627F19">
            <w:pPr>
              <w:ind w:firstLineChars="100" w:firstLine="160"/>
              <w:rPr>
                <w:rFonts w:ascii="Arial" w:hAnsi="Arial" w:cs="Arial"/>
                <w:sz w:val="16"/>
                <w:szCs w:val="16"/>
              </w:rPr>
            </w:pPr>
            <w:r w:rsidRPr="00627F19">
              <w:rPr>
                <w:rFonts w:ascii="Arial" w:hAnsi="Arial" w:cs="Arial"/>
                <w:sz w:val="16"/>
                <w:szCs w:val="16"/>
              </w:rPr>
              <w:t>Perda com Instrumentos Financeiros - Ativos Financeiros Disponíveis para Venda</w:t>
            </w:r>
          </w:p>
        </w:tc>
        <w:tc>
          <w:tcPr>
            <w:tcW w:w="64" w:type="pct"/>
            <w:tcBorders>
              <w:top w:val="nil"/>
              <w:left w:val="nil"/>
              <w:bottom w:val="nil"/>
              <w:right w:val="nil"/>
            </w:tcBorders>
            <w:noWrap/>
            <w:vAlign w:val="bottom"/>
            <w:hideMark/>
          </w:tcPr>
          <w:p w14:paraId="243756CD" w14:textId="77777777" w:rsidR="00627F19" w:rsidRPr="00627F19" w:rsidRDefault="00627F19">
            <w:pPr>
              <w:ind w:firstLineChars="100" w:firstLine="160"/>
              <w:rPr>
                <w:rFonts w:ascii="Arial" w:hAnsi="Arial" w:cs="Arial"/>
                <w:sz w:val="16"/>
                <w:szCs w:val="16"/>
              </w:rPr>
            </w:pPr>
          </w:p>
        </w:tc>
        <w:tc>
          <w:tcPr>
            <w:tcW w:w="708" w:type="pct"/>
            <w:tcBorders>
              <w:top w:val="nil"/>
              <w:left w:val="nil"/>
              <w:bottom w:val="nil"/>
              <w:right w:val="nil"/>
            </w:tcBorders>
            <w:noWrap/>
            <w:vAlign w:val="bottom"/>
            <w:hideMark/>
          </w:tcPr>
          <w:p w14:paraId="7A09B901" w14:textId="77777777" w:rsidR="00627F19" w:rsidRPr="00627F19" w:rsidRDefault="00627F19">
            <w:pPr>
              <w:rPr>
                <w:rFonts w:ascii="Arial" w:hAnsi="Arial" w:cs="Arial"/>
                <w:sz w:val="16"/>
                <w:szCs w:val="16"/>
              </w:rPr>
            </w:pPr>
            <w:r w:rsidRPr="00627F19">
              <w:rPr>
                <w:rFonts w:ascii="Arial" w:hAnsi="Arial" w:cs="Arial"/>
                <w:sz w:val="16"/>
                <w:szCs w:val="16"/>
              </w:rPr>
              <w:t xml:space="preserve">                   793 </w:t>
            </w:r>
          </w:p>
        </w:tc>
        <w:tc>
          <w:tcPr>
            <w:tcW w:w="84" w:type="pct"/>
            <w:tcBorders>
              <w:top w:val="nil"/>
              <w:left w:val="nil"/>
              <w:bottom w:val="nil"/>
              <w:right w:val="nil"/>
            </w:tcBorders>
            <w:noWrap/>
            <w:vAlign w:val="bottom"/>
            <w:hideMark/>
          </w:tcPr>
          <w:p w14:paraId="620B66F4" w14:textId="77777777" w:rsidR="00627F19" w:rsidRPr="00627F19" w:rsidRDefault="00627F19">
            <w:pPr>
              <w:rPr>
                <w:rFonts w:ascii="Arial" w:hAnsi="Arial" w:cs="Arial"/>
                <w:sz w:val="16"/>
                <w:szCs w:val="16"/>
              </w:rPr>
            </w:pPr>
          </w:p>
        </w:tc>
        <w:tc>
          <w:tcPr>
            <w:tcW w:w="708" w:type="pct"/>
            <w:tcBorders>
              <w:top w:val="nil"/>
              <w:left w:val="nil"/>
              <w:bottom w:val="nil"/>
              <w:right w:val="nil"/>
            </w:tcBorders>
            <w:noWrap/>
            <w:vAlign w:val="bottom"/>
            <w:hideMark/>
          </w:tcPr>
          <w:p w14:paraId="6A7987C3" w14:textId="77777777" w:rsidR="00627F19" w:rsidRPr="00627F19" w:rsidRDefault="00627F19">
            <w:pPr>
              <w:rPr>
                <w:rFonts w:ascii="Arial" w:hAnsi="Arial" w:cs="Arial"/>
                <w:sz w:val="16"/>
                <w:szCs w:val="16"/>
              </w:rPr>
            </w:pPr>
            <w:r w:rsidRPr="00627F19">
              <w:rPr>
                <w:rFonts w:ascii="Arial" w:hAnsi="Arial" w:cs="Arial"/>
                <w:sz w:val="16"/>
                <w:szCs w:val="16"/>
              </w:rPr>
              <w:t xml:space="preserve">                   266 </w:t>
            </w:r>
          </w:p>
        </w:tc>
        <w:tc>
          <w:tcPr>
            <w:tcW w:w="64" w:type="pct"/>
            <w:tcBorders>
              <w:top w:val="nil"/>
              <w:left w:val="nil"/>
              <w:bottom w:val="nil"/>
              <w:right w:val="nil"/>
            </w:tcBorders>
            <w:noWrap/>
            <w:vAlign w:val="bottom"/>
            <w:hideMark/>
          </w:tcPr>
          <w:p w14:paraId="535A3DF9" w14:textId="77777777" w:rsidR="00627F19" w:rsidRPr="00627F19" w:rsidRDefault="00627F19">
            <w:pPr>
              <w:rPr>
                <w:rFonts w:ascii="Arial" w:hAnsi="Arial" w:cs="Arial"/>
                <w:sz w:val="16"/>
                <w:szCs w:val="16"/>
              </w:rPr>
            </w:pPr>
          </w:p>
        </w:tc>
      </w:tr>
      <w:tr w:rsidR="00627F19" w:rsidRPr="00627F19" w14:paraId="21F711E3" w14:textId="77777777" w:rsidTr="00627F19">
        <w:trPr>
          <w:trHeight w:val="232"/>
        </w:trPr>
        <w:tc>
          <w:tcPr>
            <w:tcW w:w="3372" w:type="pct"/>
            <w:tcBorders>
              <w:top w:val="nil"/>
              <w:left w:val="nil"/>
              <w:bottom w:val="nil"/>
              <w:right w:val="nil"/>
            </w:tcBorders>
            <w:vAlign w:val="center"/>
            <w:hideMark/>
          </w:tcPr>
          <w:p w14:paraId="02DD975F"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0A04C765"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746223CA"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7403F2C2"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5684ED3E"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448E4B99" w14:textId="77777777" w:rsidR="00627F19" w:rsidRPr="00627F19" w:rsidRDefault="00627F19">
            <w:pPr>
              <w:rPr>
                <w:sz w:val="16"/>
                <w:szCs w:val="16"/>
              </w:rPr>
            </w:pPr>
          </w:p>
        </w:tc>
      </w:tr>
      <w:tr w:rsidR="00627F19" w:rsidRPr="00627F19" w14:paraId="3C8D6180" w14:textId="77777777" w:rsidTr="00627F19">
        <w:trPr>
          <w:trHeight w:val="232"/>
        </w:trPr>
        <w:tc>
          <w:tcPr>
            <w:tcW w:w="3372" w:type="pct"/>
            <w:tcBorders>
              <w:top w:val="nil"/>
              <w:left w:val="nil"/>
              <w:bottom w:val="nil"/>
              <w:right w:val="nil"/>
            </w:tcBorders>
            <w:noWrap/>
            <w:vAlign w:val="bottom"/>
            <w:hideMark/>
          </w:tcPr>
          <w:p w14:paraId="1E75FB1F" w14:textId="77777777" w:rsidR="00627F19" w:rsidRPr="00627F19" w:rsidRDefault="00627F19">
            <w:pPr>
              <w:rPr>
                <w:rFonts w:ascii="Arial" w:hAnsi="Arial" w:cs="Arial"/>
                <w:b/>
                <w:bCs/>
                <w:sz w:val="16"/>
                <w:szCs w:val="16"/>
              </w:rPr>
            </w:pPr>
            <w:r w:rsidRPr="00627F19">
              <w:rPr>
                <w:rFonts w:ascii="Arial" w:hAnsi="Arial" w:cs="Arial"/>
                <w:b/>
                <w:bCs/>
                <w:sz w:val="16"/>
                <w:szCs w:val="16"/>
              </w:rPr>
              <w:t>Resultado Abrangente Total</w:t>
            </w:r>
          </w:p>
        </w:tc>
        <w:tc>
          <w:tcPr>
            <w:tcW w:w="64" w:type="pct"/>
            <w:tcBorders>
              <w:top w:val="nil"/>
              <w:left w:val="nil"/>
              <w:bottom w:val="nil"/>
              <w:right w:val="nil"/>
            </w:tcBorders>
            <w:noWrap/>
            <w:vAlign w:val="bottom"/>
            <w:hideMark/>
          </w:tcPr>
          <w:p w14:paraId="2F2F9CF2" w14:textId="77777777" w:rsidR="00627F19" w:rsidRPr="00627F19" w:rsidRDefault="00627F19">
            <w:pPr>
              <w:rPr>
                <w:rFonts w:ascii="Arial" w:hAnsi="Arial" w:cs="Arial"/>
                <w:b/>
                <w:bCs/>
                <w:sz w:val="16"/>
                <w:szCs w:val="16"/>
              </w:rPr>
            </w:pPr>
          </w:p>
        </w:tc>
        <w:tc>
          <w:tcPr>
            <w:tcW w:w="708" w:type="pct"/>
            <w:tcBorders>
              <w:top w:val="single" w:sz="4" w:space="0" w:color="auto"/>
              <w:left w:val="nil"/>
              <w:bottom w:val="double" w:sz="6" w:space="0" w:color="auto"/>
              <w:right w:val="nil"/>
            </w:tcBorders>
            <w:noWrap/>
            <w:vAlign w:val="bottom"/>
            <w:hideMark/>
          </w:tcPr>
          <w:p w14:paraId="50A4AABB"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(89.490)</w:t>
            </w:r>
          </w:p>
        </w:tc>
        <w:tc>
          <w:tcPr>
            <w:tcW w:w="84" w:type="pct"/>
            <w:tcBorders>
              <w:top w:val="nil"/>
              <w:left w:val="nil"/>
              <w:bottom w:val="nil"/>
              <w:right w:val="nil"/>
            </w:tcBorders>
            <w:noWrap/>
            <w:vAlign w:val="bottom"/>
            <w:hideMark/>
          </w:tcPr>
          <w:p w14:paraId="5836B853" w14:textId="77777777" w:rsidR="00627F19" w:rsidRPr="00627F19" w:rsidRDefault="00627F19">
            <w:pPr>
              <w:rPr>
                <w:rFonts w:ascii="Arial" w:hAnsi="Arial" w:cs="Arial"/>
                <w:b/>
                <w:bCs/>
                <w:sz w:val="16"/>
                <w:szCs w:val="16"/>
              </w:rPr>
            </w:pPr>
          </w:p>
        </w:tc>
        <w:tc>
          <w:tcPr>
            <w:tcW w:w="708" w:type="pct"/>
            <w:tcBorders>
              <w:top w:val="single" w:sz="4" w:space="0" w:color="auto"/>
              <w:left w:val="nil"/>
              <w:bottom w:val="double" w:sz="6" w:space="0" w:color="auto"/>
              <w:right w:val="nil"/>
            </w:tcBorders>
            <w:noWrap/>
            <w:vAlign w:val="bottom"/>
            <w:hideMark/>
          </w:tcPr>
          <w:p w14:paraId="464A33AD" w14:textId="77777777" w:rsidR="00627F19" w:rsidRPr="00627F19" w:rsidRDefault="00627F19">
            <w:pPr>
              <w:rPr>
                <w:rFonts w:ascii="Arial" w:hAnsi="Arial" w:cs="Arial"/>
                <w:b/>
                <w:bCs/>
                <w:sz w:val="16"/>
                <w:szCs w:val="16"/>
              </w:rPr>
            </w:pPr>
            <w:r w:rsidRPr="00627F19">
              <w:rPr>
                <w:rFonts w:ascii="Arial" w:hAnsi="Arial" w:cs="Arial"/>
                <w:b/>
                <w:bCs/>
                <w:sz w:val="16"/>
                <w:szCs w:val="16"/>
              </w:rPr>
              <w:t xml:space="preserve">             (14.422)</w:t>
            </w:r>
          </w:p>
        </w:tc>
        <w:tc>
          <w:tcPr>
            <w:tcW w:w="64" w:type="pct"/>
            <w:tcBorders>
              <w:top w:val="nil"/>
              <w:left w:val="nil"/>
              <w:bottom w:val="nil"/>
              <w:right w:val="nil"/>
            </w:tcBorders>
            <w:noWrap/>
            <w:vAlign w:val="bottom"/>
            <w:hideMark/>
          </w:tcPr>
          <w:p w14:paraId="27AD406D" w14:textId="77777777" w:rsidR="00627F19" w:rsidRPr="00627F19" w:rsidRDefault="00627F19">
            <w:pPr>
              <w:rPr>
                <w:rFonts w:ascii="Arial" w:hAnsi="Arial" w:cs="Arial"/>
                <w:b/>
                <w:bCs/>
                <w:sz w:val="16"/>
                <w:szCs w:val="16"/>
              </w:rPr>
            </w:pPr>
          </w:p>
        </w:tc>
      </w:tr>
      <w:tr w:rsidR="00627F19" w:rsidRPr="00627F19" w14:paraId="7D9F872A" w14:textId="77777777" w:rsidTr="00627F19">
        <w:trPr>
          <w:trHeight w:val="232"/>
        </w:trPr>
        <w:tc>
          <w:tcPr>
            <w:tcW w:w="3372" w:type="pct"/>
            <w:tcBorders>
              <w:top w:val="nil"/>
              <w:left w:val="nil"/>
              <w:bottom w:val="nil"/>
              <w:right w:val="nil"/>
            </w:tcBorders>
            <w:noWrap/>
            <w:vAlign w:val="bottom"/>
            <w:hideMark/>
          </w:tcPr>
          <w:p w14:paraId="16E2456B"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018DCC27"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37DDA313"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4CC5DE81"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5DF5CE8F"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3A0219AB" w14:textId="77777777" w:rsidR="00627F19" w:rsidRPr="00627F19" w:rsidRDefault="00627F19">
            <w:pPr>
              <w:rPr>
                <w:sz w:val="16"/>
                <w:szCs w:val="16"/>
              </w:rPr>
            </w:pPr>
          </w:p>
        </w:tc>
      </w:tr>
      <w:tr w:rsidR="00627F19" w:rsidRPr="00627F19" w14:paraId="50C988BA" w14:textId="77777777" w:rsidTr="00627F19">
        <w:trPr>
          <w:trHeight w:val="232"/>
        </w:trPr>
        <w:tc>
          <w:tcPr>
            <w:tcW w:w="3372" w:type="pct"/>
            <w:tcBorders>
              <w:top w:val="nil"/>
              <w:left w:val="nil"/>
              <w:bottom w:val="nil"/>
              <w:right w:val="nil"/>
            </w:tcBorders>
            <w:noWrap/>
            <w:vAlign w:val="bottom"/>
            <w:hideMark/>
          </w:tcPr>
          <w:p w14:paraId="6C11527D"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6F96658A"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77C26121"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771534E2"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039AB2B9"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60C716FB" w14:textId="77777777" w:rsidR="00627F19" w:rsidRPr="00627F19" w:rsidRDefault="00627F19">
            <w:pPr>
              <w:rPr>
                <w:sz w:val="16"/>
                <w:szCs w:val="16"/>
              </w:rPr>
            </w:pPr>
          </w:p>
        </w:tc>
      </w:tr>
      <w:tr w:rsidR="00627F19" w:rsidRPr="00627F19" w14:paraId="183B1B75" w14:textId="77777777" w:rsidTr="00627F19">
        <w:trPr>
          <w:trHeight w:val="232"/>
        </w:trPr>
        <w:tc>
          <w:tcPr>
            <w:tcW w:w="3372" w:type="pct"/>
            <w:tcBorders>
              <w:top w:val="nil"/>
              <w:left w:val="nil"/>
              <w:bottom w:val="nil"/>
              <w:right w:val="nil"/>
            </w:tcBorders>
            <w:noWrap/>
            <w:vAlign w:val="bottom"/>
            <w:hideMark/>
          </w:tcPr>
          <w:p w14:paraId="5E8F36D6"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3737A5D4"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6CE19A0B"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25DF84A5"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0AF0701B"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45097E32" w14:textId="77777777" w:rsidR="00627F19" w:rsidRPr="00627F19" w:rsidRDefault="00627F19">
            <w:pPr>
              <w:rPr>
                <w:sz w:val="16"/>
                <w:szCs w:val="16"/>
              </w:rPr>
            </w:pPr>
          </w:p>
        </w:tc>
      </w:tr>
      <w:tr w:rsidR="00627F19" w:rsidRPr="00627F19" w14:paraId="43CAC860" w14:textId="77777777" w:rsidTr="00627F19">
        <w:trPr>
          <w:trHeight w:val="232"/>
        </w:trPr>
        <w:tc>
          <w:tcPr>
            <w:tcW w:w="5000" w:type="pct"/>
            <w:gridSpan w:val="6"/>
            <w:tcBorders>
              <w:top w:val="nil"/>
              <w:left w:val="nil"/>
              <w:bottom w:val="nil"/>
              <w:right w:val="nil"/>
            </w:tcBorders>
            <w:noWrap/>
            <w:vAlign w:val="bottom"/>
            <w:hideMark/>
          </w:tcPr>
          <w:p w14:paraId="2E99226F" w14:textId="77777777" w:rsidR="00627F19" w:rsidRPr="00627F19" w:rsidRDefault="00627F19">
            <w:pPr>
              <w:rPr>
                <w:rFonts w:ascii="Arial" w:hAnsi="Arial" w:cs="Arial"/>
                <w:b/>
                <w:bCs/>
                <w:sz w:val="16"/>
                <w:szCs w:val="16"/>
              </w:rPr>
            </w:pPr>
            <w:r w:rsidRPr="00627F19">
              <w:rPr>
                <w:rFonts w:ascii="Arial" w:hAnsi="Arial" w:cs="Arial"/>
                <w:b/>
                <w:bCs/>
                <w:sz w:val="16"/>
                <w:szCs w:val="16"/>
              </w:rPr>
              <w:t>As notas explicativas são parte integrante das demonstrações contábeis</w:t>
            </w:r>
          </w:p>
        </w:tc>
      </w:tr>
      <w:tr w:rsidR="00627F19" w:rsidRPr="00627F19" w14:paraId="5D666B00" w14:textId="77777777" w:rsidTr="00627F19">
        <w:trPr>
          <w:trHeight w:val="232"/>
        </w:trPr>
        <w:tc>
          <w:tcPr>
            <w:tcW w:w="3372" w:type="pct"/>
            <w:tcBorders>
              <w:top w:val="nil"/>
              <w:left w:val="nil"/>
              <w:bottom w:val="nil"/>
              <w:right w:val="nil"/>
            </w:tcBorders>
            <w:noWrap/>
            <w:vAlign w:val="bottom"/>
            <w:hideMark/>
          </w:tcPr>
          <w:p w14:paraId="5575F2BA" w14:textId="77777777" w:rsidR="00627F19" w:rsidRPr="00627F19" w:rsidRDefault="00627F19">
            <w:pPr>
              <w:rPr>
                <w:rFonts w:ascii="Arial" w:hAnsi="Arial" w:cs="Arial"/>
                <w:b/>
                <w:bCs/>
                <w:sz w:val="16"/>
                <w:szCs w:val="16"/>
              </w:rPr>
            </w:pPr>
          </w:p>
        </w:tc>
        <w:tc>
          <w:tcPr>
            <w:tcW w:w="64" w:type="pct"/>
            <w:tcBorders>
              <w:top w:val="nil"/>
              <w:left w:val="nil"/>
              <w:bottom w:val="nil"/>
              <w:right w:val="nil"/>
            </w:tcBorders>
            <w:noWrap/>
            <w:vAlign w:val="bottom"/>
            <w:hideMark/>
          </w:tcPr>
          <w:p w14:paraId="28ED99F8"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3E38951D" w14:textId="77777777" w:rsidR="00627F19" w:rsidRPr="00627F19" w:rsidRDefault="00627F19">
            <w:pPr>
              <w:rPr>
                <w:sz w:val="16"/>
                <w:szCs w:val="16"/>
              </w:rPr>
            </w:pPr>
          </w:p>
        </w:tc>
        <w:tc>
          <w:tcPr>
            <w:tcW w:w="84" w:type="pct"/>
            <w:tcBorders>
              <w:top w:val="nil"/>
              <w:left w:val="nil"/>
              <w:bottom w:val="nil"/>
              <w:right w:val="nil"/>
            </w:tcBorders>
            <w:noWrap/>
            <w:vAlign w:val="bottom"/>
            <w:hideMark/>
          </w:tcPr>
          <w:p w14:paraId="1BBD4118" w14:textId="77777777" w:rsidR="00627F19" w:rsidRPr="00627F19" w:rsidRDefault="00627F19">
            <w:pPr>
              <w:rPr>
                <w:sz w:val="16"/>
                <w:szCs w:val="16"/>
              </w:rPr>
            </w:pPr>
          </w:p>
        </w:tc>
        <w:tc>
          <w:tcPr>
            <w:tcW w:w="708" w:type="pct"/>
            <w:tcBorders>
              <w:top w:val="nil"/>
              <w:left w:val="nil"/>
              <w:bottom w:val="nil"/>
              <w:right w:val="nil"/>
            </w:tcBorders>
            <w:noWrap/>
            <w:vAlign w:val="bottom"/>
            <w:hideMark/>
          </w:tcPr>
          <w:p w14:paraId="4676FB1A" w14:textId="77777777" w:rsidR="00627F19" w:rsidRPr="00627F19" w:rsidRDefault="00627F19">
            <w:pPr>
              <w:rPr>
                <w:sz w:val="16"/>
                <w:szCs w:val="16"/>
              </w:rPr>
            </w:pPr>
          </w:p>
        </w:tc>
        <w:tc>
          <w:tcPr>
            <w:tcW w:w="64" w:type="pct"/>
            <w:tcBorders>
              <w:top w:val="nil"/>
              <w:left w:val="nil"/>
              <w:bottom w:val="nil"/>
              <w:right w:val="nil"/>
            </w:tcBorders>
            <w:noWrap/>
            <w:vAlign w:val="bottom"/>
            <w:hideMark/>
          </w:tcPr>
          <w:p w14:paraId="5D8BF5ED" w14:textId="77777777" w:rsidR="00627F19" w:rsidRPr="00627F19" w:rsidRDefault="00627F19">
            <w:pPr>
              <w:rPr>
                <w:sz w:val="16"/>
                <w:szCs w:val="16"/>
              </w:rPr>
            </w:pPr>
          </w:p>
        </w:tc>
      </w:tr>
    </w:tbl>
    <w:p w14:paraId="3F32FCAB" w14:textId="5F797100" w:rsidR="00136B00" w:rsidRDefault="00136B00" w:rsidP="00474F9B">
      <w:pPr>
        <w:rPr>
          <w:noProof/>
        </w:rPr>
      </w:pPr>
    </w:p>
    <w:p w14:paraId="739D5267" w14:textId="756F1C8C" w:rsidR="00136B00" w:rsidRDefault="00136B00" w:rsidP="00474F9B">
      <w:pPr>
        <w:rPr>
          <w:noProof/>
        </w:rPr>
      </w:pPr>
    </w:p>
    <w:p w14:paraId="42A70CB0" w14:textId="1D9E9016" w:rsidR="00136B00" w:rsidRDefault="00136B00" w:rsidP="00474F9B">
      <w:pPr>
        <w:rPr>
          <w:noProof/>
        </w:rPr>
      </w:pPr>
    </w:p>
    <w:p w14:paraId="670A4ECB" w14:textId="77777777" w:rsidR="00136B00" w:rsidRDefault="00136B00" w:rsidP="00474F9B">
      <w:pPr>
        <w:rPr>
          <w:noProof/>
        </w:rPr>
      </w:pPr>
    </w:p>
    <w:p w14:paraId="5C54E515" w14:textId="508C9BD7" w:rsidR="00AE469A" w:rsidRDefault="00AE469A" w:rsidP="00474F9B">
      <w:pPr>
        <w:rPr>
          <w:noProof/>
        </w:rPr>
      </w:pPr>
    </w:p>
    <w:p w14:paraId="3D4358DA" w14:textId="3BC4DB90" w:rsidR="00136B00" w:rsidRDefault="00136B00" w:rsidP="00474F9B">
      <w:pPr>
        <w:rPr>
          <w:noProof/>
        </w:rPr>
      </w:pPr>
    </w:p>
    <w:p w14:paraId="0A27FA75" w14:textId="76A9A33B" w:rsidR="00136B00" w:rsidRDefault="00136B00" w:rsidP="00474F9B">
      <w:pPr>
        <w:rPr>
          <w:noProof/>
        </w:rPr>
      </w:pPr>
    </w:p>
    <w:p w14:paraId="5675BDC8" w14:textId="7D2196BC" w:rsidR="00AE469A" w:rsidRDefault="00AE469A" w:rsidP="00474F9B">
      <w:pPr>
        <w:rPr>
          <w:noProof/>
        </w:rPr>
      </w:pPr>
    </w:p>
    <w:p w14:paraId="0568E6B0" w14:textId="59E5A1E0" w:rsidR="000C6942" w:rsidRDefault="000C6942" w:rsidP="00474F9B">
      <w:pPr>
        <w:rPr>
          <w:noProof/>
        </w:rPr>
        <w:sectPr w:rsidR="000C6942" w:rsidSect="00E82BC9">
          <w:headerReference w:type="default" r:id="rId22"/>
          <w:footerReference w:type="default" r:id="rId23"/>
          <w:footerReference w:type="first" r:id="rId24"/>
          <w:pgSz w:w="11906" w:h="16838" w:code="9"/>
          <w:pgMar w:top="567" w:right="849" w:bottom="567" w:left="993" w:header="1020" w:footer="850"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7454"/>
        <w:gridCol w:w="1078"/>
        <w:gridCol w:w="185"/>
        <w:gridCol w:w="1270"/>
        <w:gridCol w:w="185"/>
        <w:gridCol w:w="1308"/>
        <w:gridCol w:w="185"/>
        <w:gridCol w:w="1116"/>
        <w:gridCol w:w="185"/>
        <w:gridCol w:w="1402"/>
        <w:gridCol w:w="185"/>
        <w:gridCol w:w="1151"/>
      </w:tblGrid>
      <w:tr w:rsidR="00B56CEA" w:rsidRPr="00B56CEA" w14:paraId="689B4705" w14:textId="77777777" w:rsidTr="00B56CEA">
        <w:trPr>
          <w:trHeight w:val="198"/>
        </w:trPr>
        <w:tc>
          <w:tcPr>
            <w:tcW w:w="5000" w:type="pct"/>
            <w:gridSpan w:val="12"/>
            <w:tcBorders>
              <w:top w:val="nil"/>
              <w:left w:val="nil"/>
              <w:bottom w:val="nil"/>
              <w:right w:val="nil"/>
            </w:tcBorders>
            <w:noWrap/>
            <w:vAlign w:val="bottom"/>
            <w:hideMark/>
          </w:tcPr>
          <w:p w14:paraId="3B4531FB"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lastRenderedPageBreak/>
              <w:t>TELECOMUNICAÇÕES BRASILEIRAS S.A - "TELEBRAS"</w:t>
            </w:r>
          </w:p>
        </w:tc>
      </w:tr>
      <w:tr w:rsidR="00B56CEA" w:rsidRPr="00B56CEA" w14:paraId="326FEF36" w14:textId="77777777" w:rsidTr="00B56CEA">
        <w:trPr>
          <w:trHeight w:val="198"/>
        </w:trPr>
        <w:tc>
          <w:tcPr>
            <w:tcW w:w="5000" w:type="pct"/>
            <w:gridSpan w:val="12"/>
            <w:tcBorders>
              <w:top w:val="nil"/>
              <w:left w:val="nil"/>
              <w:bottom w:val="nil"/>
              <w:right w:val="nil"/>
            </w:tcBorders>
            <w:noWrap/>
            <w:vAlign w:val="bottom"/>
            <w:hideMark/>
          </w:tcPr>
          <w:p w14:paraId="280066AE"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CNPJ 00.336.701/0001-04</w:t>
            </w:r>
          </w:p>
        </w:tc>
      </w:tr>
      <w:tr w:rsidR="00B56CEA" w:rsidRPr="00B56CEA" w14:paraId="1C56E85C" w14:textId="77777777" w:rsidTr="00B56CEA">
        <w:trPr>
          <w:trHeight w:val="198"/>
        </w:trPr>
        <w:tc>
          <w:tcPr>
            <w:tcW w:w="5000" w:type="pct"/>
            <w:gridSpan w:val="12"/>
            <w:tcBorders>
              <w:top w:val="nil"/>
              <w:left w:val="nil"/>
              <w:bottom w:val="nil"/>
              <w:right w:val="nil"/>
            </w:tcBorders>
            <w:vAlign w:val="bottom"/>
            <w:hideMark/>
          </w:tcPr>
          <w:p w14:paraId="0B38C7D5"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 xml:space="preserve"> Demonstração das Mutações do Patrimônio Líquido</w:t>
            </w:r>
          </w:p>
        </w:tc>
      </w:tr>
      <w:tr w:rsidR="00B56CEA" w:rsidRPr="00B56CEA" w14:paraId="649D9302" w14:textId="77777777" w:rsidTr="00B56CEA">
        <w:trPr>
          <w:trHeight w:val="198"/>
        </w:trPr>
        <w:tc>
          <w:tcPr>
            <w:tcW w:w="5000" w:type="pct"/>
            <w:gridSpan w:val="12"/>
            <w:tcBorders>
              <w:top w:val="nil"/>
              <w:left w:val="nil"/>
              <w:bottom w:val="nil"/>
              <w:right w:val="nil"/>
            </w:tcBorders>
            <w:noWrap/>
            <w:vAlign w:val="bottom"/>
            <w:hideMark/>
          </w:tcPr>
          <w:p w14:paraId="4D1CCAD1"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Períodos findos em 31 de março de 2026 e 2025</w:t>
            </w:r>
          </w:p>
        </w:tc>
      </w:tr>
      <w:tr w:rsidR="00B56CEA" w:rsidRPr="00B56CEA" w14:paraId="67AF841C" w14:textId="77777777" w:rsidTr="00B56CEA">
        <w:trPr>
          <w:trHeight w:val="198"/>
        </w:trPr>
        <w:tc>
          <w:tcPr>
            <w:tcW w:w="5000" w:type="pct"/>
            <w:gridSpan w:val="12"/>
            <w:tcBorders>
              <w:top w:val="nil"/>
              <w:left w:val="nil"/>
              <w:bottom w:val="nil"/>
              <w:right w:val="nil"/>
            </w:tcBorders>
            <w:vAlign w:val="bottom"/>
            <w:hideMark/>
          </w:tcPr>
          <w:p w14:paraId="0C1DA0D3"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Em milhares de reais, exceto quando indicado de outra forma</w:t>
            </w:r>
          </w:p>
        </w:tc>
      </w:tr>
      <w:tr w:rsidR="00B56CEA" w:rsidRPr="00B56CEA" w14:paraId="3A16B2AA" w14:textId="77777777" w:rsidTr="00B56CEA">
        <w:trPr>
          <w:trHeight w:val="198"/>
        </w:trPr>
        <w:tc>
          <w:tcPr>
            <w:tcW w:w="2374" w:type="pct"/>
            <w:tcBorders>
              <w:top w:val="nil"/>
              <w:left w:val="nil"/>
              <w:bottom w:val="nil"/>
              <w:right w:val="nil"/>
            </w:tcBorders>
            <w:noWrap/>
            <w:vAlign w:val="bottom"/>
            <w:hideMark/>
          </w:tcPr>
          <w:p w14:paraId="536C0E9F" w14:textId="77777777" w:rsidR="00B56CEA" w:rsidRPr="00B56CEA" w:rsidRDefault="00B56CEA">
            <w:pPr>
              <w:jc w:val="center"/>
              <w:rPr>
                <w:rFonts w:ascii="Arial" w:hAnsi="Arial" w:cs="Arial"/>
                <w:b/>
                <w:bCs/>
                <w:sz w:val="16"/>
                <w:szCs w:val="16"/>
              </w:rPr>
            </w:pPr>
          </w:p>
        </w:tc>
        <w:tc>
          <w:tcPr>
            <w:tcW w:w="344" w:type="pct"/>
            <w:tcBorders>
              <w:top w:val="nil"/>
              <w:left w:val="nil"/>
              <w:bottom w:val="nil"/>
              <w:right w:val="nil"/>
            </w:tcBorders>
            <w:noWrap/>
            <w:vAlign w:val="bottom"/>
            <w:hideMark/>
          </w:tcPr>
          <w:p w14:paraId="7379CB8A"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22826EE9" w14:textId="77777777" w:rsidR="00B56CEA" w:rsidRPr="00B56CEA" w:rsidRDefault="00B56CEA">
            <w:pPr>
              <w:rPr>
                <w:sz w:val="16"/>
                <w:szCs w:val="16"/>
              </w:rPr>
            </w:pPr>
          </w:p>
        </w:tc>
        <w:tc>
          <w:tcPr>
            <w:tcW w:w="405" w:type="pct"/>
            <w:tcBorders>
              <w:top w:val="nil"/>
              <w:left w:val="nil"/>
              <w:bottom w:val="nil"/>
              <w:right w:val="nil"/>
            </w:tcBorders>
            <w:noWrap/>
            <w:vAlign w:val="bottom"/>
            <w:hideMark/>
          </w:tcPr>
          <w:p w14:paraId="00E5AB34"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05E5931B" w14:textId="77777777" w:rsidR="00B56CEA" w:rsidRPr="00B56CEA" w:rsidRDefault="00B56CEA">
            <w:pPr>
              <w:rPr>
                <w:sz w:val="16"/>
                <w:szCs w:val="16"/>
              </w:rPr>
            </w:pPr>
          </w:p>
        </w:tc>
        <w:tc>
          <w:tcPr>
            <w:tcW w:w="417" w:type="pct"/>
            <w:tcBorders>
              <w:top w:val="nil"/>
              <w:left w:val="nil"/>
              <w:bottom w:val="nil"/>
              <w:right w:val="nil"/>
            </w:tcBorders>
            <w:noWrap/>
            <w:vAlign w:val="bottom"/>
            <w:hideMark/>
          </w:tcPr>
          <w:p w14:paraId="5349228A"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37BEE228" w14:textId="77777777" w:rsidR="00B56CEA" w:rsidRPr="00B56CEA" w:rsidRDefault="00B56CEA">
            <w:pPr>
              <w:rPr>
                <w:sz w:val="16"/>
                <w:szCs w:val="16"/>
              </w:rPr>
            </w:pPr>
          </w:p>
        </w:tc>
        <w:tc>
          <w:tcPr>
            <w:tcW w:w="356" w:type="pct"/>
            <w:tcBorders>
              <w:top w:val="nil"/>
              <w:left w:val="nil"/>
              <w:bottom w:val="nil"/>
              <w:right w:val="nil"/>
            </w:tcBorders>
            <w:noWrap/>
            <w:vAlign w:val="bottom"/>
            <w:hideMark/>
          </w:tcPr>
          <w:p w14:paraId="30F6E0D7"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0A1C5673" w14:textId="77777777" w:rsidR="00B56CEA" w:rsidRPr="00B56CEA" w:rsidRDefault="00B56CEA">
            <w:pPr>
              <w:rPr>
                <w:sz w:val="16"/>
                <w:szCs w:val="16"/>
              </w:rPr>
            </w:pPr>
          </w:p>
        </w:tc>
        <w:tc>
          <w:tcPr>
            <w:tcW w:w="447" w:type="pct"/>
            <w:tcBorders>
              <w:top w:val="nil"/>
              <w:left w:val="nil"/>
              <w:bottom w:val="nil"/>
              <w:right w:val="nil"/>
            </w:tcBorders>
            <w:noWrap/>
            <w:vAlign w:val="bottom"/>
            <w:hideMark/>
          </w:tcPr>
          <w:p w14:paraId="7C2D320C"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6CE5E002" w14:textId="77777777" w:rsidR="00B56CEA" w:rsidRPr="00B56CEA" w:rsidRDefault="00B56CEA">
            <w:pPr>
              <w:rPr>
                <w:sz w:val="16"/>
                <w:szCs w:val="16"/>
              </w:rPr>
            </w:pPr>
          </w:p>
        </w:tc>
        <w:tc>
          <w:tcPr>
            <w:tcW w:w="368" w:type="pct"/>
            <w:tcBorders>
              <w:top w:val="nil"/>
              <w:left w:val="nil"/>
              <w:bottom w:val="nil"/>
              <w:right w:val="nil"/>
            </w:tcBorders>
            <w:noWrap/>
            <w:vAlign w:val="bottom"/>
            <w:hideMark/>
          </w:tcPr>
          <w:p w14:paraId="49CF8B10" w14:textId="77777777" w:rsidR="00B56CEA" w:rsidRPr="00B56CEA" w:rsidRDefault="00B56CEA">
            <w:pPr>
              <w:rPr>
                <w:sz w:val="16"/>
                <w:szCs w:val="16"/>
              </w:rPr>
            </w:pPr>
          </w:p>
        </w:tc>
      </w:tr>
      <w:tr w:rsidR="00B56CEA" w:rsidRPr="00B56CEA" w14:paraId="76ADAE20" w14:textId="77777777" w:rsidTr="00B56CEA">
        <w:trPr>
          <w:trHeight w:val="198"/>
        </w:trPr>
        <w:tc>
          <w:tcPr>
            <w:tcW w:w="2374" w:type="pct"/>
            <w:tcBorders>
              <w:top w:val="nil"/>
              <w:left w:val="nil"/>
              <w:bottom w:val="nil"/>
              <w:right w:val="nil"/>
            </w:tcBorders>
            <w:noWrap/>
            <w:vAlign w:val="bottom"/>
            <w:hideMark/>
          </w:tcPr>
          <w:p w14:paraId="13D0F309" w14:textId="77777777" w:rsidR="00B56CEA" w:rsidRPr="00B56CEA" w:rsidRDefault="00B56CEA">
            <w:pPr>
              <w:rPr>
                <w:sz w:val="16"/>
                <w:szCs w:val="16"/>
              </w:rPr>
            </w:pPr>
          </w:p>
        </w:tc>
        <w:tc>
          <w:tcPr>
            <w:tcW w:w="344" w:type="pct"/>
            <w:tcBorders>
              <w:top w:val="nil"/>
              <w:left w:val="nil"/>
              <w:bottom w:val="nil"/>
              <w:right w:val="nil"/>
            </w:tcBorders>
            <w:noWrap/>
            <w:vAlign w:val="bottom"/>
            <w:hideMark/>
          </w:tcPr>
          <w:p w14:paraId="52085A7D"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25844C6C" w14:textId="77777777" w:rsidR="00B56CEA" w:rsidRPr="00B56CEA" w:rsidRDefault="00B56CEA">
            <w:pPr>
              <w:jc w:val="center"/>
              <w:rPr>
                <w:sz w:val="16"/>
                <w:szCs w:val="16"/>
              </w:rPr>
            </w:pPr>
          </w:p>
        </w:tc>
        <w:tc>
          <w:tcPr>
            <w:tcW w:w="405" w:type="pct"/>
            <w:tcBorders>
              <w:top w:val="nil"/>
              <w:left w:val="nil"/>
              <w:bottom w:val="nil"/>
              <w:right w:val="nil"/>
            </w:tcBorders>
            <w:noWrap/>
            <w:vAlign w:val="bottom"/>
            <w:hideMark/>
          </w:tcPr>
          <w:p w14:paraId="5F748AFF" w14:textId="77777777" w:rsidR="00B56CEA" w:rsidRPr="00B56CEA" w:rsidRDefault="00B56CEA">
            <w:pPr>
              <w:jc w:val="center"/>
              <w:rPr>
                <w:sz w:val="16"/>
                <w:szCs w:val="16"/>
              </w:rPr>
            </w:pPr>
          </w:p>
        </w:tc>
        <w:tc>
          <w:tcPr>
            <w:tcW w:w="58" w:type="pct"/>
            <w:tcBorders>
              <w:top w:val="nil"/>
              <w:left w:val="nil"/>
              <w:bottom w:val="nil"/>
              <w:right w:val="nil"/>
            </w:tcBorders>
            <w:noWrap/>
            <w:vAlign w:val="bottom"/>
            <w:hideMark/>
          </w:tcPr>
          <w:p w14:paraId="15054895" w14:textId="77777777" w:rsidR="00B56CEA" w:rsidRPr="00B56CEA" w:rsidRDefault="00B56CEA">
            <w:pPr>
              <w:jc w:val="center"/>
              <w:rPr>
                <w:sz w:val="16"/>
                <w:szCs w:val="16"/>
              </w:rPr>
            </w:pPr>
          </w:p>
        </w:tc>
        <w:tc>
          <w:tcPr>
            <w:tcW w:w="417" w:type="pct"/>
            <w:tcBorders>
              <w:top w:val="nil"/>
              <w:left w:val="nil"/>
              <w:bottom w:val="nil"/>
              <w:right w:val="nil"/>
            </w:tcBorders>
            <w:noWrap/>
            <w:vAlign w:val="bottom"/>
            <w:hideMark/>
          </w:tcPr>
          <w:p w14:paraId="06BE3DD8" w14:textId="77777777" w:rsidR="00B56CEA" w:rsidRPr="00B56CEA" w:rsidRDefault="00B56CEA">
            <w:pPr>
              <w:jc w:val="center"/>
              <w:rPr>
                <w:sz w:val="16"/>
                <w:szCs w:val="16"/>
              </w:rPr>
            </w:pPr>
          </w:p>
        </w:tc>
        <w:tc>
          <w:tcPr>
            <w:tcW w:w="58" w:type="pct"/>
            <w:tcBorders>
              <w:top w:val="nil"/>
              <w:left w:val="nil"/>
              <w:bottom w:val="nil"/>
              <w:right w:val="nil"/>
            </w:tcBorders>
            <w:noWrap/>
            <w:vAlign w:val="bottom"/>
            <w:hideMark/>
          </w:tcPr>
          <w:p w14:paraId="4B574668" w14:textId="77777777" w:rsidR="00B56CEA" w:rsidRPr="00B56CEA" w:rsidRDefault="00B56CEA">
            <w:pPr>
              <w:jc w:val="center"/>
              <w:rPr>
                <w:sz w:val="16"/>
                <w:szCs w:val="16"/>
              </w:rPr>
            </w:pPr>
          </w:p>
        </w:tc>
        <w:tc>
          <w:tcPr>
            <w:tcW w:w="356" w:type="pct"/>
            <w:tcBorders>
              <w:top w:val="nil"/>
              <w:left w:val="nil"/>
              <w:bottom w:val="nil"/>
              <w:right w:val="nil"/>
            </w:tcBorders>
            <w:noWrap/>
            <w:vAlign w:val="bottom"/>
            <w:hideMark/>
          </w:tcPr>
          <w:p w14:paraId="6E34F3CC" w14:textId="77777777" w:rsidR="00B56CEA" w:rsidRPr="00B56CEA" w:rsidRDefault="00B56CEA">
            <w:pPr>
              <w:jc w:val="center"/>
              <w:rPr>
                <w:sz w:val="16"/>
                <w:szCs w:val="16"/>
              </w:rPr>
            </w:pPr>
          </w:p>
        </w:tc>
        <w:tc>
          <w:tcPr>
            <w:tcW w:w="58" w:type="pct"/>
            <w:tcBorders>
              <w:top w:val="nil"/>
              <w:left w:val="nil"/>
              <w:bottom w:val="nil"/>
              <w:right w:val="nil"/>
            </w:tcBorders>
            <w:noWrap/>
            <w:vAlign w:val="bottom"/>
            <w:hideMark/>
          </w:tcPr>
          <w:p w14:paraId="0079C828" w14:textId="77777777" w:rsidR="00B56CEA" w:rsidRPr="00B56CEA" w:rsidRDefault="00B56CEA">
            <w:pPr>
              <w:jc w:val="center"/>
              <w:rPr>
                <w:sz w:val="16"/>
                <w:szCs w:val="16"/>
              </w:rPr>
            </w:pPr>
          </w:p>
        </w:tc>
        <w:tc>
          <w:tcPr>
            <w:tcW w:w="447" w:type="pct"/>
            <w:tcBorders>
              <w:top w:val="nil"/>
              <w:left w:val="nil"/>
              <w:bottom w:val="nil"/>
              <w:right w:val="nil"/>
            </w:tcBorders>
            <w:noWrap/>
            <w:vAlign w:val="bottom"/>
            <w:hideMark/>
          </w:tcPr>
          <w:p w14:paraId="5B006180" w14:textId="77777777" w:rsidR="00B56CEA" w:rsidRPr="00B56CEA" w:rsidRDefault="00B56CEA">
            <w:pPr>
              <w:jc w:val="center"/>
              <w:rPr>
                <w:sz w:val="16"/>
                <w:szCs w:val="16"/>
              </w:rPr>
            </w:pPr>
          </w:p>
        </w:tc>
        <w:tc>
          <w:tcPr>
            <w:tcW w:w="58" w:type="pct"/>
            <w:tcBorders>
              <w:top w:val="nil"/>
              <w:left w:val="nil"/>
              <w:bottom w:val="nil"/>
              <w:right w:val="nil"/>
            </w:tcBorders>
            <w:noWrap/>
            <w:vAlign w:val="bottom"/>
            <w:hideMark/>
          </w:tcPr>
          <w:p w14:paraId="38A94378" w14:textId="77777777" w:rsidR="00B56CEA" w:rsidRPr="00B56CEA" w:rsidRDefault="00B56CEA">
            <w:pPr>
              <w:jc w:val="center"/>
              <w:rPr>
                <w:sz w:val="16"/>
                <w:szCs w:val="16"/>
              </w:rPr>
            </w:pPr>
          </w:p>
        </w:tc>
        <w:tc>
          <w:tcPr>
            <w:tcW w:w="368" w:type="pct"/>
            <w:tcBorders>
              <w:top w:val="nil"/>
              <w:left w:val="nil"/>
              <w:bottom w:val="nil"/>
              <w:right w:val="nil"/>
            </w:tcBorders>
            <w:noWrap/>
            <w:vAlign w:val="bottom"/>
            <w:hideMark/>
          </w:tcPr>
          <w:p w14:paraId="508E1AF9" w14:textId="77777777" w:rsidR="00B56CEA" w:rsidRPr="00B56CEA" w:rsidRDefault="00B56CEA">
            <w:pPr>
              <w:jc w:val="center"/>
              <w:rPr>
                <w:sz w:val="16"/>
                <w:szCs w:val="16"/>
              </w:rPr>
            </w:pPr>
          </w:p>
        </w:tc>
      </w:tr>
      <w:tr w:rsidR="00B56CEA" w:rsidRPr="00B56CEA" w14:paraId="443BE476" w14:textId="77777777" w:rsidTr="00B56CEA">
        <w:trPr>
          <w:trHeight w:val="198"/>
        </w:trPr>
        <w:tc>
          <w:tcPr>
            <w:tcW w:w="2374" w:type="pct"/>
            <w:tcBorders>
              <w:top w:val="nil"/>
              <w:left w:val="nil"/>
              <w:bottom w:val="nil"/>
              <w:right w:val="nil"/>
            </w:tcBorders>
            <w:vAlign w:val="center"/>
            <w:hideMark/>
          </w:tcPr>
          <w:p w14:paraId="7FFE0280" w14:textId="77777777" w:rsidR="00B56CEA" w:rsidRPr="00B56CEA" w:rsidRDefault="00B56CEA">
            <w:pPr>
              <w:rPr>
                <w:rFonts w:ascii="Arial" w:hAnsi="Arial" w:cs="Arial"/>
                <w:b/>
                <w:bCs/>
                <w:sz w:val="16"/>
                <w:szCs w:val="16"/>
              </w:rPr>
            </w:pPr>
            <w:r w:rsidRPr="00B56CEA">
              <w:rPr>
                <w:rFonts w:ascii="Arial" w:hAnsi="Arial" w:cs="Arial"/>
                <w:b/>
                <w:bCs/>
                <w:sz w:val="16"/>
                <w:szCs w:val="16"/>
              </w:rPr>
              <w:t>Eventos</w:t>
            </w:r>
          </w:p>
        </w:tc>
        <w:tc>
          <w:tcPr>
            <w:tcW w:w="344" w:type="pct"/>
            <w:tcBorders>
              <w:top w:val="single" w:sz="4" w:space="0" w:color="auto"/>
              <w:left w:val="nil"/>
              <w:bottom w:val="single" w:sz="4" w:space="0" w:color="auto"/>
              <w:right w:val="nil"/>
            </w:tcBorders>
            <w:vAlign w:val="center"/>
            <w:hideMark/>
          </w:tcPr>
          <w:p w14:paraId="4EB2D286"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Capital</w:t>
            </w:r>
            <w:r w:rsidRPr="00B56CEA">
              <w:rPr>
                <w:rFonts w:ascii="Arial" w:hAnsi="Arial" w:cs="Arial"/>
                <w:b/>
                <w:bCs/>
                <w:sz w:val="16"/>
                <w:szCs w:val="16"/>
              </w:rPr>
              <w:br/>
              <w:t xml:space="preserve">Social </w:t>
            </w:r>
          </w:p>
        </w:tc>
        <w:tc>
          <w:tcPr>
            <w:tcW w:w="58" w:type="pct"/>
            <w:tcBorders>
              <w:top w:val="single" w:sz="4" w:space="0" w:color="auto"/>
              <w:left w:val="nil"/>
              <w:bottom w:val="single" w:sz="4" w:space="0" w:color="auto"/>
              <w:right w:val="nil"/>
            </w:tcBorders>
            <w:vAlign w:val="center"/>
            <w:hideMark/>
          </w:tcPr>
          <w:p w14:paraId="3D43396B"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 </w:t>
            </w:r>
          </w:p>
        </w:tc>
        <w:tc>
          <w:tcPr>
            <w:tcW w:w="405" w:type="pct"/>
            <w:tcBorders>
              <w:top w:val="single" w:sz="4" w:space="0" w:color="auto"/>
              <w:left w:val="nil"/>
              <w:bottom w:val="single" w:sz="4" w:space="0" w:color="auto"/>
              <w:right w:val="nil"/>
            </w:tcBorders>
            <w:vAlign w:val="center"/>
            <w:hideMark/>
          </w:tcPr>
          <w:p w14:paraId="56FE966F"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 xml:space="preserve"> Prejuízos</w:t>
            </w:r>
            <w:r w:rsidRPr="00B56CEA">
              <w:rPr>
                <w:rFonts w:ascii="Arial" w:hAnsi="Arial" w:cs="Arial"/>
                <w:b/>
                <w:bCs/>
                <w:sz w:val="16"/>
                <w:szCs w:val="16"/>
              </w:rPr>
              <w:br/>
              <w:t>Acumulados</w:t>
            </w:r>
          </w:p>
        </w:tc>
        <w:tc>
          <w:tcPr>
            <w:tcW w:w="58" w:type="pct"/>
            <w:tcBorders>
              <w:top w:val="single" w:sz="4" w:space="0" w:color="auto"/>
              <w:left w:val="nil"/>
              <w:bottom w:val="single" w:sz="4" w:space="0" w:color="auto"/>
              <w:right w:val="nil"/>
            </w:tcBorders>
            <w:vAlign w:val="center"/>
            <w:hideMark/>
          </w:tcPr>
          <w:p w14:paraId="7FDE14FC"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 </w:t>
            </w:r>
          </w:p>
        </w:tc>
        <w:tc>
          <w:tcPr>
            <w:tcW w:w="417" w:type="pct"/>
            <w:tcBorders>
              <w:top w:val="single" w:sz="4" w:space="0" w:color="auto"/>
              <w:left w:val="nil"/>
              <w:bottom w:val="single" w:sz="4" w:space="0" w:color="auto"/>
              <w:right w:val="nil"/>
            </w:tcBorders>
            <w:vAlign w:val="center"/>
            <w:hideMark/>
          </w:tcPr>
          <w:p w14:paraId="05D800A3"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Outros Resultados Abrangentes</w:t>
            </w:r>
          </w:p>
        </w:tc>
        <w:tc>
          <w:tcPr>
            <w:tcW w:w="58" w:type="pct"/>
            <w:tcBorders>
              <w:top w:val="single" w:sz="4" w:space="0" w:color="auto"/>
              <w:left w:val="nil"/>
              <w:bottom w:val="single" w:sz="4" w:space="0" w:color="auto"/>
              <w:right w:val="nil"/>
            </w:tcBorders>
            <w:vAlign w:val="center"/>
            <w:hideMark/>
          </w:tcPr>
          <w:p w14:paraId="4A9D0EB5"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 </w:t>
            </w:r>
          </w:p>
        </w:tc>
        <w:tc>
          <w:tcPr>
            <w:tcW w:w="356" w:type="pct"/>
            <w:tcBorders>
              <w:top w:val="single" w:sz="4" w:space="0" w:color="auto"/>
              <w:left w:val="nil"/>
              <w:bottom w:val="single" w:sz="4" w:space="0" w:color="auto"/>
              <w:right w:val="nil"/>
            </w:tcBorders>
            <w:vAlign w:val="center"/>
            <w:hideMark/>
          </w:tcPr>
          <w:p w14:paraId="064A1704"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Ações em Tesouraria</w:t>
            </w:r>
          </w:p>
        </w:tc>
        <w:tc>
          <w:tcPr>
            <w:tcW w:w="58" w:type="pct"/>
            <w:tcBorders>
              <w:top w:val="single" w:sz="4" w:space="0" w:color="auto"/>
              <w:left w:val="nil"/>
              <w:bottom w:val="single" w:sz="4" w:space="0" w:color="auto"/>
              <w:right w:val="nil"/>
            </w:tcBorders>
            <w:vAlign w:val="center"/>
            <w:hideMark/>
          </w:tcPr>
          <w:p w14:paraId="63619F16"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 </w:t>
            </w:r>
          </w:p>
        </w:tc>
        <w:tc>
          <w:tcPr>
            <w:tcW w:w="447" w:type="pct"/>
            <w:tcBorders>
              <w:top w:val="single" w:sz="4" w:space="0" w:color="auto"/>
              <w:left w:val="nil"/>
              <w:bottom w:val="single" w:sz="4" w:space="0" w:color="auto"/>
              <w:right w:val="nil"/>
            </w:tcBorders>
            <w:vAlign w:val="center"/>
            <w:hideMark/>
          </w:tcPr>
          <w:p w14:paraId="3320F665"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Recursos Capitalizáveis</w:t>
            </w:r>
          </w:p>
        </w:tc>
        <w:tc>
          <w:tcPr>
            <w:tcW w:w="58" w:type="pct"/>
            <w:tcBorders>
              <w:top w:val="single" w:sz="4" w:space="0" w:color="auto"/>
              <w:left w:val="nil"/>
              <w:bottom w:val="single" w:sz="4" w:space="0" w:color="auto"/>
              <w:right w:val="nil"/>
            </w:tcBorders>
            <w:vAlign w:val="center"/>
            <w:hideMark/>
          </w:tcPr>
          <w:p w14:paraId="12994DA5"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 </w:t>
            </w:r>
          </w:p>
        </w:tc>
        <w:tc>
          <w:tcPr>
            <w:tcW w:w="368" w:type="pct"/>
            <w:tcBorders>
              <w:top w:val="single" w:sz="4" w:space="0" w:color="auto"/>
              <w:left w:val="nil"/>
              <w:bottom w:val="single" w:sz="4" w:space="0" w:color="auto"/>
              <w:right w:val="nil"/>
            </w:tcBorders>
            <w:vAlign w:val="center"/>
            <w:hideMark/>
          </w:tcPr>
          <w:p w14:paraId="1E447B53" w14:textId="77777777" w:rsidR="00B56CEA" w:rsidRPr="00B56CEA" w:rsidRDefault="00B56CEA">
            <w:pPr>
              <w:jc w:val="center"/>
              <w:rPr>
                <w:rFonts w:ascii="Arial" w:hAnsi="Arial" w:cs="Arial"/>
                <w:b/>
                <w:bCs/>
                <w:sz w:val="16"/>
                <w:szCs w:val="16"/>
              </w:rPr>
            </w:pPr>
            <w:r w:rsidRPr="00B56CEA">
              <w:rPr>
                <w:rFonts w:ascii="Arial" w:hAnsi="Arial" w:cs="Arial"/>
                <w:b/>
                <w:bCs/>
                <w:sz w:val="16"/>
                <w:szCs w:val="16"/>
              </w:rPr>
              <w:t>Total do Patrimônio Líquido</w:t>
            </w:r>
          </w:p>
        </w:tc>
      </w:tr>
      <w:tr w:rsidR="00B56CEA" w:rsidRPr="00B56CEA" w14:paraId="11AF0AD9" w14:textId="77777777" w:rsidTr="00B56CEA">
        <w:trPr>
          <w:trHeight w:val="198"/>
        </w:trPr>
        <w:tc>
          <w:tcPr>
            <w:tcW w:w="2374" w:type="pct"/>
            <w:tcBorders>
              <w:top w:val="nil"/>
              <w:left w:val="nil"/>
              <w:bottom w:val="nil"/>
              <w:right w:val="nil"/>
            </w:tcBorders>
            <w:vAlign w:val="center"/>
            <w:hideMark/>
          </w:tcPr>
          <w:p w14:paraId="48B85D61" w14:textId="77777777" w:rsidR="00B56CEA" w:rsidRPr="00B56CEA" w:rsidRDefault="00B56CEA">
            <w:pPr>
              <w:jc w:val="center"/>
              <w:rPr>
                <w:rFonts w:ascii="Arial" w:hAnsi="Arial" w:cs="Arial"/>
                <w:b/>
                <w:bCs/>
                <w:sz w:val="16"/>
                <w:szCs w:val="16"/>
              </w:rPr>
            </w:pPr>
          </w:p>
        </w:tc>
        <w:tc>
          <w:tcPr>
            <w:tcW w:w="344" w:type="pct"/>
            <w:tcBorders>
              <w:top w:val="nil"/>
              <w:left w:val="nil"/>
              <w:bottom w:val="nil"/>
              <w:right w:val="nil"/>
            </w:tcBorders>
            <w:vAlign w:val="center"/>
            <w:hideMark/>
          </w:tcPr>
          <w:p w14:paraId="63E33C43" w14:textId="77777777" w:rsidR="00B56CEA" w:rsidRPr="00B56CEA" w:rsidRDefault="00B56CEA">
            <w:pPr>
              <w:rPr>
                <w:sz w:val="16"/>
                <w:szCs w:val="16"/>
              </w:rPr>
            </w:pPr>
          </w:p>
        </w:tc>
        <w:tc>
          <w:tcPr>
            <w:tcW w:w="58" w:type="pct"/>
            <w:tcBorders>
              <w:top w:val="nil"/>
              <w:left w:val="nil"/>
              <w:bottom w:val="nil"/>
              <w:right w:val="nil"/>
            </w:tcBorders>
            <w:vAlign w:val="center"/>
            <w:hideMark/>
          </w:tcPr>
          <w:p w14:paraId="1F8BB101" w14:textId="77777777" w:rsidR="00B56CEA" w:rsidRPr="00B56CEA" w:rsidRDefault="00B56CEA">
            <w:pPr>
              <w:jc w:val="center"/>
              <w:rPr>
                <w:sz w:val="16"/>
                <w:szCs w:val="16"/>
              </w:rPr>
            </w:pPr>
          </w:p>
        </w:tc>
        <w:tc>
          <w:tcPr>
            <w:tcW w:w="405" w:type="pct"/>
            <w:tcBorders>
              <w:top w:val="nil"/>
              <w:left w:val="nil"/>
              <w:bottom w:val="nil"/>
              <w:right w:val="nil"/>
            </w:tcBorders>
            <w:vAlign w:val="center"/>
            <w:hideMark/>
          </w:tcPr>
          <w:p w14:paraId="4D1244F6" w14:textId="77777777" w:rsidR="00B56CEA" w:rsidRPr="00B56CEA" w:rsidRDefault="00B56CEA">
            <w:pPr>
              <w:jc w:val="center"/>
              <w:rPr>
                <w:sz w:val="16"/>
                <w:szCs w:val="16"/>
              </w:rPr>
            </w:pPr>
          </w:p>
        </w:tc>
        <w:tc>
          <w:tcPr>
            <w:tcW w:w="58" w:type="pct"/>
            <w:tcBorders>
              <w:top w:val="nil"/>
              <w:left w:val="nil"/>
              <w:bottom w:val="nil"/>
              <w:right w:val="nil"/>
            </w:tcBorders>
            <w:vAlign w:val="center"/>
            <w:hideMark/>
          </w:tcPr>
          <w:p w14:paraId="50EC63CA" w14:textId="77777777" w:rsidR="00B56CEA" w:rsidRPr="00B56CEA" w:rsidRDefault="00B56CEA">
            <w:pPr>
              <w:jc w:val="center"/>
              <w:rPr>
                <w:sz w:val="16"/>
                <w:szCs w:val="16"/>
              </w:rPr>
            </w:pPr>
          </w:p>
        </w:tc>
        <w:tc>
          <w:tcPr>
            <w:tcW w:w="417" w:type="pct"/>
            <w:tcBorders>
              <w:top w:val="nil"/>
              <w:left w:val="nil"/>
              <w:bottom w:val="nil"/>
              <w:right w:val="nil"/>
            </w:tcBorders>
            <w:vAlign w:val="center"/>
            <w:hideMark/>
          </w:tcPr>
          <w:p w14:paraId="17BD0EBB" w14:textId="77777777" w:rsidR="00B56CEA" w:rsidRPr="00B56CEA" w:rsidRDefault="00B56CEA">
            <w:pPr>
              <w:jc w:val="center"/>
              <w:rPr>
                <w:sz w:val="16"/>
                <w:szCs w:val="16"/>
              </w:rPr>
            </w:pPr>
          </w:p>
        </w:tc>
        <w:tc>
          <w:tcPr>
            <w:tcW w:w="58" w:type="pct"/>
            <w:tcBorders>
              <w:top w:val="nil"/>
              <w:left w:val="nil"/>
              <w:bottom w:val="nil"/>
              <w:right w:val="nil"/>
            </w:tcBorders>
            <w:vAlign w:val="center"/>
            <w:hideMark/>
          </w:tcPr>
          <w:p w14:paraId="4AEAE750" w14:textId="77777777" w:rsidR="00B56CEA" w:rsidRPr="00B56CEA" w:rsidRDefault="00B56CEA">
            <w:pPr>
              <w:jc w:val="center"/>
              <w:rPr>
                <w:sz w:val="16"/>
                <w:szCs w:val="16"/>
              </w:rPr>
            </w:pPr>
          </w:p>
        </w:tc>
        <w:tc>
          <w:tcPr>
            <w:tcW w:w="356" w:type="pct"/>
            <w:tcBorders>
              <w:top w:val="nil"/>
              <w:left w:val="nil"/>
              <w:bottom w:val="nil"/>
              <w:right w:val="nil"/>
            </w:tcBorders>
            <w:vAlign w:val="center"/>
            <w:hideMark/>
          </w:tcPr>
          <w:p w14:paraId="30B8B790" w14:textId="77777777" w:rsidR="00B56CEA" w:rsidRPr="00B56CEA" w:rsidRDefault="00B56CEA">
            <w:pPr>
              <w:jc w:val="center"/>
              <w:rPr>
                <w:sz w:val="16"/>
                <w:szCs w:val="16"/>
              </w:rPr>
            </w:pPr>
          </w:p>
        </w:tc>
        <w:tc>
          <w:tcPr>
            <w:tcW w:w="58" w:type="pct"/>
            <w:tcBorders>
              <w:top w:val="nil"/>
              <w:left w:val="nil"/>
              <w:bottom w:val="nil"/>
              <w:right w:val="nil"/>
            </w:tcBorders>
            <w:vAlign w:val="center"/>
            <w:hideMark/>
          </w:tcPr>
          <w:p w14:paraId="3966DE70" w14:textId="77777777" w:rsidR="00B56CEA" w:rsidRPr="00B56CEA" w:rsidRDefault="00B56CEA">
            <w:pPr>
              <w:jc w:val="center"/>
              <w:rPr>
                <w:sz w:val="16"/>
                <w:szCs w:val="16"/>
              </w:rPr>
            </w:pPr>
          </w:p>
        </w:tc>
        <w:tc>
          <w:tcPr>
            <w:tcW w:w="447" w:type="pct"/>
            <w:tcBorders>
              <w:top w:val="nil"/>
              <w:left w:val="nil"/>
              <w:bottom w:val="nil"/>
              <w:right w:val="nil"/>
            </w:tcBorders>
            <w:vAlign w:val="center"/>
            <w:hideMark/>
          </w:tcPr>
          <w:p w14:paraId="3A704156" w14:textId="77777777" w:rsidR="00B56CEA" w:rsidRPr="00B56CEA" w:rsidRDefault="00B56CEA">
            <w:pPr>
              <w:jc w:val="center"/>
              <w:rPr>
                <w:sz w:val="16"/>
                <w:szCs w:val="16"/>
              </w:rPr>
            </w:pPr>
          </w:p>
        </w:tc>
        <w:tc>
          <w:tcPr>
            <w:tcW w:w="58" w:type="pct"/>
            <w:tcBorders>
              <w:top w:val="nil"/>
              <w:left w:val="nil"/>
              <w:bottom w:val="nil"/>
              <w:right w:val="nil"/>
            </w:tcBorders>
            <w:vAlign w:val="center"/>
            <w:hideMark/>
          </w:tcPr>
          <w:p w14:paraId="7F874120" w14:textId="77777777" w:rsidR="00B56CEA" w:rsidRPr="00B56CEA" w:rsidRDefault="00B56CEA">
            <w:pPr>
              <w:jc w:val="center"/>
              <w:rPr>
                <w:sz w:val="16"/>
                <w:szCs w:val="16"/>
              </w:rPr>
            </w:pPr>
          </w:p>
        </w:tc>
        <w:tc>
          <w:tcPr>
            <w:tcW w:w="368" w:type="pct"/>
            <w:tcBorders>
              <w:top w:val="nil"/>
              <w:left w:val="nil"/>
              <w:bottom w:val="nil"/>
              <w:right w:val="nil"/>
            </w:tcBorders>
            <w:vAlign w:val="center"/>
            <w:hideMark/>
          </w:tcPr>
          <w:p w14:paraId="02DA745F" w14:textId="77777777" w:rsidR="00B56CEA" w:rsidRPr="00B56CEA" w:rsidRDefault="00B56CEA">
            <w:pPr>
              <w:jc w:val="center"/>
              <w:rPr>
                <w:sz w:val="16"/>
                <w:szCs w:val="16"/>
              </w:rPr>
            </w:pPr>
          </w:p>
        </w:tc>
      </w:tr>
      <w:tr w:rsidR="00B56CEA" w:rsidRPr="00B56CEA" w14:paraId="4308C09E" w14:textId="77777777" w:rsidTr="00B56CEA">
        <w:trPr>
          <w:trHeight w:val="198"/>
        </w:trPr>
        <w:tc>
          <w:tcPr>
            <w:tcW w:w="2374" w:type="pct"/>
            <w:tcBorders>
              <w:top w:val="nil"/>
              <w:left w:val="nil"/>
              <w:bottom w:val="nil"/>
              <w:right w:val="nil"/>
            </w:tcBorders>
            <w:noWrap/>
            <w:vAlign w:val="bottom"/>
            <w:hideMark/>
          </w:tcPr>
          <w:p w14:paraId="033FF25E" w14:textId="77777777" w:rsidR="00B56CEA" w:rsidRPr="00B56CEA" w:rsidRDefault="00B56CEA">
            <w:pPr>
              <w:rPr>
                <w:rFonts w:ascii="Arial" w:hAnsi="Arial" w:cs="Arial"/>
                <w:b/>
                <w:bCs/>
                <w:sz w:val="16"/>
                <w:szCs w:val="16"/>
              </w:rPr>
            </w:pPr>
            <w:r w:rsidRPr="00B56CEA">
              <w:rPr>
                <w:rFonts w:ascii="Arial" w:hAnsi="Arial" w:cs="Arial"/>
                <w:b/>
                <w:bCs/>
                <w:sz w:val="16"/>
                <w:szCs w:val="16"/>
              </w:rPr>
              <w:t>Saldo em 31 de dezembro de 2024</w:t>
            </w:r>
          </w:p>
        </w:tc>
        <w:tc>
          <w:tcPr>
            <w:tcW w:w="344" w:type="pct"/>
            <w:tcBorders>
              <w:top w:val="single" w:sz="4" w:space="0" w:color="auto"/>
              <w:left w:val="nil"/>
              <w:bottom w:val="double" w:sz="6" w:space="0" w:color="auto"/>
              <w:right w:val="nil"/>
            </w:tcBorders>
            <w:noWrap/>
            <w:vAlign w:val="bottom"/>
            <w:hideMark/>
          </w:tcPr>
          <w:p w14:paraId="4741A7DC"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3.474.498 </w:t>
            </w:r>
          </w:p>
        </w:tc>
        <w:tc>
          <w:tcPr>
            <w:tcW w:w="58" w:type="pct"/>
            <w:tcBorders>
              <w:top w:val="nil"/>
              <w:left w:val="nil"/>
              <w:bottom w:val="nil"/>
              <w:right w:val="nil"/>
            </w:tcBorders>
            <w:noWrap/>
            <w:vAlign w:val="bottom"/>
            <w:hideMark/>
          </w:tcPr>
          <w:p w14:paraId="3CD1871B" w14:textId="77777777" w:rsidR="00B56CEA" w:rsidRPr="00B56CEA" w:rsidRDefault="00B56CEA">
            <w:pPr>
              <w:jc w:val="right"/>
              <w:rPr>
                <w:rFonts w:ascii="Arial" w:hAnsi="Arial" w:cs="Arial"/>
                <w:b/>
                <w:bCs/>
                <w:sz w:val="16"/>
                <w:szCs w:val="16"/>
              </w:rPr>
            </w:pPr>
          </w:p>
        </w:tc>
        <w:tc>
          <w:tcPr>
            <w:tcW w:w="405" w:type="pct"/>
            <w:tcBorders>
              <w:top w:val="single" w:sz="4" w:space="0" w:color="auto"/>
              <w:left w:val="nil"/>
              <w:bottom w:val="double" w:sz="6" w:space="0" w:color="auto"/>
              <w:right w:val="nil"/>
            </w:tcBorders>
            <w:noWrap/>
            <w:vAlign w:val="bottom"/>
            <w:hideMark/>
          </w:tcPr>
          <w:p w14:paraId="4D38DBAB"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(2.139.784)</w:t>
            </w:r>
          </w:p>
        </w:tc>
        <w:tc>
          <w:tcPr>
            <w:tcW w:w="58" w:type="pct"/>
            <w:tcBorders>
              <w:top w:val="nil"/>
              <w:left w:val="nil"/>
              <w:bottom w:val="nil"/>
              <w:right w:val="nil"/>
            </w:tcBorders>
            <w:noWrap/>
            <w:vAlign w:val="bottom"/>
            <w:hideMark/>
          </w:tcPr>
          <w:p w14:paraId="19500631" w14:textId="77777777" w:rsidR="00B56CEA" w:rsidRPr="00B56CEA" w:rsidRDefault="00B56CEA">
            <w:pPr>
              <w:jc w:val="right"/>
              <w:rPr>
                <w:rFonts w:ascii="Arial" w:hAnsi="Arial" w:cs="Arial"/>
                <w:b/>
                <w:bCs/>
                <w:sz w:val="16"/>
                <w:szCs w:val="16"/>
              </w:rPr>
            </w:pPr>
          </w:p>
        </w:tc>
        <w:tc>
          <w:tcPr>
            <w:tcW w:w="417" w:type="pct"/>
            <w:tcBorders>
              <w:top w:val="single" w:sz="4" w:space="0" w:color="auto"/>
              <w:left w:val="nil"/>
              <w:bottom w:val="double" w:sz="6" w:space="0" w:color="auto"/>
              <w:right w:val="nil"/>
            </w:tcBorders>
            <w:noWrap/>
            <w:vAlign w:val="bottom"/>
            <w:hideMark/>
          </w:tcPr>
          <w:p w14:paraId="2E0A3BD3"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35.153 </w:t>
            </w:r>
          </w:p>
        </w:tc>
        <w:tc>
          <w:tcPr>
            <w:tcW w:w="58" w:type="pct"/>
            <w:tcBorders>
              <w:top w:val="nil"/>
              <w:left w:val="nil"/>
              <w:bottom w:val="nil"/>
              <w:right w:val="nil"/>
            </w:tcBorders>
            <w:noWrap/>
            <w:vAlign w:val="bottom"/>
            <w:hideMark/>
          </w:tcPr>
          <w:p w14:paraId="59A5E611" w14:textId="77777777" w:rsidR="00B56CEA" w:rsidRPr="00B56CEA" w:rsidRDefault="00B56CEA">
            <w:pPr>
              <w:jc w:val="right"/>
              <w:rPr>
                <w:rFonts w:ascii="Arial" w:hAnsi="Arial" w:cs="Arial"/>
                <w:b/>
                <w:bCs/>
                <w:sz w:val="16"/>
                <w:szCs w:val="16"/>
              </w:rPr>
            </w:pPr>
          </w:p>
        </w:tc>
        <w:tc>
          <w:tcPr>
            <w:tcW w:w="356" w:type="pct"/>
            <w:tcBorders>
              <w:top w:val="single" w:sz="4" w:space="0" w:color="auto"/>
              <w:left w:val="nil"/>
              <w:bottom w:val="double" w:sz="6" w:space="0" w:color="auto"/>
              <w:right w:val="nil"/>
            </w:tcBorders>
            <w:noWrap/>
            <w:vAlign w:val="bottom"/>
            <w:hideMark/>
          </w:tcPr>
          <w:p w14:paraId="4C7800E7"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(111)</w:t>
            </w:r>
          </w:p>
        </w:tc>
        <w:tc>
          <w:tcPr>
            <w:tcW w:w="58" w:type="pct"/>
            <w:tcBorders>
              <w:top w:val="nil"/>
              <w:left w:val="nil"/>
              <w:bottom w:val="nil"/>
              <w:right w:val="nil"/>
            </w:tcBorders>
            <w:noWrap/>
            <w:vAlign w:val="bottom"/>
            <w:hideMark/>
          </w:tcPr>
          <w:p w14:paraId="32C778E2" w14:textId="77777777" w:rsidR="00B56CEA" w:rsidRPr="00B56CEA" w:rsidRDefault="00B56CEA">
            <w:pPr>
              <w:jc w:val="right"/>
              <w:rPr>
                <w:rFonts w:ascii="Arial" w:hAnsi="Arial" w:cs="Arial"/>
                <w:b/>
                <w:bCs/>
                <w:sz w:val="16"/>
                <w:szCs w:val="16"/>
              </w:rPr>
            </w:pPr>
          </w:p>
        </w:tc>
        <w:tc>
          <w:tcPr>
            <w:tcW w:w="447" w:type="pct"/>
            <w:tcBorders>
              <w:top w:val="single" w:sz="4" w:space="0" w:color="auto"/>
              <w:left w:val="nil"/>
              <w:bottom w:val="double" w:sz="6" w:space="0" w:color="auto"/>
              <w:right w:val="nil"/>
            </w:tcBorders>
            <w:noWrap/>
            <w:vAlign w:val="bottom"/>
            <w:hideMark/>
          </w:tcPr>
          <w:p w14:paraId="29753D36"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112.256 </w:t>
            </w:r>
          </w:p>
        </w:tc>
        <w:tc>
          <w:tcPr>
            <w:tcW w:w="58" w:type="pct"/>
            <w:tcBorders>
              <w:top w:val="nil"/>
              <w:left w:val="nil"/>
              <w:bottom w:val="nil"/>
              <w:right w:val="nil"/>
            </w:tcBorders>
            <w:noWrap/>
            <w:vAlign w:val="bottom"/>
            <w:hideMark/>
          </w:tcPr>
          <w:p w14:paraId="11BA028F" w14:textId="77777777" w:rsidR="00B56CEA" w:rsidRPr="00B56CEA" w:rsidRDefault="00B56CEA">
            <w:pPr>
              <w:jc w:val="right"/>
              <w:rPr>
                <w:rFonts w:ascii="Arial" w:hAnsi="Arial" w:cs="Arial"/>
                <w:b/>
                <w:bCs/>
                <w:sz w:val="16"/>
                <w:szCs w:val="16"/>
              </w:rPr>
            </w:pPr>
          </w:p>
        </w:tc>
        <w:tc>
          <w:tcPr>
            <w:tcW w:w="368" w:type="pct"/>
            <w:tcBorders>
              <w:top w:val="single" w:sz="4" w:space="0" w:color="auto"/>
              <w:left w:val="nil"/>
              <w:bottom w:val="double" w:sz="6" w:space="0" w:color="auto"/>
              <w:right w:val="nil"/>
            </w:tcBorders>
            <w:noWrap/>
            <w:vAlign w:val="bottom"/>
            <w:hideMark/>
          </w:tcPr>
          <w:p w14:paraId="2800D56F" w14:textId="6807E677" w:rsidR="00B56CEA" w:rsidRPr="00B56CEA" w:rsidRDefault="00226F80">
            <w:pPr>
              <w:jc w:val="right"/>
              <w:rPr>
                <w:rFonts w:ascii="Arial" w:hAnsi="Arial" w:cs="Arial"/>
                <w:b/>
                <w:bCs/>
                <w:sz w:val="16"/>
                <w:szCs w:val="16"/>
              </w:rPr>
            </w:pPr>
            <w:r>
              <w:rPr>
                <w:rFonts w:ascii="Arial" w:hAnsi="Arial" w:cs="Arial"/>
                <w:b/>
                <w:bCs/>
                <w:sz w:val="16"/>
                <w:szCs w:val="16"/>
              </w:rPr>
              <w:t>1.482.012</w:t>
            </w:r>
            <w:r w:rsidR="00B56CEA" w:rsidRPr="00B56CEA">
              <w:rPr>
                <w:rFonts w:ascii="Arial" w:hAnsi="Arial" w:cs="Arial"/>
                <w:b/>
                <w:bCs/>
                <w:sz w:val="16"/>
                <w:szCs w:val="16"/>
              </w:rPr>
              <w:t xml:space="preserve"> </w:t>
            </w:r>
          </w:p>
        </w:tc>
      </w:tr>
      <w:tr w:rsidR="00B56CEA" w:rsidRPr="00B56CEA" w14:paraId="2D857D55" w14:textId="77777777" w:rsidTr="00B56CEA">
        <w:trPr>
          <w:trHeight w:val="198"/>
        </w:trPr>
        <w:tc>
          <w:tcPr>
            <w:tcW w:w="2374" w:type="pct"/>
            <w:tcBorders>
              <w:top w:val="nil"/>
              <w:left w:val="nil"/>
              <w:bottom w:val="nil"/>
              <w:right w:val="nil"/>
            </w:tcBorders>
            <w:noWrap/>
            <w:vAlign w:val="bottom"/>
            <w:hideMark/>
          </w:tcPr>
          <w:p w14:paraId="41D23734" w14:textId="77777777" w:rsidR="00B56CEA" w:rsidRPr="00B56CEA" w:rsidRDefault="00B56CEA">
            <w:pPr>
              <w:jc w:val="right"/>
              <w:rPr>
                <w:rFonts w:ascii="Arial" w:hAnsi="Arial" w:cs="Arial"/>
                <w:b/>
                <w:bCs/>
                <w:sz w:val="16"/>
                <w:szCs w:val="16"/>
              </w:rPr>
            </w:pPr>
          </w:p>
        </w:tc>
        <w:tc>
          <w:tcPr>
            <w:tcW w:w="344" w:type="pct"/>
            <w:tcBorders>
              <w:top w:val="nil"/>
              <w:left w:val="nil"/>
              <w:bottom w:val="nil"/>
              <w:right w:val="nil"/>
            </w:tcBorders>
            <w:noWrap/>
            <w:vAlign w:val="bottom"/>
            <w:hideMark/>
          </w:tcPr>
          <w:p w14:paraId="389C9C82"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6B2D002A"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386C3C66"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2B55F9AF"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1C58863E"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0B22BFEF"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4F29EB45"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16339FCB"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5585ED89"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0DF682DB" w14:textId="77777777" w:rsidR="00B56CEA" w:rsidRPr="00B56CEA" w:rsidRDefault="00B56CEA">
            <w:pPr>
              <w:jc w:val="right"/>
              <w:rPr>
                <w:sz w:val="16"/>
                <w:szCs w:val="16"/>
              </w:rPr>
            </w:pPr>
          </w:p>
        </w:tc>
        <w:tc>
          <w:tcPr>
            <w:tcW w:w="368" w:type="pct"/>
            <w:tcBorders>
              <w:top w:val="nil"/>
              <w:left w:val="nil"/>
              <w:bottom w:val="nil"/>
              <w:right w:val="nil"/>
            </w:tcBorders>
            <w:noWrap/>
            <w:vAlign w:val="bottom"/>
            <w:hideMark/>
          </w:tcPr>
          <w:p w14:paraId="4506B61E" w14:textId="77777777" w:rsidR="00B56CEA" w:rsidRPr="00B56CEA" w:rsidRDefault="00B56CEA">
            <w:pPr>
              <w:jc w:val="right"/>
              <w:rPr>
                <w:sz w:val="16"/>
                <w:szCs w:val="16"/>
              </w:rPr>
            </w:pPr>
          </w:p>
        </w:tc>
      </w:tr>
      <w:tr w:rsidR="00B56CEA" w:rsidRPr="00B56CEA" w14:paraId="4954CDD4" w14:textId="77777777" w:rsidTr="00B56CEA">
        <w:trPr>
          <w:trHeight w:val="198"/>
        </w:trPr>
        <w:tc>
          <w:tcPr>
            <w:tcW w:w="2374" w:type="pct"/>
            <w:tcBorders>
              <w:top w:val="nil"/>
              <w:left w:val="nil"/>
              <w:bottom w:val="nil"/>
              <w:right w:val="nil"/>
            </w:tcBorders>
            <w:noWrap/>
            <w:vAlign w:val="bottom"/>
            <w:hideMark/>
          </w:tcPr>
          <w:p w14:paraId="7525F6F3" w14:textId="77777777" w:rsidR="00B56CEA" w:rsidRPr="00B56CEA" w:rsidRDefault="00B56CEA">
            <w:pPr>
              <w:rPr>
                <w:rFonts w:ascii="Arial" w:hAnsi="Arial" w:cs="Arial"/>
                <w:b/>
                <w:bCs/>
                <w:sz w:val="16"/>
                <w:szCs w:val="16"/>
              </w:rPr>
            </w:pPr>
            <w:r w:rsidRPr="00B56CEA">
              <w:rPr>
                <w:rFonts w:ascii="Arial" w:hAnsi="Arial" w:cs="Arial"/>
                <w:b/>
                <w:bCs/>
                <w:sz w:val="16"/>
                <w:szCs w:val="16"/>
              </w:rPr>
              <w:t>Resultados Abrangentes Total:</w:t>
            </w:r>
          </w:p>
        </w:tc>
        <w:tc>
          <w:tcPr>
            <w:tcW w:w="344" w:type="pct"/>
            <w:tcBorders>
              <w:top w:val="nil"/>
              <w:left w:val="nil"/>
              <w:bottom w:val="nil"/>
              <w:right w:val="nil"/>
            </w:tcBorders>
            <w:noWrap/>
            <w:vAlign w:val="bottom"/>
            <w:hideMark/>
          </w:tcPr>
          <w:p w14:paraId="4C7FB6A5"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5A8EC735"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327D3258"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(10.905)</w:t>
            </w:r>
          </w:p>
        </w:tc>
        <w:tc>
          <w:tcPr>
            <w:tcW w:w="58" w:type="pct"/>
            <w:tcBorders>
              <w:top w:val="nil"/>
              <w:left w:val="nil"/>
              <w:bottom w:val="nil"/>
              <w:right w:val="nil"/>
            </w:tcBorders>
            <w:noWrap/>
            <w:vAlign w:val="bottom"/>
            <w:hideMark/>
          </w:tcPr>
          <w:p w14:paraId="080117A3" w14:textId="77777777" w:rsidR="00B56CEA" w:rsidRPr="00B56CEA" w:rsidRDefault="00B56CEA">
            <w:pPr>
              <w:jc w:val="right"/>
              <w:rPr>
                <w:rFonts w:ascii="Arial" w:hAnsi="Arial" w:cs="Arial"/>
                <w:b/>
                <w:bCs/>
                <w:sz w:val="16"/>
                <w:szCs w:val="16"/>
              </w:rPr>
            </w:pPr>
          </w:p>
        </w:tc>
        <w:tc>
          <w:tcPr>
            <w:tcW w:w="417" w:type="pct"/>
            <w:tcBorders>
              <w:top w:val="nil"/>
              <w:left w:val="nil"/>
              <w:bottom w:val="nil"/>
              <w:right w:val="nil"/>
            </w:tcBorders>
            <w:noWrap/>
            <w:vAlign w:val="bottom"/>
            <w:hideMark/>
          </w:tcPr>
          <w:p w14:paraId="2CF48E80"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(3.517)</w:t>
            </w:r>
          </w:p>
        </w:tc>
        <w:tc>
          <w:tcPr>
            <w:tcW w:w="58" w:type="pct"/>
            <w:tcBorders>
              <w:top w:val="nil"/>
              <w:left w:val="nil"/>
              <w:bottom w:val="nil"/>
              <w:right w:val="nil"/>
            </w:tcBorders>
            <w:noWrap/>
            <w:vAlign w:val="bottom"/>
            <w:hideMark/>
          </w:tcPr>
          <w:p w14:paraId="3D0B8683" w14:textId="77777777" w:rsidR="00B56CEA" w:rsidRPr="00B56CEA" w:rsidRDefault="00B56CEA">
            <w:pPr>
              <w:jc w:val="right"/>
              <w:rPr>
                <w:rFonts w:ascii="Arial" w:hAnsi="Arial" w:cs="Arial"/>
                <w:b/>
                <w:bCs/>
                <w:sz w:val="16"/>
                <w:szCs w:val="16"/>
              </w:rPr>
            </w:pPr>
          </w:p>
        </w:tc>
        <w:tc>
          <w:tcPr>
            <w:tcW w:w="356" w:type="pct"/>
            <w:tcBorders>
              <w:top w:val="nil"/>
              <w:left w:val="nil"/>
              <w:bottom w:val="nil"/>
              <w:right w:val="nil"/>
            </w:tcBorders>
            <w:noWrap/>
            <w:vAlign w:val="bottom"/>
            <w:hideMark/>
          </w:tcPr>
          <w:p w14:paraId="7E342A66"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324B90F4" w14:textId="77777777" w:rsidR="00B56CEA" w:rsidRPr="00B56CEA" w:rsidRDefault="00B56CEA">
            <w:pPr>
              <w:jc w:val="right"/>
              <w:rPr>
                <w:rFonts w:ascii="Arial" w:hAnsi="Arial" w:cs="Arial"/>
                <w:b/>
                <w:bCs/>
                <w:sz w:val="16"/>
                <w:szCs w:val="16"/>
              </w:rPr>
            </w:pPr>
          </w:p>
        </w:tc>
        <w:tc>
          <w:tcPr>
            <w:tcW w:w="447" w:type="pct"/>
            <w:tcBorders>
              <w:top w:val="nil"/>
              <w:left w:val="nil"/>
              <w:bottom w:val="nil"/>
              <w:right w:val="nil"/>
            </w:tcBorders>
            <w:noWrap/>
            <w:vAlign w:val="bottom"/>
            <w:hideMark/>
          </w:tcPr>
          <w:p w14:paraId="1804AAE6"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061CED42" w14:textId="77777777" w:rsidR="00B56CEA" w:rsidRPr="00B56CEA" w:rsidRDefault="00B56CEA">
            <w:pPr>
              <w:jc w:val="right"/>
              <w:rPr>
                <w:rFonts w:ascii="Arial" w:hAnsi="Arial" w:cs="Arial"/>
                <w:b/>
                <w:bCs/>
                <w:sz w:val="16"/>
                <w:szCs w:val="16"/>
              </w:rPr>
            </w:pPr>
          </w:p>
        </w:tc>
        <w:tc>
          <w:tcPr>
            <w:tcW w:w="368" w:type="pct"/>
            <w:tcBorders>
              <w:top w:val="nil"/>
              <w:left w:val="nil"/>
              <w:bottom w:val="nil"/>
              <w:right w:val="nil"/>
            </w:tcBorders>
            <w:noWrap/>
            <w:vAlign w:val="bottom"/>
            <w:hideMark/>
          </w:tcPr>
          <w:p w14:paraId="1EC6BD31"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(14.422)</w:t>
            </w:r>
          </w:p>
        </w:tc>
      </w:tr>
      <w:tr w:rsidR="00B56CEA" w:rsidRPr="00B56CEA" w14:paraId="795DA494" w14:textId="77777777" w:rsidTr="00B56CEA">
        <w:trPr>
          <w:trHeight w:val="198"/>
        </w:trPr>
        <w:tc>
          <w:tcPr>
            <w:tcW w:w="2374" w:type="pct"/>
            <w:tcBorders>
              <w:top w:val="nil"/>
              <w:left w:val="nil"/>
              <w:bottom w:val="nil"/>
              <w:right w:val="nil"/>
            </w:tcBorders>
            <w:noWrap/>
            <w:vAlign w:val="bottom"/>
            <w:hideMark/>
          </w:tcPr>
          <w:p w14:paraId="55690D5D" w14:textId="3C733A17" w:rsidR="00B56CEA" w:rsidRPr="00B56CEA" w:rsidRDefault="00B56CEA">
            <w:pPr>
              <w:rPr>
                <w:rFonts w:ascii="Arial" w:hAnsi="Arial" w:cs="Arial"/>
                <w:sz w:val="16"/>
                <w:szCs w:val="16"/>
              </w:rPr>
            </w:pPr>
            <w:r w:rsidRPr="00B56CEA">
              <w:rPr>
                <w:rFonts w:ascii="Arial" w:hAnsi="Arial" w:cs="Arial"/>
                <w:sz w:val="16"/>
                <w:szCs w:val="16"/>
              </w:rPr>
              <w:t>Prejuízo do Período</w:t>
            </w:r>
          </w:p>
        </w:tc>
        <w:tc>
          <w:tcPr>
            <w:tcW w:w="344" w:type="pct"/>
            <w:tcBorders>
              <w:top w:val="nil"/>
              <w:left w:val="nil"/>
              <w:bottom w:val="nil"/>
              <w:right w:val="nil"/>
            </w:tcBorders>
            <w:noWrap/>
            <w:vAlign w:val="bottom"/>
            <w:hideMark/>
          </w:tcPr>
          <w:p w14:paraId="3A329056"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40D80E21"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3BA2EE7E"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(10.905)</w:t>
            </w:r>
          </w:p>
        </w:tc>
        <w:tc>
          <w:tcPr>
            <w:tcW w:w="58" w:type="pct"/>
            <w:tcBorders>
              <w:top w:val="nil"/>
              <w:left w:val="nil"/>
              <w:bottom w:val="nil"/>
              <w:right w:val="nil"/>
            </w:tcBorders>
            <w:noWrap/>
            <w:vAlign w:val="bottom"/>
            <w:hideMark/>
          </w:tcPr>
          <w:p w14:paraId="74A41DD4" w14:textId="77777777" w:rsidR="00B56CEA" w:rsidRPr="00B56CEA" w:rsidRDefault="00B56CEA">
            <w:pPr>
              <w:jc w:val="right"/>
              <w:rPr>
                <w:rFonts w:ascii="Arial" w:hAnsi="Arial" w:cs="Arial"/>
                <w:sz w:val="16"/>
                <w:szCs w:val="16"/>
              </w:rPr>
            </w:pPr>
          </w:p>
        </w:tc>
        <w:tc>
          <w:tcPr>
            <w:tcW w:w="417" w:type="pct"/>
            <w:tcBorders>
              <w:top w:val="nil"/>
              <w:left w:val="nil"/>
              <w:bottom w:val="nil"/>
              <w:right w:val="nil"/>
            </w:tcBorders>
            <w:noWrap/>
            <w:vAlign w:val="bottom"/>
            <w:hideMark/>
          </w:tcPr>
          <w:p w14:paraId="571947D9"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7FE63728" w14:textId="77777777" w:rsidR="00B56CEA" w:rsidRPr="00B56CEA" w:rsidRDefault="00B56CEA">
            <w:pPr>
              <w:jc w:val="right"/>
              <w:rPr>
                <w:rFonts w:ascii="Arial" w:hAnsi="Arial" w:cs="Arial"/>
                <w:b/>
                <w:bCs/>
                <w:sz w:val="16"/>
                <w:szCs w:val="16"/>
              </w:rPr>
            </w:pPr>
          </w:p>
        </w:tc>
        <w:tc>
          <w:tcPr>
            <w:tcW w:w="356" w:type="pct"/>
            <w:tcBorders>
              <w:top w:val="nil"/>
              <w:left w:val="nil"/>
              <w:bottom w:val="nil"/>
              <w:right w:val="nil"/>
            </w:tcBorders>
            <w:noWrap/>
            <w:vAlign w:val="bottom"/>
            <w:hideMark/>
          </w:tcPr>
          <w:p w14:paraId="3DDEE5E1"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2B25B564" w14:textId="77777777" w:rsidR="00B56CEA" w:rsidRPr="00B56CEA" w:rsidRDefault="00B56CEA">
            <w:pPr>
              <w:jc w:val="right"/>
              <w:rPr>
                <w:rFonts w:ascii="Arial" w:hAnsi="Arial" w:cs="Arial"/>
                <w:sz w:val="16"/>
                <w:szCs w:val="16"/>
              </w:rPr>
            </w:pPr>
          </w:p>
        </w:tc>
        <w:tc>
          <w:tcPr>
            <w:tcW w:w="447" w:type="pct"/>
            <w:tcBorders>
              <w:top w:val="nil"/>
              <w:left w:val="nil"/>
              <w:bottom w:val="nil"/>
              <w:right w:val="nil"/>
            </w:tcBorders>
            <w:noWrap/>
            <w:vAlign w:val="bottom"/>
            <w:hideMark/>
          </w:tcPr>
          <w:p w14:paraId="60AC9032"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5724CA52" w14:textId="77777777" w:rsidR="00B56CEA" w:rsidRPr="00B56CEA" w:rsidRDefault="00B56CEA">
            <w:pPr>
              <w:jc w:val="right"/>
              <w:rPr>
                <w:rFonts w:ascii="Arial" w:hAnsi="Arial" w:cs="Arial"/>
                <w:sz w:val="16"/>
                <w:szCs w:val="16"/>
              </w:rPr>
            </w:pPr>
          </w:p>
        </w:tc>
        <w:tc>
          <w:tcPr>
            <w:tcW w:w="368" w:type="pct"/>
            <w:tcBorders>
              <w:top w:val="nil"/>
              <w:left w:val="nil"/>
              <w:bottom w:val="nil"/>
              <w:right w:val="nil"/>
            </w:tcBorders>
            <w:noWrap/>
            <w:vAlign w:val="bottom"/>
            <w:hideMark/>
          </w:tcPr>
          <w:p w14:paraId="397284CE" w14:textId="77777777" w:rsidR="00B56CEA" w:rsidRPr="00B56CEA" w:rsidRDefault="00B56CEA">
            <w:pPr>
              <w:rPr>
                <w:rFonts w:ascii="Arial" w:hAnsi="Arial" w:cs="Arial"/>
                <w:b/>
                <w:bCs/>
                <w:sz w:val="16"/>
                <w:szCs w:val="16"/>
              </w:rPr>
            </w:pPr>
            <w:r w:rsidRPr="00B56CEA">
              <w:rPr>
                <w:rFonts w:ascii="Arial" w:hAnsi="Arial" w:cs="Arial"/>
                <w:b/>
                <w:bCs/>
                <w:sz w:val="16"/>
                <w:szCs w:val="16"/>
              </w:rPr>
              <w:t xml:space="preserve">         (10.905)</w:t>
            </w:r>
          </w:p>
        </w:tc>
      </w:tr>
      <w:tr w:rsidR="00B56CEA" w:rsidRPr="00B56CEA" w14:paraId="3950DA5C" w14:textId="77777777" w:rsidTr="00B56CEA">
        <w:trPr>
          <w:trHeight w:val="198"/>
        </w:trPr>
        <w:tc>
          <w:tcPr>
            <w:tcW w:w="2374" w:type="pct"/>
            <w:tcBorders>
              <w:top w:val="nil"/>
              <w:left w:val="nil"/>
              <w:bottom w:val="nil"/>
              <w:right w:val="nil"/>
            </w:tcBorders>
            <w:noWrap/>
            <w:vAlign w:val="bottom"/>
            <w:hideMark/>
          </w:tcPr>
          <w:p w14:paraId="187FC87D" w14:textId="77777777" w:rsidR="00B56CEA" w:rsidRPr="00B56CEA" w:rsidRDefault="00B56CEA">
            <w:pPr>
              <w:rPr>
                <w:rFonts w:ascii="Arial" w:hAnsi="Arial" w:cs="Arial"/>
                <w:b/>
                <w:bCs/>
                <w:sz w:val="16"/>
                <w:szCs w:val="16"/>
              </w:rPr>
            </w:pPr>
            <w:r w:rsidRPr="00B56CEA">
              <w:rPr>
                <w:rFonts w:ascii="Arial" w:hAnsi="Arial" w:cs="Arial"/>
                <w:b/>
                <w:bCs/>
                <w:sz w:val="16"/>
                <w:szCs w:val="16"/>
              </w:rPr>
              <w:t>Outros Resultados Abrangentes:</w:t>
            </w:r>
          </w:p>
        </w:tc>
        <w:tc>
          <w:tcPr>
            <w:tcW w:w="344" w:type="pct"/>
            <w:tcBorders>
              <w:top w:val="nil"/>
              <w:left w:val="nil"/>
              <w:bottom w:val="nil"/>
              <w:right w:val="nil"/>
            </w:tcBorders>
            <w:noWrap/>
            <w:vAlign w:val="bottom"/>
            <w:hideMark/>
          </w:tcPr>
          <w:p w14:paraId="793B2DA9"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6E53ACD2"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1B19DB05"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49F4037E" w14:textId="77777777" w:rsidR="00B56CEA" w:rsidRPr="00B56CEA" w:rsidRDefault="00B56CEA">
            <w:pPr>
              <w:jc w:val="right"/>
              <w:rPr>
                <w:rFonts w:ascii="Arial" w:hAnsi="Arial" w:cs="Arial"/>
                <w:b/>
                <w:bCs/>
                <w:sz w:val="16"/>
                <w:szCs w:val="16"/>
              </w:rPr>
            </w:pPr>
          </w:p>
        </w:tc>
        <w:tc>
          <w:tcPr>
            <w:tcW w:w="417" w:type="pct"/>
            <w:tcBorders>
              <w:top w:val="nil"/>
              <w:left w:val="nil"/>
              <w:bottom w:val="nil"/>
              <w:right w:val="nil"/>
            </w:tcBorders>
            <w:noWrap/>
            <w:vAlign w:val="bottom"/>
            <w:hideMark/>
          </w:tcPr>
          <w:p w14:paraId="3136C6DA"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(3.517)</w:t>
            </w:r>
          </w:p>
        </w:tc>
        <w:tc>
          <w:tcPr>
            <w:tcW w:w="58" w:type="pct"/>
            <w:tcBorders>
              <w:top w:val="nil"/>
              <w:left w:val="nil"/>
              <w:bottom w:val="nil"/>
              <w:right w:val="nil"/>
            </w:tcBorders>
            <w:noWrap/>
            <w:vAlign w:val="bottom"/>
            <w:hideMark/>
          </w:tcPr>
          <w:p w14:paraId="1D775703" w14:textId="77777777" w:rsidR="00B56CEA" w:rsidRPr="00B56CEA" w:rsidRDefault="00B56CEA">
            <w:pPr>
              <w:jc w:val="right"/>
              <w:rPr>
                <w:rFonts w:ascii="Arial" w:hAnsi="Arial" w:cs="Arial"/>
                <w:b/>
                <w:bCs/>
                <w:sz w:val="16"/>
                <w:szCs w:val="16"/>
              </w:rPr>
            </w:pPr>
          </w:p>
        </w:tc>
        <w:tc>
          <w:tcPr>
            <w:tcW w:w="356" w:type="pct"/>
            <w:tcBorders>
              <w:top w:val="nil"/>
              <w:left w:val="nil"/>
              <w:bottom w:val="nil"/>
              <w:right w:val="nil"/>
            </w:tcBorders>
            <w:noWrap/>
            <w:vAlign w:val="bottom"/>
            <w:hideMark/>
          </w:tcPr>
          <w:p w14:paraId="0651E250"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0E63D0D6" w14:textId="77777777" w:rsidR="00B56CEA" w:rsidRPr="00B56CEA" w:rsidRDefault="00B56CEA">
            <w:pPr>
              <w:jc w:val="right"/>
              <w:rPr>
                <w:rFonts w:ascii="Arial" w:hAnsi="Arial" w:cs="Arial"/>
                <w:b/>
                <w:bCs/>
                <w:sz w:val="16"/>
                <w:szCs w:val="16"/>
              </w:rPr>
            </w:pPr>
          </w:p>
        </w:tc>
        <w:tc>
          <w:tcPr>
            <w:tcW w:w="447" w:type="pct"/>
            <w:tcBorders>
              <w:top w:val="nil"/>
              <w:left w:val="nil"/>
              <w:bottom w:val="nil"/>
              <w:right w:val="nil"/>
            </w:tcBorders>
            <w:noWrap/>
            <w:vAlign w:val="bottom"/>
            <w:hideMark/>
          </w:tcPr>
          <w:p w14:paraId="264F56F1"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4CC7340A" w14:textId="77777777" w:rsidR="00B56CEA" w:rsidRPr="00B56CEA" w:rsidRDefault="00B56CEA">
            <w:pPr>
              <w:jc w:val="right"/>
              <w:rPr>
                <w:rFonts w:ascii="Arial" w:hAnsi="Arial" w:cs="Arial"/>
                <w:sz w:val="16"/>
                <w:szCs w:val="16"/>
              </w:rPr>
            </w:pPr>
          </w:p>
        </w:tc>
        <w:tc>
          <w:tcPr>
            <w:tcW w:w="368" w:type="pct"/>
            <w:tcBorders>
              <w:top w:val="nil"/>
              <w:left w:val="nil"/>
              <w:bottom w:val="nil"/>
              <w:right w:val="nil"/>
            </w:tcBorders>
            <w:noWrap/>
            <w:vAlign w:val="bottom"/>
            <w:hideMark/>
          </w:tcPr>
          <w:p w14:paraId="11245155"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(3.517)</w:t>
            </w:r>
          </w:p>
        </w:tc>
      </w:tr>
      <w:tr w:rsidR="00B56CEA" w:rsidRPr="00B56CEA" w14:paraId="247AC407" w14:textId="77777777" w:rsidTr="00B56CEA">
        <w:trPr>
          <w:trHeight w:val="198"/>
        </w:trPr>
        <w:tc>
          <w:tcPr>
            <w:tcW w:w="2374" w:type="pct"/>
            <w:tcBorders>
              <w:top w:val="nil"/>
              <w:left w:val="nil"/>
              <w:bottom w:val="nil"/>
              <w:right w:val="nil"/>
            </w:tcBorders>
            <w:noWrap/>
            <w:vAlign w:val="bottom"/>
            <w:hideMark/>
          </w:tcPr>
          <w:p w14:paraId="6DD5C2E7" w14:textId="21C66648" w:rsidR="00B56CEA" w:rsidRPr="00B56CEA" w:rsidRDefault="00B56CEA">
            <w:pPr>
              <w:rPr>
                <w:rFonts w:ascii="Arial" w:hAnsi="Arial" w:cs="Arial"/>
                <w:sz w:val="16"/>
                <w:szCs w:val="16"/>
              </w:rPr>
            </w:pPr>
            <w:r w:rsidRPr="00B56CEA">
              <w:rPr>
                <w:rFonts w:ascii="Arial" w:hAnsi="Arial" w:cs="Arial"/>
                <w:sz w:val="16"/>
                <w:szCs w:val="16"/>
              </w:rPr>
              <w:t>Equivalência Patrimonial sobre Outros Resultados Abrangentes - Coligadas</w:t>
            </w:r>
          </w:p>
        </w:tc>
        <w:tc>
          <w:tcPr>
            <w:tcW w:w="344" w:type="pct"/>
            <w:tcBorders>
              <w:top w:val="nil"/>
              <w:left w:val="nil"/>
              <w:bottom w:val="nil"/>
              <w:right w:val="nil"/>
            </w:tcBorders>
            <w:noWrap/>
            <w:vAlign w:val="bottom"/>
            <w:hideMark/>
          </w:tcPr>
          <w:p w14:paraId="3CA2FCB2"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53C51E57"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4C29DC1A"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7CEDABE1" w14:textId="77777777" w:rsidR="00B56CEA" w:rsidRPr="00B56CEA" w:rsidRDefault="00B56CEA">
            <w:pPr>
              <w:jc w:val="right"/>
              <w:rPr>
                <w:rFonts w:ascii="Arial" w:hAnsi="Arial" w:cs="Arial"/>
                <w:b/>
                <w:bCs/>
                <w:sz w:val="16"/>
                <w:szCs w:val="16"/>
              </w:rPr>
            </w:pPr>
          </w:p>
        </w:tc>
        <w:tc>
          <w:tcPr>
            <w:tcW w:w="417" w:type="pct"/>
            <w:tcBorders>
              <w:top w:val="nil"/>
              <w:left w:val="nil"/>
              <w:bottom w:val="nil"/>
              <w:right w:val="nil"/>
            </w:tcBorders>
            <w:noWrap/>
            <w:vAlign w:val="bottom"/>
            <w:hideMark/>
          </w:tcPr>
          <w:p w14:paraId="44E7E028"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(3.783)</w:t>
            </w:r>
          </w:p>
        </w:tc>
        <w:tc>
          <w:tcPr>
            <w:tcW w:w="58" w:type="pct"/>
            <w:tcBorders>
              <w:top w:val="nil"/>
              <w:left w:val="nil"/>
              <w:bottom w:val="nil"/>
              <w:right w:val="nil"/>
            </w:tcBorders>
            <w:noWrap/>
            <w:vAlign w:val="bottom"/>
            <w:hideMark/>
          </w:tcPr>
          <w:p w14:paraId="0E8F3D78" w14:textId="77777777" w:rsidR="00B56CEA" w:rsidRPr="00B56CEA" w:rsidRDefault="00B56CEA">
            <w:pPr>
              <w:jc w:val="right"/>
              <w:rPr>
                <w:rFonts w:ascii="Arial" w:hAnsi="Arial" w:cs="Arial"/>
                <w:sz w:val="16"/>
                <w:szCs w:val="16"/>
              </w:rPr>
            </w:pPr>
          </w:p>
        </w:tc>
        <w:tc>
          <w:tcPr>
            <w:tcW w:w="356" w:type="pct"/>
            <w:tcBorders>
              <w:top w:val="nil"/>
              <w:left w:val="nil"/>
              <w:bottom w:val="nil"/>
              <w:right w:val="nil"/>
            </w:tcBorders>
            <w:noWrap/>
            <w:vAlign w:val="bottom"/>
            <w:hideMark/>
          </w:tcPr>
          <w:p w14:paraId="2835DD64"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357B1308" w14:textId="77777777" w:rsidR="00B56CEA" w:rsidRPr="00B56CEA" w:rsidRDefault="00B56CEA">
            <w:pPr>
              <w:jc w:val="right"/>
              <w:rPr>
                <w:rFonts w:ascii="Arial" w:hAnsi="Arial" w:cs="Arial"/>
                <w:sz w:val="16"/>
                <w:szCs w:val="16"/>
              </w:rPr>
            </w:pPr>
          </w:p>
        </w:tc>
        <w:tc>
          <w:tcPr>
            <w:tcW w:w="447" w:type="pct"/>
            <w:tcBorders>
              <w:top w:val="nil"/>
              <w:left w:val="nil"/>
              <w:bottom w:val="nil"/>
              <w:right w:val="nil"/>
            </w:tcBorders>
            <w:noWrap/>
            <w:vAlign w:val="bottom"/>
            <w:hideMark/>
          </w:tcPr>
          <w:p w14:paraId="4D95DB3E"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0908C25A" w14:textId="77777777" w:rsidR="00B56CEA" w:rsidRPr="00B56CEA" w:rsidRDefault="00B56CEA">
            <w:pPr>
              <w:jc w:val="right"/>
              <w:rPr>
                <w:rFonts w:ascii="Arial" w:hAnsi="Arial" w:cs="Arial"/>
                <w:sz w:val="16"/>
                <w:szCs w:val="16"/>
              </w:rPr>
            </w:pPr>
          </w:p>
        </w:tc>
        <w:tc>
          <w:tcPr>
            <w:tcW w:w="368" w:type="pct"/>
            <w:tcBorders>
              <w:top w:val="nil"/>
              <w:left w:val="nil"/>
              <w:bottom w:val="nil"/>
              <w:right w:val="nil"/>
            </w:tcBorders>
            <w:noWrap/>
            <w:vAlign w:val="bottom"/>
            <w:hideMark/>
          </w:tcPr>
          <w:p w14:paraId="3014AE98" w14:textId="77777777" w:rsidR="00B56CEA" w:rsidRPr="00B56CEA" w:rsidRDefault="00B56CEA">
            <w:pPr>
              <w:rPr>
                <w:rFonts w:ascii="Arial" w:hAnsi="Arial" w:cs="Arial"/>
                <w:sz w:val="16"/>
                <w:szCs w:val="16"/>
              </w:rPr>
            </w:pPr>
            <w:r w:rsidRPr="00B56CEA">
              <w:rPr>
                <w:rFonts w:ascii="Arial" w:hAnsi="Arial" w:cs="Arial"/>
                <w:sz w:val="16"/>
                <w:szCs w:val="16"/>
              </w:rPr>
              <w:t xml:space="preserve">           (3.783)</w:t>
            </w:r>
          </w:p>
        </w:tc>
      </w:tr>
      <w:tr w:rsidR="00B56CEA" w:rsidRPr="00B56CEA" w14:paraId="29C80FA7" w14:textId="77777777" w:rsidTr="00B56CEA">
        <w:trPr>
          <w:trHeight w:val="198"/>
        </w:trPr>
        <w:tc>
          <w:tcPr>
            <w:tcW w:w="2374" w:type="pct"/>
            <w:tcBorders>
              <w:top w:val="nil"/>
              <w:left w:val="nil"/>
              <w:bottom w:val="nil"/>
              <w:right w:val="nil"/>
            </w:tcBorders>
            <w:noWrap/>
            <w:vAlign w:val="bottom"/>
            <w:hideMark/>
          </w:tcPr>
          <w:p w14:paraId="14BF0CF9" w14:textId="77777777" w:rsidR="00B56CEA" w:rsidRPr="00B56CEA" w:rsidRDefault="00B56CEA">
            <w:pPr>
              <w:rPr>
                <w:rFonts w:ascii="Arial" w:hAnsi="Arial" w:cs="Arial"/>
                <w:sz w:val="16"/>
                <w:szCs w:val="16"/>
              </w:rPr>
            </w:pPr>
            <w:r w:rsidRPr="00B56CEA">
              <w:rPr>
                <w:rFonts w:ascii="Arial" w:hAnsi="Arial" w:cs="Arial"/>
                <w:sz w:val="16"/>
                <w:szCs w:val="16"/>
              </w:rPr>
              <w:t>Perda com Instrumentos Financeiros - Ativos Financeiros Disponíveis para Venda</w:t>
            </w:r>
          </w:p>
        </w:tc>
        <w:tc>
          <w:tcPr>
            <w:tcW w:w="344" w:type="pct"/>
            <w:tcBorders>
              <w:top w:val="nil"/>
              <w:left w:val="nil"/>
              <w:bottom w:val="nil"/>
              <w:right w:val="nil"/>
            </w:tcBorders>
            <w:noWrap/>
            <w:vAlign w:val="bottom"/>
            <w:hideMark/>
          </w:tcPr>
          <w:p w14:paraId="00616A6D"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343C9364"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12EF3B39"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7EBFBE0A" w14:textId="77777777" w:rsidR="00B56CEA" w:rsidRPr="00B56CEA" w:rsidRDefault="00B56CEA">
            <w:pPr>
              <w:jc w:val="right"/>
              <w:rPr>
                <w:rFonts w:ascii="Arial" w:hAnsi="Arial" w:cs="Arial"/>
                <w:b/>
                <w:bCs/>
                <w:sz w:val="16"/>
                <w:szCs w:val="16"/>
              </w:rPr>
            </w:pPr>
          </w:p>
        </w:tc>
        <w:tc>
          <w:tcPr>
            <w:tcW w:w="417" w:type="pct"/>
            <w:tcBorders>
              <w:top w:val="nil"/>
              <w:left w:val="nil"/>
              <w:bottom w:val="nil"/>
              <w:right w:val="nil"/>
            </w:tcBorders>
            <w:noWrap/>
            <w:vAlign w:val="bottom"/>
            <w:hideMark/>
          </w:tcPr>
          <w:p w14:paraId="1CEA78A6"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266 </w:t>
            </w:r>
          </w:p>
        </w:tc>
        <w:tc>
          <w:tcPr>
            <w:tcW w:w="58" w:type="pct"/>
            <w:tcBorders>
              <w:top w:val="nil"/>
              <w:left w:val="nil"/>
              <w:bottom w:val="nil"/>
              <w:right w:val="nil"/>
            </w:tcBorders>
            <w:noWrap/>
            <w:vAlign w:val="bottom"/>
            <w:hideMark/>
          </w:tcPr>
          <w:p w14:paraId="6A234B40" w14:textId="77777777" w:rsidR="00B56CEA" w:rsidRPr="00B56CEA" w:rsidRDefault="00B56CEA">
            <w:pPr>
              <w:jc w:val="right"/>
              <w:rPr>
                <w:rFonts w:ascii="Arial" w:hAnsi="Arial" w:cs="Arial"/>
                <w:sz w:val="16"/>
                <w:szCs w:val="16"/>
              </w:rPr>
            </w:pPr>
          </w:p>
        </w:tc>
        <w:tc>
          <w:tcPr>
            <w:tcW w:w="356" w:type="pct"/>
            <w:tcBorders>
              <w:top w:val="nil"/>
              <w:left w:val="nil"/>
              <w:bottom w:val="nil"/>
              <w:right w:val="nil"/>
            </w:tcBorders>
            <w:noWrap/>
            <w:vAlign w:val="bottom"/>
            <w:hideMark/>
          </w:tcPr>
          <w:p w14:paraId="670AB302"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20824EFC" w14:textId="77777777" w:rsidR="00B56CEA" w:rsidRPr="00B56CEA" w:rsidRDefault="00B56CEA">
            <w:pPr>
              <w:jc w:val="right"/>
              <w:rPr>
                <w:rFonts w:ascii="Arial" w:hAnsi="Arial" w:cs="Arial"/>
                <w:sz w:val="16"/>
                <w:szCs w:val="16"/>
              </w:rPr>
            </w:pPr>
          </w:p>
        </w:tc>
        <w:tc>
          <w:tcPr>
            <w:tcW w:w="447" w:type="pct"/>
            <w:tcBorders>
              <w:top w:val="nil"/>
              <w:left w:val="nil"/>
              <w:bottom w:val="nil"/>
              <w:right w:val="nil"/>
            </w:tcBorders>
            <w:noWrap/>
            <w:vAlign w:val="bottom"/>
            <w:hideMark/>
          </w:tcPr>
          <w:p w14:paraId="421CEBAB"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6A89DBF4" w14:textId="77777777" w:rsidR="00B56CEA" w:rsidRPr="00B56CEA" w:rsidRDefault="00B56CEA">
            <w:pPr>
              <w:jc w:val="right"/>
              <w:rPr>
                <w:rFonts w:ascii="Arial" w:hAnsi="Arial" w:cs="Arial"/>
                <w:sz w:val="16"/>
                <w:szCs w:val="16"/>
              </w:rPr>
            </w:pPr>
          </w:p>
        </w:tc>
        <w:tc>
          <w:tcPr>
            <w:tcW w:w="368" w:type="pct"/>
            <w:tcBorders>
              <w:top w:val="nil"/>
              <w:left w:val="nil"/>
              <w:bottom w:val="nil"/>
              <w:right w:val="nil"/>
            </w:tcBorders>
            <w:noWrap/>
            <w:vAlign w:val="bottom"/>
            <w:hideMark/>
          </w:tcPr>
          <w:p w14:paraId="45C821DE" w14:textId="77777777" w:rsidR="00B56CEA" w:rsidRPr="00B56CEA" w:rsidRDefault="00B56CEA">
            <w:pPr>
              <w:rPr>
                <w:rFonts w:ascii="Arial" w:hAnsi="Arial" w:cs="Arial"/>
                <w:sz w:val="16"/>
                <w:szCs w:val="16"/>
              </w:rPr>
            </w:pPr>
            <w:r w:rsidRPr="00B56CEA">
              <w:rPr>
                <w:rFonts w:ascii="Arial" w:hAnsi="Arial" w:cs="Arial"/>
                <w:sz w:val="16"/>
                <w:szCs w:val="16"/>
              </w:rPr>
              <w:t xml:space="preserve">               266 </w:t>
            </w:r>
          </w:p>
        </w:tc>
      </w:tr>
      <w:tr w:rsidR="00B56CEA" w:rsidRPr="00B56CEA" w14:paraId="7AC4F745" w14:textId="77777777" w:rsidTr="00B56CEA">
        <w:trPr>
          <w:trHeight w:val="198"/>
        </w:trPr>
        <w:tc>
          <w:tcPr>
            <w:tcW w:w="2374" w:type="pct"/>
            <w:tcBorders>
              <w:top w:val="nil"/>
              <w:left w:val="nil"/>
              <w:bottom w:val="nil"/>
              <w:right w:val="nil"/>
            </w:tcBorders>
            <w:noWrap/>
            <w:vAlign w:val="bottom"/>
            <w:hideMark/>
          </w:tcPr>
          <w:p w14:paraId="7B0D3083" w14:textId="77777777" w:rsidR="00B56CEA" w:rsidRPr="00B56CEA" w:rsidRDefault="00B56CEA">
            <w:pPr>
              <w:rPr>
                <w:rFonts w:ascii="Arial" w:hAnsi="Arial" w:cs="Arial"/>
                <w:sz w:val="16"/>
                <w:szCs w:val="16"/>
              </w:rPr>
            </w:pPr>
          </w:p>
        </w:tc>
        <w:tc>
          <w:tcPr>
            <w:tcW w:w="344" w:type="pct"/>
            <w:tcBorders>
              <w:top w:val="nil"/>
              <w:left w:val="nil"/>
              <w:bottom w:val="nil"/>
              <w:right w:val="nil"/>
            </w:tcBorders>
            <w:noWrap/>
            <w:vAlign w:val="bottom"/>
            <w:hideMark/>
          </w:tcPr>
          <w:p w14:paraId="440B104B"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777CED14"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0E9FFE52"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2AEC528D"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4727BEFE"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5AD6F2F5"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0333954C"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6CF3347C"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49317BE0"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0A6A107A" w14:textId="77777777" w:rsidR="00B56CEA" w:rsidRPr="00B56CEA" w:rsidRDefault="00B56CEA">
            <w:pPr>
              <w:jc w:val="right"/>
              <w:rPr>
                <w:sz w:val="16"/>
                <w:szCs w:val="16"/>
              </w:rPr>
            </w:pPr>
          </w:p>
        </w:tc>
        <w:tc>
          <w:tcPr>
            <w:tcW w:w="368" w:type="pct"/>
            <w:tcBorders>
              <w:top w:val="nil"/>
              <w:left w:val="nil"/>
              <w:bottom w:val="nil"/>
              <w:right w:val="nil"/>
            </w:tcBorders>
            <w:noWrap/>
            <w:vAlign w:val="bottom"/>
            <w:hideMark/>
          </w:tcPr>
          <w:p w14:paraId="2206D278" w14:textId="77777777" w:rsidR="00B56CEA" w:rsidRPr="00B56CEA" w:rsidRDefault="00B56CEA">
            <w:pPr>
              <w:jc w:val="right"/>
              <w:rPr>
                <w:sz w:val="16"/>
                <w:szCs w:val="16"/>
              </w:rPr>
            </w:pPr>
          </w:p>
        </w:tc>
      </w:tr>
      <w:tr w:rsidR="00B56CEA" w:rsidRPr="00B56CEA" w14:paraId="72AFB6A9" w14:textId="77777777" w:rsidTr="00B56CEA">
        <w:trPr>
          <w:trHeight w:val="198"/>
        </w:trPr>
        <w:tc>
          <w:tcPr>
            <w:tcW w:w="2374" w:type="pct"/>
            <w:tcBorders>
              <w:top w:val="nil"/>
              <w:left w:val="nil"/>
              <w:bottom w:val="nil"/>
              <w:right w:val="nil"/>
            </w:tcBorders>
            <w:noWrap/>
            <w:vAlign w:val="bottom"/>
            <w:hideMark/>
          </w:tcPr>
          <w:p w14:paraId="714EFC50" w14:textId="77777777" w:rsidR="00B56CEA" w:rsidRPr="00B56CEA" w:rsidRDefault="00B56CEA">
            <w:pPr>
              <w:rPr>
                <w:rFonts w:ascii="Arial" w:hAnsi="Arial" w:cs="Arial"/>
                <w:b/>
                <w:bCs/>
                <w:sz w:val="16"/>
                <w:szCs w:val="16"/>
              </w:rPr>
            </w:pPr>
            <w:r w:rsidRPr="00B56CEA">
              <w:rPr>
                <w:rFonts w:ascii="Arial" w:hAnsi="Arial" w:cs="Arial"/>
                <w:b/>
                <w:bCs/>
                <w:sz w:val="16"/>
                <w:szCs w:val="16"/>
              </w:rPr>
              <w:t>Saldo em 31 de março de 2025</w:t>
            </w:r>
          </w:p>
        </w:tc>
        <w:tc>
          <w:tcPr>
            <w:tcW w:w="344" w:type="pct"/>
            <w:tcBorders>
              <w:top w:val="single" w:sz="4" w:space="0" w:color="auto"/>
              <w:left w:val="nil"/>
              <w:bottom w:val="double" w:sz="6" w:space="0" w:color="auto"/>
              <w:right w:val="nil"/>
            </w:tcBorders>
            <w:noWrap/>
            <w:vAlign w:val="bottom"/>
            <w:hideMark/>
          </w:tcPr>
          <w:p w14:paraId="7E3278C7"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3.474.498 </w:t>
            </w:r>
          </w:p>
        </w:tc>
        <w:tc>
          <w:tcPr>
            <w:tcW w:w="58" w:type="pct"/>
            <w:tcBorders>
              <w:top w:val="nil"/>
              <w:left w:val="nil"/>
              <w:bottom w:val="nil"/>
              <w:right w:val="nil"/>
            </w:tcBorders>
            <w:noWrap/>
            <w:vAlign w:val="bottom"/>
            <w:hideMark/>
          </w:tcPr>
          <w:p w14:paraId="715063E6" w14:textId="77777777" w:rsidR="00B56CEA" w:rsidRPr="00B56CEA" w:rsidRDefault="00B56CEA">
            <w:pPr>
              <w:jc w:val="right"/>
              <w:rPr>
                <w:rFonts w:ascii="Arial" w:hAnsi="Arial" w:cs="Arial"/>
                <w:b/>
                <w:bCs/>
                <w:sz w:val="16"/>
                <w:szCs w:val="16"/>
              </w:rPr>
            </w:pPr>
          </w:p>
        </w:tc>
        <w:tc>
          <w:tcPr>
            <w:tcW w:w="405" w:type="pct"/>
            <w:tcBorders>
              <w:top w:val="single" w:sz="4" w:space="0" w:color="auto"/>
              <w:left w:val="nil"/>
              <w:bottom w:val="double" w:sz="6" w:space="0" w:color="auto"/>
              <w:right w:val="nil"/>
            </w:tcBorders>
            <w:noWrap/>
            <w:vAlign w:val="bottom"/>
            <w:hideMark/>
          </w:tcPr>
          <w:p w14:paraId="34156744"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(2.150.689)</w:t>
            </w:r>
          </w:p>
        </w:tc>
        <w:tc>
          <w:tcPr>
            <w:tcW w:w="58" w:type="pct"/>
            <w:tcBorders>
              <w:top w:val="nil"/>
              <w:left w:val="nil"/>
              <w:bottom w:val="nil"/>
              <w:right w:val="nil"/>
            </w:tcBorders>
            <w:noWrap/>
            <w:vAlign w:val="bottom"/>
            <w:hideMark/>
          </w:tcPr>
          <w:p w14:paraId="34276728" w14:textId="77777777" w:rsidR="00B56CEA" w:rsidRPr="00B56CEA" w:rsidRDefault="00B56CEA">
            <w:pPr>
              <w:jc w:val="right"/>
              <w:rPr>
                <w:rFonts w:ascii="Arial" w:hAnsi="Arial" w:cs="Arial"/>
                <w:b/>
                <w:bCs/>
                <w:sz w:val="16"/>
                <w:szCs w:val="16"/>
              </w:rPr>
            </w:pPr>
          </w:p>
        </w:tc>
        <w:tc>
          <w:tcPr>
            <w:tcW w:w="417" w:type="pct"/>
            <w:tcBorders>
              <w:top w:val="single" w:sz="4" w:space="0" w:color="auto"/>
              <w:left w:val="nil"/>
              <w:bottom w:val="double" w:sz="6" w:space="0" w:color="auto"/>
              <w:right w:val="nil"/>
            </w:tcBorders>
            <w:noWrap/>
            <w:vAlign w:val="bottom"/>
            <w:hideMark/>
          </w:tcPr>
          <w:p w14:paraId="66AD3FFF"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31.636 </w:t>
            </w:r>
          </w:p>
        </w:tc>
        <w:tc>
          <w:tcPr>
            <w:tcW w:w="58" w:type="pct"/>
            <w:tcBorders>
              <w:top w:val="nil"/>
              <w:left w:val="nil"/>
              <w:bottom w:val="nil"/>
              <w:right w:val="nil"/>
            </w:tcBorders>
            <w:noWrap/>
            <w:vAlign w:val="bottom"/>
            <w:hideMark/>
          </w:tcPr>
          <w:p w14:paraId="1F7D0B01" w14:textId="77777777" w:rsidR="00B56CEA" w:rsidRPr="00B56CEA" w:rsidRDefault="00B56CEA">
            <w:pPr>
              <w:jc w:val="right"/>
              <w:rPr>
                <w:rFonts w:ascii="Arial" w:hAnsi="Arial" w:cs="Arial"/>
                <w:b/>
                <w:bCs/>
                <w:sz w:val="16"/>
                <w:szCs w:val="16"/>
              </w:rPr>
            </w:pPr>
          </w:p>
        </w:tc>
        <w:tc>
          <w:tcPr>
            <w:tcW w:w="356" w:type="pct"/>
            <w:tcBorders>
              <w:top w:val="single" w:sz="4" w:space="0" w:color="auto"/>
              <w:left w:val="nil"/>
              <w:bottom w:val="double" w:sz="6" w:space="0" w:color="auto"/>
              <w:right w:val="nil"/>
            </w:tcBorders>
            <w:noWrap/>
            <w:vAlign w:val="bottom"/>
            <w:hideMark/>
          </w:tcPr>
          <w:p w14:paraId="1B1BF863"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(111)</w:t>
            </w:r>
          </w:p>
        </w:tc>
        <w:tc>
          <w:tcPr>
            <w:tcW w:w="58" w:type="pct"/>
            <w:tcBorders>
              <w:top w:val="nil"/>
              <w:left w:val="nil"/>
              <w:bottom w:val="nil"/>
              <w:right w:val="nil"/>
            </w:tcBorders>
            <w:noWrap/>
            <w:vAlign w:val="bottom"/>
            <w:hideMark/>
          </w:tcPr>
          <w:p w14:paraId="1B14AB55" w14:textId="77777777" w:rsidR="00B56CEA" w:rsidRPr="00B56CEA" w:rsidRDefault="00B56CEA">
            <w:pPr>
              <w:jc w:val="right"/>
              <w:rPr>
                <w:rFonts w:ascii="Arial" w:hAnsi="Arial" w:cs="Arial"/>
                <w:b/>
                <w:bCs/>
                <w:sz w:val="16"/>
                <w:szCs w:val="16"/>
              </w:rPr>
            </w:pPr>
          </w:p>
        </w:tc>
        <w:tc>
          <w:tcPr>
            <w:tcW w:w="447" w:type="pct"/>
            <w:tcBorders>
              <w:top w:val="single" w:sz="4" w:space="0" w:color="auto"/>
              <w:left w:val="nil"/>
              <w:bottom w:val="double" w:sz="6" w:space="0" w:color="auto"/>
              <w:right w:val="nil"/>
            </w:tcBorders>
            <w:noWrap/>
            <w:vAlign w:val="bottom"/>
            <w:hideMark/>
          </w:tcPr>
          <w:p w14:paraId="02FDACA8"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112.256 </w:t>
            </w:r>
          </w:p>
        </w:tc>
        <w:tc>
          <w:tcPr>
            <w:tcW w:w="58" w:type="pct"/>
            <w:tcBorders>
              <w:top w:val="nil"/>
              <w:left w:val="nil"/>
              <w:bottom w:val="nil"/>
              <w:right w:val="nil"/>
            </w:tcBorders>
            <w:noWrap/>
            <w:vAlign w:val="bottom"/>
            <w:hideMark/>
          </w:tcPr>
          <w:p w14:paraId="58D5552A" w14:textId="77777777" w:rsidR="00B56CEA" w:rsidRPr="00B56CEA" w:rsidRDefault="00B56CEA">
            <w:pPr>
              <w:jc w:val="right"/>
              <w:rPr>
                <w:rFonts w:ascii="Arial" w:hAnsi="Arial" w:cs="Arial"/>
                <w:b/>
                <w:bCs/>
                <w:sz w:val="16"/>
                <w:szCs w:val="16"/>
              </w:rPr>
            </w:pPr>
          </w:p>
        </w:tc>
        <w:tc>
          <w:tcPr>
            <w:tcW w:w="368" w:type="pct"/>
            <w:tcBorders>
              <w:top w:val="single" w:sz="4" w:space="0" w:color="auto"/>
              <w:left w:val="nil"/>
              <w:bottom w:val="double" w:sz="6" w:space="0" w:color="auto"/>
              <w:right w:val="nil"/>
            </w:tcBorders>
            <w:noWrap/>
            <w:vAlign w:val="bottom"/>
            <w:hideMark/>
          </w:tcPr>
          <w:p w14:paraId="0B310594" w14:textId="7146E440" w:rsidR="00B56CEA" w:rsidRPr="00B56CEA" w:rsidRDefault="00226F80">
            <w:pPr>
              <w:jc w:val="right"/>
              <w:rPr>
                <w:rFonts w:ascii="Arial" w:hAnsi="Arial" w:cs="Arial"/>
                <w:b/>
                <w:bCs/>
                <w:sz w:val="16"/>
                <w:szCs w:val="16"/>
              </w:rPr>
            </w:pPr>
            <w:r>
              <w:rPr>
                <w:rFonts w:ascii="Arial" w:hAnsi="Arial" w:cs="Arial"/>
                <w:b/>
                <w:bCs/>
                <w:sz w:val="16"/>
                <w:szCs w:val="16"/>
              </w:rPr>
              <w:t>1.467.590</w:t>
            </w:r>
          </w:p>
        </w:tc>
      </w:tr>
      <w:tr w:rsidR="00B56CEA" w:rsidRPr="00B56CEA" w14:paraId="6C2549F4" w14:textId="77777777" w:rsidTr="00B56CEA">
        <w:trPr>
          <w:trHeight w:val="198"/>
        </w:trPr>
        <w:tc>
          <w:tcPr>
            <w:tcW w:w="2374" w:type="pct"/>
            <w:tcBorders>
              <w:top w:val="nil"/>
              <w:left w:val="nil"/>
              <w:bottom w:val="nil"/>
              <w:right w:val="nil"/>
            </w:tcBorders>
            <w:noWrap/>
            <w:vAlign w:val="bottom"/>
            <w:hideMark/>
          </w:tcPr>
          <w:p w14:paraId="59FF5E90" w14:textId="77777777" w:rsidR="00B56CEA" w:rsidRPr="00B56CEA" w:rsidRDefault="00B56CEA">
            <w:pPr>
              <w:jc w:val="right"/>
              <w:rPr>
                <w:rFonts w:ascii="Arial" w:hAnsi="Arial" w:cs="Arial"/>
                <w:b/>
                <w:bCs/>
                <w:sz w:val="16"/>
                <w:szCs w:val="16"/>
              </w:rPr>
            </w:pPr>
          </w:p>
        </w:tc>
        <w:tc>
          <w:tcPr>
            <w:tcW w:w="344" w:type="pct"/>
            <w:tcBorders>
              <w:top w:val="nil"/>
              <w:left w:val="nil"/>
              <w:bottom w:val="nil"/>
              <w:right w:val="nil"/>
            </w:tcBorders>
            <w:noWrap/>
            <w:vAlign w:val="bottom"/>
            <w:hideMark/>
          </w:tcPr>
          <w:p w14:paraId="34DBAD2E"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6A8F82A5"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1E93D1FB"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27EB3C16"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066CF0C9"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1C5E0BDD"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5EF9E3A4"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339EF9EC"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74E6A96C"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4FFE9A81" w14:textId="77777777" w:rsidR="00B56CEA" w:rsidRPr="00B56CEA" w:rsidRDefault="00B56CEA">
            <w:pPr>
              <w:jc w:val="right"/>
              <w:rPr>
                <w:sz w:val="16"/>
                <w:szCs w:val="16"/>
              </w:rPr>
            </w:pPr>
          </w:p>
        </w:tc>
        <w:tc>
          <w:tcPr>
            <w:tcW w:w="368" w:type="pct"/>
            <w:tcBorders>
              <w:top w:val="nil"/>
              <w:left w:val="nil"/>
              <w:bottom w:val="nil"/>
              <w:right w:val="nil"/>
            </w:tcBorders>
            <w:noWrap/>
            <w:vAlign w:val="bottom"/>
            <w:hideMark/>
          </w:tcPr>
          <w:p w14:paraId="757A33E2" w14:textId="77777777" w:rsidR="00B56CEA" w:rsidRPr="00B56CEA" w:rsidRDefault="00B56CEA">
            <w:pPr>
              <w:jc w:val="right"/>
              <w:rPr>
                <w:sz w:val="16"/>
                <w:szCs w:val="16"/>
              </w:rPr>
            </w:pPr>
          </w:p>
        </w:tc>
      </w:tr>
      <w:tr w:rsidR="00B56CEA" w:rsidRPr="00B56CEA" w14:paraId="6B2F96E1" w14:textId="77777777" w:rsidTr="00B56CEA">
        <w:trPr>
          <w:trHeight w:val="198"/>
        </w:trPr>
        <w:tc>
          <w:tcPr>
            <w:tcW w:w="2374" w:type="pct"/>
            <w:tcBorders>
              <w:top w:val="nil"/>
              <w:left w:val="nil"/>
              <w:bottom w:val="nil"/>
              <w:right w:val="nil"/>
            </w:tcBorders>
            <w:noWrap/>
            <w:vAlign w:val="bottom"/>
            <w:hideMark/>
          </w:tcPr>
          <w:p w14:paraId="6D93025C" w14:textId="77777777" w:rsidR="00B56CEA" w:rsidRPr="00B56CEA" w:rsidRDefault="00B56CEA">
            <w:pPr>
              <w:jc w:val="right"/>
              <w:rPr>
                <w:sz w:val="16"/>
                <w:szCs w:val="16"/>
              </w:rPr>
            </w:pPr>
          </w:p>
        </w:tc>
        <w:tc>
          <w:tcPr>
            <w:tcW w:w="344" w:type="pct"/>
            <w:tcBorders>
              <w:top w:val="nil"/>
              <w:left w:val="nil"/>
              <w:bottom w:val="nil"/>
              <w:right w:val="nil"/>
            </w:tcBorders>
            <w:noWrap/>
            <w:vAlign w:val="bottom"/>
            <w:hideMark/>
          </w:tcPr>
          <w:p w14:paraId="3BCE72D7"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7A187FD6"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18ED3DDD"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606B0A58"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0578C19E"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04A8703E"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4CE6A395"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471E79A6"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772DAC12"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2E2F156B" w14:textId="77777777" w:rsidR="00B56CEA" w:rsidRPr="00B56CEA" w:rsidRDefault="00B56CEA">
            <w:pPr>
              <w:jc w:val="right"/>
              <w:rPr>
                <w:sz w:val="16"/>
                <w:szCs w:val="16"/>
              </w:rPr>
            </w:pPr>
          </w:p>
        </w:tc>
        <w:tc>
          <w:tcPr>
            <w:tcW w:w="368" w:type="pct"/>
            <w:tcBorders>
              <w:top w:val="nil"/>
              <w:left w:val="nil"/>
              <w:bottom w:val="nil"/>
              <w:right w:val="nil"/>
            </w:tcBorders>
            <w:noWrap/>
            <w:vAlign w:val="bottom"/>
            <w:hideMark/>
          </w:tcPr>
          <w:p w14:paraId="5F556C7B" w14:textId="77777777" w:rsidR="00B56CEA" w:rsidRPr="00B56CEA" w:rsidRDefault="00B56CEA">
            <w:pPr>
              <w:jc w:val="right"/>
              <w:rPr>
                <w:sz w:val="16"/>
                <w:szCs w:val="16"/>
              </w:rPr>
            </w:pPr>
          </w:p>
        </w:tc>
      </w:tr>
      <w:tr w:rsidR="00B56CEA" w:rsidRPr="00B56CEA" w14:paraId="7998729A" w14:textId="77777777" w:rsidTr="00B56CEA">
        <w:trPr>
          <w:trHeight w:val="198"/>
        </w:trPr>
        <w:tc>
          <w:tcPr>
            <w:tcW w:w="2374" w:type="pct"/>
            <w:tcBorders>
              <w:top w:val="nil"/>
              <w:left w:val="nil"/>
              <w:bottom w:val="nil"/>
              <w:right w:val="nil"/>
            </w:tcBorders>
            <w:noWrap/>
            <w:vAlign w:val="bottom"/>
            <w:hideMark/>
          </w:tcPr>
          <w:p w14:paraId="1BBC1AAB" w14:textId="77777777" w:rsidR="00B56CEA" w:rsidRPr="00B56CEA" w:rsidRDefault="00B56CEA">
            <w:pPr>
              <w:rPr>
                <w:rFonts w:ascii="Arial" w:hAnsi="Arial" w:cs="Arial"/>
                <w:b/>
                <w:bCs/>
                <w:sz w:val="16"/>
                <w:szCs w:val="16"/>
              </w:rPr>
            </w:pPr>
            <w:r w:rsidRPr="00B56CEA">
              <w:rPr>
                <w:rFonts w:ascii="Arial" w:hAnsi="Arial" w:cs="Arial"/>
                <w:b/>
                <w:bCs/>
                <w:sz w:val="16"/>
                <w:szCs w:val="16"/>
              </w:rPr>
              <w:t>Saldo em 31 de dezembro de 2025</w:t>
            </w:r>
          </w:p>
        </w:tc>
        <w:tc>
          <w:tcPr>
            <w:tcW w:w="344" w:type="pct"/>
            <w:tcBorders>
              <w:top w:val="nil"/>
              <w:left w:val="nil"/>
              <w:bottom w:val="single" w:sz="4" w:space="0" w:color="auto"/>
              <w:right w:val="nil"/>
            </w:tcBorders>
            <w:noWrap/>
            <w:vAlign w:val="bottom"/>
            <w:hideMark/>
          </w:tcPr>
          <w:p w14:paraId="1A57DF60"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3.719.535 </w:t>
            </w:r>
          </w:p>
        </w:tc>
        <w:tc>
          <w:tcPr>
            <w:tcW w:w="58" w:type="pct"/>
            <w:tcBorders>
              <w:top w:val="nil"/>
              <w:left w:val="nil"/>
              <w:bottom w:val="nil"/>
              <w:right w:val="nil"/>
            </w:tcBorders>
            <w:noWrap/>
            <w:vAlign w:val="bottom"/>
            <w:hideMark/>
          </w:tcPr>
          <w:p w14:paraId="382123C4" w14:textId="77777777" w:rsidR="00B56CEA" w:rsidRPr="00B56CEA" w:rsidRDefault="00B56CEA">
            <w:pPr>
              <w:jc w:val="right"/>
              <w:rPr>
                <w:rFonts w:ascii="Arial" w:hAnsi="Arial" w:cs="Arial"/>
                <w:b/>
                <w:bCs/>
                <w:sz w:val="16"/>
                <w:szCs w:val="16"/>
              </w:rPr>
            </w:pPr>
          </w:p>
        </w:tc>
        <w:tc>
          <w:tcPr>
            <w:tcW w:w="405" w:type="pct"/>
            <w:tcBorders>
              <w:top w:val="nil"/>
              <w:left w:val="nil"/>
              <w:bottom w:val="single" w:sz="4" w:space="0" w:color="auto"/>
              <w:right w:val="nil"/>
            </w:tcBorders>
            <w:noWrap/>
            <w:vAlign w:val="bottom"/>
            <w:hideMark/>
          </w:tcPr>
          <w:p w14:paraId="6A65F163"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(1.999.280)</w:t>
            </w:r>
          </w:p>
        </w:tc>
        <w:tc>
          <w:tcPr>
            <w:tcW w:w="58" w:type="pct"/>
            <w:tcBorders>
              <w:top w:val="nil"/>
              <w:left w:val="nil"/>
              <w:bottom w:val="nil"/>
              <w:right w:val="nil"/>
            </w:tcBorders>
            <w:noWrap/>
            <w:vAlign w:val="bottom"/>
            <w:hideMark/>
          </w:tcPr>
          <w:p w14:paraId="63EA6557" w14:textId="77777777" w:rsidR="00B56CEA" w:rsidRPr="00B56CEA" w:rsidRDefault="00B56CEA">
            <w:pPr>
              <w:jc w:val="right"/>
              <w:rPr>
                <w:rFonts w:ascii="Arial" w:hAnsi="Arial" w:cs="Arial"/>
                <w:b/>
                <w:bCs/>
                <w:sz w:val="16"/>
                <w:szCs w:val="16"/>
              </w:rPr>
            </w:pPr>
          </w:p>
        </w:tc>
        <w:tc>
          <w:tcPr>
            <w:tcW w:w="417" w:type="pct"/>
            <w:tcBorders>
              <w:top w:val="nil"/>
              <w:left w:val="nil"/>
              <w:bottom w:val="single" w:sz="4" w:space="0" w:color="auto"/>
              <w:right w:val="nil"/>
            </w:tcBorders>
            <w:noWrap/>
            <w:vAlign w:val="bottom"/>
            <w:hideMark/>
          </w:tcPr>
          <w:p w14:paraId="323E968B"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31.945 </w:t>
            </w:r>
          </w:p>
        </w:tc>
        <w:tc>
          <w:tcPr>
            <w:tcW w:w="58" w:type="pct"/>
            <w:tcBorders>
              <w:top w:val="nil"/>
              <w:left w:val="nil"/>
              <w:bottom w:val="nil"/>
              <w:right w:val="nil"/>
            </w:tcBorders>
            <w:noWrap/>
            <w:vAlign w:val="bottom"/>
            <w:hideMark/>
          </w:tcPr>
          <w:p w14:paraId="26222777" w14:textId="77777777" w:rsidR="00B56CEA" w:rsidRPr="00B56CEA" w:rsidRDefault="00B56CEA">
            <w:pPr>
              <w:jc w:val="right"/>
              <w:rPr>
                <w:rFonts w:ascii="Arial" w:hAnsi="Arial" w:cs="Arial"/>
                <w:b/>
                <w:bCs/>
                <w:sz w:val="16"/>
                <w:szCs w:val="16"/>
              </w:rPr>
            </w:pPr>
          </w:p>
        </w:tc>
        <w:tc>
          <w:tcPr>
            <w:tcW w:w="356" w:type="pct"/>
            <w:tcBorders>
              <w:top w:val="nil"/>
              <w:left w:val="nil"/>
              <w:bottom w:val="single" w:sz="4" w:space="0" w:color="auto"/>
              <w:right w:val="nil"/>
            </w:tcBorders>
            <w:noWrap/>
            <w:vAlign w:val="bottom"/>
            <w:hideMark/>
          </w:tcPr>
          <w:p w14:paraId="0750D953"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(111)</w:t>
            </w:r>
          </w:p>
        </w:tc>
        <w:tc>
          <w:tcPr>
            <w:tcW w:w="58" w:type="pct"/>
            <w:tcBorders>
              <w:top w:val="nil"/>
              <w:left w:val="nil"/>
              <w:bottom w:val="nil"/>
              <w:right w:val="nil"/>
            </w:tcBorders>
            <w:noWrap/>
            <w:vAlign w:val="bottom"/>
            <w:hideMark/>
          </w:tcPr>
          <w:p w14:paraId="43ADF781" w14:textId="77777777" w:rsidR="00B56CEA" w:rsidRPr="00B56CEA" w:rsidRDefault="00B56CEA">
            <w:pPr>
              <w:jc w:val="right"/>
              <w:rPr>
                <w:rFonts w:ascii="Arial" w:hAnsi="Arial" w:cs="Arial"/>
                <w:b/>
                <w:bCs/>
                <w:sz w:val="16"/>
                <w:szCs w:val="16"/>
              </w:rPr>
            </w:pPr>
          </w:p>
        </w:tc>
        <w:tc>
          <w:tcPr>
            <w:tcW w:w="447" w:type="pct"/>
            <w:tcBorders>
              <w:top w:val="nil"/>
              <w:left w:val="nil"/>
              <w:bottom w:val="single" w:sz="4" w:space="0" w:color="auto"/>
              <w:right w:val="nil"/>
            </w:tcBorders>
            <w:noWrap/>
            <w:vAlign w:val="bottom"/>
            <w:hideMark/>
          </w:tcPr>
          <w:p w14:paraId="03FCEC1B"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18FA6BED" w14:textId="77777777" w:rsidR="00B56CEA" w:rsidRPr="00B56CEA" w:rsidRDefault="00B56CEA">
            <w:pPr>
              <w:jc w:val="right"/>
              <w:rPr>
                <w:rFonts w:ascii="Arial" w:hAnsi="Arial" w:cs="Arial"/>
                <w:b/>
                <w:bCs/>
                <w:sz w:val="16"/>
                <w:szCs w:val="16"/>
              </w:rPr>
            </w:pPr>
          </w:p>
        </w:tc>
        <w:tc>
          <w:tcPr>
            <w:tcW w:w="368" w:type="pct"/>
            <w:tcBorders>
              <w:top w:val="nil"/>
              <w:left w:val="nil"/>
              <w:bottom w:val="single" w:sz="4" w:space="0" w:color="auto"/>
              <w:right w:val="nil"/>
            </w:tcBorders>
            <w:noWrap/>
            <w:vAlign w:val="bottom"/>
            <w:hideMark/>
          </w:tcPr>
          <w:p w14:paraId="5A0B2BB4"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1.752.089 </w:t>
            </w:r>
          </w:p>
        </w:tc>
      </w:tr>
      <w:tr w:rsidR="00B56CEA" w:rsidRPr="00B56CEA" w14:paraId="634DD5D4" w14:textId="77777777" w:rsidTr="00B56CEA">
        <w:trPr>
          <w:trHeight w:val="198"/>
        </w:trPr>
        <w:tc>
          <w:tcPr>
            <w:tcW w:w="2374" w:type="pct"/>
            <w:tcBorders>
              <w:top w:val="nil"/>
              <w:left w:val="nil"/>
              <w:bottom w:val="nil"/>
              <w:right w:val="nil"/>
            </w:tcBorders>
            <w:noWrap/>
            <w:vAlign w:val="bottom"/>
            <w:hideMark/>
          </w:tcPr>
          <w:p w14:paraId="68717275" w14:textId="77777777" w:rsidR="00B56CEA" w:rsidRPr="00B56CEA" w:rsidRDefault="00B56CEA">
            <w:pPr>
              <w:jc w:val="right"/>
              <w:rPr>
                <w:rFonts w:ascii="Arial" w:hAnsi="Arial" w:cs="Arial"/>
                <w:b/>
                <w:bCs/>
                <w:sz w:val="16"/>
                <w:szCs w:val="16"/>
              </w:rPr>
            </w:pPr>
          </w:p>
        </w:tc>
        <w:tc>
          <w:tcPr>
            <w:tcW w:w="344" w:type="pct"/>
            <w:tcBorders>
              <w:top w:val="nil"/>
              <w:left w:val="nil"/>
              <w:bottom w:val="nil"/>
              <w:right w:val="nil"/>
            </w:tcBorders>
            <w:noWrap/>
            <w:vAlign w:val="bottom"/>
            <w:hideMark/>
          </w:tcPr>
          <w:p w14:paraId="6340DDB9"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4A86FFA3"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3809EC9A"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6FC6A85C"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3335B826"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2EE664D8"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57B7808B"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35CB38AD"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504A1911"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45B0814F" w14:textId="77777777" w:rsidR="00B56CEA" w:rsidRPr="00B56CEA" w:rsidRDefault="00B56CEA">
            <w:pPr>
              <w:jc w:val="right"/>
              <w:rPr>
                <w:sz w:val="16"/>
                <w:szCs w:val="16"/>
              </w:rPr>
            </w:pPr>
          </w:p>
        </w:tc>
        <w:tc>
          <w:tcPr>
            <w:tcW w:w="368" w:type="pct"/>
            <w:tcBorders>
              <w:top w:val="nil"/>
              <w:left w:val="nil"/>
              <w:bottom w:val="nil"/>
              <w:right w:val="nil"/>
            </w:tcBorders>
            <w:noWrap/>
            <w:vAlign w:val="bottom"/>
            <w:hideMark/>
          </w:tcPr>
          <w:p w14:paraId="1F5D8F44" w14:textId="77777777" w:rsidR="00B56CEA" w:rsidRPr="00B56CEA" w:rsidRDefault="00B56CEA">
            <w:pPr>
              <w:jc w:val="right"/>
              <w:rPr>
                <w:sz w:val="16"/>
                <w:szCs w:val="16"/>
              </w:rPr>
            </w:pPr>
          </w:p>
        </w:tc>
      </w:tr>
      <w:tr w:rsidR="00B56CEA" w:rsidRPr="00B56CEA" w14:paraId="57A99805" w14:textId="77777777" w:rsidTr="00B56CEA">
        <w:trPr>
          <w:trHeight w:val="198"/>
        </w:trPr>
        <w:tc>
          <w:tcPr>
            <w:tcW w:w="2374" w:type="pct"/>
            <w:tcBorders>
              <w:top w:val="nil"/>
              <w:left w:val="nil"/>
              <w:bottom w:val="nil"/>
              <w:right w:val="nil"/>
            </w:tcBorders>
            <w:noWrap/>
            <w:vAlign w:val="bottom"/>
            <w:hideMark/>
          </w:tcPr>
          <w:p w14:paraId="3C1113B6" w14:textId="77777777" w:rsidR="00B56CEA" w:rsidRPr="00B56CEA" w:rsidRDefault="00B56CEA">
            <w:pPr>
              <w:rPr>
                <w:rFonts w:ascii="Arial" w:hAnsi="Arial" w:cs="Arial"/>
                <w:b/>
                <w:bCs/>
                <w:sz w:val="16"/>
                <w:szCs w:val="16"/>
              </w:rPr>
            </w:pPr>
            <w:r w:rsidRPr="00B56CEA">
              <w:rPr>
                <w:rFonts w:ascii="Arial" w:hAnsi="Arial" w:cs="Arial"/>
                <w:b/>
                <w:bCs/>
                <w:sz w:val="16"/>
                <w:szCs w:val="16"/>
              </w:rPr>
              <w:t>Resultados Abrangentes Total:</w:t>
            </w:r>
          </w:p>
        </w:tc>
        <w:tc>
          <w:tcPr>
            <w:tcW w:w="344" w:type="pct"/>
            <w:tcBorders>
              <w:top w:val="nil"/>
              <w:left w:val="nil"/>
              <w:bottom w:val="nil"/>
              <w:right w:val="nil"/>
            </w:tcBorders>
            <w:noWrap/>
            <w:vAlign w:val="bottom"/>
            <w:hideMark/>
          </w:tcPr>
          <w:p w14:paraId="762E03F5"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5E5ABBD9"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59E558C2"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(89.543)</w:t>
            </w:r>
          </w:p>
        </w:tc>
        <w:tc>
          <w:tcPr>
            <w:tcW w:w="58" w:type="pct"/>
            <w:tcBorders>
              <w:top w:val="nil"/>
              <w:left w:val="nil"/>
              <w:bottom w:val="nil"/>
              <w:right w:val="nil"/>
            </w:tcBorders>
            <w:noWrap/>
            <w:vAlign w:val="bottom"/>
            <w:hideMark/>
          </w:tcPr>
          <w:p w14:paraId="4E8AFE04" w14:textId="77777777" w:rsidR="00B56CEA" w:rsidRPr="00B56CEA" w:rsidRDefault="00B56CEA">
            <w:pPr>
              <w:jc w:val="right"/>
              <w:rPr>
                <w:rFonts w:ascii="Arial" w:hAnsi="Arial" w:cs="Arial"/>
                <w:b/>
                <w:bCs/>
                <w:sz w:val="16"/>
                <w:szCs w:val="16"/>
              </w:rPr>
            </w:pPr>
          </w:p>
        </w:tc>
        <w:tc>
          <w:tcPr>
            <w:tcW w:w="417" w:type="pct"/>
            <w:tcBorders>
              <w:top w:val="nil"/>
              <w:left w:val="nil"/>
              <w:bottom w:val="nil"/>
              <w:right w:val="nil"/>
            </w:tcBorders>
            <w:noWrap/>
            <w:vAlign w:val="bottom"/>
            <w:hideMark/>
          </w:tcPr>
          <w:p w14:paraId="453FBCBD"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53 </w:t>
            </w:r>
          </w:p>
        </w:tc>
        <w:tc>
          <w:tcPr>
            <w:tcW w:w="58" w:type="pct"/>
            <w:tcBorders>
              <w:top w:val="nil"/>
              <w:left w:val="nil"/>
              <w:bottom w:val="nil"/>
              <w:right w:val="nil"/>
            </w:tcBorders>
            <w:noWrap/>
            <w:vAlign w:val="bottom"/>
            <w:hideMark/>
          </w:tcPr>
          <w:p w14:paraId="39387DF8" w14:textId="77777777" w:rsidR="00B56CEA" w:rsidRPr="00B56CEA" w:rsidRDefault="00B56CEA">
            <w:pPr>
              <w:jc w:val="right"/>
              <w:rPr>
                <w:rFonts w:ascii="Arial" w:hAnsi="Arial" w:cs="Arial"/>
                <w:b/>
                <w:bCs/>
                <w:sz w:val="16"/>
                <w:szCs w:val="16"/>
              </w:rPr>
            </w:pPr>
          </w:p>
        </w:tc>
        <w:tc>
          <w:tcPr>
            <w:tcW w:w="356" w:type="pct"/>
            <w:tcBorders>
              <w:top w:val="nil"/>
              <w:left w:val="nil"/>
              <w:bottom w:val="nil"/>
              <w:right w:val="nil"/>
            </w:tcBorders>
            <w:noWrap/>
            <w:vAlign w:val="bottom"/>
            <w:hideMark/>
          </w:tcPr>
          <w:p w14:paraId="47456EBB"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4DB5DB64" w14:textId="77777777" w:rsidR="00B56CEA" w:rsidRPr="00B56CEA" w:rsidRDefault="00B56CEA">
            <w:pPr>
              <w:jc w:val="right"/>
              <w:rPr>
                <w:rFonts w:ascii="Arial" w:hAnsi="Arial" w:cs="Arial"/>
                <w:b/>
                <w:bCs/>
                <w:sz w:val="16"/>
                <w:szCs w:val="16"/>
              </w:rPr>
            </w:pPr>
          </w:p>
        </w:tc>
        <w:tc>
          <w:tcPr>
            <w:tcW w:w="447" w:type="pct"/>
            <w:tcBorders>
              <w:top w:val="nil"/>
              <w:left w:val="nil"/>
              <w:bottom w:val="nil"/>
              <w:right w:val="nil"/>
            </w:tcBorders>
            <w:noWrap/>
            <w:vAlign w:val="bottom"/>
            <w:hideMark/>
          </w:tcPr>
          <w:p w14:paraId="54AE74E7"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43C79922" w14:textId="77777777" w:rsidR="00B56CEA" w:rsidRPr="00B56CEA" w:rsidRDefault="00B56CEA">
            <w:pPr>
              <w:jc w:val="right"/>
              <w:rPr>
                <w:rFonts w:ascii="Arial" w:hAnsi="Arial" w:cs="Arial"/>
                <w:b/>
                <w:bCs/>
                <w:sz w:val="16"/>
                <w:szCs w:val="16"/>
              </w:rPr>
            </w:pPr>
          </w:p>
        </w:tc>
        <w:tc>
          <w:tcPr>
            <w:tcW w:w="368" w:type="pct"/>
            <w:tcBorders>
              <w:top w:val="nil"/>
              <w:left w:val="nil"/>
              <w:bottom w:val="nil"/>
              <w:right w:val="nil"/>
            </w:tcBorders>
            <w:noWrap/>
            <w:vAlign w:val="bottom"/>
            <w:hideMark/>
          </w:tcPr>
          <w:p w14:paraId="5B4A97AC"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(89.490)</w:t>
            </w:r>
          </w:p>
        </w:tc>
      </w:tr>
      <w:tr w:rsidR="00B56CEA" w:rsidRPr="00B56CEA" w14:paraId="05DCDE03" w14:textId="77777777" w:rsidTr="00B56CEA">
        <w:trPr>
          <w:trHeight w:val="198"/>
        </w:trPr>
        <w:tc>
          <w:tcPr>
            <w:tcW w:w="2374" w:type="pct"/>
            <w:tcBorders>
              <w:top w:val="nil"/>
              <w:left w:val="nil"/>
              <w:bottom w:val="nil"/>
              <w:right w:val="nil"/>
            </w:tcBorders>
            <w:noWrap/>
            <w:vAlign w:val="bottom"/>
            <w:hideMark/>
          </w:tcPr>
          <w:p w14:paraId="2039DF4B" w14:textId="711D4141" w:rsidR="00B56CEA" w:rsidRPr="00B56CEA" w:rsidRDefault="00B56CEA">
            <w:pPr>
              <w:rPr>
                <w:rFonts w:ascii="Arial" w:hAnsi="Arial" w:cs="Arial"/>
                <w:sz w:val="16"/>
                <w:szCs w:val="16"/>
              </w:rPr>
            </w:pPr>
            <w:r w:rsidRPr="00B56CEA">
              <w:rPr>
                <w:rFonts w:ascii="Arial" w:hAnsi="Arial" w:cs="Arial"/>
                <w:sz w:val="16"/>
                <w:szCs w:val="16"/>
              </w:rPr>
              <w:t>Prejuízo do Período</w:t>
            </w:r>
          </w:p>
        </w:tc>
        <w:tc>
          <w:tcPr>
            <w:tcW w:w="344" w:type="pct"/>
            <w:tcBorders>
              <w:top w:val="nil"/>
              <w:left w:val="nil"/>
              <w:bottom w:val="nil"/>
              <w:right w:val="nil"/>
            </w:tcBorders>
            <w:noWrap/>
            <w:vAlign w:val="bottom"/>
            <w:hideMark/>
          </w:tcPr>
          <w:p w14:paraId="6738142A"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6D6A79E1"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28D298C9"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(89.543)</w:t>
            </w:r>
          </w:p>
        </w:tc>
        <w:tc>
          <w:tcPr>
            <w:tcW w:w="58" w:type="pct"/>
            <w:tcBorders>
              <w:top w:val="nil"/>
              <w:left w:val="nil"/>
              <w:bottom w:val="nil"/>
              <w:right w:val="nil"/>
            </w:tcBorders>
            <w:noWrap/>
            <w:vAlign w:val="bottom"/>
            <w:hideMark/>
          </w:tcPr>
          <w:p w14:paraId="323C2E2A" w14:textId="77777777" w:rsidR="00B56CEA" w:rsidRPr="00B56CEA" w:rsidRDefault="00B56CEA">
            <w:pPr>
              <w:jc w:val="right"/>
              <w:rPr>
                <w:rFonts w:ascii="Arial" w:hAnsi="Arial" w:cs="Arial"/>
                <w:sz w:val="16"/>
                <w:szCs w:val="16"/>
              </w:rPr>
            </w:pPr>
          </w:p>
        </w:tc>
        <w:tc>
          <w:tcPr>
            <w:tcW w:w="417" w:type="pct"/>
            <w:tcBorders>
              <w:top w:val="nil"/>
              <w:left w:val="nil"/>
              <w:bottom w:val="nil"/>
              <w:right w:val="nil"/>
            </w:tcBorders>
            <w:noWrap/>
            <w:vAlign w:val="bottom"/>
            <w:hideMark/>
          </w:tcPr>
          <w:p w14:paraId="49C3BE40"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7566718B" w14:textId="77777777" w:rsidR="00B56CEA" w:rsidRPr="00B56CEA" w:rsidRDefault="00B56CEA">
            <w:pPr>
              <w:jc w:val="right"/>
              <w:rPr>
                <w:rFonts w:ascii="Arial" w:hAnsi="Arial" w:cs="Arial"/>
                <w:b/>
                <w:bCs/>
                <w:sz w:val="16"/>
                <w:szCs w:val="16"/>
              </w:rPr>
            </w:pPr>
          </w:p>
        </w:tc>
        <w:tc>
          <w:tcPr>
            <w:tcW w:w="356" w:type="pct"/>
            <w:tcBorders>
              <w:top w:val="nil"/>
              <w:left w:val="nil"/>
              <w:bottom w:val="nil"/>
              <w:right w:val="nil"/>
            </w:tcBorders>
            <w:noWrap/>
            <w:vAlign w:val="bottom"/>
            <w:hideMark/>
          </w:tcPr>
          <w:p w14:paraId="761EC898"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16026D07" w14:textId="77777777" w:rsidR="00B56CEA" w:rsidRPr="00B56CEA" w:rsidRDefault="00B56CEA">
            <w:pPr>
              <w:jc w:val="right"/>
              <w:rPr>
                <w:rFonts w:ascii="Arial" w:hAnsi="Arial" w:cs="Arial"/>
                <w:sz w:val="16"/>
                <w:szCs w:val="16"/>
              </w:rPr>
            </w:pPr>
          </w:p>
        </w:tc>
        <w:tc>
          <w:tcPr>
            <w:tcW w:w="447" w:type="pct"/>
            <w:tcBorders>
              <w:top w:val="nil"/>
              <w:left w:val="nil"/>
              <w:bottom w:val="nil"/>
              <w:right w:val="nil"/>
            </w:tcBorders>
            <w:noWrap/>
            <w:vAlign w:val="bottom"/>
            <w:hideMark/>
          </w:tcPr>
          <w:p w14:paraId="761D581E"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5ECA680A" w14:textId="77777777" w:rsidR="00B56CEA" w:rsidRPr="00B56CEA" w:rsidRDefault="00B56CEA">
            <w:pPr>
              <w:jc w:val="right"/>
              <w:rPr>
                <w:rFonts w:ascii="Arial" w:hAnsi="Arial" w:cs="Arial"/>
                <w:sz w:val="16"/>
                <w:szCs w:val="16"/>
              </w:rPr>
            </w:pPr>
          </w:p>
        </w:tc>
        <w:tc>
          <w:tcPr>
            <w:tcW w:w="368" w:type="pct"/>
            <w:tcBorders>
              <w:top w:val="nil"/>
              <w:left w:val="nil"/>
              <w:bottom w:val="nil"/>
              <w:right w:val="nil"/>
            </w:tcBorders>
            <w:noWrap/>
            <w:vAlign w:val="bottom"/>
            <w:hideMark/>
          </w:tcPr>
          <w:p w14:paraId="16062C44"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(89.543)</w:t>
            </w:r>
          </w:p>
        </w:tc>
      </w:tr>
      <w:tr w:rsidR="00B56CEA" w:rsidRPr="00B56CEA" w14:paraId="2A7E29EE" w14:textId="77777777" w:rsidTr="00B56CEA">
        <w:trPr>
          <w:trHeight w:val="198"/>
        </w:trPr>
        <w:tc>
          <w:tcPr>
            <w:tcW w:w="2374" w:type="pct"/>
            <w:tcBorders>
              <w:top w:val="nil"/>
              <w:left w:val="nil"/>
              <w:bottom w:val="nil"/>
              <w:right w:val="nil"/>
            </w:tcBorders>
            <w:noWrap/>
            <w:vAlign w:val="bottom"/>
            <w:hideMark/>
          </w:tcPr>
          <w:p w14:paraId="053DBA23" w14:textId="77777777" w:rsidR="00B56CEA" w:rsidRPr="00B56CEA" w:rsidRDefault="00B56CEA">
            <w:pPr>
              <w:rPr>
                <w:rFonts w:ascii="Arial" w:hAnsi="Arial" w:cs="Arial"/>
                <w:b/>
                <w:bCs/>
                <w:sz w:val="16"/>
                <w:szCs w:val="16"/>
              </w:rPr>
            </w:pPr>
            <w:r w:rsidRPr="00B56CEA">
              <w:rPr>
                <w:rFonts w:ascii="Arial" w:hAnsi="Arial" w:cs="Arial"/>
                <w:b/>
                <w:bCs/>
                <w:sz w:val="16"/>
                <w:szCs w:val="16"/>
              </w:rPr>
              <w:t>Outros Resultados Abrangentes:</w:t>
            </w:r>
          </w:p>
        </w:tc>
        <w:tc>
          <w:tcPr>
            <w:tcW w:w="344" w:type="pct"/>
            <w:tcBorders>
              <w:top w:val="nil"/>
              <w:left w:val="nil"/>
              <w:bottom w:val="nil"/>
              <w:right w:val="nil"/>
            </w:tcBorders>
            <w:noWrap/>
            <w:vAlign w:val="bottom"/>
            <w:hideMark/>
          </w:tcPr>
          <w:p w14:paraId="2C1A882A"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10E6769F"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7461708C"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5927B34D" w14:textId="77777777" w:rsidR="00B56CEA" w:rsidRPr="00B56CEA" w:rsidRDefault="00B56CEA">
            <w:pPr>
              <w:jc w:val="right"/>
              <w:rPr>
                <w:rFonts w:ascii="Arial" w:hAnsi="Arial" w:cs="Arial"/>
                <w:b/>
                <w:bCs/>
                <w:sz w:val="16"/>
                <w:szCs w:val="16"/>
              </w:rPr>
            </w:pPr>
          </w:p>
        </w:tc>
        <w:tc>
          <w:tcPr>
            <w:tcW w:w="417" w:type="pct"/>
            <w:tcBorders>
              <w:top w:val="nil"/>
              <w:left w:val="nil"/>
              <w:bottom w:val="nil"/>
              <w:right w:val="nil"/>
            </w:tcBorders>
            <w:noWrap/>
            <w:vAlign w:val="bottom"/>
            <w:hideMark/>
          </w:tcPr>
          <w:p w14:paraId="63168855"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53 </w:t>
            </w:r>
          </w:p>
        </w:tc>
        <w:tc>
          <w:tcPr>
            <w:tcW w:w="58" w:type="pct"/>
            <w:tcBorders>
              <w:top w:val="nil"/>
              <w:left w:val="nil"/>
              <w:bottom w:val="nil"/>
              <w:right w:val="nil"/>
            </w:tcBorders>
            <w:noWrap/>
            <w:vAlign w:val="bottom"/>
            <w:hideMark/>
          </w:tcPr>
          <w:p w14:paraId="72790C47" w14:textId="77777777" w:rsidR="00B56CEA" w:rsidRPr="00B56CEA" w:rsidRDefault="00B56CEA">
            <w:pPr>
              <w:jc w:val="right"/>
              <w:rPr>
                <w:rFonts w:ascii="Arial" w:hAnsi="Arial" w:cs="Arial"/>
                <w:b/>
                <w:bCs/>
                <w:sz w:val="16"/>
                <w:szCs w:val="16"/>
              </w:rPr>
            </w:pPr>
          </w:p>
        </w:tc>
        <w:tc>
          <w:tcPr>
            <w:tcW w:w="356" w:type="pct"/>
            <w:tcBorders>
              <w:top w:val="nil"/>
              <w:left w:val="nil"/>
              <w:bottom w:val="nil"/>
              <w:right w:val="nil"/>
            </w:tcBorders>
            <w:noWrap/>
            <w:vAlign w:val="bottom"/>
            <w:hideMark/>
          </w:tcPr>
          <w:p w14:paraId="28D8F31C"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25F341A1" w14:textId="77777777" w:rsidR="00B56CEA" w:rsidRPr="00B56CEA" w:rsidRDefault="00B56CEA">
            <w:pPr>
              <w:jc w:val="right"/>
              <w:rPr>
                <w:rFonts w:ascii="Arial" w:hAnsi="Arial" w:cs="Arial"/>
                <w:b/>
                <w:bCs/>
                <w:sz w:val="16"/>
                <w:szCs w:val="16"/>
              </w:rPr>
            </w:pPr>
          </w:p>
        </w:tc>
        <w:tc>
          <w:tcPr>
            <w:tcW w:w="447" w:type="pct"/>
            <w:tcBorders>
              <w:top w:val="nil"/>
              <w:left w:val="nil"/>
              <w:bottom w:val="nil"/>
              <w:right w:val="nil"/>
            </w:tcBorders>
            <w:noWrap/>
            <w:vAlign w:val="bottom"/>
            <w:hideMark/>
          </w:tcPr>
          <w:p w14:paraId="002989C5"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5496FA98" w14:textId="77777777" w:rsidR="00B56CEA" w:rsidRPr="00B56CEA" w:rsidRDefault="00B56CEA">
            <w:pPr>
              <w:jc w:val="right"/>
              <w:rPr>
                <w:rFonts w:ascii="Arial" w:hAnsi="Arial" w:cs="Arial"/>
                <w:b/>
                <w:bCs/>
                <w:sz w:val="16"/>
                <w:szCs w:val="16"/>
              </w:rPr>
            </w:pPr>
          </w:p>
        </w:tc>
        <w:tc>
          <w:tcPr>
            <w:tcW w:w="368" w:type="pct"/>
            <w:tcBorders>
              <w:top w:val="nil"/>
              <w:left w:val="nil"/>
              <w:bottom w:val="nil"/>
              <w:right w:val="nil"/>
            </w:tcBorders>
            <w:noWrap/>
            <w:vAlign w:val="bottom"/>
            <w:hideMark/>
          </w:tcPr>
          <w:p w14:paraId="3F18839E"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53 </w:t>
            </w:r>
          </w:p>
        </w:tc>
      </w:tr>
      <w:tr w:rsidR="00B56CEA" w:rsidRPr="00B56CEA" w14:paraId="0DBC2721" w14:textId="77777777" w:rsidTr="00B56CEA">
        <w:trPr>
          <w:trHeight w:val="198"/>
        </w:trPr>
        <w:tc>
          <w:tcPr>
            <w:tcW w:w="2374" w:type="pct"/>
            <w:tcBorders>
              <w:top w:val="nil"/>
              <w:left w:val="nil"/>
              <w:bottom w:val="nil"/>
              <w:right w:val="nil"/>
            </w:tcBorders>
            <w:noWrap/>
            <w:vAlign w:val="bottom"/>
            <w:hideMark/>
          </w:tcPr>
          <w:p w14:paraId="451B47A8" w14:textId="2CE87480" w:rsidR="00B56CEA" w:rsidRPr="00B56CEA" w:rsidRDefault="00B56CEA">
            <w:pPr>
              <w:rPr>
                <w:rFonts w:ascii="Arial" w:hAnsi="Arial" w:cs="Arial"/>
                <w:sz w:val="16"/>
                <w:szCs w:val="16"/>
              </w:rPr>
            </w:pPr>
            <w:r w:rsidRPr="00B56CEA">
              <w:rPr>
                <w:rFonts w:ascii="Arial" w:hAnsi="Arial" w:cs="Arial"/>
                <w:sz w:val="16"/>
                <w:szCs w:val="16"/>
              </w:rPr>
              <w:t>Equivalência Patrimonial sobre Outros Resultados Abrangentes - Coligadas</w:t>
            </w:r>
          </w:p>
        </w:tc>
        <w:tc>
          <w:tcPr>
            <w:tcW w:w="344" w:type="pct"/>
            <w:tcBorders>
              <w:top w:val="nil"/>
              <w:left w:val="nil"/>
              <w:bottom w:val="nil"/>
              <w:right w:val="nil"/>
            </w:tcBorders>
            <w:noWrap/>
            <w:vAlign w:val="bottom"/>
            <w:hideMark/>
          </w:tcPr>
          <w:p w14:paraId="4298DAB6"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7D0B5A6B"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3798C710"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7B1984F4" w14:textId="77777777" w:rsidR="00B56CEA" w:rsidRPr="00B56CEA" w:rsidRDefault="00B56CEA">
            <w:pPr>
              <w:jc w:val="right"/>
              <w:rPr>
                <w:rFonts w:ascii="Arial" w:hAnsi="Arial" w:cs="Arial"/>
                <w:b/>
                <w:bCs/>
                <w:sz w:val="16"/>
                <w:szCs w:val="16"/>
              </w:rPr>
            </w:pPr>
          </w:p>
        </w:tc>
        <w:tc>
          <w:tcPr>
            <w:tcW w:w="417" w:type="pct"/>
            <w:tcBorders>
              <w:top w:val="nil"/>
              <w:left w:val="nil"/>
              <w:bottom w:val="nil"/>
              <w:right w:val="nil"/>
            </w:tcBorders>
            <w:noWrap/>
            <w:vAlign w:val="bottom"/>
            <w:hideMark/>
          </w:tcPr>
          <w:p w14:paraId="1D0E842C"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(740)</w:t>
            </w:r>
          </w:p>
        </w:tc>
        <w:tc>
          <w:tcPr>
            <w:tcW w:w="58" w:type="pct"/>
            <w:tcBorders>
              <w:top w:val="nil"/>
              <w:left w:val="nil"/>
              <w:bottom w:val="nil"/>
              <w:right w:val="nil"/>
            </w:tcBorders>
            <w:noWrap/>
            <w:vAlign w:val="bottom"/>
            <w:hideMark/>
          </w:tcPr>
          <w:p w14:paraId="50F14574" w14:textId="77777777" w:rsidR="00B56CEA" w:rsidRPr="00B56CEA" w:rsidRDefault="00B56CEA">
            <w:pPr>
              <w:jc w:val="right"/>
              <w:rPr>
                <w:rFonts w:ascii="Arial" w:hAnsi="Arial" w:cs="Arial"/>
                <w:sz w:val="16"/>
                <w:szCs w:val="16"/>
              </w:rPr>
            </w:pPr>
          </w:p>
        </w:tc>
        <w:tc>
          <w:tcPr>
            <w:tcW w:w="356" w:type="pct"/>
            <w:tcBorders>
              <w:top w:val="nil"/>
              <w:left w:val="nil"/>
              <w:bottom w:val="nil"/>
              <w:right w:val="nil"/>
            </w:tcBorders>
            <w:noWrap/>
            <w:vAlign w:val="bottom"/>
            <w:hideMark/>
          </w:tcPr>
          <w:p w14:paraId="53025931"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1C2495C7" w14:textId="77777777" w:rsidR="00B56CEA" w:rsidRPr="00B56CEA" w:rsidRDefault="00B56CEA">
            <w:pPr>
              <w:jc w:val="right"/>
              <w:rPr>
                <w:rFonts w:ascii="Arial" w:hAnsi="Arial" w:cs="Arial"/>
                <w:sz w:val="16"/>
                <w:szCs w:val="16"/>
              </w:rPr>
            </w:pPr>
          </w:p>
        </w:tc>
        <w:tc>
          <w:tcPr>
            <w:tcW w:w="447" w:type="pct"/>
            <w:tcBorders>
              <w:top w:val="nil"/>
              <w:left w:val="nil"/>
              <w:bottom w:val="nil"/>
              <w:right w:val="nil"/>
            </w:tcBorders>
            <w:noWrap/>
            <w:vAlign w:val="bottom"/>
            <w:hideMark/>
          </w:tcPr>
          <w:p w14:paraId="4292B920"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11D4E58E" w14:textId="77777777" w:rsidR="00B56CEA" w:rsidRPr="00B56CEA" w:rsidRDefault="00B56CEA">
            <w:pPr>
              <w:jc w:val="right"/>
              <w:rPr>
                <w:rFonts w:ascii="Arial" w:hAnsi="Arial" w:cs="Arial"/>
                <w:sz w:val="16"/>
                <w:szCs w:val="16"/>
              </w:rPr>
            </w:pPr>
          </w:p>
        </w:tc>
        <w:tc>
          <w:tcPr>
            <w:tcW w:w="368" w:type="pct"/>
            <w:tcBorders>
              <w:top w:val="nil"/>
              <w:left w:val="nil"/>
              <w:bottom w:val="nil"/>
              <w:right w:val="nil"/>
            </w:tcBorders>
            <w:noWrap/>
            <w:vAlign w:val="bottom"/>
            <w:hideMark/>
          </w:tcPr>
          <w:p w14:paraId="2F7745C3"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(740)</w:t>
            </w:r>
          </w:p>
        </w:tc>
      </w:tr>
      <w:tr w:rsidR="00B56CEA" w:rsidRPr="00B56CEA" w14:paraId="330A208A" w14:textId="77777777" w:rsidTr="00B56CEA">
        <w:trPr>
          <w:trHeight w:val="198"/>
        </w:trPr>
        <w:tc>
          <w:tcPr>
            <w:tcW w:w="2374" w:type="pct"/>
            <w:tcBorders>
              <w:top w:val="nil"/>
              <w:left w:val="nil"/>
              <w:bottom w:val="nil"/>
              <w:right w:val="nil"/>
            </w:tcBorders>
            <w:noWrap/>
            <w:vAlign w:val="bottom"/>
            <w:hideMark/>
          </w:tcPr>
          <w:p w14:paraId="0635D5F0" w14:textId="77777777" w:rsidR="00B56CEA" w:rsidRPr="00B56CEA" w:rsidRDefault="00B56CEA">
            <w:pPr>
              <w:rPr>
                <w:rFonts w:ascii="Arial" w:hAnsi="Arial" w:cs="Arial"/>
                <w:sz w:val="16"/>
                <w:szCs w:val="16"/>
              </w:rPr>
            </w:pPr>
            <w:r w:rsidRPr="00B56CEA">
              <w:rPr>
                <w:rFonts w:ascii="Arial" w:hAnsi="Arial" w:cs="Arial"/>
                <w:sz w:val="16"/>
                <w:szCs w:val="16"/>
              </w:rPr>
              <w:t>Perda com Instrumentos Financeiros - Ativos Financeiros Disponíveis para Venda</w:t>
            </w:r>
          </w:p>
        </w:tc>
        <w:tc>
          <w:tcPr>
            <w:tcW w:w="344" w:type="pct"/>
            <w:tcBorders>
              <w:top w:val="nil"/>
              <w:left w:val="nil"/>
              <w:bottom w:val="nil"/>
              <w:right w:val="nil"/>
            </w:tcBorders>
            <w:noWrap/>
            <w:vAlign w:val="bottom"/>
            <w:hideMark/>
          </w:tcPr>
          <w:p w14:paraId="5A5D0D76"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3EDA4754" w14:textId="77777777" w:rsidR="00B56CEA" w:rsidRPr="00B56CEA" w:rsidRDefault="00B56CEA">
            <w:pPr>
              <w:jc w:val="right"/>
              <w:rPr>
                <w:rFonts w:ascii="Arial" w:hAnsi="Arial" w:cs="Arial"/>
                <w:b/>
                <w:bCs/>
                <w:sz w:val="16"/>
                <w:szCs w:val="16"/>
              </w:rPr>
            </w:pPr>
          </w:p>
        </w:tc>
        <w:tc>
          <w:tcPr>
            <w:tcW w:w="405" w:type="pct"/>
            <w:tcBorders>
              <w:top w:val="nil"/>
              <w:left w:val="nil"/>
              <w:bottom w:val="nil"/>
              <w:right w:val="nil"/>
            </w:tcBorders>
            <w:noWrap/>
            <w:vAlign w:val="bottom"/>
            <w:hideMark/>
          </w:tcPr>
          <w:p w14:paraId="56EF24BA"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2F60CACA" w14:textId="77777777" w:rsidR="00B56CEA" w:rsidRPr="00B56CEA" w:rsidRDefault="00B56CEA">
            <w:pPr>
              <w:jc w:val="right"/>
              <w:rPr>
                <w:rFonts w:ascii="Arial" w:hAnsi="Arial" w:cs="Arial"/>
                <w:b/>
                <w:bCs/>
                <w:sz w:val="16"/>
                <w:szCs w:val="16"/>
              </w:rPr>
            </w:pPr>
          </w:p>
        </w:tc>
        <w:tc>
          <w:tcPr>
            <w:tcW w:w="417" w:type="pct"/>
            <w:tcBorders>
              <w:top w:val="nil"/>
              <w:left w:val="nil"/>
              <w:bottom w:val="nil"/>
              <w:right w:val="nil"/>
            </w:tcBorders>
            <w:noWrap/>
            <w:vAlign w:val="bottom"/>
            <w:hideMark/>
          </w:tcPr>
          <w:p w14:paraId="2F506B58"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793 </w:t>
            </w:r>
          </w:p>
        </w:tc>
        <w:tc>
          <w:tcPr>
            <w:tcW w:w="58" w:type="pct"/>
            <w:tcBorders>
              <w:top w:val="nil"/>
              <w:left w:val="nil"/>
              <w:bottom w:val="nil"/>
              <w:right w:val="nil"/>
            </w:tcBorders>
            <w:noWrap/>
            <w:vAlign w:val="bottom"/>
            <w:hideMark/>
          </w:tcPr>
          <w:p w14:paraId="3B32DF25" w14:textId="77777777" w:rsidR="00B56CEA" w:rsidRPr="00B56CEA" w:rsidRDefault="00B56CEA">
            <w:pPr>
              <w:jc w:val="right"/>
              <w:rPr>
                <w:rFonts w:ascii="Arial" w:hAnsi="Arial" w:cs="Arial"/>
                <w:sz w:val="16"/>
                <w:szCs w:val="16"/>
              </w:rPr>
            </w:pPr>
          </w:p>
        </w:tc>
        <w:tc>
          <w:tcPr>
            <w:tcW w:w="356" w:type="pct"/>
            <w:tcBorders>
              <w:top w:val="nil"/>
              <w:left w:val="nil"/>
              <w:bottom w:val="nil"/>
              <w:right w:val="nil"/>
            </w:tcBorders>
            <w:noWrap/>
            <w:vAlign w:val="bottom"/>
            <w:hideMark/>
          </w:tcPr>
          <w:p w14:paraId="29A74F8E"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12A3CE82" w14:textId="77777777" w:rsidR="00B56CEA" w:rsidRPr="00B56CEA" w:rsidRDefault="00B56CEA">
            <w:pPr>
              <w:jc w:val="right"/>
              <w:rPr>
                <w:rFonts w:ascii="Arial" w:hAnsi="Arial" w:cs="Arial"/>
                <w:sz w:val="16"/>
                <w:szCs w:val="16"/>
              </w:rPr>
            </w:pPr>
          </w:p>
        </w:tc>
        <w:tc>
          <w:tcPr>
            <w:tcW w:w="447" w:type="pct"/>
            <w:tcBorders>
              <w:top w:val="nil"/>
              <w:left w:val="nil"/>
              <w:bottom w:val="nil"/>
              <w:right w:val="nil"/>
            </w:tcBorders>
            <w:noWrap/>
            <w:vAlign w:val="bottom"/>
            <w:hideMark/>
          </w:tcPr>
          <w:p w14:paraId="3136157D"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02E32219" w14:textId="77777777" w:rsidR="00B56CEA" w:rsidRPr="00B56CEA" w:rsidRDefault="00B56CEA">
            <w:pPr>
              <w:jc w:val="right"/>
              <w:rPr>
                <w:rFonts w:ascii="Arial" w:hAnsi="Arial" w:cs="Arial"/>
                <w:sz w:val="16"/>
                <w:szCs w:val="16"/>
              </w:rPr>
            </w:pPr>
          </w:p>
        </w:tc>
        <w:tc>
          <w:tcPr>
            <w:tcW w:w="368" w:type="pct"/>
            <w:tcBorders>
              <w:top w:val="nil"/>
              <w:left w:val="nil"/>
              <w:bottom w:val="nil"/>
              <w:right w:val="nil"/>
            </w:tcBorders>
            <w:noWrap/>
            <w:vAlign w:val="bottom"/>
            <w:hideMark/>
          </w:tcPr>
          <w:p w14:paraId="5E9FC9B5"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793 </w:t>
            </w:r>
          </w:p>
        </w:tc>
      </w:tr>
      <w:tr w:rsidR="00B56CEA" w:rsidRPr="00B56CEA" w14:paraId="0EC7F9D1" w14:textId="77777777" w:rsidTr="00B56CEA">
        <w:trPr>
          <w:trHeight w:val="198"/>
        </w:trPr>
        <w:tc>
          <w:tcPr>
            <w:tcW w:w="2374" w:type="pct"/>
            <w:tcBorders>
              <w:top w:val="nil"/>
              <w:left w:val="nil"/>
              <w:bottom w:val="nil"/>
              <w:right w:val="nil"/>
            </w:tcBorders>
            <w:noWrap/>
            <w:vAlign w:val="bottom"/>
            <w:hideMark/>
          </w:tcPr>
          <w:p w14:paraId="268F1B50" w14:textId="77777777" w:rsidR="00B56CEA" w:rsidRPr="00B56CEA" w:rsidRDefault="00B56CEA">
            <w:pPr>
              <w:jc w:val="right"/>
              <w:rPr>
                <w:rFonts w:ascii="Arial" w:hAnsi="Arial" w:cs="Arial"/>
                <w:sz w:val="16"/>
                <w:szCs w:val="16"/>
              </w:rPr>
            </w:pPr>
          </w:p>
        </w:tc>
        <w:tc>
          <w:tcPr>
            <w:tcW w:w="344" w:type="pct"/>
            <w:tcBorders>
              <w:top w:val="nil"/>
              <w:left w:val="nil"/>
              <w:bottom w:val="nil"/>
              <w:right w:val="nil"/>
            </w:tcBorders>
            <w:noWrap/>
            <w:vAlign w:val="bottom"/>
            <w:hideMark/>
          </w:tcPr>
          <w:p w14:paraId="5B1782FC"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3008DCDB"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5F0D9932"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27BAF2A0"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49FAA756"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2FF26576"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012B23D5"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6F0A4C30"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7919B4E9" w14:textId="77777777" w:rsidR="00B56CEA" w:rsidRPr="00B56CEA" w:rsidRDefault="00B56CEA">
            <w:pPr>
              <w:jc w:val="right"/>
              <w:rPr>
                <w:rFonts w:ascii="Arial" w:hAnsi="Arial" w:cs="Arial"/>
                <w:sz w:val="16"/>
                <w:szCs w:val="16"/>
              </w:rPr>
            </w:pPr>
            <w:r w:rsidRPr="00B56CEA">
              <w:rPr>
                <w:rFonts w:ascii="Arial" w:hAnsi="Arial" w:cs="Arial"/>
                <w:sz w:val="16"/>
                <w:szCs w:val="16"/>
              </w:rPr>
              <w:t xml:space="preserve">                        -   </w:t>
            </w:r>
          </w:p>
        </w:tc>
        <w:tc>
          <w:tcPr>
            <w:tcW w:w="58" w:type="pct"/>
            <w:tcBorders>
              <w:top w:val="nil"/>
              <w:left w:val="nil"/>
              <w:bottom w:val="nil"/>
              <w:right w:val="nil"/>
            </w:tcBorders>
            <w:noWrap/>
            <w:vAlign w:val="bottom"/>
            <w:hideMark/>
          </w:tcPr>
          <w:p w14:paraId="6A3E548A" w14:textId="77777777" w:rsidR="00B56CEA" w:rsidRPr="00B56CEA" w:rsidRDefault="00B56CEA">
            <w:pPr>
              <w:jc w:val="right"/>
              <w:rPr>
                <w:rFonts w:ascii="Arial" w:hAnsi="Arial" w:cs="Arial"/>
                <w:sz w:val="16"/>
                <w:szCs w:val="16"/>
              </w:rPr>
            </w:pPr>
          </w:p>
        </w:tc>
        <w:tc>
          <w:tcPr>
            <w:tcW w:w="368" w:type="pct"/>
            <w:tcBorders>
              <w:top w:val="nil"/>
              <w:left w:val="nil"/>
              <w:bottom w:val="nil"/>
              <w:right w:val="nil"/>
            </w:tcBorders>
            <w:noWrap/>
            <w:vAlign w:val="bottom"/>
            <w:hideMark/>
          </w:tcPr>
          <w:p w14:paraId="743E22BF" w14:textId="77777777" w:rsidR="00B56CEA" w:rsidRPr="00B56CEA" w:rsidRDefault="00B56CEA">
            <w:pPr>
              <w:jc w:val="right"/>
              <w:rPr>
                <w:sz w:val="16"/>
                <w:szCs w:val="16"/>
              </w:rPr>
            </w:pPr>
          </w:p>
        </w:tc>
      </w:tr>
      <w:tr w:rsidR="00B56CEA" w:rsidRPr="00B56CEA" w14:paraId="6AE0E3D8" w14:textId="77777777" w:rsidTr="00B56CEA">
        <w:trPr>
          <w:trHeight w:val="198"/>
        </w:trPr>
        <w:tc>
          <w:tcPr>
            <w:tcW w:w="2374" w:type="pct"/>
            <w:tcBorders>
              <w:top w:val="nil"/>
              <w:left w:val="nil"/>
              <w:bottom w:val="nil"/>
              <w:right w:val="nil"/>
            </w:tcBorders>
            <w:noWrap/>
            <w:vAlign w:val="bottom"/>
            <w:hideMark/>
          </w:tcPr>
          <w:p w14:paraId="28C7874A" w14:textId="77777777" w:rsidR="00B56CEA" w:rsidRPr="00B56CEA" w:rsidRDefault="00B56CEA">
            <w:pPr>
              <w:rPr>
                <w:rFonts w:ascii="Arial" w:hAnsi="Arial" w:cs="Arial"/>
                <w:b/>
                <w:bCs/>
                <w:sz w:val="16"/>
                <w:szCs w:val="16"/>
              </w:rPr>
            </w:pPr>
            <w:r w:rsidRPr="00B56CEA">
              <w:rPr>
                <w:rFonts w:ascii="Arial" w:hAnsi="Arial" w:cs="Arial"/>
                <w:b/>
                <w:bCs/>
                <w:sz w:val="16"/>
                <w:szCs w:val="16"/>
              </w:rPr>
              <w:t>Saldo em 31 de março de 2026</w:t>
            </w:r>
          </w:p>
        </w:tc>
        <w:tc>
          <w:tcPr>
            <w:tcW w:w="344" w:type="pct"/>
            <w:tcBorders>
              <w:top w:val="single" w:sz="4" w:space="0" w:color="auto"/>
              <w:left w:val="nil"/>
              <w:bottom w:val="double" w:sz="6" w:space="0" w:color="auto"/>
              <w:right w:val="nil"/>
            </w:tcBorders>
            <w:noWrap/>
            <w:vAlign w:val="bottom"/>
            <w:hideMark/>
          </w:tcPr>
          <w:p w14:paraId="099DFCD9"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3.719.535 </w:t>
            </w:r>
          </w:p>
        </w:tc>
        <w:tc>
          <w:tcPr>
            <w:tcW w:w="58" w:type="pct"/>
            <w:tcBorders>
              <w:top w:val="nil"/>
              <w:left w:val="nil"/>
              <w:bottom w:val="nil"/>
              <w:right w:val="nil"/>
            </w:tcBorders>
            <w:noWrap/>
            <w:vAlign w:val="bottom"/>
            <w:hideMark/>
          </w:tcPr>
          <w:p w14:paraId="0CF9D7F1" w14:textId="77777777" w:rsidR="00B56CEA" w:rsidRPr="00B56CEA" w:rsidRDefault="00B56CEA">
            <w:pPr>
              <w:jc w:val="right"/>
              <w:rPr>
                <w:rFonts w:ascii="Arial" w:hAnsi="Arial" w:cs="Arial"/>
                <w:b/>
                <w:bCs/>
                <w:sz w:val="16"/>
                <w:szCs w:val="16"/>
              </w:rPr>
            </w:pPr>
          </w:p>
        </w:tc>
        <w:tc>
          <w:tcPr>
            <w:tcW w:w="405" w:type="pct"/>
            <w:tcBorders>
              <w:top w:val="single" w:sz="4" w:space="0" w:color="auto"/>
              <w:left w:val="nil"/>
              <w:bottom w:val="double" w:sz="6" w:space="0" w:color="auto"/>
              <w:right w:val="nil"/>
            </w:tcBorders>
            <w:noWrap/>
            <w:vAlign w:val="bottom"/>
            <w:hideMark/>
          </w:tcPr>
          <w:p w14:paraId="67DDFA7C"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(2.088.823)</w:t>
            </w:r>
          </w:p>
        </w:tc>
        <w:tc>
          <w:tcPr>
            <w:tcW w:w="58" w:type="pct"/>
            <w:tcBorders>
              <w:top w:val="nil"/>
              <w:left w:val="nil"/>
              <w:bottom w:val="nil"/>
              <w:right w:val="nil"/>
            </w:tcBorders>
            <w:noWrap/>
            <w:vAlign w:val="bottom"/>
            <w:hideMark/>
          </w:tcPr>
          <w:p w14:paraId="49DF6141" w14:textId="77777777" w:rsidR="00B56CEA" w:rsidRPr="00B56CEA" w:rsidRDefault="00B56CEA">
            <w:pPr>
              <w:jc w:val="right"/>
              <w:rPr>
                <w:rFonts w:ascii="Arial" w:hAnsi="Arial" w:cs="Arial"/>
                <w:b/>
                <w:bCs/>
                <w:sz w:val="16"/>
                <w:szCs w:val="16"/>
              </w:rPr>
            </w:pPr>
          </w:p>
        </w:tc>
        <w:tc>
          <w:tcPr>
            <w:tcW w:w="417" w:type="pct"/>
            <w:tcBorders>
              <w:top w:val="single" w:sz="4" w:space="0" w:color="auto"/>
              <w:left w:val="nil"/>
              <w:bottom w:val="double" w:sz="6" w:space="0" w:color="auto"/>
              <w:right w:val="nil"/>
            </w:tcBorders>
            <w:noWrap/>
            <w:vAlign w:val="bottom"/>
            <w:hideMark/>
          </w:tcPr>
          <w:p w14:paraId="19A2DE45"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31.998 </w:t>
            </w:r>
          </w:p>
        </w:tc>
        <w:tc>
          <w:tcPr>
            <w:tcW w:w="58" w:type="pct"/>
            <w:tcBorders>
              <w:top w:val="nil"/>
              <w:left w:val="nil"/>
              <w:bottom w:val="nil"/>
              <w:right w:val="nil"/>
            </w:tcBorders>
            <w:noWrap/>
            <w:vAlign w:val="bottom"/>
            <w:hideMark/>
          </w:tcPr>
          <w:p w14:paraId="1835C6E0" w14:textId="77777777" w:rsidR="00B56CEA" w:rsidRPr="00B56CEA" w:rsidRDefault="00B56CEA">
            <w:pPr>
              <w:jc w:val="right"/>
              <w:rPr>
                <w:rFonts w:ascii="Arial" w:hAnsi="Arial" w:cs="Arial"/>
                <w:b/>
                <w:bCs/>
                <w:sz w:val="16"/>
                <w:szCs w:val="16"/>
              </w:rPr>
            </w:pPr>
          </w:p>
        </w:tc>
        <w:tc>
          <w:tcPr>
            <w:tcW w:w="356" w:type="pct"/>
            <w:tcBorders>
              <w:top w:val="single" w:sz="4" w:space="0" w:color="auto"/>
              <w:left w:val="nil"/>
              <w:bottom w:val="double" w:sz="6" w:space="0" w:color="auto"/>
              <w:right w:val="nil"/>
            </w:tcBorders>
            <w:noWrap/>
            <w:vAlign w:val="bottom"/>
            <w:hideMark/>
          </w:tcPr>
          <w:p w14:paraId="621B2FA1"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(111)</w:t>
            </w:r>
          </w:p>
        </w:tc>
        <w:tc>
          <w:tcPr>
            <w:tcW w:w="58" w:type="pct"/>
            <w:tcBorders>
              <w:top w:val="nil"/>
              <w:left w:val="nil"/>
              <w:bottom w:val="nil"/>
              <w:right w:val="nil"/>
            </w:tcBorders>
            <w:noWrap/>
            <w:vAlign w:val="bottom"/>
            <w:hideMark/>
          </w:tcPr>
          <w:p w14:paraId="47FF0C6E" w14:textId="77777777" w:rsidR="00B56CEA" w:rsidRPr="00B56CEA" w:rsidRDefault="00B56CEA">
            <w:pPr>
              <w:jc w:val="right"/>
              <w:rPr>
                <w:rFonts w:ascii="Arial" w:hAnsi="Arial" w:cs="Arial"/>
                <w:b/>
                <w:bCs/>
                <w:sz w:val="16"/>
                <w:szCs w:val="16"/>
              </w:rPr>
            </w:pPr>
          </w:p>
        </w:tc>
        <w:tc>
          <w:tcPr>
            <w:tcW w:w="447" w:type="pct"/>
            <w:tcBorders>
              <w:top w:val="single" w:sz="4" w:space="0" w:color="auto"/>
              <w:left w:val="nil"/>
              <w:bottom w:val="double" w:sz="6" w:space="0" w:color="auto"/>
              <w:right w:val="nil"/>
            </w:tcBorders>
            <w:noWrap/>
            <w:vAlign w:val="bottom"/>
            <w:hideMark/>
          </w:tcPr>
          <w:p w14:paraId="1E8CA2BE"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   </w:t>
            </w:r>
          </w:p>
        </w:tc>
        <w:tc>
          <w:tcPr>
            <w:tcW w:w="58" w:type="pct"/>
            <w:tcBorders>
              <w:top w:val="nil"/>
              <w:left w:val="nil"/>
              <w:bottom w:val="nil"/>
              <w:right w:val="nil"/>
            </w:tcBorders>
            <w:noWrap/>
            <w:vAlign w:val="bottom"/>
            <w:hideMark/>
          </w:tcPr>
          <w:p w14:paraId="144C1124" w14:textId="77777777" w:rsidR="00B56CEA" w:rsidRPr="00B56CEA" w:rsidRDefault="00B56CEA">
            <w:pPr>
              <w:jc w:val="right"/>
              <w:rPr>
                <w:rFonts w:ascii="Arial" w:hAnsi="Arial" w:cs="Arial"/>
                <w:b/>
                <w:bCs/>
                <w:sz w:val="16"/>
                <w:szCs w:val="16"/>
              </w:rPr>
            </w:pPr>
          </w:p>
        </w:tc>
        <w:tc>
          <w:tcPr>
            <w:tcW w:w="368" w:type="pct"/>
            <w:tcBorders>
              <w:top w:val="single" w:sz="4" w:space="0" w:color="auto"/>
              <w:left w:val="nil"/>
              <w:bottom w:val="double" w:sz="6" w:space="0" w:color="auto"/>
              <w:right w:val="nil"/>
            </w:tcBorders>
            <w:noWrap/>
            <w:vAlign w:val="bottom"/>
            <w:hideMark/>
          </w:tcPr>
          <w:p w14:paraId="453A5BCF" w14:textId="77777777" w:rsidR="00B56CEA" w:rsidRPr="00B56CEA" w:rsidRDefault="00B56CEA">
            <w:pPr>
              <w:jc w:val="right"/>
              <w:rPr>
                <w:rFonts w:ascii="Arial" w:hAnsi="Arial" w:cs="Arial"/>
                <w:b/>
                <w:bCs/>
                <w:sz w:val="16"/>
                <w:szCs w:val="16"/>
              </w:rPr>
            </w:pPr>
            <w:r w:rsidRPr="00B56CEA">
              <w:rPr>
                <w:rFonts w:ascii="Arial" w:hAnsi="Arial" w:cs="Arial"/>
                <w:b/>
                <w:bCs/>
                <w:sz w:val="16"/>
                <w:szCs w:val="16"/>
              </w:rPr>
              <w:t xml:space="preserve">     1.662.599 </w:t>
            </w:r>
          </w:p>
        </w:tc>
      </w:tr>
      <w:tr w:rsidR="00B56CEA" w:rsidRPr="00B56CEA" w14:paraId="0F2418AE" w14:textId="77777777" w:rsidTr="00B56CEA">
        <w:trPr>
          <w:trHeight w:val="198"/>
        </w:trPr>
        <w:tc>
          <w:tcPr>
            <w:tcW w:w="2374" w:type="pct"/>
            <w:tcBorders>
              <w:top w:val="nil"/>
              <w:left w:val="nil"/>
              <w:bottom w:val="nil"/>
              <w:right w:val="nil"/>
            </w:tcBorders>
            <w:noWrap/>
            <w:vAlign w:val="bottom"/>
            <w:hideMark/>
          </w:tcPr>
          <w:p w14:paraId="5091D8E4" w14:textId="77777777" w:rsidR="00B56CEA" w:rsidRPr="00B56CEA" w:rsidRDefault="00B56CEA">
            <w:pPr>
              <w:jc w:val="right"/>
              <w:rPr>
                <w:rFonts w:ascii="Arial" w:hAnsi="Arial" w:cs="Arial"/>
                <w:b/>
                <w:bCs/>
                <w:sz w:val="16"/>
                <w:szCs w:val="16"/>
              </w:rPr>
            </w:pPr>
          </w:p>
        </w:tc>
        <w:tc>
          <w:tcPr>
            <w:tcW w:w="344" w:type="pct"/>
            <w:tcBorders>
              <w:top w:val="nil"/>
              <w:left w:val="nil"/>
              <w:bottom w:val="nil"/>
              <w:right w:val="nil"/>
            </w:tcBorders>
            <w:noWrap/>
            <w:vAlign w:val="bottom"/>
            <w:hideMark/>
          </w:tcPr>
          <w:p w14:paraId="063A93C0"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1042D5F7"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6F171475"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6378C164"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2AA000F5"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5751727F"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6AA25484"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709138BF"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0E3AEDB4"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05BDBEAD" w14:textId="77777777" w:rsidR="00B56CEA" w:rsidRPr="00B56CEA" w:rsidRDefault="00B56CEA">
            <w:pPr>
              <w:jc w:val="right"/>
              <w:rPr>
                <w:sz w:val="16"/>
                <w:szCs w:val="16"/>
              </w:rPr>
            </w:pPr>
          </w:p>
        </w:tc>
        <w:tc>
          <w:tcPr>
            <w:tcW w:w="368" w:type="pct"/>
            <w:tcBorders>
              <w:top w:val="nil"/>
              <w:left w:val="nil"/>
              <w:bottom w:val="nil"/>
              <w:right w:val="nil"/>
            </w:tcBorders>
            <w:noWrap/>
            <w:vAlign w:val="bottom"/>
            <w:hideMark/>
          </w:tcPr>
          <w:p w14:paraId="5B48B3BC" w14:textId="77777777" w:rsidR="00B56CEA" w:rsidRPr="00B56CEA" w:rsidRDefault="00B56CEA">
            <w:pPr>
              <w:jc w:val="right"/>
              <w:rPr>
                <w:sz w:val="16"/>
                <w:szCs w:val="16"/>
              </w:rPr>
            </w:pPr>
          </w:p>
        </w:tc>
      </w:tr>
      <w:tr w:rsidR="00B56CEA" w:rsidRPr="00B56CEA" w14:paraId="5D9727A9" w14:textId="77777777" w:rsidTr="00B56CEA">
        <w:trPr>
          <w:trHeight w:val="198"/>
        </w:trPr>
        <w:tc>
          <w:tcPr>
            <w:tcW w:w="2374" w:type="pct"/>
            <w:tcBorders>
              <w:top w:val="nil"/>
              <w:left w:val="nil"/>
              <w:bottom w:val="nil"/>
              <w:right w:val="nil"/>
            </w:tcBorders>
            <w:noWrap/>
            <w:vAlign w:val="bottom"/>
            <w:hideMark/>
          </w:tcPr>
          <w:p w14:paraId="76D37578" w14:textId="77777777" w:rsidR="00B56CEA" w:rsidRPr="00B56CEA" w:rsidRDefault="00B56CEA">
            <w:pPr>
              <w:jc w:val="right"/>
              <w:rPr>
                <w:sz w:val="16"/>
                <w:szCs w:val="16"/>
              </w:rPr>
            </w:pPr>
          </w:p>
        </w:tc>
        <w:tc>
          <w:tcPr>
            <w:tcW w:w="344" w:type="pct"/>
            <w:tcBorders>
              <w:top w:val="nil"/>
              <w:left w:val="nil"/>
              <w:bottom w:val="nil"/>
              <w:right w:val="nil"/>
            </w:tcBorders>
            <w:noWrap/>
            <w:vAlign w:val="bottom"/>
            <w:hideMark/>
          </w:tcPr>
          <w:p w14:paraId="294E6785" w14:textId="77777777" w:rsidR="00B56CEA" w:rsidRPr="00B56CEA" w:rsidRDefault="00B56CEA">
            <w:pPr>
              <w:rPr>
                <w:sz w:val="16"/>
                <w:szCs w:val="16"/>
              </w:rPr>
            </w:pPr>
          </w:p>
        </w:tc>
        <w:tc>
          <w:tcPr>
            <w:tcW w:w="58" w:type="pct"/>
            <w:tcBorders>
              <w:top w:val="nil"/>
              <w:left w:val="nil"/>
              <w:bottom w:val="nil"/>
              <w:right w:val="nil"/>
            </w:tcBorders>
            <w:noWrap/>
            <w:vAlign w:val="bottom"/>
            <w:hideMark/>
          </w:tcPr>
          <w:p w14:paraId="3FE61496"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78B08BF7"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27F67BE4"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35FBA8BB"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1284CBAD"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0B86791A"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40E09856"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0340F66F"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6E3AB5F8" w14:textId="77777777" w:rsidR="00B56CEA" w:rsidRPr="00B56CEA" w:rsidRDefault="00B56CEA">
            <w:pPr>
              <w:jc w:val="right"/>
              <w:rPr>
                <w:sz w:val="16"/>
                <w:szCs w:val="16"/>
              </w:rPr>
            </w:pPr>
          </w:p>
        </w:tc>
        <w:tc>
          <w:tcPr>
            <w:tcW w:w="368" w:type="pct"/>
            <w:tcBorders>
              <w:top w:val="nil"/>
              <w:left w:val="nil"/>
              <w:bottom w:val="nil"/>
              <w:right w:val="nil"/>
            </w:tcBorders>
            <w:noWrap/>
            <w:vAlign w:val="bottom"/>
            <w:hideMark/>
          </w:tcPr>
          <w:p w14:paraId="5D63ED65" w14:textId="77777777" w:rsidR="00B56CEA" w:rsidRPr="00B56CEA" w:rsidRDefault="00B56CEA">
            <w:pPr>
              <w:jc w:val="right"/>
              <w:rPr>
                <w:sz w:val="16"/>
                <w:szCs w:val="16"/>
              </w:rPr>
            </w:pPr>
          </w:p>
        </w:tc>
      </w:tr>
      <w:tr w:rsidR="00B56CEA" w:rsidRPr="00B56CEA" w14:paraId="1E21D425" w14:textId="77777777" w:rsidTr="00B56CEA">
        <w:trPr>
          <w:trHeight w:val="198"/>
        </w:trPr>
        <w:tc>
          <w:tcPr>
            <w:tcW w:w="2374" w:type="pct"/>
            <w:tcBorders>
              <w:top w:val="nil"/>
              <w:left w:val="nil"/>
              <w:bottom w:val="nil"/>
              <w:right w:val="nil"/>
            </w:tcBorders>
            <w:noWrap/>
            <w:vAlign w:val="bottom"/>
            <w:hideMark/>
          </w:tcPr>
          <w:p w14:paraId="0AD974C9" w14:textId="77777777" w:rsidR="00B56CEA" w:rsidRPr="00B56CEA" w:rsidRDefault="00B56CEA">
            <w:pPr>
              <w:rPr>
                <w:rFonts w:ascii="Arial" w:hAnsi="Arial" w:cs="Arial"/>
                <w:b/>
                <w:bCs/>
                <w:sz w:val="16"/>
                <w:szCs w:val="16"/>
              </w:rPr>
            </w:pPr>
            <w:r w:rsidRPr="00B56CEA">
              <w:rPr>
                <w:rFonts w:ascii="Arial" w:hAnsi="Arial" w:cs="Arial"/>
                <w:b/>
                <w:bCs/>
                <w:sz w:val="16"/>
                <w:szCs w:val="16"/>
              </w:rPr>
              <w:t>As notas explicativas são parte integrante das demonstrações contábeis</w:t>
            </w:r>
          </w:p>
        </w:tc>
        <w:tc>
          <w:tcPr>
            <w:tcW w:w="344" w:type="pct"/>
            <w:tcBorders>
              <w:top w:val="nil"/>
              <w:left w:val="nil"/>
              <w:bottom w:val="nil"/>
              <w:right w:val="nil"/>
            </w:tcBorders>
            <w:noWrap/>
            <w:vAlign w:val="bottom"/>
            <w:hideMark/>
          </w:tcPr>
          <w:p w14:paraId="5361F632" w14:textId="77777777" w:rsidR="00B56CEA" w:rsidRPr="00B56CEA" w:rsidRDefault="00B56CEA">
            <w:pPr>
              <w:rPr>
                <w:rFonts w:ascii="Arial" w:hAnsi="Arial" w:cs="Arial"/>
                <w:b/>
                <w:bCs/>
                <w:sz w:val="16"/>
                <w:szCs w:val="16"/>
              </w:rPr>
            </w:pPr>
          </w:p>
        </w:tc>
        <w:tc>
          <w:tcPr>
            <w:tcW w:w="58" w:type="pct"/>
            <w:tcBorders>
              <w:top w:val="nil"/>
              <w:left w:val="nil"/>
              <w:bottom w:val="nil"/>
              <w:right w:val="nil"/>
            </w:tcBorders>
            <w:noWrap/>
            <w:vAlign w:val="bottom"/>
            <w:hideMark/>
          </w:tcPr>
          <w:p w14:paraId="702EB853" w14:textId="77777777" w:rsidR="00B56CEA" w:rsidRPr="00B56CEA" w:rsidRDefault="00B56CEA">
            <w:pPr>
              <w:jc w:val="right"/>
              <w:rPr>
                <w:sz w:val="16"/>
                <w:szCs w:val="16"/>
              </w:rPr>
            </w:pPr>
          </w:p>
        </w:tc>
        <w:tc>
          <w:tcPr>
            <w:tcW w:w="405" w:type="pct"/>
            <w:tcBorders>
              <w:top w:val="nil"/>
              <w:left w:val="nil"/>
              <w:bottom w:val="nil"/>
              <w:right w:val="nil"/>
            </w:tcBorders>
            <w:noWrap/>
            <w:vAlign w:val="bottom"/>
            <w:hideMark/>
          </w:tcPr>
          <w:p w14:paraId="4B623207"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11260359" w14:textId="77777777" w:rsidR="00B56CEA" w:rsidRPr="00B56CEA" w:rsidRDefault="00B56CEA">
            <w:pPr>
              <w:jc w:val="right"/>
              <w:rPr>
                <w:sz w:val="16"/>
                <w:szCs w:val="16"/>
              </w:rPr>
            </w:pPr>
          </w:p>
        </w:tc>
        <w:tc>
          <w:tcPr>
            <w:tcW w:w="417" w:type="pct"/>
            <w:tcBorders>
              <w:top w:val="nil"/>
              <w:left w:val="nil"/>
              <w:bottom w:val="nil"/>
              <w:right w:val="nil"/>
            </w:tcBorders>
            <w:noWrap/>
            <w:vAlign w:val="bottom"/>
            <w:hideMark/>
          </w:tcPr>
          <w:p w14:paraId="7A5B27C6"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1611CAD9" w14:textId="77777777" w:rsidR="00B56CEA" w:rsidRPr="00B56CEA" w:rsidRDefault="00B56CEA">
            <w:pPr>
              <w:jc w:val="right"/>
              <w:rPr>
                <w:sz w:val="16"/>
                <w:szCs w:val="16"/>
              </w:rPr>
            </w:pPr>
          </w:p>
        </w:tc>
        <w:tc>
          <w:tcPr>
            <w:tcW w:w="356" w:type="pct"/>
            <w:tcBorders>
              <w:top w:val="nil"/>
              <w:left w:val="nil"/>
              <w:bottom w:val="nil"/>
              <w:right w:val="nil"/>
            </w:tcBorders>
            <w:noWrap/>
            <w:vAlign w:val="bottom"/>
            <w:hideMark/>
          </w:tcPr>
          <w:p w14:paraId="439F9A4F"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5CEF9A5F" w14:textId="77777777" w:rsidR="00B56CEA" w:rsidRPr="00B56CEA" w:rsidRDefault="00B56CEA">
            <w:pPr>
              <w:jc w:val="right"/>
              <w:rPr>
                <w:sz w:val="16"/>
                <w:szCs w:val="16"/>
              </w:rPr>
            </w:pPr>
          </w:p>
        </w:tc>
        <w:tc>
          <w:tcPr>
            <w:tcW w:w="447" w:type="pct"/>
            <w:tcBorders>
              <w:top w:val="nil"/>
              <w:left w:val="nil"/>
              <w:bottom w:val="nil"/>
              <w:right w:val="nil"/>
            </w:tcBorders>
            <w:noWrap/>
            <w:vAlign w:val="bottom"/>
            <w:hideMark/>
          </w:tcPr>
          <w:p w14:paraId="6F0207E6" w14:textId="77777777" w:rsidR="00B56CEA" w:rsidRPr="00B56CEA" w:rsidRDefault="00B56CEA">
            <w:pPr>
              <w:jc w:val="right"/>
              <w:rPr>
                <w:sz w:val="16"/>
                <w:szCs w:val="16"/>
              </w:rPr>
            </w:pPr>
          </w:p>
        </w:tc>
        <w:tc>
          <w:tcPr>
            <w:tcW w:w="58" w:type="pct"/>
            <w:tcBorders>
              <w:top w:val="nil"/>
              <w:left w:val="nil"/>
              <w:bottom w:val="nil"/>
              <w:right w:val="nil"/>
            </w:tcBorders>
            <w:noWrap/>
            <w:vAlign w:val="bottom"/>
            <w:hideMark/>
          </w:tcPr>
          <w:p w14:paraId="3BF5F725" w14:textId="77777777" w:rsidR="00B56CEA" w:rsidRPr="00B56CEA" w:rsidRDefault="00B56CEA">
            <w:pPr>
              <w:jc w:val="right"/>
              <w:rPr>
                <w:sz w:val="16"/>
                <w:szCs w:val="16"/>
              </w:rPr>
            </w:pPr>
          </w:p>
        </w:tc>
        <w:tc>
          <w:tcPr>
            <w:tcW w:w="368" w:type="pct"/>
            <w:tcBorders>
              <w:top w:val="nil"/>
              <w:left w:val="nil"/>
              <w:bottom w:val="nil"/>
              <w:right w:val="nil"/>
            </w:tcBorders>
            <w:noWrap/>
            <w:vAlign w:val="bottom"/>
            <w:hideMark/>
          </w:tcPr>
          <w:p w14:paraId="66171231" w14:textId="77777777" w:rsidR="00B56CEA" w:rsidRPr="00B56CEA" w:rsidRDefault="00B56CEA">
            <w:pPr>
              <w:jc w:val="right"/>
              <w:rPr>
                <w:sz w:val="16"/>
                <w:szCs w:val="16"/>
              </w:rPr>
            </w:pPr>
          </w:p>
        </w:tc>
      </w:tr>
    </w:tbl>
    <w:p w14:paraId="533992DF" w14:textId="0F635FF7" w:rsidR="00096AFE" w:rsidRPr="00096AFE" w:rsidRDefault="00096AFE" w:rsidP="00096AFE">
      <w:pPr>
        <w:tabs>
          <w:tab w:val="left" w:pos="6735"/>
        </w:tabs>
        <w:sectPr w:rsidR="00096AFE" w:rsidRPr="00096AFE" w:rsidSect="006056D5">
          <w:footerReference w:type="first" r:id="rId25"/>
          <w:pgSz w:w="16838" w:h="11906" w:orient="landscape" w:code="9"/>
          <w:pgMar w:top="1134" w:right="567" w:bottom="851" w:left="567" w:header="850" w:footer="850" w:gutter="0"/>
          <w:cols w:space="708"/>
          <w:titlePg/>
          <w:docGrid w:linePitch="360"/>
        </w:sectPr>
      </w:pPr>
    </w:p>
    <w:p w14:paraId="4C0F4895" w14:textId="00A14DAB" w:rsidR="00316093" w:rsidRDefault="00316093" w:rsidP="00316093"/>
    <w:tbl>
      <w:tblPr>
        <w:tblW w:w="5000" w:type="pct"/>
        <w:tblCellMar>
          <w:left w:w="70" w:type="dxa"/>
          <w:right w:w="70" w:type="dxa"/>
        </w:tblCellMar>
        <w:tblLook w:val="04A0" w:firstRow="1" w:lastRow="0" w:firstColumn="1" w:lastColumn="0" w:noHBand="0" w:noVBand="1"/>
      </w:tblPr>
      <w:tblGrid>
        <w:gridCol w:w="7537"/>
        <w:gridCol w:w="146"/>
        <w:gridCol w:w="959"/>
        <w:gridCol w:w="147"/>
        <w:gridCol w:w="986"/>
        <w:gridCol w:w="146"/>
      </w:tblGrid>
      <w:tr w:rsidR="00804CA7" w:rsidRPr="00804CA7" w14:paraId="0A2569E9" w14:textId="77777777" w:rsidTr="00804CA7">
        <w:trPr>
          <w:trHeight w:val="198"/>
        </w:trPr>
        <w:tc>
          <w:tcPr>
            <w:tcW w:w="5000" w:type="pct"/>
            <w:gridSpan w:val="6"/>
            <w:tcBorders>
              <w:top w:val="nil"/>
              <w:left w:val="nil"/>
              <w:bottom w:val="nil"/>
              <w:right w:val="nil"/>
            </w:tcBorders>
            <w:noWrap/>
            <w:vAlign w:val="bottom"/>
            <w:hideMark/>
          </w:tcPr>
          <w:p w14:paraId="17A40375" w14:textId="77777777" w:rsidR="00804CA7" w:rsidRPr="00804CA7" w:rsidRDefault="00804CA7">
            <w:pPr>
              <w:jc w:val="center"/>
              <w:rPr>
                <w:rFonts w:ascii="Arial" w:hAnsi="Arial" w:cs="Arial"/>
                <w:b/>
                <w:bCs/>
                <w:sz w:val="16"/>
                <w:szCs w:val="16"/>
              </w:rPr>
            </w:pPr>
            <w:r w:rsidRPr="00804CA7">
              <w:rPr>
                <w:rFonts w:ascii="Arial" w:hAnsi="Arial" w:cs="Arial"/>
                <w:b/>
                <w:bCs/>
                <w:sz w:val="16"/>
                <w:szCs w:val="16"/>
              </w:rPr>
              <w:t>TELECOMUNICAÇÕES BRASILEIRAS S.A - "TELEBRAS"</w:t>
            </w:r>
          </w:p>
        </w:tc>
      </w:tr>
      <w:tr w:rsidR="00804CA7" w:rsidRPr="00804CA7" w14:paraId="7BD5957D" w14:textId="77777777" w:rsidTr="00804CA7">
        <w:trPr>
          <w:trHeight w:val="198"/>
        </w:trPr>
        <w:tc>
          <w:tcPr>
            <w:tcW w:w="5000" w:type="pct"/>
            <w:gridSpan w:val="6"/>
            <w:tcBorders>
              <w:top w:val="nil"/>
              <w:left w:val="nil"/>
              <w:bottom w:val="nil"/>
              <w:right w:val="nil"/>
            </w:tcBorders>
            <w:noWrap/>
            <w:vAlign w:val="bottom"/>
            <w:hideMark/>
          </w:tcPr>
          <w:p w14:paraId="585CD148" w14:textId="77777777" w:rsidR="00804CA7" w:rsidRPr="00804CA7" w:rsidRDefault="00804CA7">
            <w:pPr>
              <w:jc w:val="center"/>
              <w:rPr>
                <w:rFonts w:ascii="Arial" w:hAnsi="Arial" w:cs="Arial"/>
                <w:b/>
                <w:bCs/>
                <w:sz w:val="16"/>
                <w:szCs w:val="16"/>
              </w:rPr>
            </w:pPr>
            <w:r w:rsidRPr="00804CA7">
              <w:rPr>
                <w:rFonts w:ascii="Arial" w:hAnsi="Arial" w:cs="Arial"/>
                <w:b/>
                <w:bCs/>
                <w:sz w:val="16"/>
                <w:szCs w:val="16"/>
              </w:rPr>
              <w:t>CNPJ 00.336.701/0001-04</w:t>
            </w:r>
          </w:p>
        </w:tc>
      </w:tr>
      <w:tr w:rsidR="00804CA7" w:rsidRPr="00804CA7" w14:paraId="3E5179AE" w14:textId="77777777" w:rsidTr="00804CA7">
        <w:trPr>
          <w:trHeight w:val="198"/>
        </w:trPr>
        <w:tc>
          <w:tcPr>
            <w:tcW w:w="5000" w:type="pct"/>
            <w:gridSpan w:val="6"/>
            <w:tcBorders>
              <w:top w:val="nil"/>
              <w:left w:val="nil"/>
              <w:bottom w:val="nil"/>
              <w:right w:val="nil"/>
            </w:tcBorders>
            <w:noWrap/>
            <w:vAlign w:val="bottom"/>
            <w:hideMark/>
          </w:tcPr>
          <w:p w14:paraId="4BD4D08C" w14:textId="77777777" w:rsidR="00804CA7" w:rsidRPr="00804CA7" w:rsidRDefault="00804CA7">
            <w:pPr>
              <w:jc w:val="center"/>
              <w:rPr>
                <w:rFonts w:ascii="Arial" w:hAnsi="Arial" w:cs="Arial"/>
                <w:b/>
                <w:bCs/>
                <w:sz w:val="16"/>
                <w:szCs w:val="16"/>
              </w:rPr>
            </w:pPr>
            <w:r w:rsidRPr="00804CA7">
              <w:rPr>
                <w:rFonts w:ascii="Arial" w:hAnsi="Arial" w:cs="Arial"/>
                <w:b/>
                <w:bCs/>
                <w:sz w:val="16"/>
                <w:szCs w:val="16"/>
              </w:rPr>
              <w:t>Demonstrações dos Fluxos de Caixa - Método Indireto</w:t>
            </w:r>
          </w:p>
        </w:tc>
      </w:tr>
      <w:tr w:rsidR="00804CA7" w:rsidRPr="00804CA7" w14:paraId="18A595CE" w14:textId="77777777" w:rsidTr="00804CA7">
        <w:trPr>
          <w:trHeight w:val="198"/>
        </w:trPr>
        <w:tc>
          <w:tcPr>
            <w:tcW w:w="5000" w:type="pct"/>
            <w:gridSpan w:val="6"/>
            <w:tcBorders>
              <w:top w:val="nil"/>
              <w:left w:val="nil"/>
              <w:bottom w:val="nil"/>
              <w:right w:val="nil"/>
            </w:tcBorders>
            <w:noWrap/>
            <w:vAlign w:val="bottom"/>
            <w:hideMark/>
          </w:tcPr>
          <w:p w14:paraId="56B5D47D" w14:textId="77777777" w:rsidR="00804CA7" w:rsidRPr="00804CA7" w:rsidRDefault="00804CA7">
            <w:pPr>
              <w:jc w:val="center"/>
              <w:rPr>
                <w:rFonts w:ascii="Arial" w:hAnsi="Arial" w:cs="Arial"/>
                <w:b/>
                <w:bCs/>
                <w:sz w:val="16"/>
                <w:szCs w:val="16"/>
              </w:rPr>
            </w:pPr>
            <w:r w:rsidRPr="00804CA7">
              <w:rPr>
                <w:rFonts w:ascii="Arial" w:hAnsi="Arial" w:cs="Arial"/>
                <w:b/>
                <w:bCs/>
                <w:sz w:val="16"/>
                <w:szCs w:val="16"/>
              </w:rPr>
              <w:t>Períodos findos em 31 de março de 2026 e 2025</w:t>
            </w:r>
          </w:p>
        </w:tc>
      </w:tr>
      <w:tr w:rsidR="00804CA7" w:rsidRPr="00804CA7" w14:paraId="38171927" w14:textId="77777777" w:rsidTr="00804CA7">
        <w:trPr>
          <w:trHeight w:val="198"/>
        </w:trPr>
        <w:tc>
          <w:tcPr>
            <w:tcW w:w="5000" w:type="pct"/>
            <w:gridSpan w:val="6"/>
            <w:tcBorders>
              <w:top w:val="nil"/>
              <w:left w:val="nil"/>
              <w:bottom w:val="nil"/>
              <w:right w:val="nil"/>
            </w:tcBorders>
            <w:noWrap/>
            <w:vAlign w:val="bottom"/>
            <w:hideMark/>
          </w:tcPr>
          <w:p w14:paraId="2370C3DF" w14:textId="77777777" w:rsidR="00804CA7" w:rsidRPr="00804CA7" w:rsidRDefault="00804CA7">
            <w:pPr>
              <w:jc w:val="center"/>
              <w:rPr>
                <w:rFonts w:ascii="Arial" w:hAnsi="Arial" w:cs="Arial"/>
                <w:b/>
                <w:bCs/>
                <w:sz w:val="16"/>
                <w:szCs w:val="16"/>
              </w:rPr>
            </w:pPr>
            <w:r w:rsidRPr="00804CA7">
              <w:rPr>
                <w:rFonts w:ascii="Arial" w:hAnsi="Arial" w:cs="Arial"/>
                <w:b/>
                <w:bCs/>
                <w:sz w:val="16"/>
                <w:szCs w:val="16"/>
              </w:rPr>
              <w:t>Em milhares de reais, exceto quando indicado de outra forma</w:t>
            </w:r>
          </w:p>
        </w:tc>
      </w:tr>
      <w:tr w:rsidR="00804CA7" w:rsidRPr="00804CA7" w14:paraId="5CFF6D31" w14:textId="77777777" w:rsidTr="00AC44FC">
        <w:trPr>
          <w:trHeight w:val="198"/>
        </w:trPr>
        <w:tc>
          <w:tcPr>
            <w:tcW w:w="3799" w:type="pct"/>
            <w:tcBorders>
              <w:top w:val="nil"/>
              <w:left w:val="nil"/>
              <w:bottom w:val="nil"/>
              <w:right w:val="nil"/>
            </w:tcBorders>
            <w:noWrap/>
            <w:vAlign w:val="bottom"/>
            <w:hideMark/>
          </w:tcPr>
          <w:p w14:paraId="692CD085" w14:textId="77777777" w:rsidR="00804CA7" w:rsidRPr="00804CA7" w:rsidRDefault="00804CA7">
            <w:pPr>
              <w:jc w:val="center"/>
              <w:rPr>
                <w:rFonts w:ascii="Arial" w:hAnsi="Arial" w:cs="Arial"/>
                <w:b/>
                <w:bCs/>
                <w:sz w:val="16"/>
                <w:szCs w:val="16"/>
              </w:rPr>
            </w:pPr>
          </w:p>
        </w:tc>
        <w:tc>
          <w:tcPr>
            <w:tcW w:w="74" w:type="pct"/>
            <w:tcBorders>
              <w:top w:val="nil"/>
              <w:left w:val="nil"/>
              <w:bottom w:val="nil"/>
              <w:right w:val="nil"/>
            </w:tcBorders>
            <w:noWrap/>
            <w:vAlign w:val="bottom"/>
            <w:hideMark/>
          </w:tcPr>
          <w:p w14:paraId="774878F9" w14:textId="77777777" w:rsidR="00804CA7" w:rsidRPr="00804CA7" w:rsidRDefault="00804CA7">
            <w:pPr>
              <w:rPr>
                <w:sz w:val="16"/>
                <w:szCs w:val="16"/>
              </w:rPr>
            </w:pPr>
          </w:p>
        </w:tc>
        <w:tc>
          <w:tcPr>
            <w:tcW w:w="1054" w:type="pct"/>
            <w:gridSpan w:val="3"/>
            <w:tcBorders>
              <w:top w:val="nil"/>
              <w:left w:val="nil"/>
              <w:bottom w:val="single" w:sz="4" w:space="0" w:color="auto"/>
              <w:right w:val="nil"/>
            </w:tcBorders>
            <w:noWrap/>
            <w:vAlign w:val="bottom"/>
            <w:hideMark/>
          </w:tcPr>
          <w:p w14:paraId="3255CF8F" w14:textId="77777777" w:rsidR="00804CA7" w:rsidRPr="00804CA7" w:rsidRDefault="00804CA7">
            <w:pPr>
              <w:jc w:val="center"/>
              <w:rPr>
                <w:rFonts w:ascii="Arial" w:hAnsi="Arial" w:cs="Arial"/>
                <w:b/>
                <w:bCs/>
                <w:sz w:val="16"/>
                <w:szCs w:val="16"/>
              </w:rPr>
            </w:pPr>
            <w:r w:rsidRPr="00804CA7">
              <w:rPr>
                <w:rFonts w:ascii="Arial" w:hAnsi="Arial" w:cs="Arial"/>
                <w:b/>
                <w:bCs/>
                <w:sz w:val="16"/>
                <w:szCs w:val="16"/>
              </w:rPr>
              <w:t> </w:t>
            </w:r>
          </w:p>
        </w:tc>
        <w:tc>
          <w:tcPr>
            <w:tcW w:w="74" w:type="pct"/>
            <w:tcBorders>
              <w:top w:val="nil"/>
              <w:left w:val="nil"/>
              <w:bottom w:val="nil"/>
              <w:right w:val="nil"/>
            </w:tcBorders>
            <w:noWrap/>
            <w:vAlign w:val="bottom"/>
            <w:hideMark/>
          </w:tcPr>
          <w:p w14:paraId="21087865" w14:textId="77777777" w:rsidR="00804CA7" w:rsidRPr="00804CA7" w:rsidRDefault="00804CA7">
            <w:pPr>
              <w:jc w:val="center"/>
              <w:rPr>
                <w:rFonts w:ascii="Arial" w:hAnsi="Arial" w:cs="Arial"/>
                <w:b/>
                <w:bCs/>
                <w:sz w:val="16"/>
                <w:szCs w:val="16"/>
              </w:rPr>
            </w:pPr>
          </w:p>
        </w:tc>
      </w:tr>
      <w:tr w:rsidR="00804CA7" w:rsidRPr="00804CA7" w14:paraId="7697B3EE" w14:textId="77777777" w:rsidTr="00AC44FC">
        <w:trPr>
          <w:trHeight w:val="198"/>
        </w:trPr>
        <w:tc>
          <w:tcPr>
            <w:tcW w:w="3799" w:type="pct"/>
            <w:tcBorders>
              <w:top w:val="nil"/>
              <w:left w:val="nil"/>
              <w:bottom w:val="nil"/>
              <w:right w:val="nil"/>
            </w:tcBorders>
            <w:noWrap/>
            <w:vAlign w:val="bottom"/>
            <w:hideMark/>
          </w:tcPr>
          <w:p w14:paraId="4E0CDAF9" w14:textId="77777777" w:rsidR="00804CA7" w:rsidRPr="00804CA7" w:rsidRDefault="00804CA7">
            <w:pPr>
              <w:jc w:val="center"/>
              <w:rPr>
                <w:sz w:val="16"/>
                <w:szCs w:val="16"/>
              </w:rPr>
            </w:pPr>
          </w:p>
        </w:tc>
        <w:tc>
          <w:tcPr>
            <w:tcW w:w="74" w:type="pct"/>
            <w:tcBorders>
              <w:top w:val="nil"/>
              <w:left w:val="nil"/>
              <w:bottom w:val="nil"/>
              <w:right w:val="nil"/>
            </w:tcBorders>
            <w:noWrap/>
            <w:vAlign w:val="bottom"/>
            <w:hideMark/>
          </w:tcPr>
          <w:p w14:paraId="5E396B0E" w14:textId="77777777" w:rsidR="00804CA7" w:rsidRPr="00804CA7" w:rsidRDefault="00804CA7">
            <w:pPr>
              <w:rPr>
                <w:sz w:val="16"/>
                <w:szCs w:val="16"/>
              </w:rPr>
            </w:pPr>
          </w:p>
        </w:tc>
        <w:tc>
          <w:tcPr>
            <w:tcW w:w="484" w:type="pct"/>
            <w:tcBorders>
              <w:top w:val="nil"/>
              <w:left w:val="nil"/>
              <w:bottom w:val="single" w:sz="4" w:space="0" w:color="auto"/>
              <w:right w:val="nil"/>
            </w:tcBorders>
            <w:noWrap/>
            <w:vAlign w:val="center"/>
            <w:hideMark/>
          </w:tcPr>
          <w:p w14:paraId="5BCCE7CD" w14:textId="77777777" w:rsidR="00804CA7" w:rsidRPr="00804CA7" w:rsidRDefault="00804CA7">
            <w:pPr>
              <w:jc w:val="center"/>
              <w:rPr>
                <w:rFonts w:ascii="Arial" w:hAnsi="Arial" w:cs="Arial"/>
                <w:b/>
                <w:bCs/>
                <w:sz w:val="16"/>
                <w:szCs w:val="16"/>
              </w:rPr>
            </w:pPr>
            <w:r w:rsidRPr="00804CA7">
              <w:rPr>
                <w:rFonts w:ascii="Arial" w:hAnsi="Arial" w:cs="Arial"/>
                <w:b/>
                <w:bCs/>
                <w:sz w:val="16"/>
                <w:szCs w:val="16"/>
              </w:rPr>
              <w:t>31/03/2026</w:t>
            </w:r>
          </w:p>
        </w:tc>
        <w:tc>
          <w:tcPr>
            <w:tcW w:w="74" w:type="pct"/>
            <w:tcBorders>
              <w:top w:val="nil"/>
              <w:left w:val="nil"/>
              <w:bottom w:val="nil"/>
              <w:right w:val="nil"/>
            </w:tcBorders>
            <w:noWrap/>
            <w:vAlign w:val="bottom"/>
            <w:hideMark/>
          </w:tcPr>
          <w:p w14:paraId="5EE59D01" w14:textId="77777777" w:rsidR="00804CA7" w:rsidRPr="00804CA7" w:rsidRDefault="00804CA7">
            <w:pPr>
              <w:jc w:val="center"/>
              <w:rPr>
                <w:rFonts w:ascii="Arial" w:hAnsi="Arial" w:cs="Arial"/>
                <w:b/>
                <w:bCs/>
                <w:sz w:val="16"/>
                <w:szCs w:val="16"/>
              </w:rPr>
            </w:pPr>
          </w:p>
        </w:tc>
        <w:tc>
          <w:tcPr>
            <w:tcW w:w="497" w:type="pct"/>
            <w:tcBorders>
              <w:top w:val="nil"/>
              <w:left w:val="nil"/>
              <w:bottom w:val="single" w:sz="4" w:space="0" w:color="auto"/>
              <w:right w:val="nil"/>
            </w:tcBorders>
            <w:vAlign w:val="center"/>
            <w:hideMark/>
          </w:tcPr>
          <w:p w14:paraId="29C52108" w14:textId="77777777" w:rsidR="00804CA7" w:rsidRPr="00804CA7" w:rsidRDefault="00804CA7">
            <w:pPr>
              <w:jc w:val="center"/>
              <w:rPr>
                <w:rFonts w:ascii="Arial" w:hAnsi="Arial" w:cs="Arial"/>
                <w:b/>
                <w:bCs/>
                <w:sz w:val="16"/>
                <w:szCs w:val="16"/>
              </w:rPr>
            </w:pPr>
            <w:r w:rsidRPr="00804CA7">
              <w:rPr>
                <w:rFonts w:ascii="Arial" w:hAnsi="Arial" w:cs="Arial"/>
                <w:b/>
                <w:bCs/>
                <w:sz w:val="16"/>
                <w:szCs w:val="16"/>
              </w:rPr>
              <w:t>31/03/2025</w:t>
            </w:r>
          </w:p>
        </w:tc>
        <w:tc>
          <w:tcPr>
            <w:tcW w:w="74" w:type="pct"/>
            <w:tcBorders>
              <w:top w:val="nil"/>
              <w:left w:val="nil"/>
              <w:bottom w:val="nil"/>
              <w:right w:val="nil"/>
            </w:tcBorders>
            <w:noWrap/>
            <w:vAlign w:val="bottom"/>
            <w:hideMark/>
          </w:tcPr>
          <w:p w14:paraId="0A90F871" w14:textId="77777777" w:rsidR="00804CA7" w:rsidRPr="00804CA7" w:rsidRDefault="00804CA7">
            <w:pPr>
              <w:jc w:val="center"/>
              <w:rPr>
                <w:rFonts w:ascii="Arial" w:hAnsi="Arial" w:cs="Arial"/>
                <w:b/>
                <w:bCs/>
                <w:sz w:val="16"/>
                <w:szCs w:val="16"/>
              </w:rPr>
            </w:pPr>
          </w:p>
        </w:tc>
      </w:tr>
      <w:tr w:rsidR="00804CA7" w:rsidRPr="00804CA7" w14:paraId="0CDB3810" w14:textId="77777777" w:rsidTr="00AC44FC">
        <w:trPr>
          <w:trHeight w:val="198"/>
        </w:trPr>
        <w:tc>
          <w:tcPr>
            <w:tcW w:w="3799" w:type="pct"/>
            <w:tcBorders>
              <w:top w:val="nil"/>
              <w:left w:val="nil"/>
              <w:bottom w:val="nil"/>
              <w:right w:val="nil"/>
            </w:tcBorders>
            <w:noWrap/>
            <w:vAlign w:val="bottom"/>
            <w:hideMark/>
          </w:tcPr>
          <w:p w14:paraId="34DEAA19" w14:textId="77777777" w:rsidR="00804CA7" w:rsidRPr="00804CA7" w:rsidRDefault="00804CA7">
            <w:pPr>
              <w:rPr>
                <w:rFonts w:ascii="Arial" w:hAnsi="Arial" w:cs="Arial"/>
                <w:b/>
                <w:bCs/>
                <w:sz w:val="16"/>
                <w:szCs w:val="16"/>
              </w:rPr>
            </w:pPr>
            <w:r w:rsidRPr="00804CA7">
              <w:rPr>
                <w:rFonts w:ascii="Arial" w:hAnsi="Arial" w:cs="Arial"/>
                <w:b/>
                <w:bCs/>
                <w:sz w:val="16"/>
                <w:szCs w:val="16"/>
              </w:rPr>
              <w:t>Fluxos de Caixa das Atividades Operacionais</w:t>
            </w:r>
          </w:p>
        </w:tc>
        <w:tc>
          <w:tcPr>
            <w:tcW w:w="74" w:type="pct"/>
            <w:tcBorders>
              <w:top w:val="nil"/>
              <w:left w:val="nil"/>
              <w:bottom w:val="nil"/>
              <w:right w:val="nil"/>
            </w:tcBorders>
            <w:noWrap/>
            <w:vAlign w:val="bottom"/>
            <w:hideMark/>
          </w:tcPr>
          <w:p w14:paraId="5D3045A4"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1FEC8623"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4FE2B339" w14:textId="77777777" w:rsidR="00804CA7" w:rsidRPr="00804CA7" w:rsidRDefault="00804CA7">
            <w:pPr>
              <w:rPr>
                <w:sz w:val="16"/>
                <w:szCs w:val="16"/>
              </w:rPr>
            </w:pPr>
          </w:p>
        </w:tc>
        <w:tc>
          <w:tcPr>
            <w:tcW w:w="497" w:type="pct"/>
            <w:tcBorders>
              <w:top w:val="nil"/>
              <w:left w:val="nil"/>
              <w:bottom w:val="nil"/>
              <w:right w:val="nil"/>
            </w:tcBorders>
            <w:noWrap/>
            <w:vAlign w:val="bottom"/>
            <w:hideMark/>
          </w:tcPr>
          <w:p w14:paraId="470268A0"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42749093" w14:textId="77777777" w:rsidR="00804CA7" w:rsidRPr="00804CA7" w:rsidRDefault="00804CA7">
            <w:pPr>
              <w:rPr>
                <w:sz w:val="16"/>
                <w:szCs w:val="16"/>
              </w:rPr>
            </w:pPr>
          </w:p>
        </w:tc>
      </w:tr>
      <w:tr w:rsidR="00804CA7" w:rsidRPr="00804CA7" w14:paraId="243CA547" w14:textId="77777777" w:rsidTr="00AC44FC">
        <w:trPr>
          <w:trHeight w:val="198"/>
        </w:trPr>
        <w:tc>
          <w:tcPr>
            <w:tcW w:w="3799" w:type="pct"/>
            <w:tcBorders>
              <w:top w:val="nil"/>
              <w:left w:val="nil"/>
              <w:bottom w:val="nil"/>
              <w:right w:val="nil"/>
            </w:tcBorders>
            <w:noWrap/>
            <w:vAlign w:val="bottom"/>
            <w:hideMark/>
          </w:tcPr>
          <w:p w14:paraId="51027D6D" w14:textId="5004E551" w:rsidR="00804CA7" w:rsidRPr="00804CA7" w:rsidRDefault="00804CA7">
            <w:pPr>
              <w:rPr>
                <w:rFonts w:ascii="Arial" w:hAnsi="Arial" w:cs="Arial"/>
                <w:b/>
                <w:bCs/>
                <w:sz w:val="16"/>
                <w:szCs w:val="16"/>
              </w:rPr>
            </w:pPr>
            <w:r w:rsidRPr="00804CA7">
              <w:rPr>
                <w:rFonts w:ascii="Arial" w:hAnsi="Arial" w:cs="Arial"/>
                <w:b/>
                <w:bCs/>
                <w:sz w:val="16"/>
                <w:szCs w:val="16"/>
              </w:rPr>
              <w:t>Prejuízo antes do Imposto de Renda e Contribuição Social</w:t>
            </w:r>
          </w:p>
        </w:tc>
        <w:tc>
          <w:tcPr>
            <w:tcW w:w="74" w:type="pct"/>
            <w:tcBorders>
              <w:top w:val="nil"/>
              <w:left w:val="nil"/>
              <w:bottom w:val="nil"/>
              <w:right w:val="nil"/>
            </w:tcBorders>
            <w:noWrap/>
            <w:vAlign w:val="bottom"/>
            <w:hideMark/>
          </w:tcPr>
          <w:p w14:paraId="6792A09A"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7F282442"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(89.543)</w:t>
            </w:r>
          </w:p>
        </w:tc>
        <w:tc>
          <w:tcPr>
            <w:tcW w:w="74" w:type="pct"/>
            <w:tcBorders>
              <w:top w:val="nil"/>
              <w:left w:val="nil"/>
              <w:bottom w:val="nil"/>
              <w:right w:val="nil"/>
            </w:tcBorders>
            <w:noWrap/>
            <w:vAlign w:val="bottom"/>
            <w:hideMark/>
          </w:tcPr>
          <w:p w14:paraId="420402E5" w14:textId="77777777" w:rsidR="00804CA7" w:rsidRPr="00804CA7" w:rsidRDefault="00804CA7" w:rsidP="00804CA7">
            <w:pPr>
              <w:jc w:val="right"/>
              <w:rPr>
                <w:rFonts w:ascii="Arial" w:hAnsi="Arial" w:cs="Arial"/>
                <w:b/>
                <w:bCs/>
                <w:sz w:val="16"/>
                <w:szCs w:val="16"/>
              </w:rPr>
            </w:pPr>
          </w:p>
        </w:tc>
        <w:tc>
          <w:tcPr>
            <w:tcW w:w="497" w:type="pct"/>
            <w:tcBorders>
              <w:top w:val="nil"/>
              <w:left w:val="nil"/>
              <w:bottom w:val="nil"/>
              <w:right w:val="nil"/>
            </w:tcBorders>
            <w:noWrap/>
            <w:vAlign w:val="bottom"/>
            <w:hideMark/>
          </w:tcPr>
          <w:p w14:paraId="2EEFDC0A"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(6.624)</w:t>
            </w:r>
          </w:p>
        </w:tc>
        <w:tc>
          <w:tcPr>
            <w:tcW w:w="74" w:type="pct"/>
            <w:tcBorders>
              <w:top w:val="nil"/>
              <w:left w:val="nil"/>
              <w:bottom w:val="nil"/>
              <w:right w:val="nil"/>
            </w:tcBorders>
            <w:noWrap/>
            <w:vAlign w:val="bottom"/>
            <w:hideMark/>
          </w:tcPr>
          <w:p w14:paraId="42D94519" w14:textId="77777777" w:rsidR="00804CA7" w:rsidRPr="00804CA7" w:rsidRDefault="00804CA7">
            <w:pPr>
              <w:rPr>
                <w:rFonts w:ascii="Arial" w:hAnsi="Arial" w:cs="Arial"/>
                <w:b/>
                <w:bCs/>
                <w:sz w:val="16"/>
                <w:szCs w:val="16"/>
              </w:rPr>
            </w:pPr>
          </w:p>
        </w:tc>
      </w:tr>
      <w:tr w:rsidR="00804CA7" w:rsidRPr="00804CA7" w14:paraId="1F8E1089" w14:textId="77777777" w:rsidTr="00AC44FC">
        <w:trPr>
          <w:trHeight w:val="198"/>
        </w:trPr>
        <w:tc>
          <w:tcPr>
            <w:tcW w:w="3799" w:type="pct"/>
            <w:tcBorders>
              <w:top w:val="nil"/>
              <w:left w:val="nil"/>
              <w:bottom w:val="nil"/>
              <w:right w:val="nil"/>
            </w:tcBorders>
            <w:noWrap/>
            <w:hideMark/>
          </w:tcPr>
          <w:p w14:paraId="459D5C6D" w14:textId="77777777" w:rsidR="00804CA7" w:rsidRPr="00804CA7" w:rsidRDefault="00804CA7">
            <w:pPr>
              <w:rPr>
                <w:rFonts w:ascii="Arial" w:hAnsi="Arial" w:cs="Arial"/>
                <w:b/>
                <w:bCs/>
                <w:sz w:val="16"/>
                <w:szCs w:val="16"/>
              </w:rPr>
            </w:pPr>
            <w:r w:rsidRPr="00804CA7">
              <w:rPr>
                <w:rFonts w:ascii="Arial" w:hAnsi="Arial" w:cs="Arial"/>
                <w:b/>
                <w:bCs/>
                <w:sz w:val="16"/>
                <w:szCs w:val="16"/>
              </w:rPr>
              <w:t xml:space="preserve"> Ajustes por: </w:t>
            </w:r>
          </w:p>
        </w:tc>
        <w:tc>
          <w:tcPr>
            <w:tcW w:w="74" w:type="pct"/>
            <w:tcBorders>
              <w:top w:val="nil"/>
              <w:left w:val="nil"/>
              <w:bottom w:val="nil"/>
              <w:right w:val="nil"/>
            </w:tcBorders>
            <w:noWrap/>
            <w:vAlign w:val="bottom"/>
            <w:hideMark/>
          </w:tcPr>
          <w:p w14:paraId="40EF8DF3"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412580A3"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56C4D37E"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57F2604A"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0864D6B8" w14:textId="77777777" w:rsidR="00804CA7" w:rsidRPr="00804CA7" w:rsidRDefault="00804CA7">
            <w:pPr>
              <w:rPr>
                <w:sz w:val="16"/>
                <w:szCs w:val="16"/>
              </w:rPr>
            </w:pPr>
          </w:p>
        </w:tc>
      </w:tr>
      <w:tr w:rsidR="00804CA7" w:rsidRPr="00804CA7" w14:paraId="5D3340CD" w14:textId="77777777" w:rsidTr="00AC44FC">
        <w:trPr>
          <w:trHeight w:val="198"/>
        </w:trPr>
        <w:tc>
          <w:tcPr>
            <w:tcW w:w="3799" w:type="pct"/>
            <w:tcBorders>
              <w:top w:val="nil"/>
              <w:left w:val="nil"/>
              <w:bottom w:val="nil"/>
              <w:right w:val="nil"/>
            </w:tcBorders>
            <w:noWrap/>
            <w:hideMark/>
          </w:tcPr>
          <w:p w14:paraId="281D1A62"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Depreciação e Amortização </w:t>
            </w:r>
          </w:p>
        </w:tc>
        <w:tc>
          <w:tcPr>
            <w:tcW w:w="74" w:type="pct"/>
            <w:tcBorders>
              <w:top w:val="nil"/>
              <w:left w:val="nil"/>
              <w:bottom w:val="nil"/>
              <w:right w:val="nil"/>
            </w:tcBorders>
            <w:noWrap/>
            <w:vAlign w:val="bottom"/>
            <w:hideMark/>
          </w:tcPr>
          <w:p w14:paraId="7F89E76E"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6880724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63.539 </w:t>
            </w:r>
          </w:p>
        </w:tc>
        <w:tc>
          <w:tcPr>
            <w:tcW w:w="74" w:type="pct"/>
            <w:tcBorders>
              <w:top w:val="nil"/>
              <w:left w:val="nil"/>
              <w:bottom w:val="nil"/>
              <w:right w:val="nil"/>
            </w:tcBorders>
            <w:noWrap/>
            <w:vAlign w:val="bottom"/>
            <w:hideMark/>
          </w:tcPr>
          <w:p w14:paraId="22ABF4DE"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39DDA68A"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69.724 </w:t>
            </w:r>
          </w:p>
        </w:tc>
        <w:tc>
          <w:tcPr>
            <w:tcW w:w="74" w:type="pct"/>
            <w:tcBorders>
              <w:top w:val="nil"/>
              <w:left w:val="nil"/>
              <w:bottom w:val="nil"/>
              <w:right w:val="nil"/>
            </w:tcBorders>
            <w:noWrap/>
            <w:vAlign w:val="bottom"/>
            <w:hideMark/>
          </w:tcPr>
          <w:p w14:paraId="074AD753" w14:textId="77777777" w:rsidR="00804CA7" w:rsidRPr="00804CA7" w:rsidRDefault="00804CA7">
            <w:pPr>
              <w:rPr>
                <w:rFonts w:ascii="Arial" w:hAnsi="Arial" w:cs="Arial"/>
                <w:sz w:val="16"/>
                <w:szCs w:val="16"/>
              </w:rPr>
            </w:pPr>
          </w:p>
        </w:tc>
      </w:tr>
      <w:tr w:rsidR="00804CA7" w:rsidRPr="00804CA7" w14:paraId="69BE9688" w14:textId="77777777" w:rsidTr="00AC44FC">
        <w:trPr>
          <w:trHeight w:val="198"/>
        </w:trPr>
        <w:tc>
          <w:tcPr>
            <w:tcW w:w="3799" w:type="pct"/>
            <w:tcBorders>
              <w:top w:val="nil"/>
              <w:left w:val="nil"/>
              <w:bottom w:val="nil"/>
              <w:right w:val="nil"/>
            </w:tcBorders>
            <w:noWrap/>
            <w:hideMark/>
          </w:tcPr>
          <w:p w14:paraId="1249D46A"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Provisão/Rever. para Riscos Prováveis Trabalhistas, Cíveis e Fiscais </w:t>
            </w:r>
          </w:p>
        </w:tc>
        <w:tc>
          <w:tcPr>
            <w:tcW w:w="74" w:type="pct"/>
            <w:tcBorders>
              <w:top w:val="nil"/>
              <w:left w:val="nil"/>
              <w:bottom w:val="nil"/>
              <w:right w:val="nil"/>
            </w:tcBorders>
            <w:noWrap/>
            <w:vAlign w:val="bottom"/>
            <w:hideMark/>
          </w:tcPr>
          <w:p w14:paraId="3566951D"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3B7352A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(915)</w:t>
            </w:r>
          </w:p>
        </w:tc>
        <w:tc>
          <w:tcPr>
            <w:tcW w:w="74" w:type="pct"/>
            <w:tcBorders>
              <w:top w:val="nil"/>
              <w:left w:val="nil"/>
              <w:bottom w:val="nil"/>
              <w:right w:val="nil"/>
            </w:tcBorders>
            <w:noWrap/>
            <w:vAlign w:val="bottom"/>
            <w:hideMark/>
          </w:tcPr>
          <w:p w14:paraId="52359CD7"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6DCEC057"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111 </w:t>
            </w:r>
          </w:p>
        </w:tc>
        <w:tc>
          <w:tcPr>
            <w:tcW w:w="74" w:type="pct"/>
            <w:tcBorders>
              <w:top w:val="nil"/>
              <w:left w:val="nil"/>
              <w:bottom w:val="nil"/>
              <w:right w:val="nil"/>
            </w:tcBorders>
            <w:noWrap/>
            <w:vAlign w:val="bottom"/>
            <w:hideMark/>
          </w:tcPr>
          <w:p w14:paraId="2FB5BA73" w14:textId="77777777" w:rsidR="00804CA7" w:rsidRPr="00804CA7" w:rsidRDefault="00804CA7">
            <w:pPr>
              <w:rPr>
                <w:rFonts w:ascii="Arial" w:hAnsi="Arial" w:cs="Arial"/>
                <w:sz w:val="16"/>
                <w:szCs w:val="16"/>
              </w:rPr>
            </w:pPr>
          </w:p>
        </w:tc>
      </w:tr>
      <w:tr w:rsidR="00804CA7" w:rsidRPr="00804CA7" w14:paraId="0D9E16CB" w14:textId="77777777" w:rsidTr="00AC44FC">
        <w:trPr>
          <w:trHeight w:val="198"/>
        </w:trPr>
        <w:tc>
          <w:tcPr>
            <w:tcW w:w="3799" w:type="pct"/>
            <w:tcBorders>
              <w:top w:val="nil"/>
              <w:left w:val="nil"/>
              <w:bottom w:val="nil"/>
              <w:right w:val="nil"/>
            </w:tcBorders>
            <w:noWrap/>
            <w:hideMark/>
          </w:tcPr>
          <w:p w14:paraId="4FA1C78E"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Variação Monetária de Prov. para Riscos Prováveis Trabalhistas, Cíveis e Fiscais </w:t>
            </w:r>
          </w:p>
        </w:tc>
        <w:tc>
          <w:tcPr>
            <w:tcW w:w="74" w:type="pct"/>
            <w:tcBorders>
              <w:top w:val="nil"/>
              <w:left w:val="nil"/>
              <w:bottom w:val="nil"/>
              <w:right w:val="nil"/>
            </w:tcBorders>
            <w:noWrap/>
            <w:vAlign w:val="bottom"/>
            <w:hideMark/>
          </w:tcPr>
          <w:p w14:paraId="0C717EDC"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791C8374"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1.770 </w:t>
            </w:r>
          </w:p>
        </w:tc>
        <w:tc>
          <w:tcPr>
            <w:tcW w:w="74" w:type="pct"/>
            <w:tcBorders>
              <w:top w:val="nil"/>
              <w:left w:val="nil"/>
              <w:bottom w:val="nil"/>
              <w:right w:val="nil"/>
            </w:tcBorders>
            <w:noWrap/>
            <w:vAlign w:val="bottom"/>
            <w:hideMark/>
          </w:tcPr>
          <w:p w14:paraId="55EBE88F"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564593AF"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2.070 </w:t>
            </w:r>
          </w:p>
        </w:tc>
        <w:tc>
          <w:tcPr>
            <w:tcW w:w="74" w:type="pct"/>
            <w:tcBorders>
              <w:top w:val="nil"/>
              <w:left w:val="nil"/>
              <w:bottom w:val="nil"/>
              <w:right w:val="nil"/>
            </w:tcBorders>
            <w:noWrap/>
            <w:vAlign w:val="bottom"/>
            <w:hideMark/>
          </w:tcPr>
          <w:p w14:paraId="463F8354" w14:textId="77777777" w:rsidR="00804CA7" w:rsidRPr="00804CA7" w:rsidRDefault="00804CA7">
            <w:pPr>
              <w:rPr>
                <w:rFonts w:ascii="Arial" w:hAnsi="Arial" w:cs="Arial"/>
                <w:sz w:val="16"/>
                <w:szCs w:val="16"/>
              </w:rPr>
            </w:pPr>
          </w:p>
        </w:tc>
      </w:tr>
      <w:tr w:rsidR="00804CA7" w:rsidRPr="00804CA7" w14:paraId="63490307" w14:textId="77777777" w:rsidTr="00AC44FC">
        <w:trPr>
          <w:trHeight w:val="198"/>
        </w:trPr>
        <w:tc>
          <w:tcPr>
            <w:tcW w:w="3799" w:type="pct"/>
            <w:tcBorders>
              <w:top w:val="nil"/>
              <w:left w:val="nil"/>
              <w:bottom w:val="nil"/>
              <w:right w:val="nil"/>
            </w:tcBorders>
            <w:noWrap/>
            <w:hideMark/>
          </w:tcPr>
          <w:p w14:paraId="04DD2518"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Receita Diferida </w:t>
            </w:r>
          </w:p>
        </w:tc>
        <w:tc>
          <w:tcPr>
            <w:tcW w:w="74" w:type="pct"/>
            <w:tcBorders>
              <w:top w:val="nil"/>
              <w:left w:val="nil"/>
              <w:bottom w:val="nil"/>
              <w:right w:val="nil"/>
            </w:tcBorders>
            <w:noWrap/>
            <w:vAlign w:val="bottom"/>
            <w:hideMark/>
          </w:tcPr>
          <w:p w14:paraId="32E4B7CD"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0B6C0227"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(9.120)</w:t>
            </w:r>
          </w:p>
        </w:tc>
        <w:tc>
          <w:tcPr>
            <w:tcW w:w="74" w:type="pct"/>
            <w:tcBorders>
              <w:top w:val="nil"/>
              <w:left w:val="nil"/>
              <w:bottom w:val="nil"/>
              <w:right w:val="nil"/>
            </w:tcBorders>
            <w:noWrap/>
            <w:vAlign w:val="bottom"/>
            <w:hideMark/>
          </w:tcPr>
          <w:p w14:paraId="499B3B01"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63336EFA"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(9.120)</w:t>
            </w:r>
          </w:p>
        </w:tc>
        <w:tc>
          <w:tcPr>
            <w:tcW w:w="74" w:type="pct"/>
            <w:tcBorders>
              <w:top w:val="nil"/>
              <w:left w:val="nil"/>
              <w:bottom w:val="nil"/>
              <w:right w:val="nil"/>
            </w:tcBorders>
            <w:noWrap/>
            <w:vAlign w:val="bottom"/>
            <w:hideMark/>
          </w:tcPr>
          <w:p w14:paraId="47354FF3" w14:textId="77777777" w:rsidR="00804CA7" w:rsidRPr="00804CA7" w:rsidRDefault="00804CA7">
            <w:pPr>
              <w:rPr>
                <w:rFonts w:ascii="Arial" w:hAnsi="Arial" w:cs="Arial"/>
                <w:sz w:val="16"/>
                <w:szCs w:val="16"/>
              </w:rPr>
            </w:pPr>
          </w:p>
        </w:tc>
      </w:tr>
      <w:tr w:rsidR="00804CA7" w:rsidRPr="00804CA7" w14:paraId="736F49F6" w14:textId="77777777" w:rsidTr="00AC44FC">
        <w:trPr>
          <w:trHeight w:val="198"/>
        </w:trPr>
        <w:tc>
          <w:tcPr>
            <w:tcW w:w="3799" w:type="pct"/>
            <w:tcBorders>
              <w:top w:val="nil"/>
              <w:left w:val="nil"/>
              <w:bottom w:val="nil"/>
              <w:right w:val="nil"/>
            </w:tcBorders>
            <w:noWrap/>
            <w:hideMark/>
          </w:tcPr>
          <w:p w14:paraId="03061703"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Equivalência Patrimonial </w:t>
            </w:r>
          </w:p>
        </w:tc>
        <w:tc>
          <w:tcPr>
            <w:tcW w:w="74" w:type="pct"/>
            <w:tcBorders>
              <w:top w:val="nil"/>
              <w:left w:val="nil"/>
              <w:bottom w:val="nil"/>
              <w:right w:val="nil"/>
            </w:tcBorders>
            <w:noWrap/>
            <w:vAlign w:val="bottom"/>
            <w:hideMark/>
          </w:tcPr>
          <w:p w14:paraId="1BAD7E0C"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69C94F6D"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82 </w:t>
            </w:r>
          </w:p>
        </w:tc>
        <w:tc>
          <w:tcPr>
            <w:tcW w:w="74" w:type="pct"/>
            <w:tcBorders>
              <w:top w:val="nil"/>
              <w:left w:val="nil"/>
              <w:bottom w:val="nil"/>
              <w:right w:val="nil"/>
            </w:tcBorders>
            <w:noWrap/>
            <w:vAlign w:val="bottom"/>
            <w:hideMark/>
          </w:tcPr>
          <w:p w14:paraId="6AF8FADC"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6CBCCA32"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716 </w:t>
            </w:r>
          </w:p>
        </w:tc>
        <w:tc>
          <w:tcPr>
            <w:tcW w:w="74" w:type="pct"/>
            <w:tcBorders>
              <w:top w:val="nil"/>
              <w:left w:val="nil"/>
              <w:bottom w:val="nil"/>
              <w:right w:val="nil"/>
            </w:tcBorders>
            <w:noWrap/>
            <w:vAlign w:val="bottom"/>
            <w:hideMark/>
          </w:tcPr>
          <w:p w14:paraId="21A5DF2B" w14:textId="77777777" w:rsidR="00804CA7" w:rsidRPr="00804CA7" w:rsidRDefault="00804CA7">
            <w:pPr>
              <w:rPr>
                <w:rFonts w:ascii="Arial" w:hAnsi="Arial" w:cs="Arial"/>
                <w:sz w:val="16"/>
                <w:szCs w:val="16"/>
              </w:rPr>
            </w:pPr>
          </w:p>
        </w:tc>
      </w:tr>
      <w:tr w:rsidR="00804CA7" w:rsidRPr="00804CA7" w14:paraId="33AE6F67" w14:textId="77777777" w:rsidTr="00AC44FC">
        <w:trPr>
          <w:trHeight w:val="198"/>
        </w:trPr>
        <w:tc>
          <w:tcPr>
            <w:tcW w:w="3799" w:type="pct"/>
            <w:tcBorders>
              <w:top w:val="nil"/>
              <w:left w:val="nil"/>
              <w:bottom w:val="nil"/>
              <w:right w:val="nil"/>
            </w:tcBorders>
            <w:noWrap/>
            <w:hideMark/>
          </w:tcPr>
          <w:p w14:paraId="0F755E4D"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Encargos Financeiros sobre Adiantamento para Aumento de Capital </w:t>
            </w:r>
          </w:p>
        </w:tc>
        <w:tc>
          <w:tcPr>
            <w:tcW w:w="74" w:type="pct"/>
            <w:tcBorders>
              <w:top w:val="nil"/>
              <w:left w:val="nil"/>
              <w:bottom w:val="nil"/>
              <w:right w:val="nil"/>
            </w:tcBorders>
            <w:noWrap/>
            <w:vAlign w:val="bottom"/>
            <w:hideMark/>
          </w:tcPr>
          <w:p w14:paraId="24AF743C"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7A0AE77A"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66.554 </w:t>
            </w:r>
          </w:p>
        </w:tc>
        <w:tc>
          <w:tcPr>
            <w:tcW w:w="74" w:type="pct"/>
            <w:tcBorders>
              <w:top w:val="nil"/>
              <w:left w:val="nil"/>
              <w:bottom w:val="nil"/>
              <w:right w:val="nil"/>
            </w:tcBorders>
            <w:noWrap/>
            <w:vAlign w:val="bottom"/>
            <w:hideMark/>
          </w:tcPr>
          <w:p w14:paraId="0F5F30AE"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51DB3257"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54.829 </w:t>
            </w:r>
          </w:p>
        </w:tc>
        <w:tc>
          <w:tcPr>
            <w:tcW w:w="74" w:type="pct"/>
            <w:tcBorders>
              <w:top w:val="nil"/>
              <w:left w:val="nil"/>
              <w:bottom w:val="nil"/>
              <w:right w:val="nil"/>
            </w:tcBorders>
            <w:noWrap/>
            <w:vAlign w:val="bottom"/>
            <w:hideMark/>
          </w:tcPr>
          <w:p w14:paraId="6127171C" w14:textId="77777777" w:rsidR="00804CA7" w:rsidRPr="00804CA7" w:rsidRDefault="00804CA7">
            <w:pPr>
              <w:rPr>
                <w:rFonts w:ascii="Arial" w:hAnsi="Arial" w:cs="Arial"/>
                <w:sz w:val="16"/>
                <w:szCs w:val="16"/>
              </w:rPr>
            </w:pPr>
          </w:p>
        </w:tc>
      </w:tr>
      <w:tr w:rsidR="00804CA7" w:rsidRPr="00804CA7" w14:paraId="3C64350A" w14:textId="77777777" w:rsidTr="00AC44FC">
        <w:trPr>
          <w:trHeight w:val="198"/>
        </w:trPr>
        <w:tc>
          <w:tcPr>
            <w:tcW w:w="3799" w:type="pct"/>
            <w:tcBorders>
              <w:top w:val="nil"/>
              <w:left w:val="nil"/>
              <w:bottom w:val="nil"/>
              <w:right w:val="nil"/>
            </w:tcBorders>
            <w:noWrap/>
            <w:hideMark/>
          </w:tcPr>
          <w:p w14:paraId="45F4A147"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Provisão IRPJ/CSLL do Período </w:t>
            </w:r>
          </w:p>
        </w:tc>
        <w:tc>
          <w:tcPr>
            <w:tcW w:w="74" w:type="pct"/>
            <w:tcBorders>
              <w:top w:val="nil"/>
              <w:left w:val="nil"/>
              <w:bottom w:val="nil"/>
              <w:right w:val="nil"/>
            </w:tcBorders>
            <w:noWrap/>
            <w:vAlign w:val="bottom"/>
            <w:hideMark/>
          </w:tcPr>
          <w:p w14:paraId="54DBF8FC"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15EBAD5F"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0D66D67A"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3D3ECC4E"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(4.281)</w:t>
            </w:r>
          </w:p>
        </w:tc>
        <w:tc>
          <w:tcPr>
            <w:tcW w:w="74" w:type="pct"/>
            <w:tcBorders>
              <w:top w:val="nil"/>
              <w:left w:val="nil"/>
              <w:bottom w:val="nil"/>
              <w:right w:val="nil"/>
            </w:tcBorders>
            <w:noWrap/>
            <w:vAlign w:val="bottom"/>
            <w:hideMark/>
          </w:tcPr>
          <w:p w14:paraId="2D3098D7" w14:textId="77777777" w:rsidR="00804CA7" w:rsidRPr="00804CA7" w:rsidRDefault="00804CA7">
            <w:pPr>
              <w:rPr>
                <w:rFonts w:ascii="Arial" w:hAnsi="Arial" w:cs="Arial"/>
                <w:sz w:val="16"/>
                <w:szCs w:val="16"/>
              </w:rPr>
            </w:pPr>
          </w:p>
        </w:tc>
      </w:tr>
      <w:tr w:rsidR="00804CA7" w:rsidRPr="00804CA7" w14:paraId="799921E1" w14:textId="77777777" w:rsidTr="00AC44FC">
        <w:trPr>
          <w:trHeight w:val="198"/>
        </w:trPr>
        <w:tc>
          <w:tcPr>
            <w:tcW w:w="3799" w:type="pct"/>
            <w:tcBorders>
              <w:top w:val="nil"/>
              <w:left w:val="nil"/>
              <w:bottom w:val="nil"/>
              <w:right w:val="nil"/>
            </w:tcBorders>
            <w:noWrap/>
            <w:hideMark/>
          </w:tcPr>
          <w:p w14:paraId="6B539EAA"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Provisão para Programa de Indenização por Serviços Prestados </w:t>
            </w:r>
          </w:p>
        </w:tc>
        <w:tc>
          <w:tcPr>
            <w:tcW w:w="74" w:type="pct"/>
            <w:tcBorders>
              <w:top w:val="nil"/>
              <w:left w:val="nil"/>
              <w:bottom w:val="nil"/>
              <w:right w:val="nil"/>
            </w:tcBorders>
            <w:noWrap/>
            <w:vAlign w:val="bottom"/>
            <w:hideMark/>
          </w:tcPr>
          <w:p w14:paraId="01FADE64"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103254E8"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6 </w:t>
            </w:r>
          </w:p>
        </w:tc>
        <w:tc>
          <w:tcPr>
            <w:tcW w:w="74" w:type="pct"/>
            <w:tcBorders>
              <w:top w:val="nil"/>
              <w:left w:val="nil"/>
              <w:bottom w:val="nil"/>
              <w:right w:val="nil"/>
            </w:tcBorders>
            <w:noWrap/>
            <w:vAlign w:val="bottom"/>
            <w:hideMark/>
          </w:tcPr>
          <w:p w14:paraId="75F0130F"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161821EF"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999 </w:t>
            </w:r>
          </w:p>
        </w:tc>
        <w:tc>
          <w:tcPr>
            <w:tcW w:w="74" w:type="pct"/>
            <w:tcBorders>
              <w:top w:val="nil"/>
              <w:left w:val="nil"/>
              <w:bottom w:val="nil"/>
              <w:right w:val="nil"/>
            </w:tcBorders>
            <w:noWrap/>
            <w:vAlign w:val="bottom"/>
            <w:hideMark/>
          </w:tcPr>
          <w:p w14:paraId="36DA8E7D" w14:textId="77777777" w:rsidR="00804CA7" w:rsidRPr="00804CA7" w:rsidRDefault="00804CA7">
            <w:pPr>
              <w:rPr>
                <w:rFonts w:ascii="Arial" w:hAnsi="Arial" w:cs="Arial"/>
                <w:sz w:val="16"/>
                <w:szCs w:val="16"/>
              </w:rPr>
            </w:pPr>
          </w:p>
        </w:tc>
      </w:tr>
      <w:tr w:rsidR="00804CA7" w:rsidRPr="00804CA7" w14:paraId="0E1C7B6D" w14:textId="77777777" w:rsidTr="00AC44FC">
        <w:trPr>
          <w:trHeight w:val="198"/>
        </w:trPr>
        <w:tc>
          <w:tcPr>
            <w:tcW w:w="3799" w:type="pct"/>
            <w:tcBorders>
              <w:top w:val="nil"/>
              <w:left w:val="nil"/>
              <w:bottom w:val="nil"/>
              <w:right w:val="nil"/>
            </w:tcBorders>
            <w:noWrap/>
            <w:hideMark/>
          </w:tcPr>
          <w:p w14:paraId="02B5B817"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Variação Monetária/Juros de Credores por Perdas Judiciais </w:t>
            </w:r>
          </w:p>
        </w:tc>
        <w:tc>
          <w:tcPr>
            <w:tcW w:w="74" w:type="pct"/>
            <w:tcBorders>
              <w:top w:val="nil"/>
              <w:left w:val="nil"/>
              <w:bottom w:val="nil"/>
              <w:right w:val="nil"/>
            </w:tcBorders>
            <w:noWrap/>
            <w:vAlign w:val="bottom"/>
            <w:hideMark/>
          </w:tcPr>
          <w:p w14:paraId="10640DDE"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6974CA6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4084B5B8"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3E3C1C73"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3.964 </w:t>
            </w:r>
          </w:p>
        </w:tc>
        <w:tc>
          <w:tcPr>
            <w:tcW w:w="74" w:type="pct"/>
            <w:tcBorders>
              <w:top w:val="nil"/>
              <w:left w:val="nil"/>
              <w:bottom w:val="nil"/>
              <w:right w:val="nil"/>
            </w:tcBorders>
            <w:noWrap/>
            <w:vAlign w:val="bottom"/>
            <w:hideMark/>
          </w:tcPr>
          <w:p w14:paraId="231C41FE" w14:textId="77777777" w:rsidR="00804CA7" w:rsidRPr="00804CA7" w:rsidRDefault="00804CA7">
            <w:pPr>
              <w:rPr>
                <w:rFonts w:ascii="Arial" w:hAnsi="Arial" w:cs="Arial"/>
                <w:sz w:val="16"/>
                <w:szCs w:val="16"/>
              </w:rPr>
            </w:pPr>
          </w:p>
        </w:tc>
      </w:tr>
      <w:tr w:rsidR="00804CA7" w:rsidRPr="00804CA7" w14:paraId="4C8CAD26" w14:textId="77777777" w:rsidTr="00AC44FC">
        <w:trPr>
          <w:trHeight w:val="198"/>
        </w:trPr>
        <w:tc>
          <w:tcPr>
            <w:tcW w:w="3799" w:type="pct"/>
            <w:tcBorders>
              <w:top w:val="nil"/>
              <w:left w:val="nil"/>
              <w:bottom w:val="nil"/>
              <w:right w:val="nil"/>
            </w:tcBorders>
            <w:noWrap/>
            <w:hideMark/>
          </w:tcPr>
          <w:p w14:paraId="75B7C961"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Variação Monetária de Depósitos Judiciais </w:t>
            </w:r>
          </w:p>
        </w:tc>
        <w:tc>
          <w:tcPr>
            <w:tcW w:w="74" w:type="pct"/>
            <w:tcBorders>
              <w:top w:val="nil"/>
              <w:left w:val="nil"/>
              <w:bottom w:val="nil"/>
              <w:right w:val="nil"/>
            </w:tcBorders>
            <w:noWrap/>
            <w:vAlign w:val="bottom"/>
            <w:hideMark/>
          </w:tcPr>
          <w:p w14:paraId="26B584B4"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1CB0A79D"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(1.171)</w:t>
            </w:r>
          </w:p>
        </w:tc>
        <w:tc>
          <w:tcPr>
            <w:tcW w:w="74" w:type="pct"/>
            <w:tcBorders>
              <w:top w:val="nil"/>
              <w:left w:val="nil"/>
              <w:bottom w:val="nil"/>
              <w:right w:val="nil"/>
            </w:tcBorders>
            <w:noWrap/>
            <w:vAlign w:val="bottom"/>
            <w:hideMark/>
          </w:tcPr>
          <w:p w14:paraId="401AEAAE"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63A9FB56"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(1.065)</w:t>
            </w:r>
          </w:p>
        </w:tc>
        <w:tc>
          <w:tcPr>
            <w:tcW w:w="74" w:type="pct"/>
            <w:tcBorders>
              <w:top w:val="nil"/>
              <w:left w:val="nil"/>
              <w:bottom w:val="nil"/>
              <w:right w:val="nil"/>
            </w:tcBorders>
            <w:noWrap/>
            <w:vAlign w:val="bottom"/>
            <w:hideMark/>
          </w:tcPr>
          <w:p w14:paraId="0B1C0230" w14:textId="77777777" w:rsidR="00804CA7" w:rsidRPr="00804CA7" w:rsidRDefault="00804CA7">
            <w:pPr>
              <w:rPr>
                <w:rFonts w:ascii="Arial" w:hAnsi="Arial" w:cs="Arial"/>
                <w:sz w:val="16"/>
                <w:szCs w:val="16"/>
              </w:rPr>
            </w:pPr>
          </w:p>
        </w:tc>
      </w:tr>
      <w:tr w:rsidR="00804CA7" w:rsidRPr="00804CA7" w14:paraId="2B25C3FE" w14:textId="77777777" w:rsidTr="00AC44FC">
        <w:trPr>
          <w:trHeight w:val="198"/>
        </w:trPr>
        <w:tc>
          <w:tcPr>
            <w:tcW w:w="3799" w:type="pct"/>
            <w:tcBorders>
              <w:top w:val="nil"/>
              <w:left w:val="nil"/>
              <w:bottom w:val="nil"/>
              <w:right w:val="nil"/>
            </w:tcBorders>
            <w:noWrap/>
            <w:hideMark/>
          </w:tcPr>
          <w:p w14:paraId="4BDB701B"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Despesas Financeiras - Juros a Apropriar CPC (R2)/IFRS 16 </w:t>
            </w:r>
          </w:p>
        </w:tc>
        <w:tc>
          <w:tcPr>
            <w:tcW w:w="74" w:type="pct"/>
            <w:tcBorders>
              <w:top w:val="nil"/>
              <w:left w:val="nil"/>
              <w:bottom w:val="nil"/>
              <w:right w:val="nil"/>
            </w:tcBorders>
            <w:noWrap/>
            <w:vAlign w:val="bottom"/>
            <w:hideMark/>
          </w:tcPr>
          <w:p w14:paraId="3C68ABD4"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1694ACB3"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347 </w:t>
            </w:r>
          </w:p>
        </w:tc>
        <w:tc>
          <w:tcPr>
            <w:tcW w:w="74" w:type="pct"/>
            <w:tcBorders>
              <w:top w:val="nil"/>
              <w:left w:val="nil"/>
              <w:bottom w:val="nil"/>
              <w:right w:val="nil"/>
            </w:tcBorders>
            <w:noWrap/>
            <w:vAlign w:val="bottom"/>
            <w:hideMark/>
          </w:tcPr>
          <w:p w14:paraId="60B209D8"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293093DD"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303 </w:t>
            </w:r>
          </w:p>
        </w:tc>
        <w:tc>
          <w:tcPr>
            <w:tcW w:w="74" w:type="pct"/>
            <w:tcBorders>
              <w:top w:val="nil"/>
              <w:left w:val="nil"/>
              <w:bottom w:val="nil"/>
              <w:right w:val="nil"/>
            </w:tcBorders>
            <w:noWrap/>
            <w:vAlign w:val="bottom"/>
            <w:hideMark/>
          </w:tcPr>
          <w:p w14:paraId="47A54A72" w14:textId="77777777" w:rsidR="00804CA7" w:rsidRPr="00804CA7" w:rsidRDefault="00804CA7">
            <w:pPr>
              <w:rPr>
                <w:rFonts w:ascii="Arial" w:hAnsi="Arial" w:cs="Arial"/>
                <w:sz w:val="16"/>
                <w:szCs w:val="16"/>
              </w:rPr>
            </w:pPr>
          </w:p>
        </w:tc>
      </w:tr>
      <w:tr w:rsidR="00804CA7" w:rsidRPr="00804CA7" w14:paraId="0FD3AB22" w14:textId="77777777" w:rsidTr="00AC44FC">
        <w:trPr>
          <w:trHeight w:val="198"/>
        </w:trPr>
        <w:tc>
          <w:tcPr>
            <w:tcW w:w="3799" w:type="pct"/>
            <w:tcBorders>
              <w:top w:val="nil"/>
              <w:left w:val="nil"/>
              <w:bottom w:val="nil"/>
              <w:right w:val="nil"/>
            </w:tcBorders>
            <w:noWrap/>
            <w:hideMark/>
          </w:tcPr>
          <w:p w14:paraId="62DCB32D"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Apropriação de Juros - Empréstimos e Financiamentos </w:t>
            </w:r>
          </w:p>
        </w:tc>
        <w:tc>
          <w:tcPr>
            <w:tcW w:w="74" w:type="pct"/>
            <w:tcBorders>
              <w:top w:val="nil"/>
              <w:left w:val="nil"/>
              <w:bottom w:val="nil"/>
              <w:right w:val="nil"/>
            </w:tcBorders>
            <w:noWrap/>
            <w:vAlign w:val="bottom"/>
            <w:hideMark/>
          </w:tcPr>
          <w:p w14:paraId="47D29F43"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7634A5FA"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5CD06373"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418427E4"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(209)</w:t>
            </w:r>
          </w:p>
        </w:tc>
        <w:tc>
          <w:tcPr>
            <w:tcW w:w="74" w:type="pct"/>
            <w:tcBorders>
              <w:top w:val="nil"/>
              <w:left w:val="nil"/>
              <w:bottom w:val="nil"/>
              <w:right w:val="nil"/>
            </w:tcBorders>
            <w:noWrap/>
            <w:vAlign w:val="bottom"/>
            <w:hideMark/>
          </w:tcPr>
          <w:p w14:paraId="05FB2C00" w14:textId="77777777" w:rsidR="00804CA7" w:rsidRPr="00804CA7" w:rsidRDefault="00804CA7">
            <w:pPr>
              <w:rPr>
                <w:rFonts w:ascii="Arial" w:hAnsi="Arial" w:cs="Arial"/>
                <w:sz w:val="16"/>
                <w:szCs w:val="16"/>
              </w:rPr>
            </w:pPr>
          </w:p>
        </w:tc>
      </w:tr>
      <w:tr w:rsidR="00804CA7" w:rsidRPr="00804CA7" w14:paraId="3EE70AE0" w14:textId="77777777" w:rsidTr="00AC44FC">
        <w:trPr>
          <w:trHeight w:val="198"/>
        </w:trPr>
        <w:tc>
          <w:tcPr>
            <w:tcW w:w="3799" w:type="pct"/>
            <w:tcBorders>
              <w:top w:val="nil"/>
              <w:left w:val="nil"/>
              <w:bottom w:val="nil"/>
              <w:right w:val="nil"/>
            </w:tcBorders>
            <w:noWrap/>
            <w:hideMark/>
          </w:tcPr>
          <w:p w14:paraId="4658F47E" w14:textId="31E9C26E"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w:t>
            </w:r>
            <w:r w:rsidR="00B75A7E">
              <w:rPr>
                <w:rFonts w:ascii="Arial" w:hAnsi="Arial" w:cs="Arial"/>
                <w:sz w:val="16"/>
                <w:szCs w:val="16"/>
              </w:rPr>
              <w:t xml:space="preserve">Variação Monetária de </w:t>
            </w:r>
            <w:r w:rsidRPr="00804CA7">
              <w:rPr>
                <w:rFonts w:ascii="Arial" w:hAnsi="Arial" w:cs="Arial"/>
                <w:sz w:val="16"/>
                <w:szCs w:val="16"/>
              </w:rPr>
              <w:t xml:space="preserve">Superávit - Previdência Privada </w:t>
            </w:r>
          </w:p>
        </w:tc>
        <w:tc>
          <w:tcPr>
            <w:tcW w:w="74" w:type="pct"/>
            <w:tcBorders>
              <w:top w:val="nil"/>
              <w:left w:val="nil"/>
              <w:bottom w:val="nil"/>
              <w:right w:val="nil"/>
            </w:tcBorders>
            <w:noWrap/>
            <w:vAlign w:val="bottom"/>
            <w:hideMark/>
          </w:tcPr>
          <w:p w14:paraId="5DA86801"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20AACD3A"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(5.987)</w:t>
            </w:r>
          </w:p>
        </w:tc>
        <w:tc>
          <w:tcPr>
            <w:tcW w:w="74" w:type="pct"/>
            <w:tcBorders>
              <w:top w:val="nil"/>
              <w:left w:val="nil"/>
              <w:bottom w:val="nil"/>
              <w:right w:val="nil"/>
            </w:tcBorders>
            <w:noWrap/>
            <w:vAlign w:val="bottom"/>
            <w:hideMark/>
          </w:tcPr>
          <w:p w14:paraId="538FDBE6"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50F3D860" w14:textId="0F861CB2" w:rsidR="00804CA7" w:rsidRPr="00804CA7" w:rsidRDefault="00B75A7E" w:rsidP="00804CA7">
            <w:pPr>
              <w:jc w:val="right"/>
              <w:rPr>
                <w:rFonts w:ascii="Arial" w:hAnsi="Arial" w:cs="Arial"/>
                <w:sz w:val="16"/>
                <w:szCs w:val="16"/>
              </w:rPr>
            </w:pPr>
            <w:r>
              <w:rPr>
                <w:rFonts w:ascii="Arial" w:hAnsi="Arial" w:cs="Arial"/>
                <w:sz w:val="16"/>
                <w:szCs w:val="16"/>
              </w:rPr>
              <w:t>(6.001)</w:t>
            </w:r>
            <w:r w:rsidR="00804CA7" w:rsidRPr="00804CA7">
              <w:rPr>
                <w:rFonts w:ascii="Arial" w:hAnsi="Arial" w:cs="Arial"/>
                <w:sz w:val="16"/>
                <w:szCs w:val="16"/>
              </w:rPr>
              <w:t xml:space="preserve">  </w:t>
            </w:r>
          </w:p>
        </w:tc>
        <w:tc>
          <w:tcPr>
            <w:tcW w:w="74" w:type="pct"/>
            <w:tcBorders>
              <w:top w:val="nil"/>
              <w:left w:val="nil"/>
              <w:bottom w:val="nil"/>
              <w:right w:val="nil"/>
            </w:tcBorders>
            <w:noWrap/>
            <w:vAlign w:val="bottom"/>
            <w:hideMark/>
          </w:tcPr>
          <w:p w14:paraId="35C0C234" w14:textId="77777777" w:rsidR="00804CA7" w:rsidRPr="00804CA7" w:rsidRDefault="00804CA7">
            <w:pPr>
              <w:rPr>
                <w:rFonts w:ascii="Arial" w:hAnsi="Arial" w:cs="Arial"/>
                <w:sz w:val="16"/>
                <w:szCs w:val="16"/>
              </w:rPr>
            </w:pPr>
          </w:p>
        </w:tc>
      </w:tr>
      <w:tr w:rsidR="00804CA7" w:rsidRPr="00804CA7" w14:paraId="72A7671F" w14:textId="77777777" w:rsidTr="00AC44FC">
        <w:trPr>
          <w:trHeight w:val="198"/>
        </w:trPr>
        <w:tc>
          <w:tcPr>
            <w:tcW w:w="3799" w:type="pct"/>
            <w:tcBorders>
              <w:top w:val="nil"/>
              <w:left w:val="nil"/>
              <w:bottom w:val="nil"/>
              <w:right w:val="nil"/>
            </w:tcBorders>
            <w:noWrap/>
            <w:hideMark/>
          </w:tcPr>
          <w:p w14:paraId="4098FFE1"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Perdas Estimadas com Créditos de Liquidação Duvidosa </w:t>
            </w:r>
          </w:p>
        </w:tc>
        <w:tc>
          <w:tcPr>
            <w:tcW w:w="74" w:type="pct"/>
            <w:tcBorders>
              <w:top w:val="nil"/>
              <w:left w:val="nil"/>
              <w:bottom w:val="nil"/>
              <w:right w:val="nil"/>
            </w:tcBorders>
            <w:noWrap/>
            <w:vAlign w:val="bottom"/>
            <w:hideMark/>
          </w:tcPr>
          <w:p w14:paraId="489D1FAC"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4ED4E785"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(141)</w:t>
            </w:r>
          </w:p>
        </w:tc>
        <w:tc>
          <w:tcPr>
            <w:tcW w:w="74" w:type="pct"/>
            <w:tcBorders>
              <w:top w:val="nil"/>
              <w:left w:val="nil"/>
              <w:bottom w:val="nil"/>
              <w:right w:val="nil"/>
            </w:tcBorders>
            <w:noWrap/>
            <w:vAlign w:val="bottom"/>
            <w:hideMark/>
          </w:tcPr>
          <w:p w14:paraId="58C2B195"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402379EB"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(398)</w:t>
            </w:r>
          </w:p>
        </w:tc>
        <w:tc>
          <w:tcPr>
            <w:tcW w:w="74" w:type="pct"/>
            <w:tcBorders>
              <w:top w:val="nil"/>
              <w:left w:val="nil"/>
              <w:bottom w:val="nil"/>
              <w:right w:val="nil"/>
            </w:tcBorders>
            <w:noWrap/>
            <w:vAlign w:val="bottom"/>
            <w:hideMark/>
          </w:tcPr>
          <w:p w14:paraId="2C090F94" w14:textId="77777777" w:rsidR="00804CA7" w:rsidRPr="00804CA7" w:rsidRDefault="00804CA7">
            <w:pPr>
              <w:rPr>
                <w:rFonts w:ascii="Arial" w:hAnsi="Arial" w:cs="Arial"/>
                <w:sz w:val="16"/>
                <w:szCs w:val="16"/>
              </w:rPr>
            </w:pPr>
          </w:p>
        </w:tc>
      </w:tr>
      <w:tr w:rsidR="00804CA7" w:rsidRPr="00804CA7" w14:paraId="2454F35D" w14:textId="77777777" w:rsidTr="00AC44FC">
        <w:trPr>
          <w:trHeight w:val="198"/>
        </w:trPr>
        <w:tc>
          <w:tcPr>
            <w:tcW w:w="3799" w:type="pct"/>
            <w:tcBorders>
              <w:top w:val="nil"/>
              <w:left w:val="nil"/>
              <w:bottom w:val="nil"/>
              <w:right w:val="nil"/>
            </w:tcBorders>
            <w:noWrap/>
            <w:hideMark/>
          </w:tcPr>
          <w:p w14:paraId="1B2BFF9C"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Subvenções Realizadas - Contrato de Gestão </w:t>
            </w:r>
          </w:p>
        </w:tc>
        <w:tc>
          <w:tcPr>
            <w:tcW w:w="74" w:type="pct"/>
            <w:tcBorders>
              <w:top w:val="nil"/>
              <w:left w:val="nil"/>
              <w:bottom w:val="nil"/>
              <w:right w:val="nil"/>
            </w:tcBorders>
            <w:noWrap/>
            <w:vAlign w:val="bottom"/>
            <w:hideMark/>
          </w:tcPr>
          <w:p w14:paraId="01F9B428"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638103A6"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(7.179)</w:t>
            </w:r>
          </w:p>
        </w:tc>
        <w:tc>
          <w:tcPr>
            <w:tcW w:w="74" w:type="pct"/>
            <w:tcBorders>
              <w:top w:val="nil"/>
              <w:left w:val="nil"/>
              <w:bottom w:val="nil"/>
              <w:right w:val="nil"/>
            </w:tcBorders>
            <w:noWrap/>
            <w:vAlign w:val="bottom"/>
            <w:hideMark/>
          </w:tcPr>
          <w:p w14:paraId="6775DC15"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2F890E3C"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37F3F042" w14:textId="77777777" w:rsidR="00804CA7" w:rsidRPr="00804CA7" w:rsidRDefault="00804CA7">
            <w:pPr>
              <w:rPr>
                <w:rFonts w:ascii="Arial" w:hAnsi="Arial" w:cs="Arial"/>
                <w:sz w:val="16"/>
                <w:szCs w:val="16"/>
              </w:rPr>
            </w:pPr>
          </w:p>
        </w:tc>
      </w:tr>
      <w:tr w:rsidR="00804CA7" w:rsidRPr="00804CA7" w14:paraId="24EBCB45" w14:textId="77777777" w:rsidTr="00AC44FC">
        <w:trPr>
          <w:trHeight w:val="198"/>
        </w:trPr>
        <w:tc>
          <w:tcPr>
            <w:tcW w:w="3799" w:type="pct"/>
            <w:tcBorders>
              <w:top w:val="nil"/>
              <w:left w:val="nil"/>
              <w:bottom w:val="nil"/>
              <w:right w:val="nil"/>
            </w:tcBorders>
            <w:noWrap/>
            <w:hideMark/>
          </w:tcPr>
          <w:p w14:paraId="6A08F306"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Ganho na Baixa de Passivos </w:t>
            </w:r>
          </w:p>
        </w:tc>
        <w:tc>
          <w:tcPr>
            <w:tcW w:w="74" w:type="pct"/>
            <w:tcBorders>
              <w:top w:val="nil"/>
              <w:left w:val="nil"/>
              <w:bottom w:val="nil"/>
              <w:right w:val="nil"/>
            </w:tcBorders>
            <w:noWrap/>
            <w:vAlign w:val="bottom"/>
            <w:hideMark/>
          </w:tcPr>
          <w:p w14:paraId="74602EE1"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28F357B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w:t>
            </w:r>
          </w:p>
        </w:tc>
        <w:tc>
          <w:tcPr>
            <w:tcW w:w="74" w:type="pct"/>
            <w:tcBorders>
              <w:top w:val="nil"/>
              <w:left w:val="nil"/>
              <w:bottom w:val="nil"/>
              <w:right w:val="nil"/>
            </w:tcBorders>
            <w:noWrap/>
            <w:vAlign w:val="bottom"/>
            <w:hideMark/>
          </w:tcPr>
          <w:p w14:paraId="1A77CEC9"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0144B251"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(70)</w:t>
            </w:r>
          </w:p>
        </w:tc>
        <w:tc>
          <w:tcPr>
            <w:tcW w:w="74" w:type="pct"/>
            <w:tcBorders>
              <w:top w:val="nil"/>
              <w:left w:val="nil"/>
              <w:bottom w:val="nil"/>
              <w:right w:val="nil"/>
            </w:tcBorders>
            <w:noWrap/>
            <w:vAlign w:val="bottom"/>
            <w:hideMark/>
          </w:tcPr>
          <w:p w14:paraId="437970DE" w14:textId="77777777" w:rsidR="00804CA7" w:rsidRPr="00804CA7" w:rsidRDefault="00804CA7">
            <w:pPr>
              <w:rPr>
                <w:rFonts w:ascii="Arial" w:hAnsi="Arial" w:cs="Arial"/>
                <w:sz w:val="16"/>
                <w:szCs w:val="16"/>
              </w:rPr>
            </w:pPr>
          </w:p>
        </w:tc>
      </w:tr>
      <w:tr w:rsidR="00804CA7" w:rsidRPr="00804CA7" w14:paraId="5D457C99" w14:textId="77777777" w:rsidTr="00AC44FC">
        <w:trPr>
          <w:trHeight w:val="198"/>
        </w:trPr>
        <w:tc>
          <w:tcPr>
            <w:tcW w:w="3799" w:type="pct"/>
            <w:tcBorders>
              <w:top w:val="nil"/>
              <w:left w:val="nil"/>
              <w:bottom w:val="nil"/>
              <w:right w:val="nil"/>
            </w:tcBorders>
            <w:noWrap/>
            <w:hideMark/>
          </w:tcPr>
          <w:p w14:paraId="04E1D41C"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Baixa de Créditos Tributários </w:t>
            </w:r>
          </w:p>
        </w:tc>
        <w:tc>
          <w:tcPr>
            <w:tcW w:w="74" w:type="pct"/>
            <w:tcBorders>
              <w:top w:val="nil"/>
              <w:left w:val="nil"/>
              <w:bottom w:val="nil"/>
              <w:right w:val="nil"/>
            </w:tcBorders>
            <w:noWrap/>
            <w:vAlign w:val="bottom"/>
            <w:hideMark/>
          </w:tcPr>
          <w:p w14:paraId="6692F8EE"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2F64BC98"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1.399 </w:t>
            </w:r>
          </w:p>
        </w:tc>
        <w:tc>
          <w:tcPr>
            <w:tcW w:w="74" w:type="pct"/>
            <w:tcBorders>
              <w:top w:val="nil"/>
              <w:left w:val="nil"/>
              <w:bottom w:val="nil"/>
              <w:right w:val="nil"/>
            </w:tcBorders>
            <w:noWrap/>
            <w:vAlign w:val="bottom"/>
            <w:hideMark/>
          </w:tcPr>
          <w:p w14:paraId="46A3EFE8"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1A376536"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232 </w:t>
            </w:r>
          </w:p>
        </w:tc>
        <w:tc>
          <w:tcPr>
            <w:tcW w:w="74" w:type="pct"/>
            <w:tcBorders>
              <w:top w:val="nil"/>
              <w:left w:val="nil"/>
              <w:bottom w:val="nil"/>
              <w:right w:val="nil"/>
            </w:tcBorders>
            <w:noWrap/>
            <w:vAlign w:val="bottom"/>
            <w:hideMark/>
          </w:tcPr>
          <w:p w14:paraId="5A32787F" w14:textId="77777777" w:rsidR="00804CA7" w:rsidRPr="00804CA7" w:rsidRDefault="00804CA7">
            <w:pPr>
              <w:rPr>
                <w:rFonts w:ascii="Arial" w:hAnsi="Arial" w:cs="Arial"/>
                <w:sz w:val="16"/>
                <w:szCs w:val="16"/>
              </w:rPr>
            </w:pPr>
          </w:p>
        </w:tc>
      </w:tr>
      <w:tr w:rsidR="00804CA7" w:rsidRPr="00804CA7" w14:paraId="3B6BF939" w14:textId="77777777" w:rsidTr="00AC44FC">
        <w:trPr>
          <w:trHeight w:val="198"/>
        </w:trPr>
        <w:tc>
          <w:tcPr>
            <w:tcW w:w="3799" w:type="pct"/>
            <w:tcBorders>
              <w:top w:val="nil"/>
              <w:left w:val="nil"/>
              <w:bottom w:val="nil"/>
              <w:right w:val="nil"/>
            </w:tcBorders>
            <w:noWrap/>
            <w:vAlign w:val="bottom"/>
            <w:hideMark/>
          </w:tcPr>
          <w:p w14:paraId="4DC9D8F7"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53955E56" w14:textId="77777777" w:rsidR="00804CA7" w:rsidRPr="00804CA7" w:rsidRDefault="00804CA7">
            <w:pPr>
              <w:rPr>
                <w:sz w:val="16"/>
                <w:szCs w:val="16"/>
              </w:rPr>
            </w:pPr>
          </w:p>
        </w:tc>
        <w:tc>
          <w:tcPr>
            <w:tcW w:w="484" w:type="pct"/>
            <w:tcBorders>
              <w:top w:val="single" w:sz="4" w:space="0" w:color="auto"/>
              <w:left w:val="nil"/>
              <w:bottom w:val="single" w:sz="4" w:space="0" w:color="auto"/>
              <w:right w:val="nil"/>
            </w:tcBorders>
            <w:noWrap/>
            <w:vAlign w:val="bottom"/>
            <w:hideMark/>
          </w:tcPr>
          <w:p w14:paraId="2450E495"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109.182 </w:t>
            </w:r>
          </w:p>
        </w:tc>
        <w:tc>
          <w:tcPr>
            <w:tcW w:w="74" w:type="pct"/>
            <w:tcBorders>
              <w:top w:val="nil"/>
              <w:left w:val="nil"/>
              <w:bottom w:val="nil"/>
              <w:right w:val="nil"/>
            </w:tcBorders>
            <w:noWrap/>
            <w:vAlign w:val="bottom"/>
            <w:hideMark/>
          </w:tcPr>
          <w:p w14:paraId="4E5DEBB7" w14:textId="77777777" w:rsidR="00804CA7" w:rsidRPr="00804CA7" w:rsidRDefault="00804CA7" w:rsidP="00804CA7">
            <w:pPr>
              <w:jc w:val="right"/>
              <w:rPr>
                <w:rFonts w:ascii="Arial" w:hAnsi="Arial" w:cs="Arial"/>
                <w:b/>
                <w:bCs/>
                <w:sz w:val="16"/>
                <w:szCs w:val="16"/>
              </w:rPr>
            </w:pPr>
          </w:p>
        </w:tc>
        <w:tc>
          <w:tcPr>
            <w:tcW w:w="497" w:type="pct"/>
            <w:tcBorders>
              <w:top w:val="single" w:sz="4" w:space="0" w:color="auto"/>
              <w:left w:val="nil"/>
              <w:bottom w:val="single" w:sz="4" w:space="0" w:color="auto"/>
              <w:right w:val="nil"/>
            </w:tcBorders>
            <w:noWrap/>
            <w:vAlign w:val="bottom"/>
            <w:hideMark/>
          </w:tcPr>
          <w:p w14:paraId="04289F2E" w14:textId="1A9E8F21" w:rsidR="00804CA7" w:rsidRPr="00804CA7" w:rsidRDefault="00B75A7E" w:rsidP="00804CA7">
            <w:pPr>
              <w:jc w:val="right"/>
              <w:rPr>
                <w:rFonts w:ascii="Arial" w:hAnsi="Arial" w:cs="Arial"/>
                <w:b/>
                <w:bCs/>
                <w:sz w:val="16"/>
                <w:szCs w:val="16"/>
              </w:rPr>
            </w:pPr>
            <w:r>
              <w:rPr>
                <w:rFonts w:ascii="Arial" w:hAnsi="Arial" w:cs="Arial"/>
                <w:b/>
                <w:bCs/>
                <w:sz w:val="16"/>
                <w:szCs w:val="16"/>
              </w:rPr>
              <w:t>111.804</w:t>
            </w:r>
            <w:r w:rsidR="00804CA7" w:rsidRPr="00804CA7">
              <w:rPr>
                <w:rFonts w:ascii="Arial" w:hAnsi="Arial" w:cs="Arial"/>
                <w:b/>
                <w:bCs/>
                <w:sz w:val="16"/>
                <w:szCs w:val="16"/>
              </w:rPr>
              <w:t xml:space="preserve"> </w:t>
            </w:r>
          </w:p>
        </w:tc>
        <w:tc>
          <w:tcPr>
            <w:tcW w:w="74" w:type="pct"/>
            <w:tcBorders>
              <w:top w:val="nil"/>
              <w:left w:val="nil"/>
              <w:bottom w:val="nil"/>
              <w:right w:val="nil"/>
            </w:tcBorders>
            <w:noWrap/>
            <w:vAlign w:val="bottom"/>
            <w:hideMark/>
          </w:tcPr>
          <w:p w14:paraId="256F5711" w14:textId="77777777" w:rsidR="00804CA7" w:rsidRPr="00804CA7" w:rsidRDefault="00804CA7">
            <w:pPr>
              <w:rPr>
                <w:rFonts w:ascii="Arial" w:hAnsi="Arial" w:cs="Arial"/>
                <w:b/>
                <w:bCs/>
                <w:sz w:val="16"/>
                <w:szCs w:val="16"/>
              </w:rPr>
            </w:pPr>
          </w:p>
        </w:tc>
      </w:tr>
      <w:tr w:rsidR="00804CA7" w:rsidRPr="00804CA7" w14:paraId="35BE3ECF" w14:textId="77777777" w:rsidTr="00AC44FC">
        <w:trPr>
          <w:trHeight w:val="198"/>
        </w:trPr>
        <w:tc>
          <w:tcPr>
            <w:tcW w:w="3799" w:type="pct"/>
            <w:tcBorders>
              <w:top w:val="nil"/>
              <w:left w:val="nil"/>
              <w:bottom w:val="nil"/>
              <w:right w:val="nil"/>
            </w:tcBorders>
            <w:noWrap/>
            <w:vAlign w:val="bottom"/>
            <w:hideMark/>
          </w:tcPr>
          <w:p w14:paraId="3844D593" w14:textId="77777777" w:rsidR="00804CA7" w:rsidRPr="00804CA7" w:rsidRDefault="00804CA7">
            <w:pPr>
              <w:rPr>
                <w:rFonts w:ascii="Arial" w:hAnsi="Arial" w:cs="Arial"/>
                <w:b/>
                <w:bCs/>
                <w:sz w:val="16"/>
                <w:szCs w:val="16"/>
              </w:rPr>
            </w:pPr>
            <w:r w:rsidRPr="00804CA7">
              <w:rPr>
                <w:rFonts w:ascii="Arial" w:hAnsi="Arial" w:cs="Arial"/>
                <w:b/>
                <w:bCs/>
                <w:sz w:val="16"/>
                <w:szCs w:val="16"/>
              </w:rPr>
              <w:t>Mutações Patrimoniais:</w:t>
            </w:r>
          </w:p>
        </w:tc>
        <w:tc>
          <w:tcPr>
            <w:tcW w:w="74" w:type="pct"/>
            <w:tcBorders>
              <w:top w:val="nil"/>
              <w:left w:val="nil"/>
              <w:bottom w:val="nil"/>
              <w:right w:val="nil"/>
            </w:tcBorders>
            <w:noWrap/>
            <w:vAlign w:val="bottom"/>
            <w:hideMark/>
          </w:tcPr>
          <w:p w14:paraId="43C24863"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0F5FCB98"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69124096"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7C44A76F"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70D85192" w14:textId="77777777" w:rsidR="00804CA7" w:rsidRPr="00804CA7" w:rsidRDefault="00804CA7">
            <w:pPr>
              <w:rPr>
                <w:sz w:val="16"/>
                <w:szCs w:val="16"/>
              </w:rPr>
            </w:pPr>
          </w:p>
        </w:tc>
      </w:tr>
      <w:tr w:rsidR="00804CA7" w:rsidRPr="00804CA7" w14:paraId="1E2C345C" w14:textId="77777777" w:rsidTr="00AC44FC">
        <w:trPr>
          <w:trHeight w:val="198"/>
        </w:trPr>
        <w:tc>
          <w:tcPr>
            <w:tcW w:w="3799" w:type="pct"/>
            <w:tcBorders>
              <w:top w:val="nil"/>
              <w:left w:val="nil"/>
              <w:bottom w:val="nil"/>
              <w:right w:val="nil"/>
            </w:tcBorders>
            <w:noWrap/>
            <w:hideMark/>
          </w:tcPr>
          <w:p w14:paraId="5E7C4CE9"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Contas a Receber de Clientes </w:t>
            </w:r>
          </w:p>
        </w:tc>
        <w:tc>
          <w:tcPr>
            <w:tcW w:w="74" w:type="pct"/>
            <w:tcBorders>
              <w:top w:val="nil"/>
              <w:left w:val="nil"/>
              <w:bottom w:val="nil"/>
              <w:right w:val="nil"/>
            </w:tcBorders>
            <w:noWrap/>
            <w:vAlign w:val="bottom"/>
            <w:hideMark/>
          </w:tcPr>
          <w:p w14:paraId="619F6BF2"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3BFD12EF"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(63.918)</w:t>
            </w:r>
          </w:p>
        </w:tc>
        <w:tc>
          <w:tcPr>
            <w:tcW w:w="74" w:type="pct"/>
            <w:tcBorders>
              <w:top w:val="nil"/>
              <w:left w:val="nil"/>
              <w:bottom w:val="nil"/>
              <w:right w:val="nil"/>
            </w:tcBorders>
            <w:noWrap/>
            <w:vAlign w:val="bottom"/>
            <w:hideMark/>
          </w:tcPr>
          <w:p w14:paraId="76CC2380"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107AED0C"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(87.116)</w:t>
            </w:r>
          </w:p>
        </w:tc>
        <w:tc>
          <w:tcPr>
            <w:tcW w:w="74" w:type="pct"/>
            <w:tcBorders>
              <w:top w:val="nil"/>
              <w:left w:val="nil"/>
              <w:bottom w:val="nil"/>
              <w:right w:val="nil"/>
            </w:tcBorders>
            <w:noWrap/>
            <w:vAlign w:val="bottom"/>
            <w:hideMark/>
          </w:tcPr>
          <w:p w14:paraId="56E4AF76" w14:textId="77777777" w:rsidR="00804CA7" w:rsidRPr="00804CA7" w:rsidRDefault="00804CA7">
            <w:pPr>
              <w:rPr>
                <w:rFonts w:ascii="Arial" w:hAnsi="Arial" w:cs="Arial"/>
                <w:sz w:val="16"/>
                <w:szCs w:val="16"/>
              </w:rPr>
            </w:pPr>
          </w:p>
        </w:tc>
      </w:tr>
      <w:tr w:rsidR="00804CA7" w:rsidRPr="00804CA7" w14:paraId="3EC089F4" w14:textId="77777777" w:rsidTr="00AC44FC">
        <w:trPr>
          <w:trHeight w:val="198"/>
        </w:trPr>
        <w:tc>
          <w:tcPr>
            <w:tcW w:w="3799" w:type="pct"/>
            <w:tcBorders>
              <w:top w:val="nil"/>
              <w:left w:val="nil"/>
              <w:bottom w:val="nil"/>
              <w:right w:val="nil"/>
            </w:tcBorders>
            <w:noWrap/>
            <w:hideMark/>
          </w:tcPr>
          <w:p w14:paraId="20E175E1"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Tributos a Recuperar </w:t>
            </w:r>
          </w:p>
        </w:tc>
        <w:tc>
          <w:tcPr>
            <w:tcW w:w="74" w:type="pct"/>
            <w:tcBorders>
              <w:top w:val="nil"/>
              <w:left w:val="nil"/>
              <w:bottom w:val="nil"/>
              <w:right w:val="nil"/>
            </w:tcBorders>
            <w:noWrap/>
            <w:vAlign w:val="bottom"/>
            <w:hideMark/>
          </w:tcPr>
          <w:p w14:paraId="04740505"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71F140D8"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31.822 </w:t>
            </w:r>
          </w:p>
        </w:tc>
        <w:tc>
          <w:tcPr>
            <w:tcW w:w="74" w:type="pct"/>
            <w:tcBorders>
              <w:top w:val="nil"/>
              <w:left w:val="nil"/>
              <w:bottom w:val="nil"/>
              <w:right w:val="nil"/>
            </w:tcBorders>
            <w:noWrap/>
            <w:vAlign w:val="bottom"/>
            <w:hideMark/>
          </w:tcPr>
          <w:p w14:paraId="4F5188DE"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05FC83CB"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13.283 </w:t>
            </w:r>
          </w:p>
        </w:tc>
        <w:tc>
          <w:tcPr>
            <w:tcW w:w="74" w:type="pct"/>
            <w:tcBorders>
              <w:top w:val="nil"/>
              <w:left w:val="nil"/>
              <w:bottom w:val="nil"/>
              <w:right w:val="nil"/>
            </w:tcBorders>
            <w:noWrap/>
            <w:vAlign w:val="bottom"/>
            <w:hideMark/>
          </w:tcPr>
          <w:p w14:paraId="4358BFBD" w14:textId="77777777" w:rsidR="00804CA7" w:rsidRPr="00804CA7" w:rsidRDefault="00804CA7">
            <w:pPr>
              <w:rPr>
                <w:rFonts w:ascii="Arial" w:hAnsi="Arial" w:cs="Arial"/>
                <w:sz w:val="16"/>
                <w:szCs w:val="16"/>
              </w:rPr>
            </w:pPr>
          </w:p>
        </w:tc>
      </w:tr>
      <w:tr w:rsidR="00804CA7" w:rsidRPr="00804CA7" w14:paraId="03699E2C" w14:textId="77777777" w:rsidTr="00AC44FC">
        <w:trPr>
          <w:trHeight w:val="198"/>
        </w:trPr>
        <w:tc>
          <w:tcPr>
            <w:tcW w:w="3799" w:type="pct"/>
            <w:tcBorders>
              <w:top w:val="nil"/>
              <w:left w:val="nil"/>
              <w:bottom w:val="nil"/>
              <w:right w:val="nil"/>
            </w:tcBorders>
            <w:noWrap/>
            <w:hideMark/>
          </w:tcPr>
          <w:p w14:paraId="7B793CBD"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Depósitos Judiciais </w:t>
            </w:r>
          </w:p>
        </w:tc>
        <w:tc>
          <w:tcPr>
            <w:tcW w:w="74" w:type="pct"/>
            <w:tcBorders>
              <w:top w:val="nil"/>
              <w:left w:val="nil"/>
              <w:bottom w:val="nil"/>
              <w:right w:val="nil"/>
            </w:tcBorders>
            <w:noWrap/>
            <w:vAlign w:val="bottom"/>
            <w:hideMark/>
          </w:tcPr>
          <w:p w14:paraId="751C1C76"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527CDA2B"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60 </w:t>
            </w:r>
          </w:p>
        </w:tc>
        <w:tc>
          <w:tcPr>
            <w:tcW w:w="74" w:type="pct"/>
            <w:tcBorders>
              <w:top w:val="nil"/>
              <w:left w:val="nil"/>
              <w:bottom w:val="nil"/>
              <w:right w:val="nil"/>
            </w:tcBorders>
            <w:noWrap/>
            <w:vAlign w:val="bottom"/>
            <w:hideMark/>
          </w:tcPr>
          <w:p w14:paraId="1ACA94D7"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68BCC13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27 </w:t>
            </w:r>
          </w:p>
        </w:tc>
        <w:tc>
          <w:tcPr>
            <w:tcW w:w="74" w:type="pct"/>
            <w:tcBorders>
              <w:top w:val="nil"/>
              <w:left w:val="nil"/>
              <w:bottom w:val="nil"/>
              <w:right w:val="nil"/>
            </w:tcBorders>
            <w:noWrap/>
            <w:vAlign w:val="bottom"/>
            <w:hideMark/>
          </w:tcPr>
          <w:p w14:paraId="2C4C3A69" w14:textId="77777777" w:rsidR="00804CA7" w:rsidRPr="00804CA7" w:rsidRDefault="00804CA7">
            <w:pPr>
              <w:rPr>
                <w:rFonts w:ascii="Arial" w:hAnsi="Arial" w:cs="Arial"/>
                <w:sz w:val="16"/>
                <w:szCs w:val="16"/>
              </w:rPr>
            </w:pPr>
          </w:p>
        </w:tc>
      </w:tr>
      <w:tr w:rsidR="00804CA7" w:rsidRPr="00804CA7" w14:paraId="2D6C3C27" w14:textId="77777777" w:rsidTr="00AC44FC">
        <w:trPr>
          <w:trHeight w:val="198"/>
        </w:trPr>
        <w:tc>
          <w:tcPr>
            <w:tcW w:w="3799" w:type="pct"/>
            <w:tcBorders>
              <w:top w:val="nil"/>
              <w:left w:val="nil"/>
              <w:bottom w:val="nil"/>
              <w:right w:val="nil"/>
            </w:tcBorders>
            <w:noWrap/>
            <w:hideMark/>
          </w:tcPr>
          <w:p w14:paraId="05E5B12A"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Pessoal, Encargos e Benefícios Sociais </w:t>
            </w:r>
          </w:p>
        </w:tc>
        <w:tc>
          <w:tcPr>
            <w:tcW w:w="74" w:type="pct"/>
            <w:tcBorders>
              <w:top w:val="nil"/>
              <w:left w:val="nil"/>
              <w:bottom w:val="nil"/>
              <w:right w:val="nil"/>
            </w:tcBorders>
            <w:noWrap/>
            <w:vAlign w:val="bottom"/>
            <w:hideMark/>
          </w:tcPr>
          <w:p w14:paraId="57CA4E0E"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072158F7"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1.632 </w:t>
            </w:r>
          </w:p>
        </w:tc>
        <w:tc>
          <w:tcPr>
            <w:tcW w:w="74" w:type="pct"/>
            <w:tcBorders>
              <w:top w:val="nil"/>
              <w:left w:val="nil"/>
              <w:bottom w:val="nil"/>
              <w:right w:val="nil"/>
            </w:tcBorders>
            <w:noWrap/>
            <w:vAlign w:val="bottom"/>
            <w:hideMark/>
          </w:tcPr>
          <w:p w14:paraId="255EA219"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3A7D4C8F"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1.195 </w:t>
            </w:r>
          </w:p>
        </w:tc>
        <w:tc>
          <w:tcPr>
            <w:tcW w:w="74" w:type="pct"/>
            <w:tcBorders>
              <w:top w:val="nil"/>
              <w:left w:val="nil"/>
              <w:bottom w:val="nil"/>
              <w:right w:val="nil"/>
            </w:tcBorders>
            <w:noWrap/>
            <w:vAlign w:val="bottom"/>
            <w:hideMark/>
          </w:tcPr>
          <w:p w14:paraId="73EEDB9E" w14:textId="77777777" w:rsidR="00804CA7" w:rsidRPr="00804CA7" w:rsidRDefault="00804CA7">
            <w:pPr>
              <w:rPr>
                <w:rFonts w:ascii="Arial" w:hAnsi="Arial" w:cs="Arial"/>
                <w:sz w:val="16"/>
                <w:szCs w:val="16"/>
              </w:rPr>
            </w:pPr>
          </w:p>
        </w:tc>
      </w:tr>
      <w:tr w:rsidR="00804CA7" w:rsidRPr="00804CA7" w14:paraId="2A3E3E87" w14:textId="77777777" w:rsidTr="00AC44FC">
        <w:trPr>
          <w:trHeight w:val="198"/>
        </w:trPr>
        <w:tc>
          <w:tcPr>
            <w:tcW w:w="3799" w:type="pct"/>
            <w:tcBorders>
              <w:top w:val="nil"/>
              <w:left w:val="nil"/>
              <w:bottom w:val="nil"/>
              <w:right w:val="nil"/>
            </w:tcBorders>
            <w:noWrap/>
            <w:hideMark/>
          </w:tcPr>
          <w:p w14:paraId="2C4C7278"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Fornecedores </w:t>
            </w:r>
          </w:p>
        </w:tc>
        <w:tc>
          <w:tcPr>
            <w:tcW w:w="74" w:type="pct"/>
            <w:tcBorders>
              <w:top w:val="nil"/>
              <w:left w:val="nil"/>
              <w:bottom w:val="nil"/>
              <w:right w:val="nil"/>
            </w:tcBorders>
            <w:noWrap/>
            <w:vAlign w:val="bottom"/>
            <w:hideMark/>
          </w:tcPr>
          <w:p w14:paraId="0BD03851"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4E0D4348"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12.345 </w:t>
            </w:r>
          </w:p>
        </w:tc>
        <w:tc>
          <w:tcPr>
            <w:tcW w:w="74" w:type="pct"/>
            <w:tcBorders>
              <w:top w:val="nil"/>
              <w:left w:val="nil"/>
              <w:bottom w:val="nil"/>
              <w:right w:val="nil"/>
            </w:tcBorders>
            <w:noWrap/>
            <w:vAlign w:val="bottom"/>
            <w:hideMark/>
          </w:tcPr>
          <w:p w14:paraId="6DDB0269"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05F86D82"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36.786 </w:t>
            </w:r>
          </w:p>
        </w:tc>
        <w:tc>
          <w:tcPr>
            <w:tcW w:w="74" w:type="pct"/>
            <w:tcBorders>
              <w:top w:val="nil"/>
              <w:left w:val="nil"/>
              <w:bottom w:val="nil"/>
              <w:right w:val="nil"/>
            </w:tcBorders>
            <w:noWrap/>
            <w:vAlign w:val="bottom"/>
            <w:hideMark/>
          </w:tcPr>
          <w:p w14:paraId="268DD557" w14:textId="77777777" w:rsidR="00804CA7" w:rsidRPr="00804CA7" w:rsidRDefault="00804CA7">
            <w:pPr>
              <w:rPr>
                <w:rFonts w:ascii="Arial" w:hAnsi="Arial" w:cs="Arial"/>
                <w:sz w:val="16"/>
                <w:szCs w:val="16"/>
              </w:rPr>
            </w:pPr>
          </w:p>
        </w:tc>
      </w:tr>
      <w:tr w:rsidR="00804CA7" w:rsidRPr="00804CA7" w14:paraId="59549BD5" w14:textId="77777777" w:rsidTr="00AC44FC">
        <w:trPr>
          <w:trHeight w:val="198"/>
        </w:trPr>
        <w:tc>
          <w:tcPr>
            <w:tcW w:w="3799" w:type="pct"/>
            <w:tcBorders>
              <w:top w:val="nil"/>
              <w:left w:val="nil"/>
              <w:bottom w:val="nil"/>
              <w:right w:val="nil"/>
            </w:tcBorders>
            <w:noWrap/>
            <w:hideMark/>
          </w:tcPr>
          <w:p w14:paraId="30F1854E"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Outras Contas Ativas e Passivas </w:t>
            </w:r>
          </w:p>
        </w:tc>
        <w:tc>
          <w:tcPr>
            <w:tcW w:w="74" w:type="pct"/>
            <w:tcBorders>
              <w:top w:val="nil"/>
              <w:left w:val="nil"/>
              <w:bottom w:val="nil"/>
              <w:right w:val="nil"/>
            </w:tcBorders>
            <w:noWrap/>
            <w:vAlign w:val="bottom"/>
            <w:hideMark/>
          </w:tcPr>
          <w:p w14:paraId="3C93C705"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0C46E1D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24.503 </w:t>
            </w:r>
          </w:p>
        </w:tc>
        <w:tc>
          <w:tcPr>
            <w:tcW w:w="74" w:type="pct"/>
            <w:tcBorders>
              <w:top w:val="nil"/>
              <w:left w:val="nil"/>
              <w:bottom w:val="nil"/>
              <w:right w:val="nil"/>
            </w:tcBorders>
            <w:noWrap/>
            <w:vAlign w:val="bottom"/>
            <w:hideMark/>
          </w:tcPr>
          <w:p w14:paraId="1651979F"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533264EF" w14:textId="6FDDA672"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w:t>
            </w:r>
            <w:r w:rsidR="00B75A7E">
              <w:rPr>
                <w:rFonts w:ascii="Arial" w:hAnsi="Arial" w:cs="Arial"/>
                <w:sz w:val="16"/>
                <w:szCs w:val="16"/>
              </w:rPr>
              <w:t>7.000</w:t>
            </w:r>
            <w:r w:rsidRPr="00804CA7">
              <w:rPr>
                <w:rFonts w:ascii="Arial" w:hAnsi="Arial" w:cs="Arial"/>
                <w:sz w:val="16"/>
                <w:szCs w:val="16"/>
              </w:rPr>
              <w:t>)</w:t>
            </w:r>
          </w:p>
        </w:tc>
        <w:tc>
          <w:tcPr>
            <w:tcW w:w="74" w:type="pct"/>
            <w:tcBorders>
              <w:top w:val="nil"/>
              <w:left w:val="nil"/>
              <w:bottom w:val="nil"/>
              <w:right w:val="nil"/>
            </w:tcBorders>
            <w:noWrap/>
            <w:vAlign w:val="bottom"/>
            <w:hideMark/>
          </w:tcPr>
          <w:p w14:paraId="4F570B2D" w14:textId="77777777" w:rsidR="00804CA7" w:rsidRPr="00804CA7" w:rsidRDefault="00804CA7">
            <w:pPr>
              <w:rPr>
                <w:rFonts w:ascii="Arial" w:hAnsi="Arial" w:cs="Arial"/>
                <w:sz w:val="16"/>
                <w:szCs w:val="16"/>
              </w:rPr>
            </w:pPr>
          </w:p>
        </w:tc>
      </w:tr>
      <w:tr w:rsidR="00804CA7" w:rsidRPr="00804CA7" w14:paraId="3E544593" w14:textId="77777777" w:rsidTr="00AC44FC">
        <w:trPr>
          <w:trHeight w:val="198"/>
        </w:trPr>
        <w:tc>
          <w:tcPr>
            <w:tcW w:w="3799" w:type="pct"/>
            <w:tcBorders>
              <w:top w:val="nil"/>
              <w:left w:val="nil"/>
              <w:bottom w:val="nil"/>
              <w:right w:val="nil"/>
            </w:tcBorders>
            <w:noWrap/>
            <w:hideMark/>
          </w:tcPr>
          <w:p w14:paraId="1DEB1618"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5EBB56C8" w14:textId="77777777" w:rsidR="00804CA7" w:rsidRPr="00804CA7" w:rsidRDefault="00804CA7">
            <w:pPr>
              <w:ind w:firstLineChars="200" w:firstLine="320"/>
              <w:rPr>
                <w:sz w:val="16"/>
                <w:szCs w:val="16"/>
              </w:rPr>
            </w:pPr>
          </w:p>
        </w:tc>
        <w:tc>
          <w:tcPr>
            <w:tcW w:w="484" w:type="pct"/>
            <w:tcBorders>
              <w:top w:val="single" w:sz="4" w:space="0" w:color="auto"/>
              <w:left w:val="nil"/>
              <w:bottom w:val="single" w:sz="4" w:space="0" w:color="auto"/>
              <w:right w:val="nil"/>
            </w:tcBorders>
            <w:noWrap/>
            <w:vAlign w:val="bottom"/>
            <w:hideMark/>
          </w:tcPr>
          <w:p w14:paraId="53FD1C1C"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6.444 </w:t>
            </w:r>
          </w:p>
        </w:tc>
        <w:tc>
          <w:tcPr>
            <w:tcW w:w="74" w:type="pct"/>
            <w:tcBorders>
              <w:top w:val="nil"/>
              <w:left w:val="nil"/>
              <w:bottom w:val="nil"/>
              <w:right w:val="nil"/>
            </w:tcBorders>
            <w:noWrap/>
            <w:vAlign w:val="bottom"/>
            <w:hideMark/>
          </w:tcPr>
          <w:p w14:paraId="302C35C4" w14:textId="77777777" w:rsidR="00804CA7" w:rsidRPr="00804CA7" w:rsidRDefault="00804CA7" w:rsidP="00804CA7">
            <w:pPr>
              <w:jc w:val="right"/>
              <w:rPr>
                <w:rFonts w:ascii="Arial" w:hAnsi="Arial" w:cs="Arial"/>
                <w:b/>
                <w:bCs/>
                <w:sz w:val="16"/>
                <w:szCs w:val="16"/>
              </w:rPr>
            </w:pPr>
          </w:p>
        </w:tc>
        <w:tc>
          <w:tcPr>
            <w:tcW w:w="497" w:type="pct"/>
            <w:tcBorders>
              <w:top w:val="single" w:sz="4" w:space="0" w:color="auto"/>
              <w:left w:val="nil"/>
              <w:bottom w:val="single" w:sz="4" w:space="0" w:color="auto"/>
              <w:right w:val="nil"/>
            </w:tcBorders>
            <w:noWrap/>
            <w:vAlign w:val="bottom"/>
            <w:hideMark/>
          </w:tcPr>
          <w:p w14:paraId="2B1760A5" w14:textId="2E75A1ED"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w:t>
            </w:r>
            <w:r w:rsidR="00B75A7E">
              <w:rPr>
                <w:rFonts w:ascii="Arial" w:hAnsi="Arial" w:cs="Arial"/>
                <w:b/>
                <w:bCs/>
                <w:sz w:val="16"/>
                <w:szCs w:val="16"/>
              </w:rPr>
              <w:t>42.825</w:t>
            </w:r>
            <w:r w:rsidRPr="00804CA7">
              <w:rPr>
                <w:rFonts w:ascii="Arial" w:hAnsi="Arial" w:cs="Arial"/>
                <w:b/>
                <w:bCs/>
                <w:sz w:val="16"/>
                <w:szCs w:val="16"/>
              </w:rPr>
              <w:t>)</w:t>
            </w:r>
          </w:p>
        </w:tc>
        <w:tc>
          <w:tcPr>
            <w:tcW w:w="74" w:type="pct"/>
            <w:tcBorders>
              <w:top w:val="nil"/>
              <w:left w:val="nil"/>
              <w:bottom w:val="nil"/>
              <w:right w:val="nil"/>
            </w:tcBorders>
            <w:noWrap/>
            <w:vAlign w:val="bottom"/>
            <w:hideMark/>
          </w:tcPr>
          <w:p w14:paraId="3AE35583" w14:textId="77777777" w:rsidR="00804CA7" w:rsidRPr="00804CA7" w:rsidRDefault="00804CA7">
            <w:pPr>
              <w:rPr>
                <w:rFonts w:ascii="Arial" w:hAnsi="Arial" w:cs="Arial"/>
                <w:b/>
                <w:bCs/>
                <w:sz w:val="16"/>
                <w:szCs w:val="16"/>
              </w:rPr>
            </w:pPr>
          </w:p>
        </w:tc>
      </w:tr>
      <w:tr w:rsidR="00804CA7" w:rsidRPr="00804CA7" w14:paraId="66B4AEE1" w14:textId="77777777" w:rsidTr="00AC44FC">
        <w:trPr>
          <w:trHeight w:val="198"/>
        </w:trPr>
        <w:tc>
          <w:tcPr>
            <w:tcW w:w="3799" w:type="pct"/>
            <w:tcBorders>
              <w:top w:val="nil"/>
              <w:left w:val="nil"/>
              <w:bottom w:val="nil"/>
              <w:right w:val="nil"/>
            </w:tcBorders>
            <w:noWrap/>
            <w:vAlign w:val="bottom"/>
            <w:hideMark/>
          </w:tcPr>
          <w:p w14:paraId="41FE0114" w14:textId="77777777" w:rsidR="00804CA7" w:rsidRPr="00804CA7" w:rsidRDefault="00804CA7">
            <w:pPr>
              <w:rPr>
                <w:rFonts w:ascii="Arial" w:hAnsi="Arial" w:cs="Arial"/>
                <w:b/>
                <w:bCs/>
                <w:sz w:val="16"/>
                <w:szCs w:val="16"/>
              </w:rPr>
            </w:pPr>
            <w:r w:rsidRPr="00804CA7">
              <w:rPr>
                <w:rFonts w:ascii="Arial" w:hAnsi="Arial" w:cs="Arial"/>
                <w:b/>
                <w:bCs/>
                <w:sz w:val="16"/>
                <w:szCs w:val="16"/>
              </w:rPr>
              <w:t>Caixa Proveniente das Atividades Operacionais</w:t>
            </w:r>
          </w:p>
        </w:tc>
        <w:tc>
          <w:tcPr>
            <w:tcW w:w="74" w:type="pct"/>
            <w:tcBorders>
              <w:top w:val="nil"/>
              <w:left w:val="nil"/>
              <w:bottom w:val="nil"/>
              <w:right w:val="nil"/>
            </w:tcBorders>
            <w:noWrap/>
            <w:vAlign w:val="bottom"/>
            <w:hideMark/>
          </w:tcPr>
          <w:p w14:paraId="487C2C97"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5EC76BE7"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23836EF6"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04449861"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56967FE1" w14:textId="77777777" w:rsidR="00804CA7" w:rsidRPr="00804CA7" w:rsidRDefault="00804CA7">
            <w:pPr>
              <w:rPr>
                <w:sz w:val="16"/>
                <w:szCs w:val="16"/>
              </w:rPr>
            </w:pPr>
          </w:p>
        </w:tc>
      </w:tr>
      <w:tr w:rsidR="00804CA7" w:rsidRPr="00804CA7" w14:paraId="3FDB1335" w14:textId="77777777" w:rsidTr="00AC44FC">
        <w:trPr>
          <w:trHeight w:val="198"/>
        </w:trPr>
        <w:tc>
          <w:tcPr>
            <w:tcW w:w="3799" w:type="pct"/>
            <w:tcBorders>
              <w:top w:val="nil"/>
              <w:left w:val="nil"/>
              <w:bottom w:val="nil"/>
              <w:right w:val="nil"/>
            </w:tcBorders>
            <w:noWrap/>
            <w:vAlign w:val="bottom"/>
            <w:hideMark/>
          </w:tcPr>
          <w:p w14:paraId="3CA5ED44"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 de Juros de Arrendamento Mercantil Financeiro</w:t>
            </w:r>
          </w:p>
        </w:tc>
        <w:tc>
          <w:tcPr>
            <w:tcW w:w="74" w:type="pct"/>
            <w:tcBorders>
              <w:top w:val="nil"/>
              <w:left w:val="nil"/>
              <w:bottom w:val="nil"/>
              <w:right w:val="nil"/>
            </w:tcBorders>
            <w:noWrap/>
            <w:vAlign w:val="bottom"/>
            <w:hideMark/>
          </w:tcPr>
          <w:p w14:paraId="448C2963"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501C9314"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(347)</w:t>
            </w:r>
          </w:p>
        </w:tc>
        <w:tc>
          <w:tcPr>
            <w:tcW w:w="74" w:type="pct"/>
            <w:tcBorders>
              <w:top w:val="nil"/>
              <w:left w:val="nil"/>
              <w:bottom w:val="nil"/>
              <w:right w:val="nil"/>
            </w:tcBorders>
            <w:noWrap/>
            <w:vAlign w:val="bottom"/>
            <w:hideMark/>
          </w:tcPr>
          <w:p w14:paraId="7343577B"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797FF521"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(303)</w:t>
            </w:r>
          </w:p>
        </w:tc>
        <w:tc>
          <w:tcPr>
            <w:tcW w:w="74" w:type="pct"/>
            <w:tcBorders>
              <w:top w:val="nil"/>
              <w:left w:val="nil"/>
              <w:bottom w:val="nil"/>
              <w:right w:val="nil"/>
            </w:tcBorders>
            <w:noWrap/>
            <w:vAlign w:val="bottom"/>
            <w:hideMark/>
          </w:tcPr>
          <w:p w14:paraId="3CEBDF1C" w14:textId="77777777" w:rsidR="00804CA7" w:rsidRPr="00804CA7" w:rsidRDefault="00804CA7">
            <w:pPr>
              <w:rPr>
                <w:rFonts w:ascii="Arial" w:hAnsi="Arial" w:cs="Arial"/>
                <w:sz w:val="16"/>
                <w:szCs w:val="16"/>
              </w:rPr>
            </w:pPr>
          </w:p>
        </w:tc>
      </w:tr>
      <w:tr w:rsidR="00804CA7" w:rsidRPr="00804CA7" w14:paraId="06BEAA3E" w14:textId="77777777" w:rsidTr="00AC44FC">
        <w:trPr>
          <w:trHeight w:val="198"/>
        </w:trPr>
        <w:tc>
          <w:tcPr>
            <w:tcW w:w="3799" w:type="pct"/>
            <w:tcBorders>
              <w:top w:val="nil"/>
              <w:left w:val="nil"/>
              <w:bottom w:val="nil"/>
              <w:right w:val="nil"/>
            </w:tcBorders>
            <w:noWrap/>
            <w:vAlign w:val="bottom"/>
            <w:hideMark/>
          </w:tcPr>
          <w:p w14:paraId="527CB085"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 por Adesão ao Prog. de Indenização por Serviços Prestados - PISP</w:t>
            </w:r>
          </w:p>
        </w:tc>
        <w:tc>
          <w:tcPr>
            <w:tcW w:w="74" w:type="pct"/>
            <w:tcBorders>
              <w:top w:val="nil"/>
              <w:left w:val="nil"/>
              <w:bottom w:val="nil"/>
              <w:right w:val="nil"/>
            </w:tcBorders>
            <w:noWrap/>
            <w:vAlign w:val="bottom"/>
            <w:hideMark/>
          </w:tcPr>
          <w:p w14:paraId="148CB71C"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75596A03"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(20)</w:t>
            </w:r>
          </w:p>
        </w:tc>
        <w:tc>
          <w:tcPr>
            <w:tcW w:w="74" w:type="pct"/>
            <w:tcBorders>
              <w:top w:val="nil"/>
              <w:left w:val="nil"/>
              <w:bottom w:val="nil"/>
              <w:right w:val="nil"/>
            </w:tcBorders>
            <w:noWrap/>
            <w:vAlign w:val="bottom"/>
            <w:hideMark/>
          </w:tcPr>
          <w:p w14:paraId="0244E1D1"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2797B19F"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0185D811" w14:textId="77777777" w:rsidR="00804CA7" w:rsidRPr="00804CA7" w:rsidRDefault="00804CA7">
            <w:pPr>
              <w:rPr>
                <w:rFonts w:ascii="Arial" w:hAnsi="Arial" w:cs="Arial"/>
                <w:sz w:val="16"/>
                <w:szCs w:val="16"/>
              </w:rPr>
            </w:pPr>
          </w:p>
        </w:tc>
      </w:tr>
      <w:tr w:rsidR="00804CA7" w:rsidRPr="00804CA7" w14:paraId="3ECC9053" w14:textId="77777777" w:rsidTr="00AC44FC">
        <w:trPr>
          <w:trHeight w:val="198"/>
        </w:trPr>
        <w:tc>
          <w:tcPr>
            <w:tcW w:w="3799" w:type="pct"/>
            <w:tcBorders>
              <w:top w:val="nil"/>
              <w:left w:val="nil"/>
              <w:bottom w:val="nil"/>
              <w:right w:val="nil"/>
            </w:tcBorders>
            <w:noWrap/>
            <w:vAlign w:val="bottom"/>
            <w:hideMark/>
          </w:tcPr>
          <w:p w14:paraId="5B95CA7D"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 de IRPJ/CSLL Estimados</w:t>
            </w:r>
          </w:p>
        </w:tc>
        <w:tc>
          <w:tcPr>
            <w:tcW w:w="74" w:type="pct"/>
            <w:tcBorders>
              <w:top w:val="nil"/>
              <w:left w:val="nil"/>
              <w:bottom w:val="nil"/>
              <w:right w:val="nil"/>
            </w:tcBorders>
            <w:noWrap/>
            <w:vAlign w:val="bottom"/>
            <w:hideMark/>
          </w:tcPr>
          <w:p w14:paraId="1C860B12"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5D6371AD"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(34.038)</w:t>
            </w:r>
          </w:p>
        </w:tc>
        <w:tc>
          <w:tcPr>
            <w:tcW w:w="74" w:type="pct"/>
            <w:tcBorders>
              <w:top w:val="nil"/>
              <w:left w:val="nil"/>
              <w:bottom w:val="nil"/>
              <w:right w:val="nil"/>
            </w:tcBorders>
            <w:noWrap/>
            <w:vAlign w:val="bottom"/>
            <w:hideMark/>
          </w:tcPr>
          <w:p w14:paraId="4B0CE645"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48EAB889"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(7.894)</w:t>
            </w:r>
          </w:p>
        </w:tc>
        <w:tc>
          <w:tcPr>
            <w:tcW w:w="74" w:type="pct"/>
            <w:tcBorders>
              <w:top w:val="nil"/>
              <w:left w:val="nil"/>
              <w:bottom w:val="nil"/>
              <w:right w:val="nil"/>
            </w:tcBorders>
            <w:noWrap/>
            <w:vAlign w:val="bottom"/>
            <w:hideMark/>
          </w:tcPr>
          <w:p w14:paraId="6FB646F1" w14:textId="77777777" w:rsidR="00804CA7" w:rsidRPr="00804CA7" w:rsidRDefault="00804CA7">
            <w:pPr>
              <w:rPr>
                <w:rFonts w:ascii="Arial" w:hAnsi="Arial" w:cs="Arial"/>
                <w:sz w:val="16"/>
                <w:szCs w:val="16"/>
              </w:rPr>
            </w:pPr>
          </w:p>
        </w:tc>
      </w:tr>
      <w:tr w:rsidR="00804CA7" w:rsidRPr="00804CA7" w14:paraId="4F60B7D3" w14:textId="77777777" w:rsidTr="00AC44FC">
        <w:trPr>
          <w:trHeight w:val="198"/>
        </w:trPr>
        <w:tc>
          <w:tcPr>
            <w:tcW w:w="3799" w:type="pct"/>
            <w:tcBorders>
              <w:top w:val="nil"/>
              <w:left w:val="nil"/>
              <w:bottom w:val="nil"/>
              <w:right w:val="nil"/>
            </w:tcBorders>
            <w:noWrap/>
            <w:vAlign w:val="bottom"/>
            <w:hideMark/>
          </w:tcPr>
          <w:p w14:paraId="48C994E5"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 de Juros de Empréstimos e Financiamentos</w:t>
            </w:r>
          </w:p>
        </w:tc>
        <w:tc>
          <w:tcPr>
            <w:tcW w:w="74" w:type="pct"/>
            <w:tcBorders>
              <w:top w:val="nil"/>
              <w:left w:val="nil"/>
              <w:bottom w:val="nil"/>
              <w:right w:val="nil"/>
            </w:tcBorders>
            <w:noWrap/>
            <w:vAlign w:val="bottom"/>
            <w:hideMark/>
          </w:tcPr>
          <w:p w14:paraId="7861FFBC"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629CDABD"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36805FD9"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75E9E3D7"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(223)</w:t>
            </w:r>
          </w:p>
        </w:tc>
        <w:tc>
          <w:tcPr>
            <w:tcW w:w="74" w:type="pct"/>
            <w:tcBorders>
              <w:top w:val="nil"/>
              <w:left w:val="nil"/>
              <w:bottom w:val="nil"/>
              <w:right w:val="nil"/>
            </w:tcBorders>
            <w:noWrap/>
            <w:vAlign w:val="bottom"/>
            <w:hideMark/>
          </w:tcPr>
          <w:p w14:paraId="28D6B168" w14:textId="77777777" w:rsidR="00804CA7" w:rsidRPr="00804CA7" w:rsidRDefault="00804CA7">
            <w:pPr>
              <w:rPr>
                <w:rFonts w:ascii="Arial" w:hAnsi="Arial" w:cs="Arial"/>
                <w:sz w:val="16"/>
                <w:szCs w:val="16"/>
              </w:rPr>
            </w:pPr>
          </w:p>
        </w:tc>
      </w:tr>
      <w:tr w:rsidR="00804CA7" w:rsidRPr="00804CA7" w14:paraId="39AF3C1D" w14:textId="77777777" w:rsidTr="00AC44FC">
        <w:trPr>
          <w:trHeight w:val="198"/>
        </w:trPr>
        <w:tc>
          <w:tcPr>
            <w:tcW w:w="3799" w:type="pct"/>
            <w:tcBorders>
              <w:top w:val="nil"/>
              <w:left w:val="nil"/>
              <w:bottom w:val="nil"/>
              <w:right w:val="nil"/>
            </w:tcBorders>
            <w:noWrap/>
            <w:vAlign w:val="bottom"/>
            <w:hideMark/>
          </w:tcPr>
          <w:p w14:paraId="4C78F9B6"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 de Causas Judiciais - Trabalhistas, Cíveis e Fiscais</w:t>
            </w:r>
          </w:p>
        </w:tc>
        <w:tc>
          <w:tcPr>
            <w:tcW w:w="74" w:type="pct"/>
            <w:tcBorders>
              <w:top w:val="nil"/>
              <w:left w:val="nil"/>
              <w:bottom w:val="nil"/>
              <w:right w:val="nil"/>
            </w:tcBorders>
            <w:noWrap/>
            <w:vAlign w:val="bottom"/>
            <w:hideMark/>
          </w:tcPr>
          <w:p w14:paraId="58108FB6"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0E6615BB"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(120)</w:t>
            </w:r>
          </w:p>
        </w:tc>
        <w:tc>
          <w:tcPr>
            <w:tcW w:w="74" w:type="pct"/>
            <w:tcBorders>
              <w:top w:val="nil"/>
              <w:left w:val="nil"/>
              <w:bottom w:val="nil"/>
              <w:right w:val="nil"/>
            </w:tcBorders>
            <w:noWrap/>
            <w:vAlign w:val="bottom"/>
            <w:hideMark/>
          </w:tcPr>
          <w:p w14:paraId="7D5C6DE3"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5DF09E31"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(149)</w:t>
            </w:r>
          </w:p>
        </w:tc>
        <w:tc>
          <w:tcPr>
            <w:tcW w:w="74" w:type="pct"/>
            <w:tcBorders>
              <w:top w:val="nil"/>
              <w:left w:val="nil"/>
              <w:bottom w:val="nil"/>
              <w:right w:val="nil"/>
            </w:tcBorders>
            <w:noWrap/>
            <w:vAlign w:val="bottom"/>
            <w:hideMark/>
          </w:tcPr>
          <w:p w14:paraId="72F19A09" w14:textId="77777777" w:rsidR="00804CA7" w:rsidRPr="00804CA7" w:rsidRDefault="00804CA7">
            <w:pPr>
              <w:rPr>
                <w:rFonts w:ascii="Arial" w:hAnsi="Arial" w:cs="Arial"/>
                <w:sz w:val="16"/>
                <w:szCs w:val="16"/>
              </w:rPr>
            </w:pPr>
          </w:p>
        </w:tc>
      </w:tr>
      <w:tr w:rsidR="00804CA7" w:rsidRPr="00804CA7" w14:paraId="292A34B4" w14:textId="77777777" w:rsidTr="00AC44FC">
        <w:trPr>
          <w:trHeight w:val="198"/>
        </w:trPr>
        <w:tc>
          <w:tcPr>
            <w:tcW w:w="3799" w:type="pct"/>
            <w:tcBorders>
              <w:top w:val="nil"/>
              <w:left w:val="nil"/>
              <w:bottom w:val="nil"/>
              <w:right w:val="nil"/>
            </w:tcBorders>
            <w:noWrap/>
            <w:vAlign w:val="bottom"/>
            <w:hideMark/>
          </w:tcPr>
          <w:p w14:paraId="12A1ED4B"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 de Acordos Judiciais - Encargos</w:t>
            </w:r>
          </w:p>
        </w:tc>
        <w:tc>
          <w:tcPr>
            <w:tcW w:w="74" w:type="pct"/>
            <w:tcBorders>
              <w:top w:val="nil"/>
              <w:left w:val="nil"/>
              <w:bottom w:val="nil"/>
              <w:right w:val="nil"/>
            </w:tcBorders>
            <w:noWrap/>
            <w:vAlign w:val="bottom"/>
            <w:hideMark/>
          </w:tcPr>
          <w:p w14:paraId="69191808"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02BBD72F"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7B3AC53E"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18ADCAF2"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(2.663)</w:t>
            </w:r>
          </w:p>
        </w:tc>
        <w:tc>
          <w:tcPr>
            <w:tcW w:w="74" w:type="pct"/>
            <w:tcBorders>
              <w:top w:val="nil"/>
              <w:left w:val="nil"/>
              <w:bottom w:val="nil"/>
              <w:right w:val="nil"/>
            </w:tcBorders>
            <w:noWrap/>
            <w:vAlign w:val="bottom"/>
            <w:hideMark/>
          </w:tcPr>
          <w:p w14:paraId="5E4F7436" w14:textId="77777777" w:rsidR="00804CA7" w:rsidRPr="00804CA7" w:rsidRDefault="00804CA7">
            <w:pPr>
              <w:rPr>
                <w:rFonts w:ascii="Arial" w:hAnsi="Arial" w:cs="Arial"/>
                <w:sz w:val="16"/>
                <w:szCs w:val="16"/>
              </w:rPr>
            </w:pPr>
          </w:p>
        </w:tc>
      </w:tr>
      <w:tr w:rsidR="00804CA7" w:rsidRPr="00804CA7" w14:paraId="730BB7EF" w14:textId="77777777" w:rsidTr="00AC44FC">
        <w:trPr>
          <w:trHeight w:val="198"/>
        </w:trPr>
        <w:tc>
          <w:tcPr>
            <w:tcW w:w="3799" w:type="pct"/>
            <w:tcBorders>
              <w:top w:val="nil"/>
              <w:left w:val="nil"/>
              <w:bottom w:val="nil"/>
              <w:right w:val="nil"/>
            </w:tcBorders>
            <w:noWrap/>
            <w:vAlign w:val="bottom"/>
            <w:hideMark/>
          </w:tcPr>
          <w:p w14:paraId="5334A53F"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25B44325" w14:textId="77777777" w:rsidR="00804CA7" w:rsidRPr="00804CA7" w:rsidRDefault="00804CA7">
            <w:pPr>
              <w:rPr>
                <w:sz w:val="16"/>
                <w:szCs w:val="16"/>
              </w:rPr>
            </w:pPr>
          </w:p>
        </w:tc>
        <w:tc>
          <w:tcPr>
            <w:tcW w:w="484" w:type="pct"/>
            <w:tcBorders>
              <w:top w:val="single" w:sz="4" w:space="0" w:color="auto"/>
              <w:left w:val="nil"/>
              <w:bottom w:val="single" w:sz="4" w:space="0" w:color="auto"/>
              <w:right w:val="nil"/>
            </w:tcBorders>
            <w:noWrap/>
            <w:vAlign w:val="bottom"/>
            <w:hideMark/>
          </w:tcPr>
          <w:p w14:paraId="0F80B371"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(34.525)</w:t>
            </w:r>
          </w:p>
        </w:tc>
        <w:tc>
          <w:tcPr>
            <w:tcW w:w="74" w:type="pct"/>
            <w:tcBorders>
              <w:top w:val="nil"/>
              <w:left w:val="nil"/>
              <w:bottom w:val="nil"/>
              <w:right w:val="nil"/>
            </w:tcBorders>
            <w:noWrap/>
            <w:vAlign w:val="bottom"/>
            <w:hideMark/>
          </w:tcPr>
          <w:p w14:paraId="5770B716" w14:textId="77777777" w:rsidR="00804CA7" w:rsidRPr="00804CA7" w:rsidRDefault="00804CA7" w:rsidP="00804CA7">
            <w:pPr>
              <w:jc w:val="right"/>
              <w:rPr>
                <w:rFonts w:ascii="Arial" w:hAnsi="Arial" w:cs="Arial"/>
                <w:b/>
                <w:bCs/>
                <w:sz w:val="16"/>
                <w:szCs w:val="16"/>
              </w:rPr>
            </w:pPr>
          </w:p>
        </w:tc>
        <w:tc>
          <w:tcPr>
            <w:tcW w:w="497" w:type="pct"/>
            <w:tcBorders>
              <w:top w:val="single" w:sz="4" w:space="0" w:color="auto"/>
              <w:left w:val="nil"/>
              <w:bottom w:val="single" w:sz="4" w:space="0" w:color="auto"/>
              <w:right w:val="nil"/>
            </w:tcBorders>
            <w:noWrap/>
            <w:vAlign w:val="bottom"/>
            <w:hideMark/>
          </w:tcPr>
          <w:p w14:paraId="1A2CBA4F"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(11.232)</w:t>
            </w:r>
          </w:p>
        </w:tc>
        <w:tc>
          <w:tcPr>
            <w:tcW w:w="74" w:type="pct"/>
            <w:tcBorders>
              <w:top w:val="nil"/>
              <w:left w:val="nil"/>
              <w:bottom w:val="nil"/>
              <w:right w:val="nil"/>
            </w:tcBorders>
            <w:noWrap/>
            <w:vAlign w:val="bottom"/>
            <w:hideMark/>
          </w:tcPr>
          <w:p w14:paraId="40F43115" w14:textId="77777777" w:rsidR="00804CA7" w:rsidRPr="00804CA7" w:rsidRDefault="00804CA7">
            <w:pPr>
              <w:rPr>
                <w:rFonts w:ascii="Arial" w:hAnsi="Arial" w:cs="Arial"/>
                <w:b/>
                <w:bCs/>
                <w:sz w:val="16"/>
                <w:szCs w:val="16"/>
              </w:rPr>
            </w:pPr>
          </w:p>
        </w:tc>
      </w:tr>
      <w:tr w:rsidR="00804CA7" w:rsidRPr="00804CA7" w14:paraId="79805035" w14:textId="77777777" w:rsidTr="00AC44FC">
        <w:trPr>
          <w:trHeight w:val="198"/>
        </w:trPr>
        <w:tc>
          <w:tcPr>
            <w:tcW w:w="3799" w:type="pct"/>
            <w:tcBorders>
              <w:top w:val="nil"/>
              <w:left w:val="nil"/>
              <w:bottom w:val="nil"/>
              <w:right w:val="nil"/>
            </w:tcBorders>
            <w:noWrap/>
            <w:vAlign w:val="bottom"/>
            <w:hideMark/>
          </w:tcPr>
          <w:p w14:paraId="239C4CB4"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3E37590D" w14:textId="77777777" w:rsidR="00804CA7" w:rsidRPr="00804CA7" w:rsidRDefault="00804CA7">
            <w:pPr>
              <w:rPr>
                <w:sz w:val="16"/>
                <w:szCs w:val="16"/>
              </w:rPr>
            </w:pPr>
          </w:p>
        </w:tc>
        <w:tc>
          <w:tcPr>
            <w:tcW w:w="484" w:type="pct"/>
            <w:tcBorders>
              <w:top w:val="nil"/>
              <w:left w:val="nil"/>
              <w:bottom w:val="nil"/>
              <w:right w:val="nil"/>
            </w:tcBorders>
            <w:noWrap/>
            <w:vAlign w:val="bottom"/>
            <w:hideMark/>
          </w:tcPr>
          <w:p w14:paraId="6C602262"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3F140190"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7D8CC3CE"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1C40B584" w14:textId="77777777" w:rsidR="00804CA7" w:rsidRPr="00804CA7" w:rsidRDefault="00804CA7">
            <w:pPr>
              <w:rPr>
                <w:sz w:val="16"/>
                <w:szCs w:val="16"/>
              </w:rPr>
            </w:pPr>
          </w:p>
        </w:tc>
      </w:tr>
      <w:tr w:rsidR="00804CA7" w:rsidRPr="00804CA7" w14:paraId="3211EDF1" w14:textId="77777777" w:rsidTr="00AC44FC">
        <w:trPr>
          <w:trHeight w:val="198"/>
        </w:trPr>
        <w:tc>
          <w:tcPr>
            <w:tcW w:w="3799" w:type="pct"/>
            <w:tcBorders>
              <w:top w:val="nil"/>
              <w:left w:val="nil"/>
              <w:bottom w:val="nil"/>
              <w:right w:val="nil"/>
            </w:tcBorders>
            <w:noWrap/>
            <w:vAlign w:val="bottom"/>
            <w:hideMark/>
          </w:tcPr>
          <w:p w14:paraId="4A91F77E" w14:textId="77777777" w:rsidR="00804CA7" w:rsidRPr="00804CA7" w:rsidRDefault="00804CA7">
            <w:pPr>
              <w:rPr>
                <w:rFonts w:ascii="Arial" w:hAnsi="Arial" w:cs="Arial"/>
                <w:b/>
                <w:bCs/>
                <w:sz w:val="16"/>
                <w:szCs w:val="16"/>
              </w:rPr>
            </w:pPr>
            <w:r w:rsidRPr="00804CA7">
              <w:rPr>
                <w:rFonts w:ascii="Arial" w:hAnsi="Arial" w:cs="Arial"/>
                <w:b/>
                <w:bCs/>
                <w:sz w:val="16"/>
                <w:szCs w:val="16"/>
              </w:rPr>
              <w:t xml:space="preserve">Caixa Líquido Gerado/(Consumido) pelas Atividades Operacionais </w:t>
            </w:r>
          </w:p>
        </w:tc>
        <w:tc>
          <w:tcPr>
            <w:tcW w:w="74" w:type="pct"/>
            <w:tcBorders>
              <w:top w:val="nil"/>
              <w:left w:val="nil"/>
              <w:bottom w:val="nil"/>
              <w:right w:val="nil"/>
            </w:tcBorders>
            <w:noWrap/>
            <w:vAlign w:val="bottom"/>
            <w:hideMark/>
          </w:tcPr>
          <w:p w14:paraId="5CD06886" w14:textId="77777777" w:rsidR="00804CA7" w:rsidRPr="00804CA7" w:rsidRDefault="00804CA7">
            <w:pPr>
              <w:rPr>
                <w:rFonts w:ascii="Arial" w:hAnsi="Arial" w:cs="Arial"/>
                <w:b/>
                <w:bCs/>
                <w:sz w:val="16"/>
                <w:szCs w:val="16"/>
              </w:rPr>
            </w:pPr>
          </w:p>
        </w:tc>
        <w:tc>
          <w:tcPr>
            <w:tcW w:w="484" w:type="pct"/>
            <w:tcBorders>
              <w:top w:val="single" w:sz="4" w:space="0" w:color="auto"/>
              <w:left w:val="nil"/>
              <w:bottom w:val="double" w:sz="6" w:space="0" w:color="auto"/>
              <w:right w:val="nil"/>
            </w:tcBorders>
            <w:noWrap/>
            <w:vAlign w:val="bottom"/>
            <w:hideMark/>
          </w:tcPr>
          <w:p w14:paraId="4246CF05"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(8.442)</w:t>
            </w:r>
          </w:p>
        </w:tc>
        <w:tc>
          <w:tcPr>
            <w:tcW w:w="74" w:type="pct"/>
            <w:tcBorders>
              <w:top w:val="nil"/>
              <w:left w:val="nil"/>
              <w:bottom w:val="nil"/>
              <w:right w:val="nil"/>
            </w:tcBorders>
            <w:noWrap/>
            <w:vAlign w:val="bottom"/>
            <w:hideMark/>
          </w:tcPr>
          <w:p w14:paraId="3180D3B3" w14:textId="77777777" w:rsidR="00804CA7" w:rsidRPr="00804CA7" w:rsidRDefault="00804CA7" w:rsidP="00804CA7">
            <w:pPr>
              <w:jc w:val="right"/>
              <w:rPr>
                <w:rFonts w:ascii="Arial" w:hAnsi="Arial" w:cs="Arial"/>
                <w:b/>
                <w:bCs/>
                <w:sz w:val="16"/>
                <w:szCs w:val="16"/>
              </w:rPr>
            </w:pPr>
          </w:p>
        </w:tc>
        <w:tc>
          <w:tcPr>
            <w:tcW w:w="497" w:type="pct"/>
            <w:tcBorders>
              <w:top w:val="single" w:sz="4" w:space="0" w:color="auto"/>
              <w:left w:val="nil"/>
              <w:bottom w:val="double" w:sz="6" w:space="0" w:color="auto"/>
              <w:right w:val="nil"/>
            </w:tcBorders>
            <w:noWrap/>
            <w:vAlign w:val="bottom"/>
            <w:hideMark/>
          </w:tcPr>
          <w:p w14:paraId="36464E8C"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51.123 </w:t>
            </w:r>
          </w:p>
        </w:tc>
        <w:tc>
          <w:tcPr>
            <w:tcW w:w="74" w:type="pct"/>
            <w:tcBorders>
              <w:top w:val="nil"/>
              <w:left w:val="nil"/>
              <w:bottom w:val="nil"/>
              <w:right w:val="nil"/>
            </w:tcBorders>
            <w:noWrap/>
            <w:vAlign w:val="bottom"/>
            <w:hideMark/>
          </w:tcPr>
          <w:p w14:paraId="42402681" w14:textId="77777777" w:rsidR="00804CA7" w:rsidRPr="00804CA7" w:rsidRDefault="00804CA7">
            <w:pPr>
              <w:rPr>
                <w:rFonts w:ascii="Arial" w:hAnsi="Arial" w:cs="Arial"/>
                <w:b/>
                <w:bCs/>
                <w:sz w:val="16"/>
                <w:szCs w:val="16"/>
              </w:rPr>
            </w:pPr>
          </w:p>
        </w:tc>
      </w:tr>
      <w:tr w:rsidR="00804CA7" w:rsidRPr="00804CA7" w14:paraId="6D584230" w14:textId="77777777" w:rsidTr="00AC44FC">
        <w:trPr>
          <w:trHeight w:val="198"/>
        </w:trPr>
        <w:tc>
          <w:tcPr>
            <w:tcW w:w="3799" w:type="pct"/>
            <w:tcBorders>
              <w:top w:val="nil"/>
              <w:left w:val="nil"/>
              <w:bottom w:val="nil"/>
              <w:right w:val="nil"/>
            </w:tcBorders>
            <w:noWrap/>
            <w:vAlign w:val="bottom"/>
            <w:hideMark/>
          </w:tcPr>
          <w:p w14:paraId="74E21089"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1FA15DBE" w14:textId="77777777" w:rsidR="00804CA7" w:rsidRPr="00804CA7" w:rsidRDefault="00804CA7">
            <w:pPr>
              <w:rPr>
                <w:sz w:val="16"/>
                <w:szCs w:val="16"/>
              </w:rPr>
            </w:pPr>
          </w:p>
        </w:tc>
        <w:tc>
          <w:tcPr>
            <w:tcW w:w="484" w:type="pct"/>
            <w:tcBorders>
              <w:top w:val="nil"/>
              <w:left w:val="nil"/>
              <w:bottom w:val="nil"/>
              <w:right w:val="nil"/>
            </w:tcBorders>
            <w:noWrap/>
            <w:vAlign w:val="bottom"/>
            <w:hideMark/>
          </w:tcPr>
          <w:p w14:paraId="0C96132D"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746A4DF5"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2D3D9B14"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2F731779" w14:textId="77777777" w:rsidR="00804CA7" w:rsidRPr="00804CA7" w:rsidRDefault="00804CA7">
            <w:pPr>
              <w:rPr>
                <w:sz w:val="16"/>
                <w:szCs w:val="16"/>
              </w:rPr>
            </w:pPr>
          </w:p>
        </w:tc>
      </w:tr>
      <w:tr w:rsidR="00804CA7" w:rsidRPr="00804CA7" w14:paraId="54289890" w14:textId="77777777" w:rsidTr="00AC44FC">
        <w:trPr>
          <w:trHeight w:val="198"/>
        </w:trPr>
        <w:tc>
          <w:tcPr>
            <w:tcW w:w="3799" w:type="pct"/>
            <w:tcBorders>
              <w:top w:val="nil"/>
              <w:left w:val="nil"/>
              <w:bottom w:val="nil"/>
              <w:right w:val="nil"/>
            </w:tcBorders>
            <w:noWrap/>
            <w:vAlign w:val="bottom"/>
            <w:hideMark/>
          </w:tcPr>
          <w:p w14:paraId="6DF02558" w14:textId="77777777" w:rsidR="00804CA7" w:rsidRPr="00804CA7" w:rsidRDefault="00804CA7">
            <w:pPr>
              <w:rPr>
                <w:rFonts w:ascii="Arial" w:hAnsi="Arial" w:cs="Arial"/>
                <w:b/>
                <w:bCs/>
                <w:sz w:val="16"/>
                <w:szCs w:val="16"/>
              </w:rPr>
            </w:pPr>
            <w:r w:rsidRPr="00804CA7">
              <w:rPr>
                <w:rFonts w:ascii="Arial" w:hAnsi="Arial" w:cs="Arial"/>
                <w:b/>
                <w:bCs/>
                <w:sz w:val="16"/>
                <w:szCs w:val="16"/>
              </w:rPr>
              <w:t>Fluxos de Caixa das Atividades de Investimento</w:t>
            </w:r>
          </w:p>
        </w:tc>
        <w:tc>
          <w:tcPr>
            <w:tcW w:w="74" w:type="pct"/>
            <w:tcBorders>
              <w:top w:val="nil"/>
              <w:left w:val="nil"/>
              <w:bottom w:val="nil"/>
              <w:right w:val="nil"/>
            </w:tcBorders>
            <w:noWrap/>
            <w:vAlign w:val="bottom"/>
            <w:hideMark/>
          </w:tcPr>
          <w:p w14:paraId="30D58F31"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0BE305C6"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1F612E89"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6E42FAAF"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1A97FF44" w14:textId="77777777" w:rsidR="00804CA7" w:rsidRPr="00804CA7" w:rsidRDefault="00804CA7">
            <w:pPr>
              <w:rPr>
                <w:sz w:val="16"/>
                <w:szCs w:val="16"/>
              </w:rPr>
            </w:pPr>
          </w:p>
        </w:tc>
      </w:tr>
      <w:tr w:rsidR="00804CA7" w:rsidRPr="00804CA7" w14:paraId="3E34EC15" w14:textId="77777777" w:rsidTr="00AC44FC">
        <w:trPr>
          <w:trHeight w:val="198"/>
        </w:trPr>
        <w:tc>
          <w:tcPr>
            <w:tcW w:w="3799" w:type="pct"/>
            <w:tcBorders>
              <w:top w:val="nil"/>
              <w:left w:val="nil"/>
              <w:bottom w:val="nil"/>
              <w:right w:val="nil"/>
            </w:tcBorders>
            <w:noWrap/>
            <w:hideMark/>
          </w:tcPr>
          <w:p w14:paraId="3471A361"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Aquisição de Imobilizado / Intangível </w:t>
            </w:r>
          </w:p>
        </w:tc>
        <w:tc>
          <w:tcPr>
            <w:tcW w:w="74" w:type="pct"/>
            <w:tcBorders>
              <w:top w:val="nil"/>
              <w:left w:val="nil"/>
              <w:bottom w:val="nil"/>
              <w:right w:val="nil"/>
            </w:tcBorders>
            <w:noWrap/>
            <w:vAlign w:val="bottom"/>
            <w:hideMark/>
          </w:tcPr>
          <w:p w14:paraId="06959CA1"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34A67E8B"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(7.209)</w:t>
            </w:r>
          </w:p>
        </w:tc>
        <w:tc>
          <w:tcPr>
            <w:tcW w:w="74" w:type="pct"/>
            <w:tcBorders>
              <w:top w:val="nil"/>
              <w:left w:val="nil"/>
              <w:bottom w:val="nil"/>
              <w:right w:val="nil"/>
            </w:tcBorders>
            <w:noWrap/>
            <w:vAlign w:val="bottom"/>
            <w:hideMark/>
          </w:tcPr>
          <w:p w14:paraId="72515ADB"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361784E3"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(4.756)</w:t>
            </w:r>
          </w:p>
        </w:tc>
        <w:tc>
          <w:tcPr>
            <w:tcW w:w="74" w:type="pct"/>
            <w:tcBorders>
              <w:top w:val="nil"/>
              <w:left w:val="nil"/>
              <w:bottom w:val="nil"/>
              <w:right w:val="nil"/>
            </w:tcBorders>
            <w:noWrap/>
            <w:vAlign w:val="bottom"/>
            <w:hideMark/>
          </w:tcPr>
          <w:p w14:paraId="3F51BFB9" w14:textId="77777777" w:rsidR="00804CA7" w:rsidRPr="00804CA7" w:rsidRDefault="00804CA7">
            <w:pPr>
              <w:rPr>
                <w:rFonts w:ascii="Arial" w:hAnsi="Arial" w:cs="Arial"/>
                <w:sz w:val="16"/>
                <w:szCs w:val="16"/>
              </w:rPr>
            </w:pPr>
          </w:p>
        </w:tc>
      </w:tr>
      <w:tr w:rsidR="00804CA7" w:rsidRPr="00804CA7" w14:paraId="3F11399E" w14:textId="77777777" w:rsidTr="00AC44FC">
        <w:trPr>
          <w:trHeight w:val="198"/>
        </w:trPr>
        <w:tc>
          <w:tcPr>
            <w:tcW w:w="3799" w:type="pct"/>
            <w:tcBorders>
              <w:top w:val="nil"/>
              <w:left w:val="nil"/>
              <w:bottom w:val="nil"/>
              <w:right w:val="nil"/>
            </w:tcBorders>
            <w:noWrap/>
            <w:hideMark/>
          </w:tcPr>
          <w:p w14:paraId="0F51AD3C"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 xml:space="preserve"> Resgate de Aplicações Financeiras - Garantias </w:t>
            </w:r>
          </w:p>
        </w:tc>
        <w:tc>
          <w:tcPr>
            <w:tcW w:w="74" w:type="pct"/>
            <w:tcBorders>
              <w:top w:val="nil"/>
              <w:left w:val="nil"/>
              <w:bottom w:val="nil"/>
              <w:right w:val="nil"/>
            </w:tcBorders>
            <w:noWrap/>
            <w:vAlign w:val="bottom"/>
            <w:hideMark/>
          </w:tcPr>
          <w:p w14:paraId="4B6F94D6"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12ADBEDF"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2E801E6B"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041BCB9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39.973 </w:t>
            </w:r>
          </w:p>
        </w:tc>
        <w:tc>
          <w:tcPr>
            <w:tcW w:w="74" w:type="pct"/>
            <w:tcBorders>
              <w:top w:val="nil"/>
              <w:left w:val="nil"/>
              <w:bottom w:val="nil"/>
              <w:right w:val="nil"/>
            </w:tcBorders>
            <w:noWrap/>
            <w:vAlign w:val="bottom"/>
            <w:hideMark/>
          </w:tcPr>
          <w:p w14:paraId="395CFAE0" w14:textId="77777777" w:rsidR="00804CA7" w:rsidRPr="00804CA7" w:rsidRDefault="00804CA7">
            <w:pPr>
              <w:rPr>
                <w:rFonts w:ascii="Arial" w:hAnsi="Arial" w:cs="Arial"/>
                <w:sz w:val="16"/>
                <w:szCs w:val="16"/>
              </w:rPr>
            </w:pPr>
          </w:p>
        </w:tc>
      </w:tr>
      <w:tr w:rsidR="00804CA7" w:rsidRPr="00804CA7" w14:paraId="1E142980" w14:textId="77777777" w:rsidTr="00AC44FC">
        <w:trPr>
          <w:trHeight w:val="198"/>
        </w:trPr>
        <w:tc>
          <w:tcPr>
            <w:tcW w:w="3799" w:type="pct"/>
            <w:tcBorders>
              <w:top w:val="nil"/>
              <w:left w:val="nil"/>
              <w:bottom w:val="nil"/>
              <w:right w:val="nil"/>
            </w:tcBorders>
            <w:noWrap/>
            <w:vAlign w:val="bottom"/>
            <w:hideMark/>
          </w:tcPr>
          <w:p w14:paraId="12DC3EDD" w14:textId="77777777" w:rsidR="00804CA7" w:rsidRPr="00804CA7" w:rsidRDefault="00804CA7">
            <w:pPr>
              <w:rPr>
                <w:rFonts w:ascii="Arial" w:hAnsi="Arial" w:cs="Arial"/>
                <w:b/>
                <w:bCs/>
                <w:sz w:val="16"/>
                <w:szCs w:val="16"/>
              </w:rPr>
            </w:pPr>
            <w:r w:rsidRPr="00804CA7">
              <w:rPr>
                <w:rFonts w:ascii="Arial" w:hAnsi="Arial" w:cs="Arial"/>
                <w:b/>
                <w:bCs/>
                <w:sz w:val="16"/>
                <w:szCs w:val="16"/>
              </w:rPr>
              <w:t xml:space="preserve">Caixa Líquido Consumido pelas Atividades de Investimento </w:t>
            </w:r>
          </w:p>
        </w:tc>
        <w:tc>
          <w:tcPr>
            <w:tcW w:w="74" w:type="pct"/>
            <w:tcBorders>
              <w:top w:val="nil"/>
              <w:left w:val="nil"/>
              <w:bottom w:val="nil"/>
              <w:right w:val="nil"/>
            </w:tcBorders>
            <w:noWrap/>
            <w:vAlign w:val="bottom"/>
            <w:hideMark/>
          </w:tcPr>
          <w:p w14:paraId="26645D4F" w14:textId="77777777" w:rsidR="00804CA7" w:rsidRPr="00804CA7" w:rsidRDefault="00804CA7">
            <w:pPr>
              <w:rPr>
                <w:rFonts w:ascii="Arial" w:hAnsi="Arial" w:cs="Arial"/>
                <w:b/>
                <w:bCs/>
                <w:sz w:val="16"/>
                <w:szCs w:val="16"/>
              </w:rPr>
            </w:pPr>
          </w:p>
        </w:tc>
        <w:tc>
          <w:tcPr>
            <w:tcW w:w="484" w:type="pct"/>
            <w:tcBorders>
              <w:top w:val="single" w:sz="4" w:space="0" w:color="auto"/>
              <w:left w:val="nil"/>
              <w:bottom w:val="double" w:sz="6" w:space="0" w:color="auto"/>
              <w:right w:val="nil"/>
            </w:tcBorders>
            <w:noWrap/>
            <w:vAlign w:val="bottom"/>
            <w:hideMark/>
          </w:tcPr>
          <w:p w14:paraId="735C5BF0"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(7.209)</w:t>
            </w:r>
          </w:p>
        </w:tc>
        <w:tc>
          <w:tcPr>
            <w:tcW w:w="74" w:type="pct"/>
            <w:tcBorders>
              <w:top w:val="nil"/>
              <w:left w:val="nil"/>
              <w:bottom w:val="nil"/>
              <w:right w:val="nil"/>
            </w:tcBorders>
            <w:noWrap/>
            <w:vAlign w:val="bottom"/>
            <w:hideMark/>
          </w:tcPr>
          <w:p w14:paraId="394007E4" w14:textId="77777777" w:rsidR="00804CA7" w:rsidRPr="00804CA7" w:rsidRDefault="00804CA7" w:rsidP="00804CA7">
            <w:pPr>
              <w:jc w:val="right"/>
              <w:rPr>
                <w:rFonts w:ascii="Arial" w:hAnsi="Arial" w:cs="Arial"/>
                <w:b/>
                <w:bCs/>
                <w:sz w:val="16"/>
                <w:szCs w:val="16"/>
              </w:rPr>
            </w:pPr>
          </w:p>
        </w:tc>
        <w:tc>
          <w:tcPr>
            <w:tcW w:w="497" w:type="pct"/>
            <w:tcBorders>
              <w:top w:val="single" w:sz="4" w:space="0" w:color="auto"/>
              <w:left w:val="nil"/>
              <w:bottom w:val="double" w:sz="6" w:space="0" w:color="auto"/>
              <w:right w:val="nil"/>
            </w:tcBorders>
            <w:noWrap/>
            <w:vAlign w:val="bottom"/>
            <w:hideMark/>
          </w:tcPr>
          <w:p w14:paraId="687B797C"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35.217 </w:t>
            </w:r>
          </w:p>
        </w:tc>
        <w:tc>
          <w:tcPr>
            <w:tcW w:w="74" w:type="pct"/>
            <w:tcBorders>
              <w:top w:val="nil"/>
              <w:left w:val="nil"/>
              <w:bottom w:val="nil"/>
              <w:right w:val="nil"/>
            </w:tcBorders>
            <w:noWrap/>
            <w:vAlign w:val="bottom"/>
            <w:hideMark/>
          </w:tcPr>
          <w:p w14:paraId="63F08B12" w14:textId="77777777" w:rsidR="00804CA7" w:rsidRPr="00804CA7" w:rsidRDefault="00804CA7">
            <w:pPr>
              <w:rPr>
                <w:rFonts w:ascii="Arial" w:hAnsi="Arial" w:cs="Arial"/>
                <w:b/>
                <w:bCs/>
                <w:sz w:val="16"/>
                <w:szCs w:val="16"/>
              </w:rPr>
            </w:pPr>
          </w:p>
        </w:tc>
      </w:tr>
      <w:tr w:rsidR="00804CA7" w:rsidRPr="00804CA7" w14:paraId="19359687" w14:textId="77777777" w:rsidTr="00AC44FC">
        <w:trPr>
          <w:trHeight w:val="198"/>
        </w:trPr>
        <w:tc>
          <w:tcPr>
            <w:tcW w:w="3799" w:type="pct"/>
            <w:tcBorders>
              <w:top w:val="nil"/>
              <w:left w:val="nil"/>
              <w:bottom w:val="nil"/>
              <w:right w:val="nil"/>
            </w:tcBorders>
            <w:noWrap/>
            <w:vAlign w:val="bottom"/>
            <w:hideMark/>
          </w:tcPr>
          <w:p w14:paraId="0688E5ED"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4CE96115" w14:textId="77777777" w:rsidR="00804CA7" w:rsidRPr="00804CA7" w:rsidRDefault="00804CA7">
            <w:pPr>
              <w:rPr>
                <w:sz w:val="16"/>
                <w:szCs w:val="16"/>
              </w:rPr>
            </w:pPr>
          </w:p>
        </w:tc>
        <w:tc>
          <w:tcPr>
            <w:tcW w:w="484" w:type="pct"/>
            <w:tcBorders>
              <w:top w:val="nil"/>
              <w:left w:val="nil"/>
              <w:bottom w:val="nil"/>
              <w:right w:val="nil"/>
            </w:tcBorders>
            <w:noWrap/>
            <w:vAlign w:val="bottom"/>
            <w:hideMark/>
          </w:tcPr>
          <w:p w14:paraId="303E2E02"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5C77D239"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7BC8CA31"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6101B2CF" w14:textId="77777777" w:rsidR="00804CA7" w:rsidRPr="00804CA7" w:rsidRDefault="00804CA7">
            <w:pPr>
              <w:rPr>
                <w:sz w:val="16"/>
                <w:szCs w:val="16"/>
              </w:rPr>
            </w:pPr>
          </w:p>
        </w:tc>
      </w:tr>
      <w:tr w:rsidR="00804CA7" w:rsidRPr="00804CA7" w14:paraId="56A9D720" w14:textId="77777777" w:rsidTr="00AC44FC">
        <w:trPr>
          <w:trHeight w:val="198"/>
        </w:trPr>
        <w:tc>
          <w:tcPr>
            <w:tcW w:w="3799" w:type="pct"/>
            <w:tcBorders>
              <w:top w:val="nil"/>
              <w:left w:val="nil"/>
              <w:bottom w:val="nil"/>
              <w:right w:val="nil"/>
            </w:tcBorders>
            <w:noWrap/>
            <w:vAlign w:val="bottom"/>
            <w:hideMark/>
          </w:tcPr>
          <w:p w14:paraId="37DC7F07" w14:textId="77777777" w:rsidR="00804CA7" w:rsidRPr="00804CA7" w:rsidRDefault="00804CA7">
            <w:pPr>
              <w:rPr>
                <w:rFonts w:ascii="Arial" w:hAnsi="Arial" w:cs="Arial"/>
                <w:b/>
                <w:bCs/>
                <w:sz w:val="16"/>
                <w:szCs w:val="16"/>
              </w:rPr>
            </w:pPr>
            <w:r w:rsidRPr="00804CA7">
              <w:rPr>
                <w:rFonts w:ascii="Arial" w:hAnsi="Arial" w:cs="Arial"/>
                <w:b/>
                <w:bCs/>
                <w:sz w:val="16"/>
                <w:szCs w:val="16"/>
              </w:rPr>
              <w:t>Fluxos de Caixa das Atividades de Financiamento</w:t>
            </w:r>
          </w:p>
        </w:tc>
        <w:tc>
          <w:tcPr>
            <w:tcW w:w="74" w:type="pct"/>
            <w:tcBorders>
              <w:top w:val="nil"/>
              <w:left w:val="nil"/>
              <w:bottom w:val="nil"/>
              <w:right w:val="nil"/>
            </w:tcBorders>
            <w:noWrap/>
            <w:vAlign w:val="bottom"/>
            <w:hideMark/>
          </w:tcPr>
          <w:p w14:paraId="2101FC0C"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642F1D4B"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7E83A447"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1B42366D"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562EA62C" w14:textId="77777777" w:rsidR="00804CA7" w:rsidRPr="00804CA7" w:rsidRDefault="00804CA7">
            <w:pPr>
              <w:rPr>
                <w:sz w:val="16"/>
                <w:szCs w:val="16"/>
              </w:rPr>
            </w:pPr>
          </w:p>
        </w:tc>
      </w:tr>
      <w:tr w:rsidR="00804CA7" w:rsidRPr="00804CA7" w14:paraId="3C9A19CD" w14:textId="77777777" w:rsidTr="00AC44FC">
        <w:trPr>
          <w:trHeight w:val="198"/>
        </w:trPr>
        <w:tc>
          <w:tcPr>
            <w:tcW w:w="3799" w:type="pct"/>
            <w:tcBorders>
              <w:top w:val="nil"/>
              <w:left w:val="nil"/>
              <w:bottom w:val="nil"/>
              <w:right w:val="nil"/>
            </w:tcBorders>
            <w:noWrap/>
            <w:vAlign w:val="bottom"/>
            <w:hideMark/>
          </w:tcPr>
          <w:p w14:paraId="4CAECB1A"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 de Principal - Arrendamento Mercantil Financeiro</w:t>
            </w:r>
          </w:p>
        </w:tc>
        <w:tc>
          <w:tcPr>
            <w:tcW w:w="74" w:type="pct"/>
            <w:tcBorders>
              <w:top w:val="nil"/>
              <w:left w:val="nil"/>
              <w:bottom w:val="nil"/>
              <w:right w:val="nil"/>
            </w:tcBorders>
            <w:noWrap/>
            <w:vAlign w:val="bottom"/>
            <w:hideMark/>
          </w:tcPr>
          <w:p w14:paraId="68B29489"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25F941C9"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(1.417)</w:t>
            </w:r>
          </w:p>
        </w:tc>
        <w:tc>
          <w:tcPr>
            <w:tcW w:w="74" w:type="pct"/>
            <w:tcBorders>
              <w:top w:val="nil"/>
              <w:left w:val="nil"/>
              <w:bottom w:val="nil"/>
              <w:right w:val="nil"/>
            </w:tcBorders>
            <w:noWrap/>
            <w:vAlign w:val="bottom"/>
            <w:hideMark/>
          </w:tcPr>
          <w:p w14:paraId="665D72B7"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2A06C74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(1.625)</w:t>
            </w:r>
          </w:p>
        </w:tc>
        <w:tc>
          <w:tcPr>
            <w:tcW w:w="74" w:type="pct"/>
            <w:tcBorders>
              <w:top w:val="nil"/>
              <w:left w:val="nil"/>
              <w:bottom w:val="nil"/>
              <w:right w:val="nil"/>
            </w:tcBorders>
            <w:noWrap/>
            <w:vAlign w:val="bottom"/>
            <w:hideMark/>
          </w:tcPr>
          <w:p w14:paraId="6116A3E3" w14:textId="77777777" w:rsidR="00804CA7" w:rsidRPr="00804CA7" w:rsidRDefault="00804CA7">
            <w:pPr>
              <w:rPr>
                <w:rFonts w:ascii="Arial" w:hAnsi="Arial" w:cs="Arial"/>
                <w:sz w:val="16"/>
                <w:szCs w:val="16"/>
              </w:rPr>
            </w:pPr>
          </w:p>
        </w:tc>
      </w:tr>
      <w:tr w:rsidR="00804CA7" w:rsidRPr="00804CA7" w14:paraId="25C0ADC4" w14:textId="77777777" w:rsidTr="00AC44FC">
        <w:trPr>
          <w:trHeight w:val="198"/>
        </w:trPr>
        <w:tc>
          <w:tcPr>
            <w:tcW w:w="3799" w:type="pct"/>
            <w:tcBorders>
              <w:top w:val="nil"/>
              <w:left w:val="nil"/>
              <w:bottom w:val="nil"/>
              <w:right w:val="nil"/>
            </w:tcBorders>
            <w:noWrap/>
            <w:vAlign w:val="bottom"/>
            <w:hideMark/>
          </w:tcPr>
          <w:p w14:paraId="7EDC9B3F"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 de Principal de Acordos Judiciais</w:t>
            </w:r>
          </w:p>
        </w:tc>
        <w:tc>
          <w:tcPr>
            <w:tcW w:w="74" w:type="pct"/>
            <w:tcBorders>
              <w:top w:val="nil"/>
              <w:left w:val="nil"/>
              <w:bottom w:val="nil"/>
              <w:right w:val="nil"/>
            </w:tcBorders>
            <w:noWrap/>
            <w:vAlign w:val="bottom"/>
            <w:hideMark/>
          </w:tcPr>
          <w:p w14:paraId="703CAE8E"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6301625D"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47276F76"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4EEBEE5D"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(1.626)</w:t>
            </w:r>
          </w:p>
        </w:tc>
        <w:tc>
          <w:tcPr>
            <w:tcW w:w="74" w:type="pct"/>
            <w:tcBorders>
              <w:top w:val="nil"/>
              <w:left w:val="nil"/>
              <w:bottom w:val="nil"/>
              <w:right w:val="nil"/>
            </w:tcBorders>
            <w:noWrap/>
            <w:vAlign w:val="bottom"/>
            <w:hideMark/>
          </w:tcPr>
          <w:p w14:paraId="4C244039" w14:textId="77777777" w:rsidR="00804CA7" w:rsidRPr="00804CA7" w:rsidRDefault="00804CA7">
            <w:pPr>
              <w:rPr>
                <w:rFonts w:ascii="Arial" w:hAnsi="Arial" w:cs="Arial"/>
                <w:sz w:val="16"/>
                <w:szCs w:val="16"/>
              </w:rPr>
            </w:pPr>
          </w:p>
        </w:tc>
      </w:tr>
      <w:tr w:rsidR="00804CA7" w:rsidRPr="00804CA7" w14:paraId="280CF66F" w14:textId="77777777" w:rsidTr="00AC44FC">
        <w:trPr>
          <w:trHeight w:val="198"/>
        </w:trPr>
        <w:tc>
          <w:tcPr>
            <w:tcW w:w="3799" w:type="pct"/>
            <w:tcBorders>
              <w:top w:val="nil"/>
              <w:left w:val="nil"/>
              <w:bottom w:val="nil"/>
              <w:right w:val="nil"/>
            </w:tcBorders>
            <w:noWrap/>
            <w:vAlign w:val="bottom"/>
            <w:hideMark/>
          </w:tcPr>
          <w:p w14:paraId="6BD6F09F"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Pagamentos - Financiamento - Finep - Principal</w:t>
            </w:r>
          </w:p>
        </w:tc>
        <w:tc>
          <w:tcPr>
            <w:tcW w:w="74" w:type="pct"/>
            <w:tcBorders>
              <w:top w:val="nil"/>
              <w:left w:val="nil"/>
              <w:bottom w:val="nil"/>
              <w:right w:val="nil"/>
            </w:tcBorders>
            <w:noWrap/>
            <w:vAlign w:val="bottom"/>
            <w:hideMark/>
          </w:tcPr>
          <w:p w14:paraId="2FD9FB59" w14:textId="77777777" w:rsidR="00804CA7" w:rsidRPr="00804CA7" w:rsidRDefault="00804CA7">
            <w:pPr>
              <w:ind w:firstLineChars="200" w:firstLine="320"/>
              <w:rPr>
                <w:rFonts w:ascii="Arial" w:hAnsi="Arial" w:cs="Arial"/>
                <w:sz w:val="16"/>
                <w:szCs w:val="16"/>
              </w:rPr>
            </w:pPr>
          </w:p>
        </w:tc>
        <w:tc>
          <w:tcPr>
            <w:tcW w:w="484" w:type="pct"/>
            <w:tcBorders>
              <w:top w:val="nil"/>
              <w:left w:val="nil"/>
              <w:bottom w:val="nil"/>
              <w:right w:val="nil"/>
            </w:tcBorders>
            <w:noWrap/>
            <w:vAlign w:val="bottom"/>
            <w:hideMark/>
          </w:tcPr>
          <w:p w14:paraId="588C5B46"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  </w:t>
            </w:r>
          </w:p>
        </w:tc>
        <w:tc>
          <w:tcPr>
            <w:tcW w:w="74" w:type="pct"/>
            <w:tcBorders>
              <w:top w:val="nil"/>
              <w:left w:val="nil"/>
              <w:bottom w:val="nil"/>
              <w:right w:val="nil"/>
            </w:tcBorders>
            <w:noWrap/>
            <w:vAlign w:val="bottom"/>
            <w:hideMark/>
          </w:tcPr>
          <w:p w14:paraId="1B967362"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75D5401A"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(45.778)</w:t>
            </w:r>
          </w:p>
        </w:tc>
        <w:tc>
          <w:tcPr>
            <w:tcW w:w="74" w:type="pct"/>
            <w:tcBorders>
              <w:top w:val="nil"/>
              <w:left w:val="nil"/>
              <w:bottom w:val="nil"/>
              <w:right w:val="nil"/>
            </w:tcBorders>
            <w:noWrap/>
            <w:vAlign w:val="bottom"/>
            <w:hideMark/>
          </w:tcPr>
          <w:p w14:paraId="11092CEB" w14:textId="77777777" w:rsidR="00804CA7" w:rsidRPr="00804CA7" w:rsidRDefault="00804CA7">
            <w:pPr>
              <w:rPr>
                <w:rFonts w:ascii="Arial" w:hAnsi="Arial" w:cs="Arial"/>
                <w:sz w:val="16"/>
                <w:szCs w:val="16"/>
              </w:rPr>
            </w:pPr>
          </w:p>
        </w:tc>
      </w:tr>
      <w:tr w:rsidR="00804CA7" w:rsidRPr="00804CA7" w14:paraId="48789436" w14:textId="77777777" w:rsidTr="00AC44FC">
        <w:trPr>
          <w:trHeight w:val="198"/>
        </w:trPr>
        <w:tc>
          <w:tcPr>
            <w:tcW w:w="3799" w:type="pct"/>
            <w:tcBorders>
              <w:top w:val="nil"/>
              <w:left w:val="nil"/>
              <w:right w:val="nil"/>
            </w:tcBorders>
            <w:noWrap/>
            <w:vAlign w:val="bottom"/>
            <w:hideMark/>
          </w:tcPr>
          <w:p w14:paraId="1456C99B"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Recebimento Parcela - Superávit Previdência Privada</w:t>
            </w:r>
          </w:p>
        </w:tc>
        <w:tc>
          <w:tcPr>
            <w:tcW w:w="74" w:type="pct"/>
            <w:tcBorders>
              <w:top w:val="nil"/>
              <w:left w:val="nil"/>
              <w:right w:val="nil"/>
            </w:tcBorders>
            <w:noWrap/>
            <w:vAlign w:val="bottom"/>
            <w:hideMark/>
          </w:tcPr>
          <w:p w14:paraId="60810B82" w14:textId="77777777" w:rsidR="00804CA7" w:rsidRPr="00804CA7" w:rsidRDefault="00804CA7">
            <w:pPr>
              <w:ind w:firstLineChars="200" w:firstLine="320"/>
              <w:rPr>
                <w:rFonts w:ascii="Arial" w:hAnsi="Arial" w:cs="Arial"/>
                <w:sz w:val="16"/>
                <w:szCs w:val="16"/>
              </w:rPr>
            </w:pPr>
          </w:p>
        </w:tc>
        <w:tc>
          <w:tcPr>
            <w:tcW w:w="484" w:type="pct"/>
            <w:tcBorders>
              <w:top w:val="nil"/>
              <w:left w:val="nil"/>
              <w:right w:val="nil"/>
            </w:tcBorders>
            <w:noWrap/>
            <w:vAlign w:val="bottom"/>
            <w:hideMark/>
          </w:tcPr>
          <w:p w14:paraId="51A37003"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34.816 </w:t>
            </w:r>
          </w:p>
        </w:tc>
        <w:tc>
          <w:tcPr>
            <w:tcW w:w="74" w:type="pct"/>
            <w:tcBorders>
              <w:top w:val="nil"/>
              <w:left w:val="nil"/>
              <w:right w:val="nil"/>
            </w:tcBorders>
            <w:noWrap/>
            <w:vAlign w:val="bottom"/>
            <w:hideMark/>
          </w:tcPr>
          <w:p w14:paraId="060D119D" w14:textId="77777777" w:rsidR="00804CA7" w:rsidRPr="00804CA7" w:rsidRDefault="00804CA7" w:rsidP="00804CA7">
            <w:pPr>
              <w:jc w:val="right"/>
              <w:rPr>
                <w:rFonts w:ascii="Arial" w:hAnsi="Arial" w:cs="Arial"/>
                <w:sz w:val="16"/>
                <w:szCs w:val="16"/>
              </w:rPr>
            </w:pPr>
          </w:p>
        </w:tc>
        <w:tc>
          <w:tcPr>
            <w:tcW w:w="497" w:type="pct"/>
            <w:tcBorders>
              <w:top w:val="nil"/>
              <w:left w:val="nil"/>
              <w:right w:val="nil"/>
            </w:tcBorders>
            <w:noWrap/>
            <w:vAlign w:val="bottom"/>
            <w:hideMark/>
          </w:tcPr>
          <w:p w14:paraId="3E696470"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21.444 </w:t>
            </w:r>
          </w:p>
        </w:tc>
        <w:tc>
          <w:tcPr>
            <w:tcW w:w="74" w:type="pct"/>
            <w:tcBorders>
              <w:top w:val="nil"/>
              <w:left w:val="nil"/>
              <w:bottom w:val="nil"/>
              <w:right w:val="nil"/>
            </w:tcBorders>
            <w:noWrap/>
            <w:vAlign w:val="bottom"/>
            <w:hideMark/>
          </w:tcPr>
          <w:p w14:paraId="6C3F0390" w14:textId="77777777" w:rsidR="00804CA7" w:rsidRPr="00804CA7" w:rsidRDefault="00804CA7">
            <w:pPr>
              <w:rPr>
                <w:rFonts w:ascii="Arial" w:hAnsi="Arial" w:cs="Arial"/>
                <w:sz w:val="16"/>
                <w:szCs w:val="16"/>
              </w:rPr>
            </w:pPr>
          </w:p>
        </w:tc>
      </w:tr>
      <w:tr w:rsidR="00804CA7" w:rsidRPr="00804CA7" w14:paraId="3EB8E826" w14:textId="77777777" w:rsidTr="00AC44FC">
        <w:trPr>
          <w:trHeight w:val="198"/>
        </w:trPr>
        <w:tc>
          <w:tcPr>
            <w:tcW w:w="3799" w:type="pct"/>
            <w:tcBorders>
              <w:top w:val="nil"/>
              <w:left w:val="nil"/>
              <w:right w:val="nil"/>
            </w:tcBorders>
            <w:noWrap/>
            <w:vAlign w:val="bottom"/>
            <w:hideMark/>
          </w:tcPr>
          <w:p w14:paraId="54DAC0D8" w14:textId="77777777" w:rsidR="00804CA7" w:rsidRPr="00804CA7" w:rsidRDefault="00804CA7">
            <w:pPr>
              <w:ind w:firstLineChars="200" w:firstLine="320"/>
              <w:rPr>
                <w:rFonts w:ascii="Arial" w:hAnsi="Arial" w:cs="Arial"/>
                <w:sz w:val="16"/>
                <w:szCs w:val="16"/>
              </w:rPr>
            </w:pPr>
            <w:r w:rsidRPr="00804CA7">
              <w:rPr>
                <w:rFonts w:ascii="Arial" w:hAnsi="Arial" w:cs="Arial"/>
                <w:sz w:val="16"/>
                <w:szCs w:val="16"/>
              </w:rPr>
              <w:t>Recebimento de Adiantamento para Futuro Aumento de Capital</w:t>
            </w:r>
          </w:p>
        </w:tc>
        <w:tc>
          <w:tcPr>
            <w:tcW w:w="74" w:type="pct"/>
            <w:tcBorders>
              <w:top w:val="nil"/>
              <w:left w:val="nil"/>
              <w:right w:val="nil"/>
            </w:tcBorders>
            <w:noWrap/>
            <w:vAlign w:val="bottom"/>
            <w:hideMark/>
          </w:tcPr>
          <w:p w14:paraId="67250784" w14:textId="77777777" w:rsidR="00804CA7" w:rsidRPr="00804CA7" w:rsidRDefault="00804CA7">
            <w:pPr>
              <w:ind w:firstLineChars="200" w:firstLine="320"/>
              <w:rPr>
                <w:rFonts w:ascii="Arial" w:hAnsi="Arial" w:cs="Arial"/>
                <w:sz w:val="16"/>
                <w:szCs w:val="16"/>
              </w:rPr>
            </w:pPr>
          </w:p>
        </w:tc>
        <w:tc>
          <w:tcPr>
            <w:tcW w:w="484" w:type="pct"/>
            <w:tcBorders>
              <w:top w:val="nil"/>
              <w:left w:val="nil"/>
              <w:right w:val="nil"/>
            </w:tcBorders>
            <w:noWrap/>
            <w:vAlign w:val="bottom"/>
            <w:hideMark/>
          </w:tcPr>
          <w:p w14:paraId="129E461F" w14:textId="2994E868"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w:t>
            </w:r>
            <w:r w:rsidR="00AC44FC">
              <w:rPr>
                <w:rFonts w:ascii="Arial" w:hAnsi="Arial" w:cs="Arial"/>
                <w:sz w:val="16"/>
                <w:szCs w:val="16"/>
              </w:rPr>
              <w:t>-</w:t>
            </w:r>
            <w:r w:rsidRPr="00804CA7">
              <w:rPr>
                <w:rFonts w:ascii="Arial" w:hAnsi="Arial" w:cs="Arial"/>
                <w:sz w:val="16"/>
                <w:szCs w:val="16"/>
              </w:rPr>
              <w:t xml:space="preserve"> </w:t>
            </w:r>
          </w:p>
        </w:tc>
        <w:tc>
          <w:tcPr>
            <w:tcW w:w="74" w:type="pct"/>
            <w:tcBorders>
              <w:top w:val="nil"/>
              <w:left w:val="nil"/>
              <w:right w:val="nil"/>
            </w:tcBorders>
            <w:noWrap/>
            <w:vAlign w:val="bottom"/>
            <w:hideMark/>
          </w:tcPr>
          <w:p w14:paraId="5CF4CDB4" w14:textId="77777777" w:rsidR="00804CA7" w:rsidRPr="00804CA7" w:rsidRDefault="00804CA7" w:rsidP="00804CA7">
            <w:pPr>
              <w:jc w:val="right"/>
              <w:rPr>
                <w:rFonts w:ascii="Arial" w:hAnsi="Arial" w:cs="Arial"/>
                <w:sz w:val="16"/>
                <w:szCs w:val="16"/>
              </w:rPr>
            </w:pPr>
          </w:p>
        </w:tc>
        <w:tc>
          <w:tcPr>
            <w:tcW w:w="497" w:type="pct"/>
            <w:tcBorders>
              <w:top w:val="nil"/>
              <w:left w:val="nil"/>
              <w:right w:val="nil"/>
            </w:tcBorders>
            <w:noWrap/>
            <w:vAlign w:val="bottom"/>
            <w:hideMark/>
          </w:tcPr>
          <w:p w14:paraId="3684664E"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1.846 </w:t>
            </w:r>
          </w:p>
        </w:tc>
        <w:tc>
          <w:tcPr>
            <w:tcW w:w="74" w:type="pct"/>
            <w:tcBorders>
              <w:top w:val="nil"/>
              <w:left w:val="nil"/>
              <w:bottom w:val="nil"/>
              <w:right w:val="nil"/>
            </w:tcBorders>
            <w:noWrap/>
            <w:vAlign w:val="bottom"/>
            <w:hideMark/>
          </w:tcPr>
          <w:p w14:paraId="1055981A" w14:textId="77777777" w:rsidR="00804CA7" w:rsidRPr="00804CA7" w:rsidRDefault="00804CA7">
            <w:pPr>
              <w:rPr>
                <w:rFonts w:ascii="Arial" w:hAnsi="Arial" w:cs="Arial"/>
                <w:sz w:val="16"/>
                <w:szCs w:val="16"/>
              </w:rPr>
            </w:pPr>
          </w:p>
        </w:tc>
      </w:tr>
      <w:tr w:rsidR="00AC44FC" w:rsidRPr="00804CA7" w14:paraId="48FC9F36" w14:textId="77777777" w:rsidTr="00AC44FC">
        <w:trPr>
          <w:trHeight w:val="198"/>
        </w:trPr>
        <w:tc>
          <w:tcPr>
            <w:tcW w:w="3799" w:type="pct"/>
            <w:tcBorders>
              <w:left w:val="nil"/>
              <w:bottom w:val="nil"/>
              <w:right w:val="nil"/>
            </w:tcBorders>
            <w:noWrap/>
            <w:vAlign w:val="bottom"/>
          </w:tcPr>
          <w:p w14:paraId="25A7CC23" w14:textId="1F144D85" w:rsidR="00AC44FC" w:rsidRPr="00AC44FC" w:rsidRDefault="00AC44FC">
            <w:pPr>
              <w:rPr>
                <w:rFonts w:ascii="Arial" w:hAnsi="Arial" w:cs="Arial"/>
                <w:sz w:val="16"/>
                <w:szCs w:val="16"/>
              </w:rPr>
            </w:pPr>
            <w:r w:rsidRPr="00AC44FC">
              <w:rPr>
                <w:rFonts w:ascii="Arial" w:hAnsi="Arial" w:cs="Arial"/>
                <w:sz w:val="16"/>
                <w:szCs w:val="16"/>
              </w:rPr>
              <w:t xml:space="preserve">       Recebimento de Recursos do Contrato de Gestão</w:t>
            </w:r>
          </w:p>
        </w:tc>
        <w:tc>
          <w:tcPr>
            <w:tcW w:w="74" w:type="pct"/>
            <w:tcBorders>
              <w:left w:val="nil"/>
              <w:bottom w:val="nil"/>
              <w:right w:val="nil"/>
            </w:tcBorders>
            <w:noWrap/>
            <w:vAlign w:val="bottom"/>
          </w:tcPr>
          <w:p w14:paraId="314F1D54" w14:textId="77777777" w:rsidR="00AC44FC" w:rsidRPr="00AC44FC" w:rsidRDefault="00AC44FC">
            <w:pPr>
              <w:rPr>
                <w:rFonts w:ascii="Arial" w:hAnsi="Arial" w:cs="Arial"/>
                <w:sz w:val="16"/>
                <w:szCs w:val="16"/>
              </w:rPr>
            </w:pPr>
          </w:p>
        </w:tc>
        <w:tc>
          <w:tcPr>
            <w:tcW w:w="484" w:type="pct"/>
            <w:tcBorders>
              <w:left w:val="nil"/>
              <w:bottom w:val="double" w:sz="6" w:space="0" w:color="auto"/>
              <w:right w:val="nil"/>
            </w:tcBorders>
            <w:noWrap/>
            <w:vAlign w:val="bottom"/>
          </w:tcPr>
          <w:p w14:paraId="4324E559" w14:textId="7A5FA9A9" w:rsidR="00AC44FC" w:rsidRPr="00AC44FC" w:rsidRDefault="00AC44FC" w:rsidP="00804CA7">
            <w:pPr>
              <w:jc w:val="right"/>
              <w:rPr>
                <w:rFonts w:ascii="Arial" w:hAnsi="Arial" w:cs="Arial"/>
                <w:sz w:val="16"/>
                <w:szCs w:val="16"/>
              </w:rPr>
            </w:pPr>
            <w:r w:rsidRPr="00AC44FC">
              <w:rPr>
                <w:rFonts w:ascii="Arial" w:hAnsi="Arial" w:cs="Arial"/>
                <w:sz w:val="16"/>
                <w:szCs w:val="16"/>
              </w:rPr>
              <w:t>22.000</w:t>
            </w:r>
          </w:p>
        </w:tc>
        <w:tc>
          <w:tcPr>
            <w:tcW w:w="74" w:type="pct"/>
            <w:tcBorders>
              <w:left w:val="nil"/>
              <w:bottom w:val="nil"/>
              <w:right w:val="nil"/>
            </w:tcBorders>
            <w:noWrap/>
            <w:vAlign w:val="bottom"/>
          </w:tcPr>
          <w:p w14:paraId="797F6C42" w14:textId="77777777" w:rsidR="00AC44FC" w:rsidRPr="00AC44FC" w:rsidRDefault="00AC44FC" w:rsidP="00804CA7">
            <w:pPr>
              <w:jc w:val="right"/>
              <w:rPr>
                <w:rFonts w:ascii="Arial" w:hAnsi="Arial" w:cs="Arial"/>
                <w:sz w:val="16"/>
                <w:szCs w:val="16"/>
              </w:rPr>
            </w:pPr>
          </w:p>
        </w:tc>
        <w:tc>
          <w:tcPr>
            <w:tcW w:w="497" w:type="pct"/>
            <w:tcBorders>
              <w:left w:val="nil"/>
              <w:bottom w:val="double" w:sz="6" w:space="0" w:color="auto"/>
              <w:right w:val="nil"/>
            </w:tcBorders>
            <w:noWrap/>
            <w:vAlign w:val="bottom"/>
          </w:tcPr>
          <w:p w14:paraId="28691385" w14:textId="42FCC33D" w:rsidR="00AC44FC" w:rsidRPr="00AC44FC" w:rsidRDefault="00AC44FC" w:rsidP="00804CA7">
            <w:pPr>
              <w:jc w:val="right"/>
              <w:rPr>
                <w:rFonts w:ascii="Arial" w:hAnsi="Arial" w:cs="Arial"/>
                <w:sz w:val="16"/>
                <w:szCs w:val="16"/>
              </w:rPr>
            </w:pPr>
            <w:r w:rsidRPr="00AC44FC">
              <w:rPr>
                <w:rFonts w:ascii="Arial" w:hAnsi="Arial" w:cs="Arial"/>
                <w:sz w:val="16"/>
                <w:szCs w:val="16"/>
              </w:rPr>
              <w:t>-</w:t>
            </w:r>
          </w:p>
        </w:tc>
        <w:tc>
          <w:tcPr>
            <w:tcW w:w="74" w:type="pct"/>
            <w:tcBorders>
              <w:top w:val="nil"/>
              <w:left w:val="nil"/>
              <w:bottom w:val="nil"/>
              <w:right w:val="nil"/>
            </w:tcBorders>
            <w:noWrap/>
            <w:vAlign w:val="bottom"/>
          </w:tcPr>
          <w:p w14:paraId="621E8C63" w14:textId="77777777" w:rsidR="00AC44FC" w:rsidRPr="00804CA7" w:rsidRDefault="00AC44FC">
            <w:pPr>
              <w:rPr>
                <w:rFonts w:ascii="Arial" w:hAnsi="Arial" w:cs="Arial"/>
                <w:b/>
                <w:bCs/>
                <w:sz w:val="16"/>
                <w:szCs w:val="16"/>
              </w:rPr>
            </w:pPr>
          </w:p>
        </w:tc>
      </w:tr>
      <w:tr w:rsidR="00804CA7" w:rsidRPr="00804CA7" w14:paraId="2E8D8AEE" w14:textId="77777777" w:rsidTr="00AC44FC">
        <w:trPr>
          <w:trHeight w:val="198"/>
        </w:trPr>
        <w:tc>
          <w:tcPr>
            <w:tcW w:w="3799" w:type="pct"/>
            <w:tcBorders>
              <w:top w:val="nil"/>
              <w:left w:val="nil"/>
              <w:bottom w:val="nil"/>
              <w:right w:val="nil"/>
            </w:tcBorders>
            <w:noWrap/>
            <w:vAlign w:val="bottom"/>
            <w:hideMark/>
          </w:tcPr>
          <w:p w14:paraId="56AED750" w14:textId="77777777" w:rsidR="00804CA7" w:rsidRPr="00804CA7" w:rsidRDefault="00804CA7">
            <w:pPr>
              <w:rPr>
                <w:rFonts w:ascii="Arial" w:hAnsi="Arial" w:cs="Arial"/>
                <w:b/>
                <w:bCs/>
                <w:sz w:val="16"/>
                <w:szCs w:val="16"/>
              </w:rPr>
            </w:pPr>
            <w:r w:rsidRPr="00804CA7">
              <w:rPr>
                <w:rFonts w:ascii="Arial" w:hAnsi="Arial" w:cs="Arial"/>
                <w:b/>
                <w:bCs/>
                <w:sz w:val="16"/>
                <w:szCs w:val="16"/>
              </w:rPr>
              <w:t>Caixa Líquido Gerado pelas Atividades de Financiamento</w:t>
            </w:r>
          </w:p>
        </w:tc>
        <w:tc>
          <w:tcPr>
            <w:tcW w:w="74" w:type="pct"/>
            <w:tcBorders>
              <w:top w:val="nil"/>
              <w:left w:val="nil"/>
              <w:bottom w:val="nil"/>
              <w:right w:val="nil"/>
            </w:tcBorders>
            <w:noWrap/>
            <w:vAlign w:val="bottom"/>
            <w:hideMark/>
          </w:tcPr>
          <w:p w14:paraId="0C870C48" w14:textId="77777777" w:rsidR="00804CA7" w:rsidRPr="00804CA7" w:rsidRDefault="00804CA7">
            <w:pPr>
              <w:rPr>
                <w:rFonts w:ascii="Arial" w:hAnsi="Arial" w:cs="Arial"/>
                <w:b/>
                <w:bCs/>
                <w:sz w:val="16"/>
                <w:szCs w:val="16"/>
              </w:rPr>
            </w:pPr>
          </w:p>
        </w:tc>
        <w:tc>
          <w:tcPr>
            <w:tcW w:w="484" w:type="pct"/>
            <w:tcBorders>
              <w:top w:val="single" w:sz="4" w:space="0" w:color="auto"/>
              <w:left w:val="nil"/>
              <w:bottom w:val="double" w:sz="6" w:space="0" w:color="auto"/>
              <w:right w:val="nil"/>
            </w:tcBorders>
            <w:noWrap/>
            <w:vAlign w:val="bottom"/>
            <w:hideMark/>
          </w:tcPr>
          <w:p w14:paraId="33EECF11"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55.399 </w:t>
            </w:r>
          </w:p>
        </w:tc>
        <w:tc>
          <w:tcPr>
            <w:tcW w:w="74" w:type="pct"/>
            <w:tcBorders>
              <w:top w:val="nil"/>
              <w:left w:val="nil"/>
              <w:bottom w:val="nil"/>
              <w:right w:val="nil"/>
            </w:tcBorders>
            <w:noWrap/>
            <w:vAlign w:val="bottom"/>
            <w:hideMark/>
          </w:tcPr>
          <w:p w14:paraId="6B8A9FC2" w14:textId="77777777" w:rsidR="00804CA7" w:rsidRPr="00804CA7" w:rsidRDefault="00804CA7" w:rsidP="00804CA7">
            <w:pPr>
              <w:jc w:val="right"/>
              <w:rPr>
                <w:rFonts w:ascii="Arial" w:hAnsi="Arial" w:cs="Arial"/>
                <w:b/>
                <w:bCs/>
                <w:sz w:val="16"/>
                <w:szCs w:val="16"/>
              </w:rPr>
            </w:pPr>
          </w:p>
        </w:tc>
        <w:tc>
          <w:tcPr>
            <w:tcW w:w="497" w:type="pct"/>
            <w:tcBorders>
              <w:top w:val="single" w:sz="4" w:space="0" w:color="auto"/>
              <w:left w:val="nil"/>
              <w:bottom w:val="double" w:sz="6" w:space="0" w:color="auto"/>
              <w:right w:val="nil"/>
            </w:tcBorders>
            <w:noWrap/>
            <w:vAlign w:val="bottom"/>
            <w:hideMark/>
          </w:tcPr>
          <w:p w14:paraId="401FB47C"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(25.739)</w:t>
            </w:r>
          </w:p>
        </w:tc>
        <w:tc>
          <w:tcPr>
            <w:tcW w:w="74" w:type="pct"/>
            <w:tcBorders>
              <w:top w:val="nil"/>
              <w:left w:val="nil"/>
              <w:bottom w:val="nil"/>
              <w:right w:val="nil"/>
            </w:tcBorders>
            <w:noWrap/>
            <w:vAlign w:val="bottom"/>
            <w:hideMark/>
          </w:tcPr>
          <w:p w14:paraId="1B5BDF2D" w14:textId="77777777" w:rsidR="00804CA7" w:rsidRPr="00804CA7" w:rsidRDefault="00804CA7">
            <w:pPr>
              <w:rPr>
                <w:rFonts w:ascii="Arial" w:hAnsi="Arial" w:cs="Arial"/>
                <w:b/>
                <w:bCs/>
                <w:sz w:val="16"/>
                <w:szCs w:val="16"/>
              </w:rPr>
            </w:pPr>
          </w:p>
        </w:tc>
      </w:tr>
      <w:tr w:rsidR="00804CA7" w:rsidRPr="00804CA7" w14:paraId="062B03E8" w14:textId="77777777" w:rsidTr="00AC44FC">
        <w:trPr>
          <w:trHeight w:val="198"/>
        </w:trPr>
        <w:tc>
          <w:tcPr>
            <w:tcW w:w="3799" w:type="pct"/>
            <w:tcBorders>
              <w:top w:val="nil"/>
              <w:left w:val="nil"/>
              <w:bottom w:val="nil"/>
              <w:right w:val="nil"/>
            </w:tcBorders>
            <w:noWrap/>
            <w:vAlign w:val="bottom"/>
            <w:hideMark/>
          </w:tcPr>
          <w:p w14:paraId="07178E2D"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2DB6134A" w14:textId="77777777" w:rsidR="00804CA7" w:rsidRPr="00804CA7" w:rsidRDefault="00804CA7">
            <w:pPr>
              <w:rPr>
                <w:sz w:val="16"/>
                <w:szCs w:val="16"/>
              </w:rPr>
            </w:pPr>
          </w:p>
        </w:tc>
        <w:tc>
          <w:tcPr>
            <w:tcW w:w="484" w:type="pct"/>
            <w:tcBorders>
              <w:top w:val="nil"/>
              <w:left w:val="nil"/>
              <w:bottom w:val="nil"/>
              <w:right w:val="nil"/>
            </w:tcBorders>
            <w:noWrap/>
            <w:vAlign w:val="bottom"/>
            <w:hideMark/>
          </w:tcPr>
          <w:p w14:paraId="3D0EC78A"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7B09C1CF"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405D29BF"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51174E7D" w14:textId="77777777" w:rsidR="00804CA7" w:rsidRPr="00804CA7" w:rsidRDefault="00804CA7">
            <w:pPr>
              <w:rPr>
                <w:sz w:val="16"/>
                <w:szCs w:val="16"/>
              </w:rPr>
            </w:pPr>
          </w:p>
        </w:tc>
      </w:tr>
      <w:tr w:rsidR="00804CA7" w:rsidRPr="00804CA7" w14:paraId="7136553A" w14:textId="77777777" w:rsidTr="00AC44FC">
        <w:trPr>
          <w:trHeight w:val="198"/>
        </w:trPr>
        <w:tc>
          <w:tcPr>
            <w:tcW w:w="3799" w:type="pct"/>
            <w:tcBorders>
              <w:top w:val="nil"/>
              <w:left w:val="nil"/>
              <w:bottom w:val="nil"/>
              <w:right w:val="nil"/>
            </w:tcBorders>
            <w:noWrap/>
            <w:vAlign w:val="bottom"/>
            <w:hideMark/>
          </w:tcPr>
          <w:p w14:paraId="3B417D60" w14:textId="77777777" w:rsidR="00804CA7" w:rsidRPr="00804CA7" w:rsidRDefault="00804CA7">
            <w:pPr>
              <w:rPr>
                <w:rFonts w:ascii="Arial" w:hAnsi="Arial" w:cs="Arial"/>
                <w:b/>
                <w:bCs/>
                <w:sz w:val="16"/>
                <w:szCs w:val="16"/>
              </w:rPr>
            </w:pPr>
            <w:r w:rsidRPr="00804CA7">
              <w:rPr>
                <w:rFonts w:ascii="Arial" w:hAnsi="Arial" w:cs="Arial"/>
                <w:b/>
                <w:bCs/>
                <w:sz w:val="16"/>
                <w:szCs w:val="16"/>
              </w:rPr>
              <w:t>Variação Líquida de Caixa e Equivalentes de Caixa</w:t>
            </w:r>
          </w:p>
        </w:tc>
        <w:tc>
          <w:tcPr>
            <w:tcW w:w="74" w:type="pct"/>
            <w:tcBorders>
              <w:top w:val="nil"/>
              <w:left w:val="nil"/>
              <w:bottom w:val="nil"/>
              <w:right w:val="nil"/>
            </w:tcBorders>
            <w:noWrap/>
            <w:vAlign w:val="bottom"/>
            <w:hideMark/>
          </w:tcPr>
          <w:p w14:paraId="5A739827" w14:textId="77777777" w:rsidR="00804CA7" w:rsidRPr="00804CA7" w:rsidRDefault="00804CA7">
            <w:pPr>
              <w:rPr>
                <w:rFonts w:ascii="Arial" w:hAnsi="Arial" w:cs="Arial"/>
                <w:b/>
                <w:bCs/>
                <w:sz w:val="16"/>
                <w:szCs w:val="16"/>
              </w:rPr>
            </w:pPr>
          </w:p>
        </w:tc>
        <w:tc>
          <w:tcPr>
            <w:tcW w:w="484" w:type="pct"/>
            <w:tcBorders>
              <w:top w:val="single" w:sz="4" w:space="0" w:color="auto"/>
              <w:left w:val="nil"/>
              <w:bottom w:val="double" w:sz="6" w:space="0" w:color="auto"/>
              <w:right w:val="nil"/>
            </w:tcBorders>
            <w:noWrap/>
            <w:vAlign w:val="bottom"/>
            <w:hideMark/>
          </w:tcPr>
          <w:p w14:paraId="1FA0E690"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39.748 </w:t>
            </w:r>
          </w:p>
        </w:tc>
        <w:tc>
          <w:tcPr>
            <w:tcW w:w="74" w:type="pct"/>
            <w:tcBorders>
              <w:top w:val="nil"/>
              <w:left w:val="nil"/>
              <w:bottom w:val="nil"/>
              <w:right w:val="nil"/>
            </w:tcBorders>
            <w:noWrap/>
            <w:vAlign w:val="bottom"/>
            <w:hideMark/>
          </w:tcPr>
          <w:p w14:paraId="7AB9E658" w14:textId="77777777" w:rsidR="00804CA7" w:rsidRPr="00804CA7" w:rsidRDefault="00804CA7" w:rsidP="00804CA7">
            <w:pPr>
              <w:jc w:val="right"/>
              <w:rPr>
                <w:rFonts w:ascii="Arial" w:hAnsi="Arial" w:cs="Arial"/>
                <w:b/>
                <w:bCs/>
                <w:sz w:val="16"/>
                <w:szCs w:val="16"/>
              </w:rPr>
            </w:pPr>
          </w:p>
        </w:tc>
        <w:tc>
          <w:tcPr>
            <w:tcW w:w="497" w:type="pct"/>
            <w:tcBorders>
              <w:top w:val="single" w:sz="4" w:space="0" w:color="auto"/>
              <w:left w:val="nil"/>
              <w:bottom w:val="double" w:sz="6" w:space="0" w:color="auto"/>
              <w:right w:val="nil"/>
            </w:tcBorders>
            <w:noWrap/>
            <w:vAlign w:val="bottom"/>
            <w:hideMark/>
          </w:tcPr>
          <w:p w14:paraId="48C6BB79"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60.601 </w:t>
            </w:r>
          </w:p>
        </w:tc>
        <w:tc>
          <w:tcPr>
            <w:tcW w:w="74" w:type="pct"/>
            <w:tcBorders>
              <w:top w:val="nil"/>
              <w:left w:val="nil"/>
              <w:bottom w:val="nil"/>
              <w:right w:val="nil"/>
            </w:tcBorders>
            <w:noWrap/>
            <w:vAlign w:val="bottom"/>
            <w:hideMark/>
          </w:tcPr>
          <w:p w14:paraId="0B12F464" w14:textId="77777777" w:rsidR="00804CA7" w:rsidRPr="00804CA7" w:rsidRDefault="00804CA7">
            <w:pPr>
              <w:jc w:val="right"/>
              <w:rPr>
                <w:rFonts w:ascii="Arial" w:hAnsi="Arial" w:cs="Arial"/>
                <w:b/>
                <w:bCs/>
                <w:sz w:val="16"/>
                <w:szCs w:val="16"/>
              </w:rPr>
            </w:pPr>
          </w:p>
        </w:tc>
      </w:tr>
      <w:tr w:rsidR="00804CA7" w:rsidRPr="00804CA7" w14:paraId="151821A5" w14:textId="77777777" w:rsidTr="00AC44FC">
        <w:trPr>
          <w:trHeight w:val="198"/>
        </w:trPr>
        <w:tc>
          <w:tcPr>
            <w:tcW w:w="3799" w:type="pct"/>
            <w:tcBorders>
              <w:top w:val="nil"/>
              <w:left w:val="nil"/>
              <w:bottom w:val="nil"/>
              <w:right w:val="nil"/>
            </w:tcBorders>
            <w:noWrap/>
            <w:vAlign w:val="bottom"/>
            <w:hideMark/>
          </w:tcPr>
          <w:p w14:paraId="4C70750D"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11474B9E" w14:textId="77777777" w:rsidR="00804CA7" w:rsidRPr="00804CA7" w:rsidRDefault="00804CA7">
            <w:pPr>
              <w:rPr>
                <w:sz w:val="16"/>
                <w:szCs w:val="16"/>
              </w:rPr>
            </w:pPr>
          </w:p>
        </w:tc>
        <w:tc>
          <w:tcPr>
            <w:tcW w:w="484" w:type="pct"/>
            <w:tcBorders>
              <w:top w:val="nil"/>
              <w:left w:val="nil"/>
              <w:bottom w:val="nil"/>
              <w:right w:val="nil"/>
            </w:tcBorders>
            <w:noWrap/>
            <w:vAlign w:val="bottom"/>
            <w:hideMark/>
          </w:tcPr>
          <w:p w14:paraId="772CA258"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065D01C8"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391A1A37"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396C918A" w14:textId="77777777" w:rsidR="00804CA7" w:rsidRPr="00804CA7" w:rsidRDefault="00804CA7">
            <w:pPr>
              <w:jc w:val="right"/>
              <w:rPr>
                <w:sz w:val="16"/>
                <w:szCs w:val="16"/>
              </w:rPr>
            </w:pPr>
          </w:p>
        </w:tc>
      </w:tr>
      <w:tr w:rsidR="00804CA7" w:rsidRPr="00804CA7" w14:paraId="44F916BF" w14:textId="77777777" w:rsidTr="00AC44FC">
        <w:trPr>
          <w:trHeight w:val="198"/>
        </w:trPr>
        <w:tc>
          <w:tcPr>
            <w:tcW w:w="3799" w:type="pct"/>
            <w:tcBorders>
              <w:top w:val="nil"/>
              <w:left w:val="nil"/>
              <w:bottom w:val="nil"/>
              <w:right w:val="nil"/>
            </w:tcBorders>
            <w:noWrap/>
            <w:vAlign w:val="bottom"/>
            <w:hideMark/>
          </w:tcPr>
          <w:p w14:paraId="59CF677E" w14:textId="77777777" w:rsidR="00804CA7" w:rsidRPr="00804CA7" w:rsidRDefault="00804CA7">
            <w:pPr>
              <w:rPr>
                <w:rFonts w:ascii="Arial" w:hAnsi="Arial" w:cs="Arial"/>
                <w:b/>
                <w:bCs/>
                <w:sz w:val="16"/>
                <w:szCs w:val="16"/>
              </w:rPr>
            </w:pPr>
            <w:r w:rsidRPr="00804CA7">
              <w:rPr>
                <w:rFonts w:ascii="Arial" w:hAnsi="Arial" w:cs="Arial"/>
                <w:b/>
                <w:bCs/>
                <w:sz w:val="16"/>
                <w:szCs w:val="16"/>
              </w:rPr>
              <w:t>Demonstração da Variação de Caixa e Equivalentes de Caixa</w:t>
            </w:r>
          </w:p>
        </w:tc>
        <w:tc>
          <w:tcPr>
            <w:tcW w:w="74" w:type="pct"/>
            <w:tcBorders>
              <w:top w:val="nil"/>
              <w:left w:val="nil"/>
              <w:bottom w:val="nil"/>
              <w:right w:val="nil"/>
            </w:tcBorders>
            <w:noWrap/>
            <w:vAlign w:val="bottom"/>
            <w:hideMark/>
          </w:tcPr>
          <w:p w14:paraId="04C24197"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2B5AF827"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5BEEAFC8" w14:textId="77777777" w:rsidR="00804CA7" w:rsidRPr="00804CA7" w:rsidRDefault="00804CA7" w:rsidP="00804CA7">
            <w:pPr>
              <w:jc w:val="right"/>
              <w:rPr>
                <w:sz w:val="16"/>
                <w:szCs w:val="16"/>
              </w:rPr>
            </w:pPr>
          </w:p>
        </w:tc>
        <w:tc>
          <w:tcPr>
            <w:tcW w:w="497" w:type="pct"/>
            <w:tcBorders>
              <w:top w:val="nil"/>
              <w:left w:val="nil"/>
              <w:bottom w:val="nil"/>
              <w:right w:val="nil"/>
            </w:tcBorders>
            <w:noWrap/>
            <w:vAlign w:val="bottom"/>
            <w:hideMark/>
          </w:tcPr>
          <w:p w14:paraId="6EDA6DA9" w14:textId="77777777" w:rsidR="00804CA7" w:rsidRPr="00804CA7" w:rsidRDefault="00804CA7" w:rsidP="00804CA7">
            <w:pPr>
              <w:jc w:val="right"/>
              <w:rPr>
                <w:sz w:val="16"/>
                <w:szCs w:val="16"/>
              </w:rPr>
            </w:pPr>
          </w:p>
        </w:tc>
        <w:tc>
          <w:tcPr>
            <w:tcW w:w="74" w:type="pct"/>
            <w:tcBorders>
              <w:top w:val="nil"/>
              <w:left w:val="nil"/>
              <w:bottom w:val="nil"/>
              <w:right w:val="nil"/>
            </w:tcBorders>
            <w:noWrap/>
            <w:vAlign w:val="bottom"/>
            <w:hideMark/>
          </w:tcPr>
          <w:p w14:paraId="4CADDCB6" w14:textId="77777777" w:rsidR="00804CA7" w:rsidRPr="00804CA7" w:rsidRDefault="00804CA7">
            <w:pPr>
              <w:jc w:val="right"/>
              <w:rPr>
                <w:sz w:val="16"/>
                <w:szCs w:val="16"/>
              </w:rPr>
            </w:pPr>
          </w:p>
        </w:tc>
      </w:tr>
      <w:tr w:rsidR="00804CA7" w:rsidRPr="00804CA7" w14:paraId="3BA67252" w14:textId="77777777" w:rsidTr="00AC44FC">
        <w:trPr>
          <w:trHeight w:val="198"/>
        </w:trPr>
        <w:tc>
          <w:tcPr>
            <w:tcW w:w="3799" w:type="pct"/>
            <w:tcBorders>
              <w:top w:val="nil"/>
              <w:left w:val="nil"/>
              <w:bottom w:val="nil"/>
              <w:right w:val="nil"/>
            </w:tcBorders>
            <w:noWrap/>
            <w:vAlign w:val="bottom"/>
            <w:hideMark/>
          </w:tcPr>
          <w:p w14:paraId="22EA750E" w14:textId="77777777" w:rsidR="00804CA7" w:rsidRPr="00804CA7" w:rsidRDefault="00804CA7">
            <w:pPr>
              <w:rPr>
                <w:rFonts w:ascii="Arial" w:hAnsi="Arial" w:cs="Arial"/>
                <w:sz w:val="16"/>
                <w:szCs w:val="16"/>
              </w:rPr>
            </w:pPr>
            <w:r w:rsidRPr="00804CA7">
              <w:rPr>
                <w:rFonts w:ascii="Arial" w:hAnsi="Arial" w:cs="Arial"/>
                <w:sz w:val="16"/>
                <w:szCs w:val="16"/>
              </w:rPr>
              <w:t xml:space="preserve">   Caixa e Equivalentes de Caixa no Final do Período</w:t>
            </w:r>
          </w:p>
        </w:tc>
        <w:tc>
          <w:tcPr>
            <w:tcW w:w="74" w:type="pct"/>
            <w:tcBorders>
              <w:top w:val="nil"/>
              <w:left w:val="nil"/>
              <w:bottom w:val="nil"/>
              <w:right w:val="nil"/>
            </w:tcBorders>
            <w:noWrap/>
            <w:vAlign w:val="bottom"/>
            <w:hideMark/>
          </w:tcPr>
          <w:p w14:paraId="1799617F" w14:textId="77777777" w:rsidR="00804CA7" w:rsidRPr="00804CA7" w:rsidRDefault="00804CA7">
            <w:pPr>
              <w:rPr>
                <w:rFonts w:ascii="Arial" w:hAnsi="Arial" w:cs="Arial"/>
                <w:sz w:val="16"/>
                <w:szCs w:val="16"/>
              </w:rPr>
            </w:pPr>
          </w:p>
        </w:tc>
        <w:tc>
          <w:tcPr>
            <w:tcW w:w="484" w:type="pct"/>
            <w:tcBorders>
              <w:top w:val="nil"/>
              <w:left w:val="nil"/>
              <w:bottom w:val="nil"/>
              <w:right w:val="nil"/>
            </w:tcBorders>
            <w:noWrap/>
            <w:vAlign w:val="bottom"/>
            <w:hideMark/>
          </w:tcPr>
          <w:p w14:paraId="723DFC95"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738.262 </w:t>
            </w:r>
          </w:p>
        </w:tc>
        <w:tc>
          <w:tcPr>
            <w:tcW w:w="74" w:type="pct"/>
            <w:tcBorders>
              <w:top w:val="nil"/>
              <w:left w:val="nil"/>
              <w:bottom w:val="nil"/>
              <w:right w:val="nil"/>
            </w:tcBorders>
            <w:noWrap/>
            <w:vAlign w:val="bottom"/>
            <w:hideMark/>
          </w:tcPr>
          <w:p w14:paraId="4F0FC9DA"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2BBF956D"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485.988 </w:t>
            </w:r>
          </w:p>
        </w:tc>
        <w:tc>
          <w:tcPr>
            <w:tcW w:w="74" w:type="pct"/>
            <w:tcBorders>
              <w:top w:val="nil"/>
              <w:left w:val="nil"/>
              <w:bottom w:val="nil"/>
              <w:right w:val="nil"/>
            </w:tcBorders>
            <w:noWrap/>
            <w:vAlign w:val="bottom"/>
            <w:hideMark/>
          </w:tcPr>
          <w:p w14:paraId="6FD43948" w14:textId="77777777" w:rsidR="00804CA7" w:rsidRPr="00804CA7" w:rsidRDefault="00804CA7">
            <w:pPr>
              <w:jc w:val="right"/>
              <w:rPr>
                <w:rFonts w:ascii="Arial" w:hAnsi="Arial" w:cs="Arial"/>
                <w:sz w:val="16"/>
                <w:szCs w:val="16"/>
              </w:rPr>
            </w:pPr>
          </w:p>
        </w:tc>
      </w:tr>
      <w:tr w:rsidR="00804CA7" w:rsidRPr="00804CA7" w14:paraId="039F8BB2" w14:textId="77777777" w:rsidTr="00AC44FC">
        <w:trPr>
          <w:trHeight w:val="198"/>
        </w:trPr>
        <w:tc>
          <w:tcPr>
            <w:tcW w:w="3799" w:type="pct"/>
            <w:tcBorders>
              <w:top w:val="nil"/>
              <w:left w:val="nil"/>
              <w:bottom w:val="nil"/>
              <w:right w:val="nil"/>
            </w:tcBorders>
            <w:noWrap/>
            <w:vAlign w:val="bottom"/>
            <w:hideMark/>
          </w:tcPr>
          <w:p w14:paraId="7B7C94AB" w14:textId="77777777" w:rsidR="00804CA7" w:rsidRPr="00804CA7" w:rsidRDefault="00804CA7">
            <w:pPr>
              <w:rPr>
                <w:rFonts w:ascii="Arial" w:hAnsi="Arial" w:cs="Arial"/>
                <w:sz w:val="16"/>
                <w:szCs w:val="16"/>
              </w:rPr>
            </w:pPr>
            <w:r w:rsidRPr="00804CA7">
              <w:rPr>
                <w:rFonts w:ascii="Arial" w:hAnsi="Arial" w:cs="Arial"/>
                <w:sz w:val="16"/>
                <w:szCs w:val="16"/>
              </w:rPr>
              <w:t xml:space="preserve">   Caixa e Equivalentes de Caixa no Início do Período</w:t>
            </w:r>
          </w:p>
        </w:tc>
        <w:tc>
          <w:tcPr>
            <w:tcW w:w="74" w:type="pct"/>
            <w:tcBorders>
              <w:top w:val="nil"/>
              <w:left w:val="nil"/>
              <w:bottom w:val="nil"/>
              <w:right w:val="nil"/>
            </w:tcBorders>
            <w:noWrap/>
            <w:vAlign w:val="bottom"/>
            <w:hideMark/>
          </w:tcPr>
          <w:p w14:paraId="75605F00" w14:textId="77777777" w:rsidR="00804CA7" w:rsidRPr="00804CA7" w:rsidRDefault="00804CA7">
            <w:pPr>
              <w:rPr>
                <w:rFonts w:ascii="Arial" w:hAnsi="Arial" w:cs="Arial"/>
                <w:sz w:val="16"/>
                <w:szCs w:val="16"/>
              </w:rPr>
            </w:pPr>
          </w:p>
        </w:tc>
        <w:tc>
          <w:tcPr>
            <w:tcW w:w="484" w:type="pct"/>
            <w:tcBorders>
              <w:top w:val="nil"/>
              <w:left w:val="nil"/>
              <w:bottom w:val="nil"/>
              <w:right w:val="nil"/>
            </w:tcBorders>
            <w:noWrap/>
            <w:vAlign w:val="bottom"/>
            <w:hideMark/>
          </w:tcPr>
          <w:p w14:paraId="0D297F02"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698.514 </w:t>
            </w:r>
          </w:p>
        </w:tc>
        <w:tc>
          <w:tcPr>
            <w:tcW w:w="74" w:type="pct"/>
            <w:tcBorders>
              <w:top w:val="nil"/>
              <w:left w:val="nil"/>
              <w:bottom w:val="nil"/>
              <w:right w:val="nil"/>
            </w:tcBorders>
            <w:noWrap/>
            <w:vAlign w:val="bottom"/>
            <w:hideMark/>
          </w:tcPr>
          <w:p w14:paraId="0BFA3AE2" w14:textId="77777777" w:rsidR="00804CA7" w:rsidRPr="00804CA7" w:rsidRDefault="00804CA7" w:rsidP="00804CA7">
            <w:pPr>
              <w:jc w:val="right"/>
              <w:rPr>
                <w:rFonts w:ascii="Arial" w:hAnsi="Arial" w:cs="Arial"/>
                <w:sz w:val="16"/>
                <w:szCs w:val="16"/>
              </w:rPr>
            </w:pPr>
          </w:p>
        </w:tc>
        <w:tc>
          <w:tcPr>
            <w:tcW w:w="497" w:type="pct"/>
            <w:tcBorders>
              <w:top w:val="nil"/>
              <w:left w:val="nil"/>
              <w:bottom w:val="nil"/>
              <w:right w:val="nil"/>
            </w:tcBorders>
            <w:noWrap/>
            <w:vAlign w:val="bottom"/>
            <w:hideMark/>
          </w:tcPr>
          <w:p w14:paraId="19B1AAB3" w14:textId="77777777" w:rsidR="00804CA7" w:rsidRPr="00804CA7" w:rsidRDefault="00804CA7" w:rsidP="00804CA7">
            <w:pPr>
              <w:jc w:val="right"/>
              <w:rPr>
                <w:rFonts w:ascii="Arial" w:hAnsi="Arial" w:cs="Arial"/>
                <w:sz w:val="16"/>
                <w:szCs w:val="16"/>
              </w:rPr>
            </w:pPr>
            <w:r w:rsidRPr="00804CA7">
              <w:rPr>
                <w:rFonts w:ascii="Arial" w:hAnsi="Arial" w:cs="Arial"/>
                <w:sz w:val="16"/>
                <w:szCs w:val="16"/>
              </w:rPr>
              <w:t xml:space="preserve">    425.387 </w:t>
            </w:r>
          </w:p>
        </w:tc>
        <w:tc>
          <w:tcPr>
            <w:tcW w:w="74" w:type="pct"/>
            <w:tcBorders>
              <w:top w:val="nil"/>
              <w:left w:val="nil"/>
              <w:bottom w:val="nil"/>
              <w:right w:val="nil"/>
            </w:tcBorders>
            <w:noWrap/>
            <w:vAlign w:val="bottom"/>
            <w:hideMark/>
          </w:tcPr>
          <w:p w14:paraId="4FEE4A27" w14:textId="77777777" w:rsidR="00804CA7" w:rsidRPr="00804CA7" w:rsidRDefault="00804CA7">
            <w:pPr>
              <w:jc w:val="right"/>
              <w:rPr>
                <w:rFonts w:ascii="Arial" w:hAnsi="Arial" w:cs="Arial"/>
                <w:sz w:val="16"/>
                <w:szCs w:val="16"/>
              </w:rPr>
            </w:pPr>
          </w:p>
        </w:tc>
      </w:tr>
      <w:tr w:rsidR="00804CA7" w:rsidRPr="00804CA7" w14:paraId="2BE7F51B" w14:textId="77777777" w:rsidTr="00AC44FC">
        <w:trPr>
          <w:trHeight w:val="198"/>
        </w:trPr>
        <w:tc>
          <w:tcPr>
            <w:tcW w:w="3799" w:type="pct"/>
            <w:tcBorders>
              <w:top w:val="nil"/>
              <w:left w:val="nil"/>
              <w:bottom w:val="nil"/>
              <w:right w:val="nil"/>
            </w:tcBorders>
            <w:noWrap/>
            <w:vAlign w:val="bottom"/>
            <w:hideMark/>
          </w:tcPr>
          <w:p w14:paraId="1ABED0C2" w14:textId="77777777" w:rsidR="00804CA7" w:rsidRPr="00804CA7" w:rsidRDefault="00804CA7">
            <w:pPr>
              <w:rPr>
                <w:rFonts w:ascii="Arial" w:hAnsi="Arial" w:cs="Arial"/>
                <w:b/>
                <w:bCs/>
                <w:sz w:val="16"/>
                <w:szCs w:val="16"/>
              </w:rPr>
            </w:pPr>
            <w:r w:rsidRPr="00804CA7">
              <w:rPr>
                <w:rFonts w:ascii="Arial" w:hAnsi="Arial" w:cs="Arial"/>
                <w:b/>
                <w:bCs/>
                <w:sz w:val="16"/>
                <w:szCs w:val="16"/>
              </w:rPr>
              <w:t>Variação de Caixa e Equivalentes de Caixa</w:t>
            </w:r>
          </w:p>
        </w:tc>
        <w:tc>
          <w:tcPr>
            <w:tcW w:w="74" w:type="pct"/>
            <w:tcBorders>
              <w:top w:val="nil"/>
              <w:left w:val="nil"/>
              <w:bottom w:val="nil"/>
              <w:right w:val="nil"/>
            </w:tcBorders>
            <w:noWrap/>
            <w:vAlign w:val="bottom"/>
            <w:hideMark/>
          </w:tcPr>
          <w:p w14:paraId="255B5295" w14:textId="77777777" w:rsidR="00804CA7" w:rsidRPr="00804CA7" w:rsidRDefault="00804CA7">
            <w:pPr>
              <w:rPr>
                <w:rFonts w:ascii="Arial" w:hAnsi="Arial" w:cs="Arial"/>
                <w:b/>
                <w:bCs/>
                <w:sz w:val="16"/>
                <w:szCs w:val="16"/>
              </w:rPr>
            </w:pPr>
          </w:p>
        </w:tc>
        <w:tc>
          <w:tcPr>
            <w:tcW w:w="484" w:type="pct"/>
            <w:tcBorders>
              <w:top w:val="single" w:sz="4" w:space="0" w:color="auto"/>
              <w:left w:val="nil"/>
              <w:bottom w:val="double" w:sz="6" w:space="0" w:color="auto"/>
              <w:right w:val="nil"/>
            </w:tcBorders>
            <w:noWrap/>
            <w:vAlign w:val="bottom"/>
            <w:hideMark/>
          </w:tcPr>
          <w:p w14:paraId="3B7BE922"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39.748 </w:t>
            </w:r>
          </w:p>
        </w:tc>
        <w:tc>
          <w:tcPr>
            <w:tcW w:w="74" w:type="pct"/>
            <w:tcBorders>
              <w:top w:val="nil"/>
              <w:left w:val="nil"/>
              <w:bottom w:val="nil"/>
              <w:right w:val="nil"/>
            </w:tcBorders>
            <w:noWrap/>
            <w:vAlign w:val="bottom"/>
            <w:hideMark/>
          </w:tcPr>
          <w:p w14:paraId="1BAB9060" w14:textId="77777777" w:rsidR="00804CA7" w:rsidRPr="00804CA7" w:rsidRDefault="00804CA7" w:rsidP="00804CA7">
            <w:pPr>
              <w:jc w:val="right"/>
              <w:rPr>
                <w:rFonts w:ascii="Arial" w:hAnsi="Arial" w:cs="Arial"/>
                <w:b/>
                <w:bCs/>
                <w:sz w:val="16"/>
                <w:szCs w:val="16"/>
              </w:rPr>
            </w:pPr>
          </w:p>
        </w:tc>
        <w:tc>
          <w:tcPr>
            <w:tcW w:w="497" w:type="pct"/>
            <w:tcBorders>
              <w:top w:val="single" w:sz="4" w:space="0" w:color="auto"/>
              <w:left w:val="nil"/>
              <w:bottom w:val="double" w:sz="6" w:space="0" w:color="auto"/>
              <w:right w:val="nil"/>
            </w:tcBorders>
            <w:noWrap/>
            <w:vAlign w:val="bottom"/>
            <w:hideMark/>
          </w:tcPr>
          <w:p w14:paraId="1FCE703E" w14:textId="77777777" w:rsidR="00804CA7" w:rsidRPr="00804CA7" w:rsidRDefault="00804CA7" w:rsidP="00804CA7">
            <w:pPr>
              <w:jc w:val="right"/>
              <w:rPr>
                <w:rFonts w:ascii="Arial" w:hAnsi="Arial" w:cs="Arial"/>
                <w:b/>
                <w:bCs/>
                <w:sz w:val="16"/>
                <w:szCs w:val="16"/>
              </w:rPr>
            </w:pPr>
            <w:r w:rsidRPr="00804CA7">
              <w:rPr>
                <w:rFonts w:ascii="Arial" w:hAnsi="Arial" w:cs="Arial"/>
                <w:b/>
                <w:bCs/>
                <w:sz w:val="16"/>
                <w:szCs w:val="16"/>
              </w:rPr>
              <w:t xml:space="preserve">      60.601 </w:t>
            </w:r>
          </w:p>
        </w:tc>
        <w:tc>
          <w:tcPr>
            <w:tcW w:w="74" w:type="pct"/>
            <w:tcBorders>
              <w:top w:val="nil"/>
              <w:left w:val="nil"/>
              <w:bottom w:val="nil"/>
              <w:right w:val="nil"/>
            </w:tcBorders>
            <w:noWrap/>
            <w:vAlign w:val="bottom"/>
            <w:hideMark/>
          </w:tcPr>
          <w:p w14:paraId="4DB4CB4C" w14:textId="77777777" w:rsidR="00804CA7" w:rsidRPr="00804CA7" w:rsidRDefault="00804CA7">
            <w:pPr>
              <w:rPr>
                <w:rFonts w:ascii="Arial" w:hAnsi="Arial" w:cs="Arial"/>
                <w:b/>
                <w:bCs/>
                <w:sz w:val="16"/>
                <w:szCs w:val="16"/>
              </w:rPr>
            </w:pPr>
          </w:p>
        </w:tc>
      </w:tr>
      <w:tr w:rsidR="00804CA7" w:rsidRPr="00804CA7" w14:paraId="7D4C54F2" w14:textId="77777777" w:rsidTr="00AC44FC">
        <w:trPr>
          <w:trHeight w:val="198"/>
        </w:trPr>
        <w:tc>
          <w:tcPr>
            <w:tcW w:w="3799" w:type="pct"/>
            <w:tcBorders>
              <w:top w:val="nil"/>
              <w:left w:val="nil"/>
              <w:bottom w:val="nil"/>
              <w:right w:val="nil"/>
            </w:tcBorders>
            <w:noWrap/>
            <w:vAlign w:val="bottom"/>
            <w:hideMark/>
          </w:tcPr>
          <w:p w14:paraId="7CB2E61F"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763320E1" w14:textId="77777777" w:rsidR="00804CA7" w:rsidRPr="00804CA7" w:rsidRDefault="00804CA7">
            <w:pPr>
              <w:rPr>
                <w:sz w:val="16"/>
                <w:szCs w:val="16"/>
              </w:rPr>
            </w:pPr>
          </w:p>
        </w:tc>
        <w:tc>
          <w:tcPr>
            <w:tcW w:w="484" w:type="pct"/>
            <w:tcBorders>
              <w:top w:val="nil"/>
              <w:left w:val="nil"/>
              <w:bottom w:val="nil"/>
              <w:right w:val="nil"/>
            </w:tcBorders>
            <w:noWrap/>
            <w:vAlign w:val="bottom"/>
            <w:hideMark/>
          </w:tcPr>
          <w:p w14:paraId="22814E0D"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559C1B5E" w14:textId="77777777" w:rsidR="00804CA7" w:rsidRPr="00804CA7" w:rsidRDefault="00804CA7">
            <w:pPr>
              <w:rPr>
                <w:sz w:val="16"/>
                <w:szCs w:val="16"/>
              </w:rPr>
            </w:pPr>
          </w:p>
        </w:tc>
        <w:tc>
          <w:tcPr>
            <w:tcW w:w="497" w:type="pct"/>
            <w:tcBorders>
              <w:top w:val="nil"/>
              <w:left w:val="nil"/>
              <w:bottom w:val="nil"/>
              <w:right w:val="nil"/>
            </w:tcBorders>
            <w:noWrap/>
            <w:vAlign w:val="bottom"/>
            <w:hideMark/>
          </w:tcPr>
          <w:p w14:paraId="60D2CC66"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11F84A70" w14:textId="77777777" w:rsidR="00804CA7" w:rsidRPr="00804CA7" w:rsidRDefault="00804CA7">
            <w:pPr>
              <w:rPr>
                <w:sz w:val="16"/>
                <w:szCs w:val="16"/>
              </w:rPr>
            </w:pPr>
          </w:p>
        </w:tc>
      </w:tr>
      <w:tr w:rsidR="00804CA7" w:rsidRPr="00804CA7" w14:paraId="1C4EB55E" w14:textId="77777777" w:rsidTr="00AC44FC">
        <w:trPr>
          <w:trHeight w:val="198"/>
        </w:trPr>
        <w:tc>
          <w:tcPr>
            <w:tcW w:w="3799" w:type="pct"/>
            <w:tcBorders>
              <w:top w:val="nil"/>
              <w:left w:val="nil"/>
              <w:bottom w:val="nil"/>
              <w:right w:val="nil"/>
            </w:tcBorders>
            <w:noWrap/>
            <w:vAlign w:val="bottom"/>
            <w:hideMark/>
          </w:tcPr>
          <w:p w14:paraId="7463B2D5" w14:textId="77777777" w:rsidR="00804CA7" w:rsidRPr="00804CA7" w:rsidRDefault="00804CA7">
            <w:pPr>
              <w:rPr>
                <w:rFonts w:ascii="Arial" w:hAnsi="Arial" w:cs="Arial"/>
                <w:b/>
                <w:bCs/>
                <w:sz w:val="16"/>
                <w:szCs w:val="16"/>
              </w:rPr>
            </w:pPr>
            <w:r w:rsidRPr="00804CA7">
              <w:rPr>
                <w:rFonts w:ascii="Arial" w:hAnsi="Arial" w:cs="Arial"/>
                <w:b/>
                <w:bCs/>
                <w:sz w:val="16"/>
                <w:szCs w:val="16"/>
              </w:rPr>
              <w:t>As notas explicativas são parte integrante das demonstrações contábeis</w:t>
            </w:r>
          </w:p>
        </w:tc>
        <w:tc>
          <w:tcPr>
            <w:tcW w:w="74" w:type="pct"/>
            <w:tcBorders>
              <w:top w:val="nil"/>
              <w:left w:val="nil"/>
              <w:bottom w:val="nil"/>
              <w:right w:val="nil"/>
            </w:tcBorders>
            <w:noWrap/>
            <w:vAlign w:val="bottom"/>
            <w:hideMark/>
          </w:tcPr>
          <w:p w14:paraId="2FD09D60" w14:textId="77777777" w:rsidR="00804CA7" w:rsidRPr="00804CA7" w:rsidRDefault="00804CA7">
            <w:pPr>
              <w:rPr>
                <w:rFonts w:ascii="Arial" w:hAnsi="Arial" w:cs="Arial"/>
                <w:b/>
                <w:bCs/>
                <w:sz w:val="16"/>
                <w:szCs w:val="16"/>
              </w:rPr>
            </w:pPr>
          </w:p>
        </w:tc>
        <w:tc>
          <w:tcPr>
            <w:tcW w:w="484" w:type="pct"/>
            <w:tcBorders>
              <w:top w:val="nil"/>
              <w:left w:val="nil"/>
              <w:bottom w:val="nil"/>
              <w:right w:val="nil"/>
            </w:tcBorders>
            <w:noWrap/>
            <w:vAlign w:val="bottom"/>
            <w:hideMark/>
          </w:tcPr>
          <w:p w14:paraId="7132396C"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2ED1E45D" w14:textId="77777777" w:rsidR="00804CA7" w:rsidRPr="00804CA7" w:rsidRDefault="00804CA7">
            <w:pPr>
              <w:rPr>
                <w:sz w:val="16"/>
                <w:szCs w:val="16"/>
              </w:rPr>
            </w:pPr>
          </w:p>
        </w:tc>
        <w:tc>
          <w:tcPr>
            <w:tcW w:w="497" w:type="pct"/>
            <w:tcBorders>
              <w:top w:val="nil"/>
              <w:left w:val="nil"/>
              <w:bottom w:val="nil"/>
              <w:right w:val="nil"/>
            </w:tcBorders>
            <w:noWrap/>
            <w:vAlign w:val="bottom"/>
            <w:hideMark/>
          </w:tcPr>
          <w:p w14:paraId="45328EA3" w14:textId="77777777" w:rsidR="00804CA7" w:rsidRPr="00804CA7" w:rsidRDefault="00804CA7">
            <w:pPr>
              <w:rPr>
                <w:sz w:val="16"/>
                <w:szCs w:val="16"/>
              </w:rPr>
            </w:pPr>
          </w:p>
        </w:tc>
        <w:tc>
          <w:tcPr>
            <w:tcW w:w="74" w:type="pct"/>
            <w:tcBorders>
              <w:top w:val="nil"/>
              <w:left w:val="nil"/>
              <w:bottom w:val="nil"/>
              <w:right w:val="nil"/>
            </w:tcBorders>
            <w:noWrap/>
            <w:vAlign w:val="bottom"/>
            <w:hideMark/>
          </w:tcPr>
          <w:p w14:paraId="3F96EEAA" w14:textId="77777777" w:rsidR="00804CA7" w:rsidRPr="00804CA7" w:rsidRDefault="00804CA7">
            <w:pPr>
              <w:rPr>
                <w:sz w:val="16"/>
                <w:szCs w:val="16"/>
              </w:rPr>
            </w:pPr>
          </w:p>
        </w:tc>
      </w:tr>
    </w:tbl>
    <w:p w14:paraId="07F9CE0D" w14:textId="77777777" w:rsidR="00804CA7" w:rsidRDefault="00804CA7" w:rsidP="00316093"/>
    <w:p w14:paraId="7DA28970" w14:textId="77777777" w:rsidR="00804CA7" w:rsidRDefault="00804CA7" w:rsidP="00316093"/>
    <w:p w14:paraId="3B78F551" w14:textId="77777777" w:rsidR="00804CA7" w:rsidRDefault="00804CA7" w:rsidP="00316093"/>
    <w:tbl>
      <w:tblPr>
        <w:tblW w:w="5000" w:type="pct"/>
        <w:tblCellMar>
          <w:left w:w="70" w:type="dxa"/>
          <w:right w:w="70" w:type="dxa"/>
        </w:tblCellMar>
        <w:tblLook w:val="04A0" w:firstRow="1" w:lastRow="0" w:firstColumn="1" w:lastColumn="0" w:noHBand="0" w:noVBand="1"/>
      </w:tblPr>
      <w:tblGrid>
        <w:gridCol w:w="6946"/>
        <w:gridCol w:w="1206"/>
        <w:gridCol w:w="147"/>
        <w:gridCol w:w="1476"/>
        <w:gridCol w:w="146"/>
      </w:tblGrid>
      <w:tr w:rsidR="00B142DC" w:rsidRPr="00B142DC" w14:paraId="7D9D2B3B" w14:textId="77777777" w:rsidTr="00B142DC">
        <w:trPr>
          <w:trHeight w:val="215"/>
        </w:trPr>
        <w:tc>
          <w:tcPr>
            <w:tcW w:w="5000" w:type="pct"/>
            <w:gridSpan w:val="5"/>
            <w:tcBorders>
              <w:top w:val="nil"/>
              <w:left w:val="nil"/>
              <w:bottom w:val="nil"/>
              <w:right w:val="nil"/>
            </w:tcBorders>
            <w:noWrap/>
            <w:vAlign w:val="bottom"/>
            <w:hideMark/>
          </w:tcPr>
          <w:p w14:paraId="1140CA4A" w14:textId="77777777" w:rsidR="00B142DC" w:rsidRPr="00B142DC" w:rsidRDefault="00B142DC">
            <w:pPr>
              <w:jc w:val="center"/>
              <w:rPr>
                <w:rFonts w:ascii="Arial" w:hAnsi="Arial" w:cs="Arial"/>
                <w:b/>
                <w:bCs/>
                <w:sz w:val="16"/>
                <w:szCs w:val="16"/>
              </w:rPr>
            </w:pPr>
            <w:r w:rsidRPr="00B142DC">
              <w:rPr>
                <w:rFonts w:ascii="Arial" w:hAnsi="Arial" w:cs="Arial"/>
                <w:b/>
                <w:bCs/>
                <w:sz w:val="16"/>
                <w:szCs w:val="16"/>
              </w:rPr>
              <w:t>TELECOMUNICAÇÕES BRASILEIRAS S.A - "TELEBRAS"</w:t>
            </w:r>
          </w:p>
        </w:tc>
      </w:tr>
      <w:tr w:rsidR="00B142DC" w:rsidRPr="00B142DC" w14:paraId="6E8018D2" w14:textId="77777777" w:rsidTr="00B142DC">
        <w:trPr>
          <w:trHeight w:val="215"/>
        </w:trPr>
        <w:tc>
          <w:tcPr>
            <w:tcW w:w="5000" w:type="pct"/>
            <w:gridSpan w:val="5"/>
            <w:tcBorders>
              <w:top w:val="nil"/>
              <w:left w:val="nil"/>
              <w:bottom w:val="nil"/>
              <w:right w:val="nil"/>
            </w:tcBorders>
            <w:noWrap/>
            <w:vAlign w:val="bottom"/>
            <w:hideMark/>
          </w:tcPr>
          <w:p w14:paraId="11907909" w14:textId="77777777" w:rsidR="00B142DC" w:rsidRPr="00B142DC" w:rsidRDefault="00B142DC">
            <w:pPr>
              <w:jc w:val="center"/>
              <w:rPr>
                <w:rFonts w:ascii="Arial" w:hAnsi="Arial" w:cs="Arial"/>
                <w:b/>
                <w:bCs/>
                <w:sz w:val="16"/>
                <w:szCs w:val="16"/>
              </w:rPr>
            </w:pPr>
            <w:r w:rsidRPr="00B142DC">
              <w:rPr>
                <w:rFonts w:ascii="Arial" w:hAnsi="Arial" w:cs="Arial"/>
                <w:b/>
                <w:bCs/>
                <w:sz w:val="16"/>
                <w:szCs w:val="16"/>
              </w:rPr>
              <w:t>CNPJ 00.336.701/0001-04</w:t>
            </w:r>
          </w:p>
        </w:tc>
      </w:tr>
      <w:tr w:rsidR="00B142DC" w:rsidRPr="00B142DC" w14:paraId="4ED85550" w14:textId="77777777" w:rsidTr="00B142DC">
        <w:trPr>
          <w:trHeight w:val="215"/>
        </w:trPr>
        <w:tc>
          <w:tcPr>
            <w:tcW w:w="5000" w:type="pct"/>
            <w:gridSpan w:val="5"/>
            <w:tcBorders>
              <w:top w:val="nil"/>
              <w:left w:val="nil"/>
              <w:bottom w:val="nil"/>
              <w:right w:val="nil"/>
            </w:tcBorders>
            <w:noWrap/>
            <w:vAlign w:val="bottom"/>
            <w:hideMark/>
          </w:tcPr>
          <w:p w14:paraId="4345263A" w14:textId="77777777" w:rsidR="00B142DC" w:rsidRPr="00B142DC" w:rsidRDefault="00B142DC">
            <w:pPr>
              <w:jc w:val="center"/>
              <w:rPr>
                <w:rFonts w:ascii="Arial" w:hAnsi="Arial" w:cs="Arial"/>
                <w:b/>
                <w:bCs/>
                <w:sz w:val="16"/>
                <w:szCs w:val="16"/>
              </w:rPr>
            </w:pPr>
            <w:r w:rsidRPr="00B142DC">
              <w:rPr>
                <w:rFonts w:ascii="Arial" w:hAnsi="Arial" w:cs="Arial"/>
                <w:b/>
                <w:bCs/>
                <w:sz w:val="16"/>
                <w:szCs w:val="16"/>
              </w:rPr>
              <w:t>Demonstrações do Valor Adicionado</w:t>
            </w:r>
          </w:p>
        </w:tc>
      </w:tr>
      <w:tr w:rsidR="00B142DC" w:rsidRPr="00B142DC" w14:paraId="2CF98611" w14:textId="77777777" w:rsidTr="00B142DC">
        <w:trPr>
          <w:trHeight w:val="215"/>
        </w:trPr>
        <w:tc>
          <w:tcPr>
            <w:tcW w:w="5000" w:type="pct"/>
            <w:gridSpan w:val="5"/>
            <w:tcBorders>
              <w:top w:val="nil"/>
              <w:left w:val="nil"/>
              <w:bottom w:val="nil"/>
              <w:right w:val="nil"/>
            </w:tcBorders>
            <w:noWrap/>
            <w:vAlign w:val="bottom"/>
            <w:hideMark/>
          </w:tcPr>
          <w:p w14:paraId="5C4DBA86" w14:textId="77777777" w:rsidR="00B142DC" w:rsidRPr="00B142DC" w:rsidRDefault="00B142DC">
            <w:pPr>
              <w:jc w:val="center"/>
              <w:rPr>
                <w:rFonts w:ascii="Arial" w:hAnsi="Arial" w:cs="Arial"/>
                <w:b/>
                <w:bCs/>
                <w:sz w:val="16"/>
                <w:szCs w:val="16"/>
              </w:rPr>
            </w:pPr>
            <w:r w:rsidRPr="00B142DC">
              <w:rPr>
                <w:rFonts w:ascii="Arial" w:hAnsi="Arial" w:cs="Arial"/>
                <w:b/>
                <w:bCs/>
                <w:sz w:val="16"/>
                <w:szCs w:val="16"/>
              </w:rPr>
              <w:t>Períodos findos em 31 de março de 2026 e 2025</w:t>
            </w:r>
          </w:p>
        </w:tc>
      </w:tr>
      <w:tr w:rsidR="00B142DC" w:rsidRPr="00B142DC" w14:paraId="36324236" w14:textId="77777777" w:rsidTr="00B142DC">
        <w:trPr>
          <w:trHeight w:val="215"/>
        </w:trPr>
        <w:tc>
          <w:tcPr>
            <w:tcW w:w="5000" w:type="pct"/>
            <w:gridSpan w:val="5"/>
            <w:tcBorders>
              <w:top w:val="nil"/>
              <w:left w:val="nil"/>
              <w:bottom w:val="nil"/>
              <w:right w:val="nil"/>
            </w:tcBorders>
            <w:noWrap/>
            <w:vAlign w:val="bottom"/>
            <w:hideMark/>
          </w:tcPr>
          <w:p w14:paraId="7B98F66A" w14:textId="77777777" w:rsidR="00B142DC" w:rsidRPr="00B142DC" w:rsidRDefault="00B142DC">
            <w:pPr>
              <w:jc w:val="center"/>
              <w:rPr>
                <w:rFonts w:ascii="Arial" w:hAnsi="Arial" w:cs="Arial"/>
                <w:b/>
                <w:bCs/>
                <w:sz w:val="16"/>
                <w:szCs w:val="16"/>
              </w:rPr>
            </w:pPr>
            <w:r w:rsidRPr="00B142DC">
              <w:rPr>
                <w:rFonts w:ascii="Arial" w:hAnsi="Arial" w:cs="Arial"/>
                <w:b/>
                <w:bCs/>
                <w:sz w:val="16"/>
                <w:szCs w:val="16"/>
              </w:rPr>
              <w:t>Em milhares de reais, exceto quando indicado de outra forma</w:t>
            </w:r>
          </w:p>
        </w:tc>
      </w:tr>
      <w:tr w:rsidR="00B142DC" w:rsidRPr="00B142DC" w14:paraId="210180F2" w14:textId="77777777" w:rsidTr="00B142DC">
        <w:trPr>
          <w:trHeight w:val="215"/>
        </w:trPr>
        <w:tc>
          <w:tcPr>
            <w:tcW w:w="3501" w:type="pct"/>
            <w:tcBorders>
              <w:top w:val="nil"/>
              <w:left w:val="nil"/>
              <w:bottom w:val="nil"/>
              <w:right w:val="nil"/>
            </w:tcBorders>
            <w:noWrap/>
            <w:vAlign w:val="bottom"/>
            <w:hideMark/>
          </w:tcPr>
          <w:p w14:paraId="4122D547" w14:textId="77777777" w:rsidR="00B142DC" w:rsidRPr="00B142DC" w:rsidRDefault="00B142DC">
            <w:pPr>
              <w:jc w:val="center"/>
              <w:rPr>
                <w:rFonts w:ascii="Arial" w:hAnsi="Arial" w:cs="Arial"/>
                <w:b/>
                <w:bCs/>
                <w:sz w:val="16"/>
                <w:szCs w:val="16"/>
              </w:rPr>
            </w:pPr>
          </w:p>
        </w:tc>
        <w:tc>
          <w:tcPr>
            <w:tcW w:w="1426" w:type="pct"/>
            <w:gridSpan w:val="3"/>
            <w:tcBorders>
              <w:top w:val="nil"/>
              <w:left w:val="nil"/>
              <w:bottom w:val="single" w:sz="4" w:space="0" w:color="auto"/>
              <w:right w:val="nil"/>
            </w:tcBorders>
            <w:noWrap/>
            <w:vAlign w:val="bottom"/>
            <w:hideMark/>
          </w:tcPr>
          <w:p w14:paraId="705CDF74" w14:textId="77777777" w:rsidR="00B142DC" w:rsidRPr="00B142DC" w:rsidRDefault="00B142DC">
            <w:pPr>
              <w:jc w:val="center"/>
              <w:rPr>
                <w:rFonts w:ascii="Arial" w:hAnsi="Arial" w:cs="Arial"/>
                <w:b/>
                <w:bCs/>
                <w:sz w:val="16"/>
                <w:szCs w:val="16"/>
              </w:rPr>
            </w:pPr>
            <w:r w:rsidRPr="00B142DC">
              <w:rPr>
                <w:rFonts w:ascii="Arial" w:hAnsi="Arial" w:cs="Arial"/>
                <w:b/>
                <w:bCs/>
                <w:sz w:val="16"/>
                <w:szCs w:val="16"/>
              </w:rPr>
              <w:t> </w:t>
            </w:r>
          </w:p>
        </w:tc>
        <w:tc>
          <w:tcPr>
            <w:tcW w:w="74" w:type="pct"/>
            <w:tcBorders>
              <w:top w:val="nil"/>
              <w:left w:val="nil"/>
              <w:bottom w:val="nil"/>
              <w:right w:val="nil"/>
            </w:tcBorders>
            <w:noWrap/>
            <w:vAlign w:val="bottom"/>
            <w:hideMark/>
          </w:tcPr>
          <w:p w14:paraId="35F55D1A" w14:textId="77777777" w:rsidR="00B142DC" w:rsidRPr="00B142DC" w:rsidRDefault="00B142DC">
            <w:pPr>
              <w:jc w:val="center"/>
              <w:rPr>
                <w:rFonts w:ascii="Arial" w:hAnsi="Arial" w:cs="Arial"/>
                <w:b/>
                <w:bCs/>
                <w:sz w:val="16"/>
                <w:szCs w:val="16"/>
              </w:rPr>
            </w:pPr>
          </w:p>
        </w:tc>
      </w:tr>
      <w:tr w:rsidR="00B142DC" w:rsidRPr="00B142DC" w14:paraId="7FB0183C" w14:textId="77777777" w:rsidTr="00B142DC">
        <w:trPr>
          <w:trHeight w:val="215"/>
        </w:trPr>
        <w:tc>
          <w:tcPr>
            <w:tcW w:w="3501" w:type="pct"/>
            <w:tcBorders>
              <w:top w:val="nil"/>
              <w:left w:val="nil"/>
              <w:bottom w:val="nil"/>
              <w:right w:val="nil"/>
            </w:tcBorders>
            <w:noWrap/>
            <w:vAlign w:val="bottom"/>
            <w:hideMark/>
          </w:tcPr>
          <w:p w14:paraId="51BC76DD" w14:textId="77777777" w:rsidR="00B142DC" w:rsidRPr="00B142DC" w:rsidRDefault="00B142DC">
            <w:pPr>
              <w:rPr>
                <w:sz w:val="16"/>
                <w:szCs w:val="16"/>
              </w:rPr>
            </w:pPr>
          </w:p>
        </w:tc>
        <w:tc>
          <w:tcPr>
            <w:tcW w:w="608" w:type="pct"/>
            <w:tcBorders>
              <w:top w:val="single" w:sz="4" w:space="0" w:color="auto"/>
              <w:left w:val="nil"/>
              <w:bottom w:val="single" w:sz="4" w:space="0" w:color="auto"/>
              <w:right w:val="nil"/>
            </w:tcBorders>
            <w:vAlign w:val="center"/>
            <w:hideMark/>
          </w:tcPr>
          <w:p w14:paraId="4628E9E8" w14:textId="77777777" w:rsidR="00B142DC" w:rsidRPr="00B142DC" w:rsidRDefault="00B142DC">
            <w:pPr>
              <w:jc w:val="center"/>
              <w:rPr>
                <w:rFonts w:ascii="Arial" w:hAnsi="Arial" w:cs="Arial"/>
                <w:b/>
                <w:bCs/>
                <w:sz w:val="16"/>
                <w:szCs w:val="16"/>
              </w:rPr>
            </w:pPr>
            <w:r w:rsidRPr="00B142DC">
              <w:rPr>
                <w:rFonts w:ascii="Arial" w:hAnsi="Arial" w:cs="Arial"/>
                <w:b/>
                <w:bCs/>
                <w:sz w:val="16"/>
                <w:szCs w:val="16"/>
              </w:rPr>
              <w:t>31/03/2026</w:t>
            </w:r>
          </w:p>
        </w:tc>
        <w:tc>
          <w:tcPr>
            <w:tcW w:w="74" w:type="pct"/>
            <w:tcBorders>
              <w:top w:val="nil"/>
              <w:left w:val="nil"/>
              <w:bottom w:val="nil"/>
              <w:right w:val="nil"/>
            </w:tcBorders>
            <w:noWrap/>
            <w:vAlign w:val="bottom"/>
            <w:hideMark/>
          </w:tcPr>
          <w:p w14:paraId="2AA23928" w14:textId="77777777" w:rsidR="00B142DC" w:rsidRPr="00B142DC" w:rsidRDefault="00B142DC">
            <w:pPr>
              <w:jc w:val="center"/>
              <w:rPr>
                <w:rFonts w:ascii="Arial" w:hAnsi="Arial" w:cs="Arial"/>
                <w:b/>
                <w:bCs/>
                <w:sz w:val="16"/>
                <w:szCs w:val="16"/>
              </w:rPr>
            </w:pPr>
          </w:p>
        </w:tc>
        <w:tc>
          <w:tcPr>
            <w:tcW w:w="744" w:type="pct"/>
            <w:tcBorders>
              <w:top w:val="nil"/>
              <w:left w:val="nil"/>
              <w:bottom w:val="single" w:sz="4" w:space="0" w:color="auto"/>
              <w:right w:val="nil"/>
            </w:tcBorders>
            <w:vAlign w:val="center"/>
            <w:hideMark/>
          </w:tcPr>
          <w:p w14:paraId="2C777F23" w14:textId="77777777" w:rsidR="00B142DC" w:rsidRPr="00B142DC" w:rsidRDefault="00B142DC">
            <w:pPr>
              <w:jc w:val="center"/>
              <w:rPr>
                <w:rFonts w:ascii="Arial" w:hAnsi="Arial" w:cs="Arial"/>
                <w:b/>
                <w:bCs/>
                <w:sz w:val="16"/>
                <w:szCs w:val="16"/>
              </w:rPr>
            </w:pPr>
            <w:r w:rsidRPr="00B142DC">
              <w:rPr>
                <w:rFonts w:ascii="Arial" w:hAnsi="Arial" w:cs="Arial"/>
                <w:b/>
                <w:bCs/>
                <w:sz w:val="16"/>
                <w:szCs w:val="16"/>
              </w:rPr>
              <w:t>31/03/2025</w:t>
            </w:r>
          </w:p>
        </w:tc>
        <w:tc>
          <w:tcPr>
            <w:tcW w:w="74" w:type="pct"/>
            <w:tcBorders>
              <w:top w:val="nil"/>
              <w:left w:val="nil"/>
              <w:bottom w:val="nil"/>
              <w:right w:val="nil"/>
            </w:tcBorders>
            <w:noWrap/>
            <w:vAlign w:val="bottom"/>
            <w:hideMark/>
          </w:tcPr>
          <w:p w14:paraId="7F551FC0" w14:textId="77777777" w:rsidR="00B142DC" w:rsidRPr="00B142DC" w:rsidRDefault="00B142DC">
            <w:pPr>
              <w:jc w:val="center"/>
              <w:rPr>
                <w:rFonts w:ascii="Arial" w:hAnsi="Arial" w:cs="Arial"/>
                <w:b/>
                <w:bCs/>
                <w:sz w:val="16"/>
                <w:szCs w:val="16"/>
              </w:rPr>
            </w:pPr>
          </w:p>
        </w:tc>
      </w:tr>
      <w:tr w:rsidR="00B142DC" w:rsidRPr="00B142DC" w14:paraId="259E61DC" w14:textId="77777777" w:rsidTr="00B142DC">
        <w:trPr>
          <w:trHeight w:val="215"/>
        </w:trPr>
        <w:tc>
          <w:tcPr>
            <w:tcW w:w="3501" w:type="pct"/>
            <w:tcBorders>
              <w:top w:val="nil"/>
              <w:left w:val="nil"/>
              <w:bottom w:val="nil"/>
              <w:right w:val="nil"/>
            </w:tcBorders>
            <w:noWrap/>
            <w:vAlign w:val="bottom"/>
            <w:hideMark/>
          </w:tcPr>
          <w:p w14:paraId="219EB002"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5FD2FA17" w14:textId="77777777" w:rsidR="00B142DC" w:rsidRPr="00B142DC" w:rsidRDefault="00B142DC">
            <w:pPr>
              <w:rPr>
                <w:sz w:val="16"/>
                <w:szCs w:val="16"/>
              </w:rPr>
            </w:pPr>
          </w:p>
        </w:tc>
        <w:tc>
          <w:tcPr>
            <w:tcW w:w="74" w:type="pct"/>
            <w:tcBorders>
              <w:top w:val="nil"/>
              <w:left w:val="nil"/>
              <w:bottom w:val="nil"/>
              <w:right w:val="nil"/>
            </w:tcBorders>
            <w:noWrap/>
            <w:vAlign w:val="bottom"/>
            <w:hideMark/>
          </w:tcPr>
          <w:p w14:paraId="3BD13B7E" w14:textId="77777777" w:rsidR="00B142DC" w:rsidRPr="00B142DC" w:rsidRDefault="00B142DC">
            <w:pPr>
              <w:jc w:val="center"/>
              <w:rPr>
                <w:sz w:val="16"/>
                <w:szCs w:val="16"/>
              </w:rPr>
            </w:pPr>
          </w:p>
        </w:tc>
        <w:tc>
          <w:tcPr>
            <w:tcW w:w="744" w:type="pct"/>
            <w:tcBorders>
              <w:top w:val="nil"/>
              <w:left w:val="nil"/>
              <w:bottom w:val="nil"/>
              <w:right w:val="nil"/>
            </w:tcBorders>
            <w:noWrap/>
            <w:vAlign w:val="bottom"/>
            <w:hideMark/>
          </w:tcPr>
          <w:p w14:paraId="64E42344" w14:textId="77777777" w:rsidR="00B142DC" w:rsidRPr="00B142DC" w:rsidRDefault="00B142DC">
            <w:pPr>
              <w:jc w:val="center"/>
              <w:rPr>
                <w:sz w:val="16"/>
                <w:szCs w:val="16"/>
              </w:rPr>
            </w:pPr>
          </w:p>
        </w:tc>
        <w:tc>
          <w:tcPr>
            <w:tcW w:w="74" w:type="pct"/>
            <w:tcBorders>
              <w:top w:val="nil"/>
              <w:left w:val="nil"/>
              <w:bottom w:val="nil"/>
              <w:right w:val="nil"/>
            </w:tcBorders>
            <w:noWrap/>
            <w:vAlign w:val="bottom"/>
            <w:hideMark/>
          </w:tcPr>
          <w:p w14:paraId="1F29E762" w14:textId="77777777" w:rsidR="00B142DC" w:rsidRPr="00B142DC" w:rsidRDefault="00B142DC">
            <w:pPr>
              <w:jc w:val="center"/>
              <w:rPr>
                <w:sz w:val="16"/>
                <w:szCs w:val="16"/>
              </w:rPr>
            </w:pPr>
          </w:p>
        </w:tc>
      </w:tr>
      <w:tr w:rsidR="00B142DC" w:rsidRPr="00B142DC" w14:paraId="6585F0D8" w14:textId="77777777" w:rsidTr="00B142DC">
        <w:trPr>
          <w:trHeight w:val="215"/>
        </w:trPr>
        <w:tc>
          <w:tcPr>
            <w:tcW w:w="3501" w:type="pct"/>
            <w:tcBorders>
              <w:top w:val="nil"/>
              <w:left w:val="nil"/>
              <w:bottom w:val="nil"/>
              <w:right w:val="nil"/>
            </w:tcBorders>
            <w:noWrap/>
            <w:vAlign w:val="center"/>
            <w:hideMark/>
          </w:tcPr>
          <w:p w14:paraId="481D04CC" w14:textId="77777777" w:rsidR="00B142DC" w:rsidRPr="00B142DC" w:rsidRDefault="00B142DC">
            <w:pPr>
              <w:rPr>
                <w:rFonts w:ascii="Arial" w:hAnsi="Arial" w:cs="Arial"/>
                <w:b/>
                <w:bCs/>
                <w:sz w:val="16"/>
                <w:szCs w:val="16"/>
              </w:rPr>
            </w:pPr>
            <w:r w:rsidRPr="00B142DC">
              <w:rPr>
                <w:rFonts w:ascii="Arial" w:hAnsi="Arial" w:cs="Arial"/>
                <w:b/>
                <w:bCs/>
                <w:sz w:val="16"/>
                <w:szCs w:val="16"/>
              </w:rPr>
              <w:t>Receitas</w:t>
            </w:r>
          </w:p>
        </w:tc>
        <w:tc>
          <w:tcPr>
            <w:tcW w:w="608" w:type="pct"/>
            <w:tcBorders>
              <w:top w:val="nil"/>
              <w:left w:val="nil"/>
              <w:bottom w:val="nil"/>
              <w:right w:val="nil"/>
            </w:tcBorders>
            <w:noWrap/>
            <w:vAlign w:val="bottom"/>
            <w:hideMark/>
          </w:tcPr>
          <w:p w14:paraId="1C4DD1B7"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142.114 </w:t>
            </w:r>
          </w:p>
        </w:tc>
        <w:tc>
          <w:tcPr>
            <w:tcW w:w="74" w:type="pct"/>
            <w:tcBorders>
              <w:top w:val="nil"/>
              <w:left w:val="nil"/>
              <w:bottom w:val="nil"/>
              <w:right w:val="nil"/>
            </w:tcBorders>
            <w:noWrap/>
            <w:vAlign w:val="bottom"/>
            <w:hideMark/>
          </w:tcPr>
          <w:p w14:paraId="70731785"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0A5A3272"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190.257 </w:t>
            </w:r>
          </w:p>
        </w:tc>
        <w:tc>
          <w:tcPr>
            <w:tcW w:w="74" w:type="pct"/>
            <w:tcBorders>
              <w:top w:val="nil"/>
              <w:left w:val="nil"/>
              <w:bottom w:val="nil"/>
              <w:right w:val="nil"/>
            </w:tcBorders>
            <w:noWrap/>
            <w:vAlign w:val="bottom"/>
            <w:hideMark/>
          </w:tcPr>
          <w:p w14:paraId="414DECE5" w14:textId="77777777" w:rsidR="00B142DC" w:rsidRPr="00B142DC" w:rsidRDefault="00B142DC">
            <w:pPr>
              <w:jc w:val="right"/>
              <w:rPr>
                <w:rFonts w:ascii="Arial" w:hAnsi="Arial" w:cs="Arial"/>
                <w:b/>
                <w:bCs/>
                <w:sz w:val="16"/>
                <w:szCs w:val="16"/>
              </w:rPr>
            </w:pPr>
          </w:p>
        </w:tc>
      </w:tr>
      <w:tr w:rsidR="00B142DC" w:rsidRPr="00B142DC" w14:paraId="44636C56" w14:textId="77777777" w:rsidTr="00B142DC">
        <w:trPr>
          <w:trHeight w:val="215"/>
        </w:trPr>
        <w:tc>
          <w:tcPr>
            <w:tcW w:w="3501" w:type="pct"/>
            <w:tcBorders>
              <w:top w:val="nil"/>
              <w:left w:val="nil"/>
              <w:bottom w:val="nil"/>
              <w:right w:val="nil"/>
            </w:tcBorders>
            <w:noWrap/>
            <w:vAlign w:val="bottom"/>
            <w:hideMark/>
          </w:tcPr>
          <w:p w14:paraId="5E757EA3"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Prestação de Serviços</w:t>
            </w:r>
          </w:p>
        </w:tc>
        <w:tc>
          <w:tcPr>
            <w:tcW w:w="608" w:type="pct"/>
            <w:tcBorders>
              <w:top w:val="nil"/>
              <w:left w:val="nil"/>
              <w:bottom w:val="nil"/>
              <w:right w:val="nil"/>
            </w:tcBorders>
            <w:noWrap/>
            <w:vAlign w:val="bottom"/>
            <w:hideMark/>
          </w:tcPr>
          <w:p w14:paraId="5C8809D5"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128.098 </w:t>
            </w:r>
          </w:p>
        </w:tc>
        <w:tc>
          <w:tcPr>
            <w:tcW w:w="74" w:type="pct"/>
            <w:tcBorders>
              <w:top w:val="nil"/>
              <w:left w:val="nil"/>
              <w:bottom w:val="nil"/>
              <w:right w:val="nil"/>
            </w:tcBorders>
            <w:noWrap/>
            <w:vAlign w:val="bottom"/>
            <w:hideMark/>
          </w:tcPr>
          <w:p w14:paraId="69EE0951"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6BE85991"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107.346 </w:t>
            </w:r>
          </w:p>
        </w:tc>
        <w:tc>
          <w:tcPr>
            <w:tcW w:w="74" w:type="pct"/>
            <w:tcBorders>
              <w:top w:val="nil"/>
              <w:left w:val="nil"/>
              <w:bottom w:val="nil"/>
              <w:right w:val="nil"/>
            </w:tcBorders>
            <w:noWrap/>
            <w:vAlign w:val="bottom"/>
            <w:hideMark/>
          </w:tcPr>
          <w:p w14:paraId="4BC0F427" w14:textId="77777777" w:rsidR="00B142DC" w:rsidRPr="00B142DC" w:rsidRDefault="00B142DC">
            <w:pPr>
              <w:jc w:val="right"/>
              <w:rPr>
                <w:rFonts w:ascii="Arial" w:hAnsi="Arial" w:cs="Arial"/>
                <w:sz w:val="16"/>
                <w:szCs w:val="16"/>
              </w:rPr>
            </w:pPr>
          </w:p>
        </w:tc>
      </w:tr>
      <w:tr w:rsidR="00B142DC" w:rsidRPr="00B142DC" w14:paraId="7926903F" w14:textId="77777777" w:rsidTr="00B142DC">
        <w:trPr>
          <w:trHeight w:val="215"/>
        </w:trPr>
        <w:tc>
          <w:tcPr>
            <w:tcW w:w="3501" w:type="pct"/>
            <w:tcBorders>
              <w:top w:val="nil"/>
              <w:left w:val="nil"/>
              <w:bottom w:val="nil"/>
              <w:right w:val="nil"/>
            </w:tcBorders>
            <w:noWrap/>
            <w:vAlign w:val="bottom"/>
            <w:hideMark/>
          </w:tcPr>
          <w:p w14:paraId="353FF5DC"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Subvenções Orçamentárias Recebidas</w:t>
            </w:r>
          </w:p>
        </w:tc>
        <w:tc>
          <w:tcPr>
            <w:tcW w:w="608" w:type="pct"/>
            <w:tcBorders>
              <w:top w:val="nil"/>
              <w:left w:val="nil"/>
              <w:bottom w:val="nil"/>
              <w:right w:val="nil"/>
            </w:tcBorders>
            <w:noWrap/>
            <w:vAlign w:val="bottom"/>
            <w:hideMark/>
          </w:tcPr>
          <w:p w14:paraId="71C7D1DC"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7.179 </w:t>
            </w:r>
          </w:p>
        </w:tc>
        <w:tc>
          <w:tcPr>
            <w:tcW w:w="74" w:type="pct"/>
            <w:tcBorders>
              <w:top w:val="nil"/>
              <w:left w:val="nil"/>
              <w:bottom w:val="nil"/>
              <w:right w:val="nil"/>
            </w:tcBorders>
            <w:noWrap/>
            <w:vAlign w:val="bottom"/>
            <w:hideMark/>
          </w:tcPr>
          <w:p w14:paraId="19CAD611"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15830872"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77.575 </w:t>
            </w:r>
          </w:p>
        </w:tc>
        <w:tc>
          <w:tcPr>
            <w:tcW w:w="74" w:type="pct"/>
            <w:tcBorders>
              <w:top w:val="nil"/>
              <w:left w:val="nil"/>
              <w:bottom w:val="nil"/>
              <w:right w:val="nil"/>
            </w:tcBorders>
            <w:noWrap/>
            <w:vAlign w:val="bottom"/>
            <w:hideMark/>
          </w:tcPr>
          <w:p w14:paraId="5EE7AEB7" w14:textId="77777777" w:rsidR="00B142DC" w:rsidRPr="00B142DC" w:rsidRDefault="00B142DC">
            <w:pPr>
              <w:jc w:val="right"/>
              <w:rPr>
                <w:rFonts w:ascii="Arial" w:hAnsi="Arial" w:cs="Arial"/>
                <w:sz w:val="16"/>
                <w:szCs w:val="16"/>
              </w:rPr>
            </w:pPr>
          </w:p>
        </w:tc>
      </w:tr>
      <w:tr w:rsidR="00B142DC" w:rsidRPr="00B142DC" w14:paraId="17C18C58" w14:textId="77777777" w:rsidTr="00B142DC">
        <w:trPr>
          <w:trHeight w:val="215"/>
        </w:trPr>
        <w:tc>
          <w:tcPr>
            <w:tcW w:w="3501" w:type="pct"/>
            <w:tcBorders>
              <w:top w:val="nil"/>
              <w:left w:val="nil"/>
              <w:bottom w:val="nil"/>
              <w:right w:val="nil"/>
            </w:tcBorders>
            <w:noWrap/>
            <w:vAlign w:val="bottom"/>
            <w:hideMark/>
          </w:tcPr>
          <w:p w14:paraId="5778C50F"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Outras Receitas</w:t>
            </w:r>
          </w:p>
        </w:tc>
        <w:tc>
          <w:tcPr>
            <w:tcW w:w="608" w:type="pct"/>
            <w:tcBorders>
              <w:top w:val="nil"/>
              <w:left w:val="nil"/>
              <w:bottom w:val="nil"/>
              <w:right w:val="nil"/>
            </w:tcBorders>
            <w:noWrap/>
            <w:vAlign w:val="bottom"/>
            <w:hideMark/>
          </w:tcPr>
          <w:p w14:paraId="4F2CBA2C" w14:textId="1DE5DF56"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1.89</w:t>
            </w:r>
            <w:r w:rsidR="00E0139E">
              <w:rPr>
                <w:rFonts w:ascii="Arial" w:hAnsi="Arial" w:cs="Arial"/>
                <w:sz w:val="16"/>
                <w:szCs w:val="16"/>
              </w:rPr>
              <w:t>8</w:t>
            </w:r>
            <w:r w:rsidRPr="00B142DC">
              <w:rPr>
                <w:rFonts w:ascii="Arial" w:hAnsi="Arial" w:cs="Arial"/>
                <w:sz w:val="16"/>
                <w:szCs w:val="16"/>
              </w:rPr>
              <w:t xml:space="preserve"> </w:t>
            </w:r>
          </w:p>
        </w:tc>
        <w:tc>
          <w:tcPr>
            <w:tcW w:w="74" w:type="pct"/>
            <w:tcBorders>
              <w:top w:val="nil"/>
              <w:left w:val="nil"/>
              <w:bottom w:val="nil"/>
              <w:right w:val="nil"/>
            </w:tcBorders>
            <w:noWrap/>
            <w:vAlign w:val="bottom"/>
            <w:hideMark/>
          </w:tcPr>
          <w:p w14:paraId="01EF0F24"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4B2493CC"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512 </w:t>
            </w:r>
          </w:p>
        </w:tc>
        <w:tc>
          <w:tcPr>
            <w:tcW w:w="74" w:type="pct"/>
            <w:tcBorders>
              <w:top w:val="nil"/>
              <w:left w:val="nil"/>
              <w:bottom w:val="nil"/>
              <w:right w:val="nil"/>
            </w:tcBorders>
            <w:noWrap/>
            <w:vAlign w:val="bottom"/>
            <w:hideMark/>
          </w:tcPr>
          <w:p w14:paraId="5546CA09" w14:textId="77777777" w:rsidR="00B142DC" w:rsidRPr="00B142DC" w:rsidRDefault="00B142DC">
            <w:pPr>
              <w:jc w:val="right"/>
              <w:rPr>
                <w:rFonts w:ascii="Arial" w:hAnsi="Arial" w:cs="Arial"/>
                <w:sz w:val="16"/>
                <w:szCs w:val="16"/>
              </w:rPr>
            </w:pPr>
          </w:p>
        </w:tc>
      </w:tr>
      <w:tr w:rsidR="00B142DC" w:rsidRPr="00B142DC" w14:paraId="4DF185E8" w14:textId="77777777" w:rsidTr="00B142DC">
        <w:trPr>
          <w:trHeight w:val="215"/>
        </w:trPr>
        <w:tc>
          <w:tcPr>
            <w:tcW w:w="3501" w:type="pct"/>
            <w:tcBorders>
              <w:top w:val="nil"/>
              <w:left w:val="nil"/>
              <w:bottom w:val="nil"/>
              <w:right w:val="nil"/>
            </w:tcBorders>
            <w:noWrap/>
            <w:vAlign w:val="bottom"/>
            <w:hideMark/>
          </w:tcPr>
          <w:p w14:paraId="7731D3F9"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Construção de Ativo Próprio</w:t>
            </w:r>
          </w:p>
        </w:tc>
        <w:tc>
          <w:tcPr>
            <w:tcW w:w="608" w:type="pct"/>
            <w:tcBorders>
              <w:top w:val="nil"/>
              <w:left w:val="nil"/>
              <w:bottom w:val="nil"/>
              <w:right w:val="nil"/>
            </w:tcBorders>
            <w:noWrap/>
            <w:vAlign w:val="bottom"/>
            <w:hideMark/>
          </w:tcPr>
          <w:p w14:paraId="4D9DE6A6"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4.798 </w:t>
            </w:r>
          </w:p>
        </w:tc>
        <w:tc>
          <w:tcPr>
            <w:tcW w:w="74" w:type="pct"/>
            <w:tcBorders>
              <w:top w:val="nil"/>
              <w:left w:val="nil"/>
              <w:bottom w:val="nil"/>
              <w:right w:val="nil"/>
            </w:tcBorders>
            <w:noWrap/>
            <w:vAlign w:val="bottom"/>
            <w:hideMark/>
          </w:tcPr>
          <w:p w14:paraId="3DA65D6C"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325AE063"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4.426 </w:t>
            </w:r>
          </w:p>
        </w:tc>
        <w:tc>
          <w:tcPr>
            <w:tcW w:w="74" w:type="pct"/>
            <w:tcBorders>
              <w:top w:val="nil"/>
              <w:left w:val="nil"/>
              <w:bottom w:val="nil"/>
              <w:right w:val="nil"/>
            </w:tcBorders>
            <w:noWrap/>
            <w:vAlign w:val="bottom"/>
            <w:hideMark/>
          </w:tcPr>
          <w:p w14:paraId="635EFBDF" w14:textId="77777777" w:rsidR="00B142DC" w:rsidRPr="00B142DC" w:rsidRDefault="00B142DC">
            <w:pPr>
              <w:jc w:val="right"/>
              <w:rPr>
                <w:rFonts w:ascii="Arial" w:hAnsi="Arial" w:cs="Arial"/>
                <w:sz w:val="16"/>
                <w:szCs w:val="16"/>
              </w:rPr>
            </w:pPr>
          </w:p>
        </w:tc>
      </w:tr>
      <w:tr w:rsidR="00B142DC" w:rsidRPr="00B142DC" w14:paraId="3D535DD6" w14:textId="77777777" w:rsidTr="00B142DC">
        <w:trPr>
          <w:trHeight w:val="215"/>
        </w:trPr>
        <w:tc>
          <w:tcPr>
            <w:tcW w:w="3501" w:type="pct"/>
            <w:tcBorders>
              <w:top w:val="nil"/>
              <w:left w:val="nil"/>
              <w:bottom w:val="nil"/>
              <w:right w:val="nil"/>
            </w:tcBorders>
            <w:noWrap/>
            <w:vAlign w:val="bottom"/>
            <w:hideMark/>
          </w:tcPr>
          <w:p w14:paraId="45AB04B3"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Perdas Estimadas com Créditos de Liquidação Duvidosa</w:t>
            </w:r>
          </w:p>
        </w:tc>
        <w:tc>
          <w:tcPr>
            <w:tcW w:w="608" w:type="pct"/>
            <w:tcBorders>
              <w:top w:val="nil"/>
              <w:left w:val="nil"/>
              <w:bottom w:val="nil"/>
              <w:right w:val="nil"/>
            </w:tcBorders>
            <w:noWrap/>
            <w:vAlign w:val="bottom"/>
            <w:hideMark/>
          </w:tcPr>
          <w:p w14:paraId="4CE024B0" w14:textId="534D1218"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14</w:t>
            </w:r>
            <w:r w:rsidR="00E0139E">
              <w:rPr>
                <w:rFonts w:ascii="Arial" w:hAnsi="Arial" w:cs="Arial"/>
                <w:sz w:val="16"/>
                <w:szCs w:val="16"/>
              </w:rPr>
              <w:t>1</w:t>
            </w:r>
            <w:r w:rsidRPr="00B142DC">
              <w:rPr>
                <w:rFonts w:ascii="Arial" w:hAnsi="Arial" w:cs="Arial"/>
                <w:sz w:val="16"/>
                <w:szCs w:val="16"/>
              </w:rPr>
              <w:t xml:space="preserve"> </w:t>
            </w:r>
          </w:p>
        </w:tc>
        <w:tc>
          <w:tcPr>
            <w:tcW w:w="74" w:type="pct"/>
            <w:tcBorders>
              <w:top w:val="nil"/>
              <w:left w:val="nil"/>
              <w:bottom w:val="nil"/>
              <w:right w:val="nil"/>
            </w:tcBorders>
            <w:noWrap/>
            <w:vAlign w:val="bottom"/>
            <w:hideMark/>
          </w:tcPr>
          <w:p w14:paraId="4DEC4FB9"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7DBB5999"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398 </w:t>
            </w:r>
          </w:p>
        </w:tc>
        <w:tc>
          <w:tcPr>
            <w:tcW w:w="74" w:type="pct"/>
            <w:tcBorders>
              <w:top w:val="nil"/>
              <w:left w:val="nil"/>
              <w:bottom w:val="nil"/>
              <w:right w:val="nil"/>
            </w:tcBorders>
            <w:noWrap/>
            <w:vAlign w:val="bottom"/>
            <w:hideMark/>
          </w:tcPr>
          <w:p w14:paraId="17694A48" w14:textId="77777777" w:rsidR="00B142DC" w:rsidRPr="00B142DC" w:rsidRDefault="00B142DC">
            <w:pPr>
              <w:jc w:val="right"/>
              <w:rPr>
                <w:rFonts w:ascii="Arial" w:hAnsi="Arial" w:cs="Arial"/>
                <w:sz w:val="16"/>
                <w:szCs w:val="16"/>
              </w:rPr>
            </w:pPr>
          </w:p>
        </w:tc>
      </w:tr>
      <w:tr w:rsidR="00B142DC" w:rsidRPr="00B142DC" w14:paraId="23E2FB5C" w14:textId="77777777" w:rsidTr="00B142DC">
        <w:trPr>
          <w:trHeight w:val="215"/>
        </w:trPr>
        <w:tc>
          <w:tcPr>
            <w:tcW w:w="3501" w:type="pct"/>
            <w:tcBorders>
              <w:top w:val="nil"/>
              <w:left w:val="nil"/>
              <w:bottom w:val="nil"/>
              <w:right w:val="nil"/>
            </w:tcBorders>
            <w:noWrap/>
            <w:vAlign w:val="bottom"/>
            <w:hideMark/>
          </w:tcPr>
          <w:p w14:paraId="42439EA1"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37294FB2"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46E324E6"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130B5F1A"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364C303A" w14:textId="77777777" w:rsidR="00B142DC" w:rsidRPr="00B142DC" w:rsidRDefault="00B142DC">
            <w:pPr>
              <w:jc w:val="right"/>
              <w:rPr>
                <w:sz w:val="16"/>
                <w:szCs w:val="16"/>
              </w:rPr>
            </w:pPr>
          </w:p>
        </w:tc>
      </w:tr>
      <w:tr w:rsidR="00B142DC" w:rsidRPr="00B142DC" w14:paraId="5EF12DB5" w14:textId="77777777" w:rsidTr="00B142DC">
        <w:trPr>
          <w:trHeight w:val="215"/>
        </w:trPr>
        <w:tc>
          <w:tcPr>
            <w:tcW w:w="3501" w:type="pct"/>
            <w:tcBorders>
              <w:top w:val="nil"/>
              <w:left w:val="nil"/>
              <w:bottom w:val="nil"/>
              <w:right w:val="nil"/>
            </w:tcBorders>
            <w:noWrap/>
            <w:vAlign w:val="bottom"/>
            <w:hideMark/>
          </w:tcPr>
          <w:p w14:paraId="55D1CD8A" w14:textId="77777777" w:rsidR="00B142DC" w:rsidRPr="00B142DC" w:rsidRDefault="00B142DC">
            <w:pPr>
              <w:rPr>
                <w:rFonts w:ascii="Arial" w:hAnsi="Arial" w:cs="Arial"/>
                <w:b/>
                <w:bCs/>
                <w:sz w:val="16"/>
                <w:szCs w:val="16"/>
              </w:rPr>
            </w:pPr>
            <w:r w:rsidRPr="00B142DC">
              <w:rPr>
                <w:rFonts w:ascii="Arial" w:hAnsi="Arial" w:cs="Arial"/>
                <w:b/>
                <w:bCs/>
                <w:sz w:val="16"/>
                <w:szCs w:val="16"/>
              </w:rPr>
              <w:t>Insumos Adquiridos de Terceiros</w:t>
            </w:r>
          </w:p>
        </w:tc>
        <w:tc>
          <w:tcPr>
            <w:tcW w:w="608" w:type="pct"/>
            <w:tcBorders>
              <w:top w:val="nil"/>
              <w:left w:val="nil"/>
              <w:bottom w:val="nil"/>
              <w:right w:val="nil"/>
            </w:tcBorders>
            <w:noWrap/>
            <w:vAlign w:val="bottom"/>
            <w:hideMark/>
          </w:tcPr>
          <w:p w14:paraId="6CC70E28"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(106.081)</w:t>
            </w:r>
          </w:p>
        </w:tc>
        <w:tc>
          <w:tcPr>
            <w:tcW w:w="74" w:type="pct"/>
            <w:tcBorders>
              <w:top w:val="nil"/>
              <w:left w:val="nil"/>
              <w:bottom w:val="nil"/>
              <w:right w:val="nil"/>
            </w:tcBorders>
            <w:noWrap/>
            <w:vAlign w:val="bottom"/>
            <w:hideMark/>
          </w:tcPr>
          <w:p w14:paraId="2B770B5E"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10FBF24A"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(75.120)</w:t>
            </w:r>
          </w:p>
        </w:tc>
        <w:tc>
          <w:tcPr>
            <w:tcW w:w="74" w:type="pct"/>
            <w:tcBorders>
              <w:top w:val="nil"/>
              <w:left w:val="nil"/>
              <w:bottom w:val="nil"/>
              <w:right w:val="nil"/>
            </w:tcBorders>
            <w:noWrap/>
            <w:vAlign w:val="bottom"/>
            <w:hideMark/>
          </w:tcPr>
          <w:p w14:paraId="2C8AABE5" w14:textId="77777777" w:rsidR="00B142DC" w:rsidRPr="00B142DC" w:rsidRDefault="00B142DC">
            <w:pPr>
              <w:rPr>
                <w:rFonts w:ascii="Arial" w:hAnsi="Arial" w:cs="Arial"/>
                <w:b/>
                <w:bCs/>
                <w:sz w:val="16"/>
                <w:szCs w:val="16"/>
              </w:rPr>
            </w:pPr>
          </w:p>
        </w:tc>
      </w:tr>
      <w:tr w:rsidR="00B142DC" w:rsidRPr="00B142DC" w14:paraId="170E08A5" w14:textId="77777777" w:rsidTr="00B142DC">
        <w:trPr>
          <w:trHeight w:val="215"/>
        </w:trPr>
        <w:tc>
          <w:tcPr>
            <w:tcW w:w="3501" w:type="pct"/>
            <w:tcBorders>
              <w:top w:val="nil"/>
              <w:left w:val="nil"/>
              <w:bottom w:val="nil"/>
              <w:right w:val="nil"/>
            </w:tcBorders>
            <w:noWrap/>
            <w:vAlign w:val="bottom"/>
            <w:hideMark/>
          </w:tcPr>
          <w:p w14:paraId="65735776"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Custos dos Serviços Vendidos</w:t>
            </w:r>
          </w:p>
        </w:tc>
        <w:tc>
          <w:tcPr>
            <w:tcW w:w="608" w:type="pct"/>
            <w:tcBorders>
              <w:top w:val="nil"/>
              <w:left w:val="nil"/>
              <w:bottom w:val="nil"/>
              <w:right w:val="nil"/>
            </w:tcBorders>
            <w:noWrap/>
            <w:vAlign w:val="bottom"/>
            <w:hideMark/>
          </w:tcPr>
          <w:p w14:paraId="14EF3A7D"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(98.159)</w:t>
            </w:r>
          </w:p>
        </w:tc>
        <w:tc>
          <w:tcPr>
            <w:tcW w:w="74" w:type="pct"/>
            <w:tcBorders>
              <w:top w:val="nil"/>
              <w:left w:val="nil"/>
              <w:bottom w:val="nil"/>
              <w:right w:val="nil"/>
            </w:tcBorders>
            <w:noWrap/>
            <w:vAlign w:val="bottom"/>
            <w:hideMark/>
          </w:tcPr>
          <w:p w14:paraId="38A3811D"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739CF5BF"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(70.505)</w:t>
            </w:r>
          </w:p>
        </w:tc>
        <w:tc>
          <w:tcPr>
            <w:tcW w:w="74" w:type="pct"/>
            <w:tcBorders>
              <w:top w:val="nil"/>
              <w:left w:val="nil"/>
              <w:bottom w:val="nil"/>
              <w:right w:val="nil"/>
            </w:tcBorders>
            <w:noWrap/>
            <w:vAlign w:val="bottom"/>
            <w:hideMark/>
          </w:tcPr>
          <w:p w14:paraId="678C93C6" w14:textId="77777777" w:rsidR="00B142DC" w:rsidRPr="00B142DC" w:rsidRDefault="00B142DC">
            <w:pPr>
              <w:jc w:val="right"/>
              <w:rPr>
                <w:rFonts w:ascii="Arial" w:hAnsi="Arial" w:cs="Arial"/>
                <w:sz w:val="16"/>
                <w:szCs w:val="16"/>
              </w:rPr>
            </w:pPr>
          </w:p>
        </w:tc>
      </w:tr>
      <w:tr w:rsidR="00B142DC" w:rsidRPr="00B142DC" w14:paraId="150F70F2" w14:textId="77777777" w:rsidTr="00B142DC">
        <w:trPr>
          <w:trHeight w:val="215"/>
        </w:trPr>
        <w:tc>
          <w:tcPr>
            <w:tcW w:w="3501" w:type="pct"/>
            <w:tcBorders>
              <w:top w:val="nil"/>
              <w:left w:val="nil"/>
              <w:bottom w:val="nil"/>
              <w:right w:val="nil"/>
            </w:tcBorders>
            <w:noWrap/>
            <w:vAlign w:val="bottom"/>
            <w:hideMark/>
          </w:tcPr>
          <w:p w14:paraId="106E6322"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Serviços de Terceiros</w:t>
            </w:r>
          </w:p>
        </w:tc>
        <w:tc>
          <w:tcPr>
            <w:tcW w:w="608" w:type="pct"/>
            <w:tcBorders>
              <w:top w:val="nil"/>
              <w:left w:val="nil"/>
              <w:bottom w:val="nil"/>
              <w:right w:val="nil"/>
            </w:tcBorders>
            <w:noWrap/>
            <w:vAlign w:val="bottom"/>
            <w:hideMark/>
          </w:tcPr>
          <w:p w14:paraId="75DDC3E0"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(2.938)</w:t>
            </w:r>
          </w:p>
        </w:tc>
        <w:tc>
          <w:tcPr>
            <w:tcW w:w="74" w:type="pct"/>
            <w:tcBorders>
              <w:top w:val="nil"/>
              <w:left w:val="nil"/>
              <w:bottom w:val="nil"/>
              <w:right w:val="nil"/>
            </w:tcBorders>
            <w:noWrap/>
            <w:vAlign w:val="bottom"/>
            <w:hideMark/>
          </w:tcPr>
          <w:p w14:paraId="57B04EE0"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21CED3CC"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(1.522)</w:t>
            </w:r>
          </w:p>
        </w:tc>
        <w:tc>
          <w:tcPr>
            <w:tcW w:w="74" w:type="pct"/>
            <w:tcBorders>
              <w:top w:val="nil"/>
              <w:left w:val="nil"/>
              <w:bottom w:val="nil"/>
              <w:right w:val="nil"/>
            </w:tcBorders>
            <w:noWrap/>
            <w:vAlign w:val="bottom"/>
            <w:hideMark/>
          </w:tcPr>
          <w:p w14:paraId="16A00C95" w14:textId="77777777" w:rsidR="00B142DC" w:rsidRPr="00B142DC" w:rsidRDefault="00B142DC">
            <w:pPr>
              <w:jc w:val="right"/>
              <w:rPr>
                <w:rFonts w:ascii="Arial" w:hAnsi="Arial" w:cs="Arial"/>
                <w:sz w:val="16"/>
                <w:szCs w:val="16"/>
              </w:rPr>
            </w:pPr>
          </w:p>
        </w:tc>
      </w:tr>
      <w:tr w:rsidR="00B142DC" w:rsidRPr="00B142DC" w14:paraId="13392DC0" w14:textId="77777777" w:rsidTr="00B142DC">
        <w:trPr>
          <w:trHeight w:val="215"/>
        </w:trPr>
        <w:tc>
          <w:tcPr>
            <w:tcW w:w="3501" w:type="pct"/>
            <w:tcBorders>
              <w:top w:val="nil"/>
              <w:left w:val="nil"/>
              <w:bottom w:val="nil"/>
              <w:right w:val="nil"/>
            </w:tcBorders>
            <w:noWrap/>
            <w:vAlign w:val="bottom"/>
            <w:hideMark/>
          </w:tcPr>
          <w:p w14:paraId="0C6CABF7"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Serviços Técnicos Administrativos</w:t>
            </w:r>
          </w:p>
        </w:tc>
        <w:tc>
          <w:tcPr>
            <w:tcW w:w="608" w:type="pct"/>
            <w:tcBorders>
              <w:top w:val="nil"/>
              <w:left w:val="nil"/>
              <w:bottom w:val="nil"/>
              <w:right w:val="nil"/>
            </w:tcBorders>
            <w:noWrap/>
            <w:vAlign w:val="bottom"/>
            <w:hideMark/>
          </w:tcPr>
          <w:p w14:paraId="400DD11D"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(2.929)</w:t>
            </w:r>
          </w:p>
        </w:tc>
        <w:tc>
          <w:tcPr>
            <w:tcW w:w="74" w:type="pct"/>
            <w:tcBorders>
              <w:top w:val="nil"/>
              <w:left w:val="nil"/>
              <w:bottom w:val="nil"/>
              <w:right w:val="nil"/>
            </w:tcBorders>
            <w:noWrap/>
            <w:vAlign w:val="bottom"/>
            <w:hideMark/>
          </w:tcPr>
          <w:p w14:paraId="6D1C09B8"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67ADBCEC"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(1.852)</w:t>
            </w:r>
          </w:p>
        </w:tc>
        <w:tc>
          <w:tcPr>
            <w:tcW w:w="74" w:type="pct"/>
            <w:tcBorders>
              <w:top w:val="nil"/>
              <w:left w:val="nil"/>
              <w:bottom w:val="nil"/>
              <w:right w:val="nil"/>
            </w:tcBorders>
            <w:noWrap/>
            <w:vAlign w:val="bottom"/>
            <w:hideMark/>
          </w:tcPr>
          <w:p w14:paraId="0F3584ED" w14:textId="77777777" w:rsidR="00B142DC" w:rsidRPr="00B142DC" w:rsidRDefault="00B142DC">
            <w:pPr>
              <w:jc w:val="right"/>
              <w:rPr>
                <w:rFonts w:ascii="Arial" w:hAnsi="Arial" w:cs="Arial"/>
                <w:sz w:val="16"/>
                <w:szCs w:val="16"/>
              </w:rPr>
            </w:pPr>
          </w:p>
        </w:tc>
      </w:tr>
      <w:tr w:rsidR="00B142DC" w:rsidRPr="00B142DC" w14:paraId="3BFAF661" w14:textId="77777777" w:rsidTr="00B142DC">
        <w:trPr>
          <w:trHeight w:val="215"/>
        </w:trPr>
        <w:tc>
          <w:tcPr>
            <w:tcW w:w="3501" w:type="pct"/>
            <w:tcBorders>
              <w:top w:val="nil"/>
              <w:left w:val="nil"/>
              <w:bottom w:val="nil"/>
              <w:right w:val="nil"/>
            </w:tcBorders>
            <w:noWrap/>
            <w:vAlign w:val="bottom"/>
            <w:hideMark/>
          </w:tcPr>
          <w:p w14:paraId="139CD454"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Outras Despesas</w:t>
            </w:r>
          </w:p>
        </w:tc>
        <w:tc>
          <w:tcPr>
            <w:tcW w:w="608" w:type="pct"/>
            <w:tcBorders>
              <w:top w:val="nil"/>
              <w:left w:val="nil"/>
              <w:bottom w:val="nil"/>
              <w:right w:val="nil"/>
            </w:tcBorders>
            <w:noWrap/>
            <w:vAlign w:val="bottom"/>
            <w:hideMark/>
          </w:tcPr>
          <w:p w14:paraId="028A4920"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(2.055)</w:t>
            </w:r>
          </w:p>
        </w:tc>
        <w:tc>
          <w:tcPr>
            <w:tcW w:w="74" w:type="pct"/>
            <w:tcBorders>
              <w:top w:val="nil"/>
              <w:left w:val="nil"/>
              <w:bottom w:val="nil"/>
              <w:right w:val="nil"/>
            </w:tcBorders>
            <w:noWrap/>
            <w:vAlign w:val="bottom"/>
            <w:hideMark/>
          </w:tcPr>
          <w:p w14:paraId="0E24035B"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16A16C6A"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(1.241)</w:t>
            </w:r>
          </w:p>
        </w:tc>
        <w:tc>
          <w:tcPr>
            <w:tcW w:w="74" w:type="pct"/>
            <w:tcBorders>
              <w:top w:val="nil"/>
              <w:left w:val="nil"/>
              <w:bottom w:val="nil"/>
              <w:right w:val="nil"/>
            </w:tcBorders>
            <w:noWrap/>
            <w:vAlign w:val="bottom"/>
            <w:hideMark/>
          </w:tcPr>
          <w:p w14:paraId="49C8EB62" w14:textId="77777777" w:rsidR="00B142DC" w:rsidRPr="00B142DC" w:rsidRDefault="00B142DC">
            <w:pPr>
              <w:jc w:val="right"/>
              <w:rPr>
                <w:rFonts w:ascii="Arial" w:hAnsi="Arial" w:cs="Arial"/>
                <w:sz w:val="16"/>
                <w:szCs w:val="16"/>
              </w:rPr>
            </w:pPr>
          </w:p>
        </w:tc>
      </w:tr>
      <w:tr w:rsidR="00B142DC" w:rsidRPr="00B142DC" w14:paraId="7C84FBCA" w14:textId="77777777" w:rsidTr="00B142DC">
        <w:trPr>
          <w:trHeight w:val="215"/>
        </w:trPr>
        <w:tc>
          <w:tcPr>
            <w:tcW w:w="3501" w:type="pct"/>
            <w:tcBorders>
              <w:top w:val="nil"/>
              <w:left w:val="nil"/>
              <w:bottom w:val="nil"/>
              <w:right w:val="nil"/>
            </w:tcBorders>
            <w:noWrap/>
            <w:vAlign w:val="bottom"/>
            <w:hideMark/>
          </w:tcPr>
          <w:p w14:paraId="25CAB0AC"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6BE86A42" w14:textId="77777777" w:rsidR="00B142DC" w:rsidRPr="00B142DC" w:rsidRDefault="00B142DC" w:rsidP="00B142DC">
            <w:pPr>
              <w:ind w:firstLineChars="300" w:firstLine="480"/>
              <w:jc w:val="right"/>
              <w:rPr>
                <w:sz w:val="16"/>
                <w:szCs w:val="16"/>
              </w:rPr>
            </w:pPr>
          </w:p>
        </w:tc>
        <w:tc>
          <w:tcPr>
            <w:tcW w:w="74" w:type="pct"/>
            <w:tcBorders>
              <w:top w:val="nil"/>
              <w:left w:val="nil"/>
              <w:bottom w:val="nil"/>
              <w:right w:val="nil"/>
            </w:tcBorders>
            <w:noWrap/>
            <w:vAlign w:val="bottom"/>
            <w:hideMark/>
          </w:tcPr>
          <w:p w14:paraId="4E415385"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3B2E04BC"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6F787DF4" w14:textId="77777777" w:rsidR="00B142DC" w:rsidRPr="00B142DC" w:rsidRDefault="00B142DC">
            <w:pPr>
              <w:jc w:val="right"/>
              <w:rPr>
                <w:sz w:val="16"/>
                <w:szCs w:val="16"/>
              </w:rPr>
            </w:pPr>
          </w:p>
        </w:tc>
      </w:tr>
      <w:tr w:rsidR="00B142DC" w:rsidRPr="00B142DC" w14:paraId="1C2C6C81" w14:textId="77777777" w:rsidTr="00B142DC">
        <w:trPr>
          <w:trHeight w:val="215"/>
        </w:trPr>
        <w:tc>
          <w:tcPr>
            <w:tcW w:w="3501" w:type="pct"/>
            <w:tcBorders>
              <w:top w:val="nil"/>
              <w:left w:val="nil"/>
              <w:bottom w:val="nil"/>
              <w:right w:val="nil"/>
            </w:tcBorders>
            <w:noWrap/>
            <w:vAlign w:val="bottom"/>
            <w:hideMark/>
          </w:tcPr>
          <w:p w14:paraId="14BC61DB" w14:textId="77777777" w:rsidR="00B142DC" w:rsidRPr="00B142DC" w:rsidRDefault="00B142DC">
            <w:pPr>
              <w:rPr>
                <w:rFonts w:ascii="Arial" w:hAnsi="Arial" w:cs="Arial"/>
                <w:b/>
                <w:bCs/>
                <w:sz w:val="16"/>
                <w:szCs w:val="16"/>
              </w:rPr>
            </w:pPr>
            <w:r w:rsidRPr="00B142DC">
              <w:rPr>
                <w:rFonts w:ascii="Arial" w:hAnsi="Arial" w:cs="Arial"/>
                <w:b/>
                <w:bCs/>
                <w:sz w:val="16"/>
                <w:szCs w:val="16"/>
              </w:rPr>
              <w:t>Valor Adicionado Bruto</w:t>
            </w:r>
          </w:p>
        </w:tc>
        <w:tc>
          <w:tcPr>
            <w:tcW w:w="608" w:type="pct"/>
            <w:tcBorders>
              <w:top w:val="nil"/>
              <w:left w:val="nil"/>
              <w:bottom w:val="nil"/>
              <w:right w:val="nil"/>
            </w:tcBorders>
            <w:noWrap/>
            <w:vAlign w:val="bottom"/>
            <w:hideMark/>
          </w:tcPr>
          <w:p w14:paraId="1A02D093"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36.033 </w:t>
            </w:r>
          </w:p>
        </w:tc>
        <w:tc>
          <w:tcPr>
            <w:tcW w:w="74" w:type="pct"/>
            <w:tcBorders>
              <w:top w:val="nil"/>
              <w:left w:val="nil"/>
              <w:bottom w:val="nil"/>
              <w:right w:val="nil"/>
            </w:tcBorders>
            <w:noWrap/>
            <w:vAlign w:val="bottom"/>
            <w:hideMark/>
          </w:tcPr>
          <w:p w14:paraId="79084BD9"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4E52C9BA"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115.137 </w:t>
            </w:r>
          </w:p>
        </w:tc>
        <w:tc>
          <w:tcPr>
            <w:tcW w:w="74" w:type="pct"/>
            <w:tcBorders>
              <w:top w:val="nil"/>
              <w:left w:val="nil"/>
              <w:bottom w:val="nil"/>
              <w:right w:val="nil"/>
            </w:tcBorders>
            <w:noWrap/>
            <w:vAlign w:val="bottom"/>
            <w:hideMark/>
          </w:tcPr>
          <w:p w14:paraId="5911D530" w14:textId="77777777" w:rsidR="00B142DC" w:rsidRPr="00B142DC" w:rsidRDefault="00B142DC">
            <w:pPr>
              <w:jc w:val="right"/>
              <w:rPr>
                <w:rFonts w:ascii="Arial" w:hAnsi="Arial" w:cs="Arial"/>
                <w:b/>
                <w:bCs/>
                <w:sz w:val="16"/>
                <w:szCs w:val="16"/>
              </w:rPr>
            </w:pPr>
          </w:p>
        </w:tc>
      </w:tr>
      <w:tr w:rsidR="00B142DC" w:rsidRPr="00B142DC" w14:paraId="4A448BA4" w14:textId="77777777" w:rsidTr="00B142DC">
        <w:trPr>
          <w:trHeight w:val="215"/>
        </w:trPr>
        <w:tc>
          <w:tcPr>
            <w:tcW w:w="3501" w:type="pct"/>
            <w:tcBorders>
              <w:top w:val="nil"/>
              <w:left w:val="nil"/>
              <w:bottom w:val="nil"/>
              <w:right w:val="nil"/>
            </w:tcBorders>
            <w:noWrap/>
            <w:vAlign w:val="bottom"/>
            <w:hideMark/>
          </w:tcPr>
          <w:p w14:paraId="6F4B5113"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3772394B" w14:textId="77777777" w:rsidR="00B142DC" w:rsidRPr="00B142DC" w:rsidRDefault="00B142DC" w:rsidP="00B142DC">
            <w:pPr>
              <w:ind w:firstLineChars="300" w:firstLine="480"/>
              <w:jc w:val="right"/>
              <w:rPr>
                <w:sz w:val="16"/>
                <w:szCs w:val="16"/>
              </w:rPr>
            </w:pPr>
          </w:p>
        </w:tc>
        <w:tc>
          <w:tcPr>
            <w:tcW w:w="74" w:type="pct"/>
            <w:tcBorders>
              <w:top w:val="nil"/>
              <w:left w:val="nil"/>
              <w:bottom w:val="nil"/>
              <w:right w:val="nil"/>
            </w:tcBorders>
            <w:noWrap/>
            <w:vAlign w:val="bottom"/>
            <w:hideMark/>
          </w:tcPr>
          <w:p w14:paraId="340CC199"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686BCBC4"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0A751F75" w14:textId="77777777" w:rsidR="00B142DC" w:rsidRPr="00B142DC" w:rsidRDefault="00B142DC">
            <w:pPr>
              <w:jc w:val="right"/>
              <w:rPr>
                <w:sz w:val="16"/>
                <w:szCs w:val="16"/>
              </w:rPr>
            </w:pPr>
          </w:p>
        </w:tc>
      </w:tr>
      <w:tr w:rsidR="00B142DC" w:rsidRPr="00B142DC" w14:paraId="50C938DC" w14:textId="77777777" w:rsidTr="00B142DC">
        <w:trPr>
          <w:trHeight w:val="215"/>
        </w:trPr>
        <w:tc>
          <w:tcPr>
            <w:tcW w:w="3501" w:type="pct"/>
            <w:tcBorders>
              <w:top w:val="nil"/>
              <w:left w:val="nil"/>
              <w:bottom w:val="nil"/>
              <w:right w:val="nil"/>
            </w:tcBorders>
            <w:noWrap/>
            <w:vAlign w:val="bottom"/>
            <w:hideMark/>
          </w:tcPr>
          <w:p w14:paraId="42ADFF00" w14:textId="77777777" w:rsidR="00B142DC" w:rsidRPr="00B142DC" w:rsidRDefault="00B142DC">
            <w:pPr>
              <w:rPr>
                <w:rFonts w:ascii="Arial" w:hAnsi="Arial" w:cs="Arial"/>
                <w:b/>
                <w:bCs/>
                <w:sz w:val="16"/>
                <w:szCs w:val="16"/>
              </w:rPr>
            </w:pPr>
            <w:r w:rsidRPr="00B142DC">
              <w:rPr>
                <w:rFonts w:ascii="Arial" w:hAnsi="Arial" w:cs="Arial"/>
                <w:b/>
                <w:bCs/>
                <w:sz w:val="16"/>
                <w:szCs w:val="16"/>
              </w:rPr>
              <w:t>Retenções</w:t>
            </w:r>
          </w:p>
        </w:tc>
        <w:tc>
          <w:tcPr>
            <w:tcW w:w="608" w:type="pct"/>
            <w:tcBorders>
              <w:top w:val="nil"/>
              <w:left w:val="nil"/>
              <w:bottom w:val="nil"/>
              <w:right w:val="nil"/>
            </w:tcBorders>
            <w:noWrap/>
            <w:vAlign w:val="bottom"/>
            <w:hideMark/>
          </w:tcPr>
          <w:p w14:paraId="281C7679"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(63.539)</w:t>
            </w:r>
          </w:p>
        </w:tc>
        <w:tc>
          <w:tcPr>
            <w:tcW w:w="74" w:type="pct"/>
            <w:tcBorders>
              <w:top w:val="nil"/>
              <w:left w:val="nil"/>
              <w:bottom w:val="nil"/>
              <w:right w:val="nil"/>
            </w:tcBorders>
            <w:noWrap/>
            <w:vAlign w:val="bottom"/>
            <w:hideMark/>
          </w:tcPr>
          <w:p w14:paraId="66F9C0C5"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166523FB"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(69.724)</w:t>
            </w:r>
          </w:p>
        </w:tc>
        <w:tc>
          <w:tcPr>
            <w:tcW w:w="74" w:type="pct"/>
            <w:tcBorders>
              <w:top w:val="nil"/>
              <w:left w:val="nil"/>
              <w:bottom w:val="nil"/>
              <w:right w:val="nil"/>
            </w:tcBorders>
            <w:noWrap/>
            <w:vAlign w:val="bottom"/>
            <w:hideMark/>
          </w:tcPr>
          <w:p w14:paraId="41220291" w14:textId="77777777" w:rsidR="00B142DC" w:rsidRPr="00B142DC" w:rsidRDefault="00B142DC">
            <w:pPr>
              <w:jc w:val="right"/>
              <w:rPr>
                <w:rFonts w:ascii="Arial" w:hAnsi="Arial" w:cs="Arial"/>
                <w:b/>
                <w:bCs/>
                <w:sz w:val="16"/>
                <w:szCs w:val="16"/>
              </w:rPr>
            </w:pPr>
          </w:p>
        </w:tc>
      </w:tr>
      <w:tr w:rsidR="00B142DC" w:rsidRPr="00B142DC" w14:paraId="276E0680" w14:textId="77777777" w:rsidTr="00B142DC">
        <w:trPr>
          <w:trHeight w:val="215"/>
        </w:trPr>
        <w:tc>
          <w:tcPr>
            <w:tcW w:w="3501" w:type="pct"/>
            <w:tcBorders>
              <w:top w:val="nil"/>
              <w:left w:val="nil"/>
              <w:bottom w:val="nil"/>
              <w:right w:val="nil"/>
            </w:tcBorders>
            <w:noWrap/>
            <w:vAlign w:val="bottom"/>
            <w:hideMark/>
          </w:tcPr>
          <w:p w14:paraId="52973500" w14:textId="77777777" w:rsidR="00B142DC" w:rsidRPr="00B142DC" w:rsidRDefault="00B142DC">
            <w:pPr>
              <w:rPr>
                <w:rFonts w:ascii="Arial" w:hAnsi="Arial" w:cs="Arial"/>
                <w:sz w:val="16"/>
                <w:szCs w:val="16"/>
              </w:rPr>
            </w:pPr>
            <w:r w:rsidRPr="00B142DC">
              <w:rPr>
                <w:rFonts w:ascii="Arial" w:hAnsi="Arial" w:cs="Arial"/>
                <w:sz w:val="16"/>
                <w:szCs w:val="16"/>
              </w:rPr>
              <w:t xml:space="preserve">         Depreciação e Amortização</w:t>
            </w:r>
          </w:p>
        </w:tc>
        <w:tc>
          <w:tcPr>
            <w:tcW w:w="608" w:type="pct"/>
            <w:tcBorders>
              <w:top w:val="nil"/>
              <w:left w:val="nil"/>
              <w:bottom w:val="nil"/>
              <w:right w:val="nil"/>
            </w:tcBorders>
            <w:noWrap/>
            <w:vAlign w:val="bottom"/>
            <w:hideMark/>
          </w:tcPr>
          <w:p w14:paraId="0DD91C1E"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(63.539)</w:t>
            </w:r>
          </w:p>
        </w:tc>
        <w:tc>
          <w:tcPr>
            <w:tcW w:w="74" w:type="pct"/>
            <w:tcBorders>
              <w:top w:val="nil"/>
              <w:left w:val="nil"/>
              <w:bottom w:val="nil"/>
              <w:right w:val="nil"/>
            </w:tcBorders>
            <w:noWrap/>
            <w:vAlign w:val="bottom"/>
            <w:hideMark/>
          </w:tcPr>
          <w:p w14:paraId="5D185994"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0A3162D4"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(69.724)</w:t>
            </w:r>
          </w:p>
        </w:tc>
        <w:tc>
          <w:tcPr>
            <w:tcW w:w="74" w:type="pct"/>
            <w:tcBorders>
              <w:top w:val="nil"/>
              <w:left w:val="nil"/>
              <w:bottom w:val="nil"/>
              <w:right w:val="nil"/>
            </w:tcBorders>
            <w:noWrap/>
            <w:vAlign w:val="bottom"/>
            <w:hideMark/>
          </w:tcPr>
          <w:p w14:paraId="23A90D40" w14:textId="77777777" w:rsidR="00B142DC" w:rsidRPr="00B142DC" w:rsidRDefault="00B142DC">
            <w:pPr>
              <w:jc w:val="right"/>
              <w:rPr>
                <w:rFonts w:ascii="Arial" w:hAnsi="Arial" w:cs="Arial"/>
                <w:sz w:val="16"/>
                <w:szCs w:val="16"/>
              </w:rPr>
            </w:pPr>
          </w:p>
        </w:tc>
      </w:tr>
      <w:tr w:rsidR="00B142DC" w:rsidRPr="00B142DC" w14:paraId="5A3A4B20" w14:textId="77777777" w:rsidTr="00B142DC">
        <w:trPr>
          <w:trHeight w:val="215"/>
        </w:trPr>
        <w:tc>
          <w:tcPr>
            <w:tcW w:w="3501" w:type="pct"/>
            <w:tcBorders>
              <w:top w:val="nil"/>
              <w:left w:val="nil"/>
              <w:bottom w:val="nil"/>
              <w:right w:val="nil"/>
            </w:tcBorders>
            <w:noWrap/>
            <w:vAlign w:val="bottom"/>
            <w:hideMark/>
          </w:tcPr>
          <w:p w14:paraId="42FC2375"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5DE919DE" w14:textId="77777777" w:rsidR="00B142DC" w:rsidRPr="00B142DC" w:rsidRDefault="00B142DC" w:rsidP="00B142DC">
            <w:pPr>
              <w:ind w:firstLineChars="300" w:firstLine="480"/>
              <w:jc w:val="right"/>
              <w:rPr>
                <w:sz w:val="16"/>
                <w:szCs w:val="16"/>
              </w:rPr>
            </w:pPr>
          </w:p>
        </w:tc>
        <w:tc>
          <w:tcPr>
            <w:tcW w:w="74" w:type="pct"/>
            <w:tcBorders>
              <w:top w:val="nil"/>
              <w:left w:val="nil"/>
              <w:bottom w:val="nil"/>
              <w:right w:val="nil"/>
            </w:tcBorders>
            <w:noWrap/>
            <w:vAlign w:val="bottom"/>
            <w:hideMark/>
          </w:tcPr>
          <w:p w14:paraId="529235BC"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4E245034"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6225ABBD" w14:textId="77777777" w:rsidR="00B142DC" w:rsidRPr="00B142DC" w:rsidRDefault="00B142DC">
            <w:pPr>
              <w:jc w:val="right"/>
              <w:rPr>
                <w:sz w:val="16"/>
                <w:szCs w:val="16"/>
              </w:rPr>
            </w:pPr>
          </w:p>
        </w:tc>
      </w:tr>
      <w:tr w:rsidR="00B142DC" w:rsidRPr="00B142DC" w14:paraId="2AF4A6FA" w14:textId="77777777" w:rsidTr="00B142DC">
        <w:trPr>
          <w:trHeight w:val="215"/>
        </w:trPr>
        <w:tc>
          <w:tcPr>
            <w:tcW w:w="3501" w:type="pct"/>
            <w:tcBorders>
              <w:top w:val="nil"/>
              <w:left w:val="nil"/>
              <w:bottom w:val="nil"/>
              <w:right w:val="nil"/>
            </w:tcBorders>
            <w:noWrap/>
            <w:vAlign w:val="bottom"/>
            <w:hideMark/>
          </w:tcPr>
          <w:p w14:paraId="0960DFD2" w14:textId="77777777" w:rsidR="00B142DC" w:rsidRPr="00B142DC" w:rsidRDefault="00B142DC">
            <w:pPr>
              <w:rPr>
                <w:rFonts w:ascii="Arial" w:hAnsi="Arial" w:cs="Arial"/>
                <w:b/>
                <w:bCs/>
                <w:sz w:val="16"/>
                <w:szCs w:val="16"/>
              </w:rPr>
            </w:pPr>
            <w:r w:rsidRPr="00B142DC">
              <w:rPr>
                <w:rFonts w:ascii="Arial" w:hAnsi="Arial" w:cs="Arial"/>
                <w:b/>
                <w:bCs/>
                <w:sz w:val="16"/>
                <w:szCs w:val="16"/>
              </w:rPr>
              <w:t xml:space="preserve"> Valor Adicionado Líquido Produzido</w:t>
            </w:r>
          </w:p>
        </w:tc>
        <w:tc>
          <w:tcPr>
            <w:tcW w:w="608" w:type="pct"/>
            <w:tcBorders>
              <w:top w:val="nil"/>
              <w:left w:val="nil"/>
              <w:bottom w:val="nil"/>
              <w:right w:val="nil"/>
            </w:tcBorders>
            <w:noWrap/>
            <w:vAlign w:val="bottom"/>
            <w:hideMark/>
          </w:tcPr>
          <w:p w14:paraId="647742EB"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(27.506)</w:t>
            </w:r>
          </w:p>
        </w:tc>
        <w:tc>
          <w:tcPr>
            <w:tcW w:w="74" w:type="pct"/>
            <w:tcBorders>
              <w:top w:val="nil"/>
              <w:left w:val="nil"/>
              <w:bottom w:val="nil"/>
              <w:right w:val="nil"/>
            </w:tcBorders>
            <w:noWrap/>
            <w:vAlign w:val="bottom"/>
            <w:hideMark/>
          </w:tcPr>
          <w:p w14:paraId="4E4F2416"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4D283D5A"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45.413 </w:t>
            </w:r>
          </w:p>
        </w:tc>
        <w:tc>
          <w:tcPr>
            <w:tcW w:w="74" w:type="pct"/>
            <w:tcBorders>
              <w:top w:val="nil"/>
              <w:left w:val="nil"/>
              <w:bottom w:val="nil"/>
              <w:right w:val="nil"/>
            </w:tcBorders>
            <w:noWrap/>
            <w:vAlign w:val="bottom"/>
            <w:hideMark/>
          </w:tcPr>
          <w:p w14:paraId="1BC68BFA" w14:textId="77777777" w:rsidR="00B142DC" w:rsidRPr="00B142DC" w:rsidRDefault="00B142DC">
            <w:pPr>
              <w:jc w:val="right"/>
              <w:rPr>
                <w:rFonts w:ascii="Arial" w:hAnsi="Arial" w:cs="Arial"/>
                <w:b/>
                <w:bCs/>
                <w:sz w:val="16"/>
                <w:szCs w:val="16"/>
              </w:rPr>
            </w:pPr>
          </w:p>
        </w:tc>
      </w:tr>
      <w:tr w:rsidR="00B142DC" w:rsidRPr="00B142DC" w14:paraId="443E0BE1" w14:textId="77777777" w:rsidTr="00B142DC">
        <w:trPr>
          <w:trHeight w:val="215"/>
        </w:trPr>
        <w:tc>
          <w:tcPr>
            <w:tcW w:w="3501" w:type="pct"/>
            <w:tcBorders>
              <w:top w:val="nil"/>
              <w:left w:val="nil"/>
              <w:bottom w:val="nil"/>
              <w:right w:val="nil"/>
            </w:tcBorders>
            <w:noWrap/>
            <w:vAlign w:val="bottom"/>
            <w:hideMark/>
          </w:tcPr>
          <w:p w14:paraId="06B67E4B"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2217C2F0"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049E33CD"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4436054E"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67766643" w14:textId="77777777" w:rsidR="00B142DC" w:rsidRPr="00B142DC" w:rsidRDefault="00B142DC">
            <w:pPr>
              <w:jc w:val="right"/>
              <w:rPr>
                <w:sz w:val="16"/>
                <w:szCs w:val="16"/>
              </w:rPr>
            </w:pPr>
          </w:p>
        </w:tc>
      </w:tr>
      <w:tr w:rsidR="00B142DC" w:rsidRPr="00B142DC" w14:paraId="7B9EED9B" w14:textId="77777777" w:rsidTr="00B142DC">
        <w:trPr>
          <w:trHeight w:val="215"/>
        </w:trPr>
        <w:tc>
          <w:tcPr>
            <w:tcW w:w="3501" w:type="pct"/>
            <w:tcBorders>
              <w:top w:val="nil"/>
              <w:left w:val="nil"/>
              <w:bottom w:val="nil"/>
              <w:right w:val="nil"/>
            </w:tcBorders>
            <w:noWrap/>
            <w:vAlign w:val="bottom"/>
            <w:hideMark/>
          </w:tcPr>
          <w:p w14:paraId="1B5A9407" w14:textId="77777777" w:rsidR="00B142DC" w:rsidRPr="00B142DC" w:rsidRDefault="00B142DC">
            <w:pPr>
              <w:rPr>
                <w:rFonts w:ascii="Arial" w:hAnsi="Arial" w:cs="Arial"/>
                <w:b/>
                <w:bCs/>
                <w:sz w:val="16"/>
                <w:szCs w:val="16"/>
              </w:rPr>
            </w:pPr>
            <w:r w:rsidRPr="00B142DC">
              <w:rPr>
                <w:rFonts w:ascii="Arial" w:hAnsi="Arial" w:cs="Arial"/>
                <w:b/>
                <w:bCs/>
                <w:sz w:val="16"/>
                <w:szCs w:val="16"/>
              </w:rPr>
              <w:t xml:space="preserve"> Valor Adicionado Recebido em Transferência</w:t>
            </w:r>
          </w:p>
        </w:tc>
        <w:tc>
          <w:tcPr>
            <w:tcW w:w="608" w:type="pct"/>
            <w:tcBorders>
              <w:top w:val="nil"/>
              <w:left w:val="nil"/>
              <w:bottom w:val="nil"/>
              <w:right w:val="nil"/>
            </w:tcBorders>
            <w:noWrap/>
            <w:vAlign w:val="bottom"/>
            <w:hideMark/>
          </w:tcPr>
          <w:p w14:paraId="7CED897C"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74.616 </w:t>
            </w:r>
          </w:p>
        </w:tc>
        <w:tc>
          <w:tcPr>
            <w:tcW w:w="74" w:type="pct"/>
            <w:tcBorders>
              <w:top w:val="nil"/>
              <w:left w:val="nil"/>
              <w:bottom w:val="nil"/>
              <w:right w:val="nil"/>
            </w:tcBorders>
            <w:noWrap/>
            <w:vAlign w:val="bottom"/>
            <w:hideMark/>
          </w:tcPr>
          <w:p w14:paraId="3FC05C0C"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519817E4"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68.283 </w:t>
            </w:r>
          </w:p>
        </w:tc>
        <w:tc>
          <w:tcPr>
            <w:tcW w:w="74" w:type="pct"/>
            <w:tcBorders>
              <w:top w:val="nil"/>
              <w:left w:val="nil"/>
              <w:bottom w:val="nil"/>
              <w:right w:val="nil"/>
            </w:tcBorders>
            <w:noWrap/>
            <w:vAlign w:val="bottom"/>
            <w:hideMark/>
          </w:tcPr>
          <w:p w14:paraId="52D9765F" w14:textId="77777777" w:rsidR="00B142DC" w:rsidRPr="00B142DC" w:rsidRDefault="00B142DC">
            <w:pPr>
              <w:jc w:val="right"/>
              <w:rPr>
                <w:rFonts w:ascii="Arial" w:hAnsi="Arial" w:cs="Arial"/>
                <w:b/>
                <w:bCs/>
                <w:sz w:val="16"/>
                <w:szCs w:val="16"/>
              </w:rPr>
            </w:pPr>
          </w:p>
        </w:tc>
      </w:tr>
      <w:tr w:rsidR="00B142DC" w:rsidRPr="00B142DC" w14:paraId="4A587722" w14:textId="77777777" w:rsidTr="00B142DC">
        <w:trPr>
          <w:trHeight w:val="215"/>
        </w:trPr>
        <w:tc>
          <w:tcPr>
            <w:tcW w:w="3501" w:type="pct"/>
            <w:tcBorders>
              <w:top w:val="nil"/>
              <w:left w:val="nil"/>
              <w:bottom w:val="nil"/>
              <w:right w:val="nil"/>
            </w:tcBorders>
            <w:noWrap/>
            <w:vAlign w:val="bottom"/>
            <w:hideMark/>
          </w:tcPr>
          <w:p w14:paraId="1B0E3E02"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Resultado de Equivalência Patrimonial sobre Resultado</w:t>
            </w:r>
          </w:p>
        </w:tc>
        <w:tc>
          <w:tcPr>
            <w:tcW w:w="608" w:type="pct"/>
            <w:tcBorders>
              <w:top w:val="nil"/>
              <w:left w:val="nil"/>
              <w:bottom w:val="nil"/>
              <w:right w:val="nil"/>
            </w:tcBorders>
            <w:noWrap/>
            <w:vAlign w:val="bottom"/>
            <w:hideMark/>
          </w:tcPr>
          <w:p w14:paraId="0C6D9F62"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(82)</w:t>
            </w:r>
          </w:p>
        </w:tc>
        <w:tc>
          <w:tcPr>
            <w:tcW w:w="74" w:type="pct"/>
            <w:tcBorders>
              <w:top w:val="nil"/>
              <w:left w:val="nil"/>
              <w:bottom w:val="nil"/>
              <w:right w:val="nil"/>
            </w:tcBorders>
            <w:noWrap/>
            <w:vAlign w:val="bottom"/>
            <w:hideMark/>
          </w:tcPr>
          <w:p w14:paraId="64881F1B"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551E4AF7"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(716)</w:t>
            </w:r>
          </w:p>
        </w:tc>
        <w:tc>
          <w:tcPr>
            <w:tcW w:w="74" w:type="pct"/>
            <w:tcBorders>
              <w:top w:val="nil"/>
              <w:left w:val="nil"/>
              <w:bottom w:val="nil"/>
              <w:right w:val="nil"/>
            </w:tcBorders>
            <w:noWrap/>
            <w:vAlign w:val="bottom"/>
            <w:hideMark/>
          </w:tcPr>
          <w:p w14:paraId="062EBEC0" w14:textId="77777777" w:rsidR="00B142DC" w:rsidRPr="00B142DC" w:rsidRDefault="00B142DC">
            <w:pPr>
              <w:jc w:val="right"/>
              <w:rPr>
                <w:rFonts w:ascii="Arial" w:hAnsi="Arial" w:cs="Arial"/>
                <w:sz w:val="16"/>
                <w:szCs w:val="16"/>
              </w:rPr>
            </w:pPr>
          </w:p>
        </w:tc>
      </w:tr>
      <w:tr w:rsidR="00B142DC" w:rsidRPr="00B142DC" w14:paraId="3A37843B" w14:textId="77777777" w:rsidTr="00B142DC">
        <w:trPr>
          <w:trHeight w:val="215"/>
        </w:trPr>
        <w:tc>
          <w:tcPr>
            <w:tcW w:w="3501" w:type="pct"/>
            <w:tcBorders>
              <w:top w:val="nil"/>
              <w:left w:val="nil"/>
              <w:bottom w:val="nil"/>
              <w:right w:val="nil"/>
            </w:tcBorders>
            <w:noWrap/>
            <w:vAlign w:val="bottom"/>
            <w:hideMark/>
          </w:tcPr>
          <w:p w14:paraId="3EDF33B6"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Receitas Financeiras</w:t>
            </w:r>
          </w:p>
        </w:tc>
        <w:tc>
          <w:tcPr>
            <w:tcW w:w="608" w:type="pct"/>
            <w:tcBorders>
              <w:top w:val="nil"/>
              <w:left w:val="nil"/>
              <w:bottom w:val="nil"/>
              <w:right w:val="nil"/>
            </w:tcBorders>
            <w:noWrap/>
            <w:vAlign w:val="bottom"/>
            <w:hideMark/>
          </w:tcPr>
          <w:p w14:paraId="13CF9739"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57.407 </w:t>
            </w:r>
          </w:p>
        </w:tc>
        <w:tc>
          <w:tcPr>
            <w:tcW w:w="74" w:type="pct"/>
            <w:tcBorders>
              <w:top w:val="nil"/>
              <w:left w:val="nil"/>
              <w:bottom w:val="nil"/>
              <w:right w:val="nil"/>
            </w:tcBorders>
            <w:noWrap/>
            <w:vAlign w:val="bottom"/>
            <w:hideMark/>
          </w:tcPr>
          <w:p w14:paraId="1DE931D6"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1629A733"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50.427 </w:t>
            </w:r>
          </w:p>
        </w:tc>
        <w:tc>
          <w:tcPr>
            <w:tcW w:w="74" w:type="pct"/>
            <w:tcBorders>
              <w:top w:val="nil"/>
              <w:left w:val="nil"/>
              <w:bottom w:val="nil"/>
              <w:right w:val="nil"/>
            </w:tcBorders>
            <w:noWrap/>
            <w:vAlign w:val="bottom"/>
            <w:hideMark/>
          </w:tcPr>
          <w:p w14:paraId="57001BCE" w14:textId="77777777" w:rsidR="00B142DC" w:rsidRPr="00B142DC" w:rsidRDefault="00B142DC">
            <w:pPr>
              <w:jc w:val="right"/>
              <w:rPr>
                <w:rFonts w:ascii="Arial" w:hAnsi="Arial" w:cs="Arial"/>
                <w:sz w:val="16"/>
                <w:szCs w:val="16"/>
              </w:rPr>
            </w:pPr>
          </w:p>
        </w:tc>
      </w:tr>
      <w:tr w:rsidR="00B142DC" w:rsidRPr="00B142DC" w14:paraId="37EEA13D" w14:textId="77777777" w:rsidTr="00B142DC">
        <w:trPr>
          <w:trHeight w:val="215"/>
        </w:trPr>
        <w:tc>
          <w:tcPr>
            <w:tcW w:w="3501" w:type="pct"/>
            <w:tcBorders>
              <w:top w:val="nil"/>
              <w:left w:val="nil"/>
              <w:bottom w:val="nil"/>
              <w:right w:val="nil"/>
            </w:tcBorders>
            <w:noWrap/>
            <w:vAlign w:val="bottom"/>
            <w:hideMark/>
          </w:tcPr>
          <w:p w14:paraId="7ED88F77"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Aluguéis</w:t>
            </w:r>
          </w:p>
        </w:tc>
        <w:tc>
          <w:tcPr>
            <w:tcW w:w="608" w:type="pct"/>
            <w:tcBorders>
              <w:top w:val="nil"/>
              <w:left w:val="nil"/>
              <w:bottom w:val="nil"/>
              <w:right w:val="nil"/>
            </w:tcBorders>
            <w:noWrap/>
            <w:vAlign w:val="bottom"/>
            <w:hideMark/>
          </w:tcPr>
          <w:p w14:paraId="5504C5BC"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17.291 </w:t>
            </w:r>
          </w:p>
        </w:tc>
        <w:tc>
          <w:tcPr>
            <w:tcW w:w="74" w:type="pct"/>
            <w:tcBorders>
              <w:top w:val="nil"/>
              <w:left w:val="nil"/>
              <w:bottom w:val="nil"/>
              <w:right w:val="nil"/>
            </w:tcBorders>
            <w:noWrap/>
            <w:vAlign w:val="bottom"/>
            <w:hideMark/>
          </w:tcPr>
          <w:p w14:paraId="3322A0BA"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527CDAD5"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18.572 </w:t>
            </w:r>
          </w:p>
        </w:tc>
        <w:tc>
          <w:tcPr>
            <w:tcW w:w="74" w:type="pct"/>
            <w:tcBorders>
              <w:top w:val="nil"/>
              <w:left w:val="nil"/>
              <w:bottom w:val="nil"/>
              <w:right w:val="nil"/>
            </w:tcBorders>
            <w:noWrap/>
            <w:vAlign w:val="bottom"/>
            <w:hideMark/>
          </w:tcPr>
          <w:p w14:paraId="1AE4005D" w14:textId="77777777" w:rsidR="00B142DC" w:rsidRPr="00B142DC" w:rsidRDefault="00B142DC">
            <w:pPr>
              <w:jc w:val="right"/>
              <w:rPr>
                <w:rFonts w:ascii="Arial" w:hAnsi="Arial" w:cs="Arial"/>
                <w:sz w:val="16"/>
                <w:szCs w:val="16"/>
              </w:rPr>
            </w:pPr>
          </w:p>
        </w:tc>
      </w:tr>
      <w:tr w:rsidR="00B142DC" w:rsidRPr="00B142DC" w14:paraId="2FAC8F83" w14:textId="77777777" w:rsidTr="00B142DC">
        <w:trPr>
          <w:trHeight w:val="215"/>
        </w:trPr>
        <w:tc>
          <w:tcPr>
            <w:tcW w:w="3501" w:type="pct"/>
            <w:tcBorders>
              <w:top w:val="nil"/>
              <w:left w:val="nil"/>
              <w:bottom w:val="nil"/>
              <w:right w:val="nil"/>
            </w:tcBorders>
            <w:noWrap/>
            <w:vAlign w:val="bottom"/>
            <w:hideMark/>
          </w:tcPr>
          <w:p w14:paraId="58AC7681"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6B4B086E" w14:textId="77777777" w:rsidR="00B142DC" w:rsidRPr="00B142DC" w:rsidRDefault="00B142DC" w:rsidP="00B142DC">
            <w:pPr>
              <w:ind w:firstLineChars="300" w:firstLine="480"/>
              <w:jc w:val="right"/>
              <w:rPr>
                <w:sz w:val="16"/>
                <w:szCs w:val="16"/>
              </w:rPr>
            </w:pPr>
          </w:p>
        </w:tc>
        <w:tc>
          <w:tcPr>
            <w:tcW w:w="74" w:type="pct"/>
            <w:tcBorders>
              <w:top w:val="nil"/>
              <w:left w:val="nil"/>
              <w:bottom w:val="nil"/>
              <w:right w:val="nil"/>
            </w:tcBorders>
            <w:noWrap/>
            <w:vAlign w:val="bottom"/>
            <w:hideMark/>
          </w:tcPr>
          <w:p w14:paraId="388F4E6F"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6CC0D682"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3CF21F6E" w14:textId="77777777" w:rsidR="00B142DC" w:rsidRPr="00B142DC" w:rsidRDefault="00B142DC">
            <w:pPr>
              <w:rPr>
                <w:sz w:val="16"/>
                <w:szCs w:val="16"/>
              </w:rPr>
            </w:pPr>
          </w:p>
        </w:tc>
      </w:tr>
      <w:tr w:rsidR="00B142DC" w:rsidRPr="00B142DC" w14:paraId="30487143" w14:textId="77777777" w:rsidTr="00B142DC">
        <w:trPr>
          <w:trHeight w:val="215"/>
        </w:trPr>
        <w:tc>
          <w:tcPr>
            <w:tcW w:w="3501" w:type="pct"/>
            <w:tcBorders>
              <w:top w:val="nil"/>
              <w:left w:val="nil"/>
              <w:bottom w:val="nil"/>
              <w:right w:val="nil"/>
            </w:tcBorders>
            <w:noWrap/>
            <w:vAlign w:val="bottom"/>
            <w:hideMark/>
          </w:tcPr>
          <w:p w14:paraId="0A0A522F" w14:textId="77777777" w:rsidR="00B142DC" w:rsidRPr="00B142DC" w:rsidRDefault="00B142DC">
            <w:pPr>
              <w:rPr>
                <w:rFonts w:ascii="Arial" w:hAnsi="Arial" w:cs="Arial"/>
                <w:b/>
                <w:bCs/>
                <w:sz w:val="16"/>
                <w:szCs w:val="16"/>
              </w:rPr>
            </w:pPr>
            <w:r w:rsidRPr="00B142DC">
              <w:rPr>
                <w:rFonts w:ascii="Arial" w:hAnsi="Arial" w:cs="Arial"/>
                <w:b/>
                <w:bCs/>
                <w:sz w:val="16"/>
                <w:szCs w:val="16"/>
              </w:rPr>
              <w:t xml:space="preserve"> Valor Adicionado Total a Distribuir</w:t>
            </w:r>
          </w:p>
        </w:tc>
        <w:tc>
          <w:tcPr>
            <w:tcW w:w="608" w:type="pct"/>
            <w:tcBorders>
              <w:top w:val="nil"/>
              <w:left w:val="nil"/>
              <w:bottom w:val="nil"/>
              <w:right w:val="nil"/>
            </w:tcBorders>
            <w:noWrap/>
            <w:vAlign w:val="bottom"/>
            <w:hideMark/>
          </w:tcPr>
          <w:p w14:paraId="48FF9463"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47.110 </w:t>
            </w:r>
          </w:p>
        </w:tc>
        <w:tc>
          <w:tcPr>
            <w:tcW w:w="74" w:type="pct"/>
            <w:tcBorders>
              <w:top w:val="nil"/>
              <w:left w:val="nil"/>
              <w:bottom w:val="nil"/>
              <w:right w:val="nil"/>
            </w:tcBorders>
            <w:noWrap/>
            <w:vAlign w:val="bottom"/>
            <w:hideMark/>
          </w:tcPr>
          <w:p w14:paraId="0FEC8677"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7FEF374D"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113.696 </w:t>
            </w:r>
          </w:p>
        </w:tc>
        <w:tc>
          <w:tcPr>
            <w:tcW w:w="74" w:type="pct"/>
            <w:tcBorders>
              <w:top w:val="nil"/>
              <w:left w:val="nil"/>
              <w:bottom w:val="nil"/>
              <w:right w:val="nil"/>
            </w:tcBorders>
            <w:noWrap/>
            <w:vAlign w:val="bottom"/>
            <w:hideMark/>
          </w:tcPr>
          <w:p w14:paraId="17298E65" w14:textId="77777777" w:rsidR="00B142DC" w:rsidRPr="00B142DC" w:rsidRDefault="00B142DC">
            <w:pPr>
              <w:jc w:val="right"/>
              <w:rPr>
                <w:rFonts w:ascii="Arial" w:hAnsi="Arial" w:cs="Arial"/>
                <w:b/>
                <w:bCs/>
                <w:sz w:val="16"/>
                <w:szCs w:val="16"/>
              </w:rPr>
            </w:pPr>
          </w:p>
        </w:tc>
      </w:tr>
      <w:tr w:rsidR="00B142DC" w:rsidRPr="00B142DC" w14:paraId="62A292F2" w14:textId="77777777" w:rsidTr="00B142DC">
        <w:trPr>
          <w:trHeight w:val="215"/>
        </w:trPr>
        <w:tc>
          <w:tcPr>
            <w:tcW w:w="3501" w:type="pct"/>
            <w:tcBorders>
              <w:top w:val="nil"/>
              <w:left w:val="nil"/>
              <w:bottom w:val="nil"/>
              <w:right w:val="nil"/>
            </w:tcBorders>
            <w:noWrap/>
            <w:vAlign w:val="bottom"/>
            <w:hideMark/>
          </w:tcPr>
          <w:p w14:paraId="662DF67F"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0C565A34"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67CF3E3A"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14931FE6"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6B3B7273" w14:textId="77777777" w:rsidR="00B142DC" w:rsidRPr="00B142DC" w:rsidRDefault="00B142DC">
            <w:pPr>
              <w:jc w:val="right"/>
              <w:rPr>
                <w:sz w:val="16"/>
                <w:szCs w:val="16"/>
              </w:rPr>
            </w:pPr>
          </w:p>
        </w:tc>
      </w:tr>
      <w:tr w:rsidR="00B142DC" w:rsidRPr="00B142DC" w14:paraId="5DC7C96E" w14:textId="77777777" w:rsidTr="00B142DC">
        <w:trPr>
          <w:trHeight w:val="215"/>
        </w:trPr>
        <w:tc>
          <w:tcPr>
            <w:tcW w:w="3501" w:type="pct"/>
            <w:tcBorders>
              <w:top w:val="nil"/>
              <w:left w:val="nil"/>
              <w:bottom w:val="nil"/>
              <w:right w:val="nil"/>
            </w:tcBorders>
            <w:noWrap/>
            <w:vAlign w:val="bottom"/>
            <w:hideMark/>
          </w:tcPr>
          <w:p w14:paraId="11EC40C8" w14:textId="77777777" w:rsidR="00B142DC" w:rsidRPr="00B142DC" w:rsidRDefault="00B142DC">
            <w:pPr>
              <w:rPr>
                <w:rFonts w:ascii="Arial" w:hAnsi="Arial" w:cs="Arial"/>
                <w:b/>
                <w:bCs/>
                <w:sz w:val="16"/>
                <w:szCs w:val="16"/>
              </w:rPr>
            </w:pPr>
            <w:r w:rsidRPr="00B142DC">
              <w:rPr>
                <w:rFonts w:ascii="Arial" w:hAnsi="Arial" w:cs="Arial"/>
                <w:b/>
                <w:bCs/>
                <w:sz w:val="16"/>
                <w:szCs w:val="16"/>
              </w:rPr>
              <w:t>Distribuição do Valor Adicionado</w:t>
            </w:r>
          </w:p>
        </w:tc>
        <w:tc>
          <w:tcPr>
            <w:tcW w:w="608" w:type="pct"/>
            <w:tcBorders>
              <w:top w:val="nil"/>
              <w:left w:val="nil"/>
              <w:bottom w:val="nil"/>
              <w:right w:val="nil"/>
            </w:tcBorders>
            <w:noWrap/>
            <w:vAlign w:val="bottom"/>
            <w:hideMark/>
          </w:tcPr>
          <w:p w14:paraId="2F7DFD97"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47.110 </w:t>
            </w:r>
          </w:p>
        </w:tc>
        <w:tc>
          <w:tcPr>
            <w:tcW w:w="74" w:type="pct"/>
            <w:tcBorders>
              <w:top w:val="nil"/>
              <w:left w:val="nil"/>
              <w:bottom w:val="nil"/>
              <w:right w:val="nil"/>
            </w:tcBorders>
            <w:noWrap/>
            <w:vAlign w:val="bottom"/>
            <w:hideMark/>
          </w:tcPr>
          <w:p w14:paraId="0F7667E5"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4C7C6E18"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113.696 </w:t>
            </w:r>
          </w:p>
        </w:tc>
        <w:tc>
          <w:tcPr>
            <w:tcW w:w="74" w:type="pct"/>
            <w:tcBorders>
              <w:top w:val="nil"/>
              <w:left w:val="nil"/>
              <w:bottom w:val="nil"/>
              <w:right w:val="nil"/>
            </w:tcBorders>
            <w:noWrap/>
            <w:vAlign w:val="bottom"/>
            <w:hideMark/>
          </w:tcPr>
          <w:p w14:paraId="5C986782" w14:textId="77777777" w:rsidR="00B142DC" w:rsidRPr="00B142DC" w:rsidRDefault="00B142DC">
            <w:pPr>
              <w:jc w:val="right"/>
              <w:rPr>
                <w:rFonts w:ascii="Arial" w:hAnsi="Arial" w:cs="Arial"/>
                <w:b/>
                <w:bCs/>
                <w:sz w:val="16"/>
                <w:szCs w:val="16"/>
              </w:rPr>
            </w:pPr>
          </w:p>
        </w:tc>
      </w:tr>
      <w:tr w:rsidR="00B142DC" w:rsidRPr="00B142DC" w14:paraId="0E596D4B" w14:textId="77777777" w:rsidTr="00B142DC">
        <w:trPr>
          <w:trHeight w:val="215"/>
        </w:trPr>
        <w:tc>
          <w:tcPr>
            <w:tcW w:w="3501" w:type="pct"/>
            <w:tcBorders>
              <w:top w:val="nil"/>
              <w:left w:val="nil"/>
              <w:bottom w:val="nil"/>
              <w:right w:val="nil"/>
            </w:tcBorders>
            <w:noWrap/>
            <w:vAlign w:val="bottom"/>
            <w:hideMark/>
          </w:tcPr>
          <w:p w14:paraId="54876DAE"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6A879B8D"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6F676D47"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6DD81CB3"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16D1EC0D" w14:textId="77777777" w:rsidR="00B142DC" w:rsidRPr="00B142DC" w:rsidRDefault="00B142DC">
            <w:pPr>
              <w:jc w:val="right"/>
              <w:rPr>
                <w:sz w:val="16"/>
                <w:szCs w:val="16"/>
              </w:rPr>
            </w:pPr>
          </w:p>
        </w:tc>
      </w:tr>
      <w:tr w:rsidR="00B142DC" w:rsidRPr="00B142DC" w14:paraId="02D52617" w14:textId="77777777" w:rsidTr="00B142DC">
        <w:trPr>
          <w:trHeight w:val="215"/>
        </w:trPr>
        <w:tc>
          <w:tcPr>
            <w:tcW w:w="3501" w:type="pct"/>
            <w:tcBorders>
              <w:top w:val="nil"/>
              <w:left w:val="nil"/>
              <w:bottom w:val="nil"/>
              <w:right w:val="nil"/>
            </w:tcBorders>
            <w:noWrap/>
            <w:vAlign w:val="bottom"/>
            <w:hideMark/>
          </w:tcPr>
          <w:p w14:paraId="17C27D10" w14:textId="77777777" w:rsidR="00B142DC" w:rsidRPr="00B142DC" w:rsidRDefault="00B142DC">
            <w:pPr>
              <w:ind w:firstLineChars="200" w:firstLine="321"/>
              <w:rPr>
                <w:rFonts w:ascii="Arial" w:hAnsi="Arial" w:cs="Arial"/>
                <w:b/>
                <w:bCs/>
                <w:sz w:val="16"/>
                <w:szCs w:val="16"/>
              </w:rPr>
            </w:pPr>
            <w:r w:rsidRPr="00B142DC">
              <w:rPr>
                <w:rFonts w:ascii="Arial" w:hAnsi="Arial" w:cs="Arial"/>
                <w:b/>
                <w:bCs/>
                <w:sz w:val="16"/>
                <w:szCs w:val="16"/>
              </w:rPr>
              <w:t>Empregados</w:t>
            </w:r>
          </w:p>
        </w:tc>
        <w:tc>
          <w:tcPr>
            <w:tcW w:w="608" w:type="pct"/>
            <w:tcBorders>
              <w:top w:val="nil"/>
              <w:left w:val="nil"/>
              <w:bottom w:val="nil"/>
              <w:right w:val="nil"/>
            </w:tcBorders>
            <w:noWrap/>
            <w:vAlign w:val="bottom"/>
            <w:hideMark/>
          </w:tcPr>
          <w:p w14:paraId="1B4485BD"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31.070 </w:t>
            </w:r>
          </w:p>
        </w:tc>
        <w:tc>
          <w:tcPr>
            <w:tcW w:w="74" w:type="pct"/>
            <w:tcBorders>
              <w:top w:val="nil"/>
              <w:left w:val="nil"/>
              <w:bottom w:val="nil"/>
              <w:right w:val="nil"/>
            </w:tcBorders>
            <w:noWrap/>
            <w:vAlign w:val="bottom"/>
            <w:hideMark/>
          </w:tcPr>
          <w:p w14:paraId="2ECB5C9B"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4AAC81F2"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28.736 </w:t>
            </w:r>
          </w:p>
        </w:tc>
        <w:tc>
          <w:tcPr>
            <w:tcW w:w="74" w:type="pct"/>
            <w:tcBorders>
              <w:top w:val="nil"/>
              <w:left w:val="nil"/>
              <w:bottom w:val="nil"/>
              <w:right w:val="nil"/>
            </w:tcBorders>
            <w:noWrap/>
            <w:vAlign w:val="bottom"/>
            <w:hideMark/>
          </w:tcPr>
          <w:p w14:paraId="5702005F" w14:textId="77777777" w:rsidR="00B142DC" w:rsidRPr="00B142DC" w:rsidRDefault="00B142DC">
            <w:pPr>
              <w:jc w:val="right"/>
              <w:rPr>
                <w:rFonts w:ascii="Arial" w:hAnsi="Arial" w:cs="Arial"/>
                <w:b/>
                <w:bCs/>
                <w:sz w:val="16"/>
                <w:szCs w:val="16"/>
              </w:rPr>
            </w:pPr>
          </w:p>
        </w:tc>
      </w:tr>
      <w:tr w:rsidR="00B142DC" w:rsidRPr="00B142DC" w14:paraId="551725B8" w14:textId="77777777" w:rsidTr="00B142DC">
        <w:trPr>
          <w:trHeight w:val="215"/>
        </w:trPr>
        <w:tc>
          <w:tcPr>
            <w:tcW w:w="3501" w:type="pct"/>
            <w:tcBorders>
              <w:top w:val="nil"/>
              <w:left w:val="nil"/>
              <w:bottom w:val="nil"/>
              <w:right w:val="nil"/>
            </w:tcBorders>
            <w:noWrap/>
            <w:vAlign w:val="bottom"/>
            <w:hideMark/>
          </w:tcPr>
          <w:p w14:paraId="4622F135"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Remuneração Direta</w:t>
            </w:r>
          </w:p>
        </w:tc>
        <w:tc>
          <w:tcPr>
            <w:tcW w:w="608" w:type="pct"/>
            <w:tcBorders>
              <w:top w:val="nil"/>
              <w:left w:val="nil"/>
              <w:bottom w:val="nil"/>
              <w:right w:val="nil"/>
            </w:tcBorders>
            <w:noWrap/>
            <w:vAlign w:val="bottom"/>
            <w:hideMark/>
          </w:tcPr>
          <w:p w14:paraId="458C6894"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19.595 </w:t>
            </w:r>
          </w:p>
        </w:tc>
        <w:tc>
          <w:tcPr>
            <w:tcW w:w="74" w:type="pct"/>
            <w:tcBorders>
              <w:top w:val="nil"/>
              <w:left w:val="nil"/>
              <w:bottom w:val="nil"/>
              <w:right w:val="nil"/>
            </w:tcBorders>
            <w:noWrap/>
            <w:vAlign w:val="bottom"/>
            <w:hideMark/>
          </w:tcPr>
          <w:p w14:paraId="3694DCF1"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07ECE7F7"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17.482 </w:t>
            </w:r>
          </w:p>
        </w:tc>
        <w:tc>
          <w:tcPr>
            <w:tcW w:w="74" w:type="pct"/>
            <w:tcBorders>
              <w:top w:val="nil"/>
              <w:left w:val="nil"/>
              <w:bottom w:val="nil"/>
              <w:right w:val="nil"/>
            </w:tcBorders>
            <w:noWrap/>
            <w:vAlign w:val="bottom"/>
            <w:hideMark/>
          </w:tcPr>
          <w:p w14:paraId="268B9D1D" w14:textId="77777777" w:rsidR="00B142DC" w:rsidRPr="00B142DC" w:rsidRDefault="00B142DC">
            <w:pPr>
              <w:jc w:val="right"/>
              <w:rPr>
                <w:rFonts w:ascii="Arial" w:hAnsi="Arial" w:cs="Arial"/>
                <w:sz w:val="16"/>
                <w:szCs w:val="16"/>
              </w:rPr>
            </w:pPr>
          </w:p>
        </w:tc>
      </w:tr>
      <w:tr w:rsidR="00B142DC" w:rsidRPr="00B142DC" w14:paraId="300F51E0" w14:textId="77777777" w:rsidTr="00B142DC">
        <w:trPr>
          <w:trHeight w:val="215"/>
        </w:trPr>
        <w:tc>
          <w:tcPr>
            <w:tcW w:w="3501" w:type="pct"/>
            <w:tcBorders>
              <w:top w:val="nil"/>
              <w:left w:val="nil"/>
              <w:bottom w:val="nil"/>
              <w:right w:val="nil"/>
            </w:tcBorders>
            <w:noWrap/>
            <w:vAlign w:val="bottom"/>
            <w:hideMark/>
          </w:tcPr>
          <w:p w14:paraId="740EE8EB"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FGTS</w:t>
            </w:r>
          </w:p>
        </w:tc>
        <w:tc>
          <w:tcPr>
            <w:tcW w:w="608" w:type="pct"/>
            <w:tcBorders>
              <w:top w:val="nil"/>
              <w:left w:val="nil"/>
              <w:bottom w:val="nil"/>
              <w:right w:val="nil"/>
            </w:tcBorders>
            <w:noWrap/>
            <w:vAlign w:val="bottom"/>
            <w:hideMark/>
          </w:tcPr>
          <w:p w14:paraId="7B0A80D8"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1.734 </w:t>
            </w:r>
          </w:p>
        </w:tc>
        <w:tc>
          <w:tcPr>
            <w:tcW w:w="74" w:type="pct"/>
            <w:tcBorders>
              <w:top w:val="nil"/>
              <w:left w:val="nil"/>
              <w:bottom w:val="nil"/>
              <w:right w:val="nil"/>
            </w:tcBorders>
            <w:noWrap/>
            <w:vAlign w:val="bottom"/>
            <w:hideMark/>
          </w:tcPr>
          <w:p w14:paraId="5CFDD9E0"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119C4683"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1.546 </w:t>
            </w:r>
          </w:p>
        </w:tc>
        <w:tc>
          <w:tcPr>
            <w:tcW w:w="74" w:type="pct"/>
            <w:tcBorders>
              <w:top w:val="nil"/>
              <w:left w:val="nil"/>
              <w:bottom w:val="nil"/>
              <w:right w:val="nil"/>
            </w:tcBorders>
            <w:noWrap/>
            <w:vAlign w:val="bottom"/>
            <w:hideMark/>
          </w:tcPr>
          <w:p w14:paraId="3349C4CA" w14:textId="77777777" w:rsidR="00B142DC" w:rsidRPr="00B142DC" w:rsidRDefault="00B142DC">
            <w:pPr>
              <w:jc w:val="right"/>
              <w:rPr>
                <w:rFonts w:ascii="Arial" w:hAnsi="Arial" w:cs="Arial"/>
                <w:sz w:val="16"/>
                <w:szCs w:val="16"/>
              </w:rPr>
            </w:pPr>
          </w:p>
        </w:tc>
      </w:tr>
      <w:tr w:rsidR="00B142DC" w:rsidRPr="00B142DC" w14:paraId="5217F608" w14:textId="77777777" w:rsidTr="00B142DC">
        <w:trPr>
          <w:trHeight w:val="215"/>
        </w:trPr>
        <w:tc>
          <w:tcPr>
            <w:tcW w:w="3501" w:type="pct"/>
            <w:tcBorders>
              <w:top w:val="nil"/>
              <w:left w:val="nil"/>
              <w:bottom w:val="nil"/>
              <w:right w:val="nil"/>
            </w:tcBorders>
            <w:noWrap/>
            <w:vAlign w:val="bottom"/>
            <w:hideMark/>
          </w:tcPr>
          <w:p w14:paraId="56C4C5B5"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Benefícios Sociais</w:t>
            </w:r>
          </w:p>
        </w:tc>
        <w:tc>
          <w:tcPr>
            <w:tcW w:w="608" w:type="pct"/>
            <w:tcBorders>
              <w:top w:val="nil"/>
              <w:left w:val="nil"/>
              <w:bottom w:val="nil"/>
              <w:right w:val="nil"/>
            </w:tcBorders>
            <w:noWrap/>
            <w:vAlign w:val="bottom"/>
            <w:hideMark/>
          </w:tcPr>
          <w:p w14:paraId="55E18798"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4.217 </w:t>
            </w:r>
          </w:p>
        </w:tc>
        <w:tc>
          <w:tcPr>
            <w:tcW w:w="74" w:type="pct"/>
            <w:tcBorders>
              <w:top w:val="nil"/>
              <w:left w:val="nil"/>
              <w:bottom w:val="nil"/>
              <w:right w:val="nil"/>
            </w:tcBorders>
            <w:noWrap/>
            <w:vAlign w:val="bottom"/>
            <w:hideMark/>
          </w:tcPr>
          <w:p w14:paraId="481BC010"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6BA40A97"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3.699 </w:t>
            </w:r>
          </w:p>
        </w:tc>
        <w:tc>
          <w:tcPr>
            <w:tcW w:w="74" w:type="pct"/>
            <w:tcBorders>
              <w:top w:val="nil"/>
              <w:left w:val="nil"/>
              <w:bottom w:val="nil"/>
              <w:right w:val="nil"/>
            </w:tcBorders>
            <w:noWrap/>
            <w:vAlign w:val="bottom"/>
            <w:hideMark/>
          </w:tcPr>
          <w:p w14:paraId="0F372876" w14:textId="77777777" w:rsidR="00B142DC" w:rsidRPr="00B142DC" w:rsidRDefault="00B142DC">
            <w:pPr>
              <w:jc w:val="right"/>
              <w:rPr>
                <w:rFonts w:ascii="Arial" w:hAnsi="Arial" w:cs="Arial"/>
                <w:sz w:val="16"/>
                <w:szCs w:val="16"/>
              </w:rPr>
            </w:pPr>
          </w:p>
        </w:tc>
      </w:tr>
      <w:tr w:rsidR="00B142DC" w:rsidRPr="00B142DC" w14:paraId="0239D324" w14:textId="77777777" w:rsidTr="00B142DC">
        <w:trPr>
          <w:trHeight w:val="215"/>
        </w:trPr>
        <w:tc>
          <w:tcPr>
            <w:tcW w:w="3501" w:type="pct"/>
            <w:tcBorders>
              <w:top w:val="nil"/>
              <w:left w:val="nil"/>
              <w:bottom w:val="nil"/>
              <w:right w:val="nil"/>
            </w:tcBorders>
            <w:noWrap/>
            <w:vAlign w:val="bottom"/>
            <w:hideMark/>
          </w:tcPr>
          <w:p w14:paraId="7C466F76"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Outros Encargos Sociais</w:t>
            </w:r>
          </w:p>
        </w:tc>
        <w:tc>
          <w:tcPr>
            <w:tcW w:w="608" w:type="pct"/>
            <w:tcBorders>
              <w:top w:val="nil"/>
              <w:left w:val="nil"/>
              <w:bottom w:val="nil"/>
              <w:right w:val="nil"/>
            </w:tcBorders>
            <w:noWrap/>
            <w:vAlign w:val="bottom"/>
            <w:hideMark/>
          </w:tcPr>
          <w:p w14:paraId="352F0AE9"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5.201 </w:t>
            </w:r>
          </w:p>
        </w:tc>
        <w:tc>
          <w:tcPr>
            <w:tcW w:w="74" w:type="pct"/>
            <w:tcBorders>
              <w:top w:val="nil"/>
              <w:left w:val="nil"/>
              <w:bottom w:val="nil"/>
              <w:right w:val="nil"/>
            </w:tcBorders>
            <w:noWrap/>
            <w:vAlign w:val="bottom"/>
            <w:hideMark/>
          </w:tcPr>
          <w:p w14:paraId="68C26F06"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062A25FB"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4.688 </w:t>
            </w:r>
          </w:p>
        </w:tc>
        <w:tc>
          <w:tcPr>
            <w:tcW w:w="74" w:type="pct"/>
            <w:tcBorders>
              <w:top w:val="nil"/>
              <w:left w:val="nil"/>
              <w:bottom w:val="nil"/>
              <w:right w:val="nil"/>
            </w:tcBorders>
            <w:noWrap/>
            <w:vAlign w:val="bottom"/>
            <w:hideMark/>
          </w:tcPr>
          <w:p w14:paraId="19FFB7C5" w14:textId="77777777" w:rsidR="00B142DC" w:rsidRPr="00B142DC" w:rsidRDefault="00B142DC">
            <w:pPr>
              <w:jc w:val="right"/>
              <w:rPr>
                <w:rFonts w:ascii="Arial" w:hAnsi="Arial" w:cs="Arial"/>
                <w:sz w:val="16"/>
                <w:szCs w:val="16"/>
              </w:rPr>
            </w:pPr>
          </w:p>
        </w:tc>
      </w:tr>
      <w:tr w:rsidR="00B142DC" w:rsidRPr="00B142DC" w14:paraId="002FF5EB" w14:textId="77777777" w:rsidTr="00B142DC">
        <w:trPr>
          <w:trHeight w:val="215"/>
        </w:trPr>
        <w:tc>
          <w:tcPr>
            <w:tcW w:w="3501" w:type="pct"/>
            <w:tcBorders>
              <w:top w:val="nil"/>
              <w:left w:val="nil"/>
              <w:bottom w:val="nil"/>
              <w:right w:val="nil"/>
            </w:tcBorders>
            <w:noWrap/>
            <w:vAlign w:val="bottom"/>
            <w:hideMark/>
          </w:tcPr>
          <w:p w14:paraId="7F65C5FF"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Programa de Indenização por Serviços Prestados - PISP</w:t>
            </w:r>
          </w:p>
        </w:tc>
        <w:tc>
          <w:tcPr>
            <w:tcW w:w="608" w:type="pct"/>
            <w:tcBorders>
              <w:top w:val="nil"/>
              <w:left w:val="nil"/>
              <w:bottom w:val="nil"/>
              <w:right w:val="nil"/>
            </w:tcBorders>
            <w:noWrap/>
            <w:vAlign w:val="bottom"/>
            <w:hideMark/>
          </w:tcPr>
          <w:p w14:paraId="7E69B122"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6 </w:t>
            </w:r>
          </w:p>
        </w:tc>
        <w:tc>
          <w:tcPr>
            <w:tcW w:w="74" w:type="pct"/>
            <w:tcBorders>
              <w:top w:val="nil"/>
              <w:left w:val="nil"/>
              <w:bottom w:val="nil"/>
              <w:right w:val="nil"/>
            </w:tcBorders>
            <w:noWrap/>
            <w:vAlign w:val="bottom"/>
            <w:hideMark/>
          </w:tcPr>
          <w:p w14:paraId="37BD730B"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79F3330D"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999 </w:t>
            </w:r>
          </w:p>
        </w:tc>
        <w:tc>
          <w:tcPr>
            <w:tcW w:w="74" w:type="pct"/>
            <w:tcBorders>
              <w:top w:val="nil"/>
              <w:left w:val="nil"/>
              <w:bottom w:val="nil"/>
              <w:right w:val="nil"/>
            </w:tcBorders>
            <w:noWrap/>
            <w:vAlign w:val="bottom"/>
            <w:hideMark/>
          </w:tcPr>
          <w:p w14:paraId="01FA738F" w14:textId="77777777" w:rsidR="00B142DC" w:rsidRPr="00B142DC" w:rsidRDefault="00B142DC">
            <w:pPr>
              <w:jc w:val="right"/>
              <w:rPr>
                <w:rFonts w:ascii="Arial" w:hAnsi="Arial" w:cs="Arial"/>
                <w:sz w:val="16"/>
                <w:szCs w:val="16"/>
              </w:rPr>
            </w:pPr>
          </w:p>
        </w:tc>
      </w:tr>
      <w:tr w:rsidR="00B142DC" w:rsidRPr="00B142DC" w14:paraId="2FB01CF1" w14:textId="77777777" w:rsidTr="00B142DC">
        <w:trPr>
          <w:trHeight w:val="215"/>
        </w:trPr>
        <w:tc>
          <w:tcPr>
            <w:tcW w:w="3501" w:type="pct"/>
            <w:tcBorders>
              <w:top w:val="nil"/>
              <w:left w:val="nil"/>
              <w:bottom w:val="nil"/>
              <w:right w:val="nil"/>
            </w:tcBorders>
            <w:noWrap/>
            <w:vAlign w:val="bottom"/>
            <w:hideMark/>
          </w:tcPr>
          <w:p w14:paraId="4AF9D7FE"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Mão-de-Obra Temporária - Serviços Prestados - PF</w:t>
            </w:r>
          </w:p>
        </w:tc>
        <w:tc>
          <w:tcPr>
            <w:tcW w:w="608" w:type="pct"/>
            <w:tcBorders>
              <w:top w:val="nil"/>
              <w:left w:val="nil"/>
              <w:bottom w:val="nil"/>
              <w:right w:val="nil"/>
            </w:tcBorders>
            <w:noWrap/>
            <w:vAlign w:val="bottom"/>
            <w:hideMark/>
          </w:tcPr>
          <w:p w14:paraId="6DE00EC5"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317 </w:t>
            </w:r>
          </w:p>
        </w:tc>
        <w:tc>
          <w:tcPr>
            <w:tcW w:w="74" w:type="pct"/>
            <w:tcBorders>
              <w:top w:val="nil"/>
              <w:left w:val="nil"/>
              <w:bottom w:val="nil"/>
              <w:right w:val="nil"/>
            </w:tcBorders>
            <w:noWrap/>
            <w:vAlign w:val="bottom"/>
            <w:hideMark/>
          </w:tcPr>
          <w:p w14:paraId="47A393E7"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696DD3F7"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322 </w:t>
            </w:r>
          </w:p>
        </w:tc>
        <w:tc>
          <w:tcPr>
            <w:tcW w:w="74" w:type="pct"/>
            <w:tcBorders>
              <w:top w:val="nil"/>
              <w:left w:val="nil"/>
              <w:bottom w:val="nil"/>
              <w:right w:val="nil"/>
            </w:tcBorders>
            <w:noWrap/>
            <w:vAlign w:val="bottom"/>
            <w:hideMark/>
          </w:tcPr>
          <w:p w14:paraId="35699CC6" w14:textId="77777777" w:rsidR="00B142DC" w:rsidRPr="00B142DC" w:rsidRDefault="00B142DC">
            <w:pPr>
              <w:jc w:val="right"/>
              <w:rPr>
                <w:rFonts w:ascii="Arial" w:hAnsi="Arial" w:cs="Arial"/>
                <w:sz w:val="16"/>
                <w:szCs w:val="16"/>
              </w:rPr>
            </w:pPr>
          </w:p>
        </w:tc>
      </w:tr>
      <w:tr w:rsidR="00B142DC" w:rsidRPr="00B142DC" w14:paraId="2B48498C" w14:textId="77777777" w:rsidTr="00B142DC">
        <w:trPr>
          <w:trHeight w:val="215"/>
        </w:trPr>
        <w:tc>
          <w:tcPr>
            <w:tcW w:w="3501" w:type="pct"/>
            <w:tcBorders>
              <w:top w:val="nil"/>
              <w:left w:val="nil"/>
              <w:bottom w:val="nil"/>
              <w:right w:val="nil"/>
            </w:tcBorders>
            <w:noWrap/>
            <w:vAlign w:val="bottom"/>
            <w:hideMark/>
          </w:tcPr>
          <w:p w14:paraId="12530832" w14:textId="77777777" w:rsidR="00B142DC" w:rsidRPr="00B142DC" w:rsidRDefault="00B142DC">
            <w:pPr>
              <w:jc w:val="center"/>
              <w:rPr>
                <w:sz w:val="16"/>
                <w:szCs w:val="16"/>
              </w:rPr>
            </w:pPr>
          </w:p>
        </w:tc>
        <w:tc>
          <w:tcPr>
            <w:tcW w:w="608" w:type="pct"/>
            <w:tcBorders>
              <w:top w:val="nil"/>
              <w:left w:val="nil"/>
              <w:bottom w:val="nil"/>
              <w:right w:val="nil"/>
            </w:tcBorders>
            <w:noWrap/>
            <w:vAlign w:val="bottom"/>
            <w:hideMark/>
          </w:tcPr>
          <w:p w14:paraId="166E13F3" w14:textId="77777777" w:rsidR="00B142DC" w:rsidRPr="00B142DC" w:rsidRDefault="00B142DC" w:rsidP="00B142DC">
            <w:pPr>
              <w:ind w:firstLineChars="300" w:firstLine="480"/>
              <w:jc w:val="right"/>
              <w:rPr>
                <w:sz w:val="16"/>
                <w:szCs w:val="16"/>
              </w:rPr>
            </w:pPr>
          </w:p>
        </w:tc>
        <w:tc>
          <w:tcPr>
            <w:tcW w:w="74" w:type="pct"/>
            <w:tcBorders>
              <w:top w:val="nil"/>
              <w:left w:val="nil"/>
              <w:bottom w:val="nil"/>
              <w:right w:val="nil"/>
            </w:tcBorders>
            <w:noWrap/>
            <w:vAlign w:val="bottom"/>
            <w:hideMark/>
          </w:tcPr>
          <w:p w14:paraId="18000415"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53A952F3"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21E00C65" w14:textId="77777777" w:rsidR="00B142DC" w:rsidRPr="00B142DC" w:rsidRDefault="00B142DC">
            <w:pPr>
              <w:jc w:val="right"/>
              <w:rPr>
                <w:sz w:val="16"/>
                <w:szCs w:val="16"/>
              </w:rPr>
            </w:pPr>
          </w:p>
        </w:tc>
      </w:tr>
      <w:tr w:rsidR="00B142DC" w:rsidRPr="00B142DC" w14:paraId="6446EE94" w14:textId="77777777" w:rsidTr="00B142DC">
        <w:trPr>
          <w:trHeight w:val="215"/>
        </w:trPr>
        <w:tc>
          <w:tcPr>
            <w:tcW w:w="3501" w:type="pct"/>
            <w:tcBorders>
              <w:top w:val="nil"/>
              <w:left w:val="nil"/>
              <w:bottom w:val="nil"/>
              <w:right w:val="nil"/>
            </w:tcBorders>
            <w:noWrap/>
            <w:vAlign w:val="bottom"/>
            <w:hideMark/>
          </w:tcPr>
          <w:p w14:paraId="0F3A44F2" w14:textId="77777777" w:rsidR="00B142DC" w:rsidRPr="00B142DC" w:rsidRDefault="00B142DC">
            <w:pPr>
              <w:ind w:firstLineChars="200" w:firstLine="321"/>
              <w:rPr>
                <w:rFonts w:ascii="Arial" w:hAnsi="Arial" w:cs="Arial"/>
                <w:b/>
                <w:bCs/>
                <w:sz w:val="16"/>
                <w:szCs w:val="16"/>
              </w:rPr>
            </w:pPr>
            <w:r w:rsidRPr="00B142DC">
              <w:rPr>
                <w:rFonts w:ascii="Arial" w:hAnsi="Arial" w:cs="Arial"/>
                <w:b/>
                <w:bCs/>
                <w:sz w:val="16"/>
                <w:szCs w:val="16"/>
              </w:rPr>
              <w:t>Impostos, Taxas e Contribuições</w:t>
            </w:r>
          </w:p>
        </w:tc>
        <w:tc>
          <w:tcPr>
            <w:tcW w:w="608" w:type="pct"/>
            <w:tcBorders>
              <w:top w:val="nil"/>
              <w:left w:val="nil"/>
              <w:bottom w:val="nil"/>
              <w:right w:val="nil"/>
            </w:tcBorders>
            <w:noWrap/>
            <w:vAlign w:val="bottom"/>
            <w:hideMark/>
          </w:tcPr>
          <w:p w14:paraId="4973BD86"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15.436 </w:t>
            </w:r>
          </w:p>
        </w:tc>
        <w:tc>
          <w:tcPr>
            <w:tcW w:w="74" w:type="pct"/>
            <w:tcBorders>
              <w:top w:val="nil"/>
              <w:left w:val="nil"/>
              <w:bottom w:val="nil"/>
              <w:right w:val="nil"/>
            </w:tcBorders>
            <w:noWrap/>
            <w:vAlign w:val="bottom"/>
            <w:hideMark/>
          </w:tcPr>
          <w:p w14:paraId="783A8DB3"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795B0BED"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20.279 </w:t>
            </w:r>
          </w:p>
        </w:tc>
        <w:tc>
          <w:tcPr>
            <w:tcW w:w="74" w:type="pct"/>
            <w:tcBorders>
              <w:top w:val="nil"/>
              <w:left w:val="nil"/>
              <w:bottom w:val="nil"/>
              <w:right w:val="nil"/>
            </w:tcBorders>
            <w:noWrap/>
            <w:vAlign w:val="bottom"/>
            <w:hideMark/>
          </w:tcPr>
          <w:p w14:paraId="34E585B3" w14:textId="77777777" w:rsidR="00B142DC" w:rsidRPr="00B142DC" w:rsidRDefault="00B142DC">
            <w:pPr>
              <w:jc w:val="right"/>
              <w:rPr>
                <w:rFonts w:ascii="Arial" w:hAnsi="Arial" w:cs="Arial"/>
                <w:b/>
                <w:bCs/>
                <w:sz w:val="16"/>
                <w:szCs w:val="16"/>
              </w:rPr>
            </w:pPr>
          </w:p>
        </w:tc>
      </w:tr>
      <w:tr w:rsidR="00B142DC" w:rsidRPr="00B142DC" w14:paraId="5CD3136A" w14:textId="77777777" w:rsidTr="00B142DC">
        <w:trPr>
          <w:trHeight w:val="215"/>
        </w:trPr>
        <w:tc>
          <w:tcPr>
            <w:tcW w:w="3501" w:type="pct"/>
            <w:tcBorders>
              <w:top w:val="nil"/>
              <w:left w:val="nil"/>
              <w:bottom w:val="nil"/>
              <w:right w:val="nil"/>
            </w:tcBorders>
            <w:noWrap/>
            <w:vAlign w:val="bottom"/>
            <w:hideMark/>
          </w:tcPr>
          <w:p w14:paraId="103B99B5"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Federais</w:t>
            </w:r>
          </w:p>
        </w:tc>
        <w:tc>
          <w:tcPr>
            <w:tcW w:w="608" w:type="pct"/>
            <w:tcBorders>
              <w:top w:val="nil"/>
              <w:left w:val="nil"/>
              <w:bottom w:val="nil"/>
              <w:right w:val="nil"/>
            </w:tcBorders>
            <w:noWrap/>
            <w:vAlign w:val="bottom"/>
            <w:hideMark/>
          </w:tcPr>
          <w:p w14:paraId="5984647B"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10.103 </w:t>
            </w:r>
          </w:p>
        </w:tc>
        <w:tc>
          <w:tcPr>
            <w:tcW w:w="74" w:type="pct"/>
            <w:tcBorders>
              <w:top w:val="nil"/>
              <w:left w:val="nil"/>
              <w:bottom w:val="nil"/>
              <w:right w:val="nil"/>
            </w:tcBorders>
            <w:noWrap/>
            <w:vAlign w:val="bottom"/>
            <w:hideMark/>
          </w:tcPr>
          <w:p w14:paraId="470FB792"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410243AA"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13.325 </w:t>
            </w:r>
          </w:p>
        </w:tc>
        <w:tc>
          <w:tcPr>
            <w:tcW w:w="74" w:type="pct"/>
            <w:tcBorders>
              <w:top w:val="nil"/>
              <w:left w:val="nil"/>
              <w:bottom w:val="nil"/>
              <w:right w:val="nil"/>
            </w:tcBorders>
            <w:noWrap/>
            <w:vAlign w:val="bottom"/>
            <w:hideMark/>
          </w:tcPr>
          <w:p w14:paraId="0EEAB29E" w14:textId="77777777" w:rsidR="00B142DC" w:rsidRPr="00B142DC" w:rsidRDefault="00B142DC">
            <w:pPr>
              <w:jc w:val="right"/>
              <w:rPr>
                <w:rFonts w:ascii="Arial" w:hAnsi="Arial" w:cs="Arial"/>
                <w:sz w:val="16"/>
                <w:szCs w:val="16"/>
              </w:rPr>
            </w:pPr>
          </w:p>
        </w:tc>
      </w:tr>
      <w:tr w:rsidR="00B142DC" w:rsidRPr="00B142DC" w14:paraId="2AE5899A" w14:textId="77777777" w:rsidTr="00B142DC">
        <w:trPr>
          <w:trHeight w:val="215"/>
        </w:trPr>
        <w:tc>
          <w:tcPr>
            <w:tcW w:w="3501" w:type="pct"/>
            <w:tcBorders>
              <w:top w:val="nil"/>
              <w:left w:val="nil"/>
              <w:bottom w:val="nil"/>
              <w:right w:val="nil"/>
            </w:tcBorders>
            <w:noWrap/>
            <w:vAlign w:val="bottom"/>
            <w:hideMark/>
          </w:tcPr>
          <w:p w14:paraId="289CB64E"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Estaduais</w:t>
            </w:r>
          </w:p>
        </w:tc>
        <w:tc>
          <w:tcPr>
            <w:tcW w:w="608" w:type="pct"/>
            <w:tcBorders>
              <w:top w:val="nil"/>
              <w:left w:val="nil"/>
              <w:bottom w:val="nil"/>
              <w:right w:val="nil"/>
            </w:tcBorders>
            <w:noWrap/>
            <w:vAlign w:val="bottom"/>
            <w:hideMark/>
          </w:tcPr>
          <w:p w14:paraId="1F0A9E49"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5.037 </w:t>
            </w:r>
          </w:p>
        </w:tc>
        <w:tc>
          <w:tcPr>
            <w:tcW w:w="74" w:type="pct"/>
            <w:tcBorders>
              <w:top w:val="nil"/>
              <w:left w:val="nil"/>
              <w:bottom w:val="nil"/>
              <w:right w:val="nil"/>
            </w:tcBorders>
            <w:noWrap/>
            <w:vAlign w:val="bottom"/>
            <w:hideMark/>
          </w:tcPr>
          <w:p w14:paraId="75672916"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11A037A4"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6.815 </w:t>
            </w:r>
          </w:p>
        </w:tc>
        <w:tc>
          <w:tcPr>
            <w:tcW w:w="74" w:type="pct"/>
            <w:tcBorders>
              <w:top w:val="nil"/>
              <w:left w:val="nil"/>
              <w:bottom w:val="nil"/>
              <w:right w:val="nil"/>
            </w:tcBorders>
            <w:noWrap/>
            <w:vAlign w:val="bottom"/>
            <w:hideMark/>
          </w:tcPr>
          <w:p w14:paraId="4A8351CA" w14:textId="77777777" w:rsidR="00B142DC" w:rsidRPr="00B142DC" w:rsidRDefault="00B142DC">
            <w:pPr>
              <w:jc w:val="right"/>
              <w:rPr>
                <w:rFonts w:ascii="Arial" w:hAnsi="Arial" w:cs="Arial"/>
                <w:sz w:val="16"/>
                <w:szCs w:val="16"/>
              </w:rPr>
            </w:pPr>
          </w:p>
        </w:tc>
      </w:tr>
      <w:tr w:rsidR="00B142DC" w:rsidRPr="00B142DC" w14:paraId="4FF2C468" w14:textId="77777777" w:rsidTr="00B142DC">
        <w:trPr>
          <w:trHeight w:val="215"/>
        </w:trPr>
        <w:tc>
          <w:tcPr>
            <w:tcW w:w="3501" w:type="pct"/>
            <w:tcBorders>
              <w:top w:val="nil"/>
              <w:left w:val="nil"/>
              <w:bottom w:val="nil"/>
              <w:right w:val="nil"/>
            </w:tcBorders>
            <w:noWrap/>
            <w:vAlign w:val="bottom"/>
            <w:hideMark/>
          </w:tcPr>
          <w:p w14:paraId="42DC9CE8"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Municipais</w:t>
            </w:r>
          </w:p>
        </w:tc>
        <w:tc>
          <w:tcPr>
            <w:tcW w:w="608" w:type="pct"/>
            <w:tcBorders>
              <w:top w:val="nil"/>
              <w:left w:val="nil"/>
              <w:bottom w:val="nil"/>
              <w:right w:val="nil"/>
            </w:tcBorders>
            <w:noWrap/>
            <w:vAlign w:val="bottom"/>
            <w:hideMark/>
          </w:tcPr>
          <w:p w14:paraId="247C4075"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296 </w:t>
            </w:r>
          </w:p>
        </w:tc>
        <w:tc>
          <w:tcPr>
            <w:tcW w:w="74" w:type="pct"/>
            <w:tcBorders>
              <w:top w:val="nil"/>
              <w:left w:val="nil"/>
              <w:bottom w:val="nil"/>
              <w:right w:val="nil"/>
            </w:tcBorders>
            <w:noWrap/>
            <w:vAlign w:val="bottom"/>
            <w:hideMark/>
          </w:tcPr>
          <w:p w14:paraId="4DC1899E"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14C94652"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139 </w:t>
            </w:r>
          </w:p>
        </w:tc>
        <w:tc>
          <w:tcPr>
            <w:tcW w:w="74" w:type="pct"/>
            <w:tcBorders>
              <w:top w:val="nil"/>
              <w:left w:val="nil"/>
              <w:bottom w:val="nil"/>
              <w:right w:val="nil"/>
            </w:tcBorders>
            <w:noWrap/>
            <w:vAlign w:val="bottom"/>
            <w:hideMark/>
          </w:tcPr>
          <w:p w14:paraId="089B7C0D" w14:textId="77777777" w:rsidR="00B142DC" w:rsidRPr="00B142DC" w:rsidRDefault="00B142DC">
            <w:pPr>
              <w:jc w:val="right"/>
              <w:rPr>
                <w:rFonts w:ascii="Arial" w:hAnsi="Arial" w:cs="Arial"/>
                <w:sz w:val="16"/>
                <w:szCs w:val="16"/>
              </w:rPr>
            </w:pPr>
          </w:p>
        </w:tc>
      </w:tr>
      <w:tr w:rsidR="00B142DC" w:rsidRPr="00B142DC" w14:paraId="388144D6" w14:textId="77777777" w:rsidTr="00B142DC">
        <w:trPr>
          <w:trHeight w:val="215"/>
        </w:trPr>
        <w:tc>
          <w:tcPr>
            <w:tcW w:w="3501" w:type="pct"/>
            <w:tcBorders>
              <w:top w:val="nil"/>
              <w:left w:val="nil"/>
              <w:bottom w:val="nil"/>
              <w:right w:val="nil"/>
            </w:tcBorders>
            <w:noWrap/>
            <w:vAlign w:val="bottom"/>
            <w:hideMark/>
          </w:tcPr>
          <w:p w14:paraId="2F65A0C6"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68D5A159" w14:textId="77777777" w:rsidR="00B142DC" w:rsidRPr="00B142DC" w:rsidRDefault="00B142DC" w:rsidP="00B142DC">
            <w:pPr>
              <w:ind w:firstLineChars="300" w:firstLine="480"/>
              <w:jc w:val="right"/>
              <w:rPr>
                <w:sz w:val="16"/>
                <w:szCs w:val="16"/>
              </w:rPr>
            </w:pPr>
          </w:p>
        </w:tc>
        <w:tc>
          <w:tcPr>
            <w:tcW w:w="74" w:type="pct"/>
            <w:tcBorders>
              <w:top w:val="nil"/>
              <w:left w:val="nil"/>
              <w:bottom w:val="nil"/>
              <w:right w:val="nil"/>
            </w:tcBorders>
            <w:noWrap/>
            <w:vAlign w:val="bottom"/>
            <w:hideMark/>
          </w:tcPr>
          <w:p w14:paraId="669BAFDE"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7DB6BDFF"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66A3E47C" w14:textId="77777777" w:rsidR="00B142DC" w:rsidRPr="00B142DC" w:rsidRDefault="00B142DC">
            <w:pPr>
              <w:jc w:val="right"/>
              <w:rPr>
                <w:sz w:val="16"/>
                <w:szCs w:val="16"/>
              </w:rPr>
            </w:pPr>
          </w:p>
        </w:tc>
      </w:tr>
      <w:tr w:rsidR="00B142DC" w:rsidRPr="00B142DC" w14:paraId="5AD5846E" w14:textId="77777777" w:rsidTr="00B142DC">
        <w:trPr>
          <w:trHeight w:val="215"/>
        </w:trPr>
        <w:tc>
          <w:tcPr>
            <w:tcW w:w="3501" w:type="pct"/>
            <w:tcBorders>
              <w:top w:val="nil"/>
              <w:left w:val="nil"/>
              <w:bottom w:val="nil"/>
              <w:right w:val="nil"/>
            </w:tcBorders>
            <w:noWrap/>
            <w:vAlign w:val="bottom"/>
            <w:hideMark/>
          </w:tcPr>
          <w:p w14:paraId="523A8CC6" w14:textId="77777777" w:rsidR="00B142DC" w:rsidRPr="00B142DC" w:rsidRDefault="00B142DC">
            <w:pPr>
              <w:ind w:firstLineChars="200" w:firstLine="321"/>
              <w:rPr>
                <w:rFonts w:ascii="Arial" w:hAnsi="Arial" w:cs="Arial"/>
                <w:b/>
                <w:bCs/>
                <w:sz w:val="16"/>
                <w:szCs w:val="16"/>
              </w:rPr>
            </w:pPr>
            <w:r w:rsidRPr="00B142DC">
              <w:rPr>
                <w:rFonts w:ascii="Arial" w:hAnsi="Arial" w:cs="Arial"/>
                <w:b/>
                <w:bCs/>
                <w:sz w:val="16"/>
                <w:szCs w:val="16"/>
              </w:rPr>
              <w:t>Remuneração de Capitais de Terceiros</w:t>
            </w:r>
          </w:p>
        </w:tc>
        <w:tc>
          <w:tcPr>
            <w:tcW w:w="608" w:type="pct"/>
            <w:tcBorders>
              <w:top w:val="nil"/>
              <w:left w:val="nil"/>
              <w:bottom w:val="nil"/>
              <w:right w:val="nil"/>
            </w:tcBorders>
            <w:noWrap/>
            <w:vAlign w:val="bottom"/>
            <w:hideMark/>
          </w:tcPr>
          <w:p w14:paraId="2B376943"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90.147 </w:t>
            </w:r>
          </w:p>
        </w:tc>
        <w:tc>
          <w:tcPr>
            <w:tcW w:w="74" w:type="pct"/>
            <w:tcBorders>
              <w:top w:val="nil"/>
              <w:left w:val="nil"/>
              <w:bottom w:val="nil"/>
              <w:right w:val="nil"/>
            </w:tcBorders>
            <w:noWrap/>
            <w:vAlign w:val="bottom"/>
            <w:hideMark/>
          </w:tcPr>
          <w:p w14:paraId="07CE074F"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05FB1E9F"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75.586 </w:t>
            </w:r>
          </w:p>
        </w:tc>
        <w:tc>
          <w:tcPr>
            <w:tcW w:w="74" w:type="pct"/>
            <w:tcBorders>
              <w:top w:val="nil"/>
              <w:left w:val="nil"/>
              <w:bottom w:val="nil"/>
              <w:right w:val="nil"/>
            </w:tcBorders>
            <w:noWrap/>
            <w:vAlign w:val="bottom"/>
            <w:hideMark/>
          </w:tcPr>
          <w:p w14:paraId="0DD260BA" w14:textId="77777777" w:rsidR="00B142DC" w:rsidRPr="00B142DC" w:rsidRDefault="00B142DC">
            <w:pPr>
              <w:jc w:val="right"/>
              <w:rPr>
                <w:rFonts w:ascii="Arial" w:hAnsi="Arial" w:cs="Arial"/>
                <w:b/>
                <w:bCs/>
                <w:sz w:val="16"/>
                <w:szCs w:val="16"/>
              </w:rPr>
            </w:pPr>
          </w:p>
        </w:tc>
      </w:tr>
      <w:tr w:rsidR="00B142DC" w:rsidRPr="00B142DC" w14:paraId="582F2840" w14:textId="77777777" w:rsidTr="00B142DC">
        <w:trPr>
          <w:trHeight w:val="215"/>
        </w:trPr>
        <w:tc>
          <w:tcPr>
            <w:tcW w:w="3501" w:type="pct"/>
            <w:tcBorders>
              <w:top w:val="nil"/>
              <w:left w:val="nil"/>
              <w:bottom w:val="nil"/>
              <w:right w:val="nil"/>
            </w:tcBorders>
            <w:noWrap/>
            <w:vAlign w:val="bottom"/>
            <w:hideMark/>
          </w:tcPr>
          <w:p w14:paraId="4C464707"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Remuneração do Capital de Terceiros</w:t>
            </w:r>
          </w:p>
        </w:tc>
        <w:tc>
          <w:tcPr>
            <w:tcW w:w="608" w:type="pct"/>
            <w:tcBorders>
              <w:top w:val="nil"/>
              <w:left w:val="nil"/>
              <w:bottom w:val="nil"/>
              <w:right w:val="nil"/>
            </w:tcBorders>
            <w:noWrap/>
            <w:vAlign w:val="bottom"/>
            <w:hideMark/>
          </w:tcPr>
          <w:p w14:paraId="3F1FB3EE"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69.062 </w:t>
            </w:r>
          </w:p>
        </w:tc>
        <w:tc>
          <w:tcPr>
            <w:tcW w:w="74" w:type="pct"/>
            <w:tcBorders>
              <w:top w:val="nil"/>
              <w:left w:val="nil"/>
              <w:bottom w:val="nil"/>
              <w:right w:val="nil"/>
            </w:tcBorders>
            <w:noWrap/>
            <w:vAlign w:val="bottom"/>
            <w:hideMark/>
          </w:tcPr>
          <w:p w14:paraId="3E4689E0"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33243D1A"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60.957 </w:t>
            </w:r>
          </w:p>
        </w:tc>
        <w:tc>
          <w:tcPr>
            <w:tcW w:w="74" w:type="pct"/>
            <w:tcBorders>
              <w:top w:val="nil"/>
              <w:left w:val="nil"/>
              <w:bottom w:val="nil"/>
              <w:right w:val="nil"/>
            </w:tcBorders>
            <w:noWrap/>
            <w:vAlign w:val="bottom"/>
            <w:hideMark/>
          </w:tcPr>
          <w:p w14:paraId="1048E969" w14:textId="77777777" w:rsidR="00B142DC" w:rsidRPr="00B142DC" w:rsidRDefault="00B142DC">
            <w:pPr>
              <w:jc w:val="right"/>
              <w:rPr>
                <w:rFonts w:ascii="Arial" w:hAnsi="Arial" w:cs="Arial"/>
                <w:sz w:val="16"/>
                <w:szCs w:val="16"/>
              </w:rPr>
            </w:pPr>
          </w:p>
        </w:tc>
      </w:tr>
      <w:tr w:rsidR="00B142DC" w:rsidRPr="00B142DC" w14:paraId="6B04E43D" w14:textId="77777777" w:rsidTr="00B142DC">
        <w:trPr>
          <w:trHeight w:val="215"/>
        </w:trPr>
        <w:tc>
          <w:tcPr>
            <w:tcW w:w="3501" w:type="pct"/>
            <w:tcBorders>
              <w:top w:val="nil"/>
              <w:left w:val="nil"/>
              <w:bottom w:val="nil"/>
              <w:right w:val="nil"/>
            </w:tcBorders>
            <w:noWrap/>
            <w:vAlign w:val="bottom"/>
            <w:hideMark/>
          </w:tcPr>
          <w:p w14:paraId="2428078D"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Aluguéis, Locações e Licença de Uso</w:t>
            </w:r>
          </w:p>
        </w:tc>
        <w:tc>
          <w:tcPr>
            <w:tcW w:w="608" w:type="pct"/>
            <w:tcBorders>
              <w:top w:val="nil"/>
              <w:left w:val="nil"/>
              <w:bottom w:val="nil"/>
              <w:right w:val="nil"/>
            </w:tcBorders>
            <w:noWrap/>
            <w:vAlign w:val="bottom"/>
            <w:hideMark/>
          </w:tcPr>
          <w:p w14:paraId="2EB68012"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17.784 </w:t>
            </w:r>
          </w:p>
        </w:tc>
        <w:tc>
          <w:tcPr>
            <w:tcW w:w="74" w:type="pct"/>
            <w:tcBorders>
              <w:top w:val="nil"/>
              <w:left w:val="nil"/>
              <w:bottom w:val="nil"/>
              <w:right w:val="nil"/>
            </w:tcBorders>
            <w:noWrap/>
            <w:vAlign w:val="bottom"/>
            <w:hideMark/>
          </w:tcPr>
          <w:p w14:paraId="2A5BEFD5"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240C882F"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9.290 </w:t>
            </w:r>
          </w:p>
        </w:tc>
        <w:tc>
          <w:tcPr>
            <w:tcW w:w="74" w:type="pct"/>
            <w:tcBorders>
              <w:top w:val="nil"/>
              <w:left w:val="nil"/>
              <w:bottom w:val="nil"/>
              <w:right w:val="nil"/>
            </w:tcBorders>
            <w:noWrap/>
            <w:vAlign w:val="bottom"/>
            <w:hideMark/>
          </w:tcPr>
          <w:p w14:paraId="0FD149B2" w14:textId="77777777" w:rsidR="00B142DC" w:rsidRPr="00B142DC" w:rsidRDefault="00B142DC">
            <w:pPr>
              <w:jc w:val="right"/>
              <w:rPr>
                <w:rFonts w:ascii="Arial" w:hAnsi="Arial" w:cs="Arial"/>
                <w:sz w:val="16"/>
                <w:szCs w:val="16"/>
              </w:rPr>
            </w:pPr>
          </w:p>
        </w:tc>
      </w:tr>
      <w:tr w:rsidR="00B142DC" w:rsidRPr="00B142DC" w14:paraId="7A04296C" w14:textId="77777777" w:rsidTr="00B142DC">
        <w:trPr>
          <w:trHeight w:val="215"/>
        </w:trPr>
        <w:tc>
          <w:tcPr>
            <w:tcW w:w="3501" w:type="pct"/>
            <w:tcBorders>
              <w:top w:val="nil"/>
              <w:left w:val="nil"/>
              <w:bottom w:val="nil"/>
              <w:right w:val="nil"/>
            </w:tcBorders>
            <w:noWrap/>
            <w:vAlign w:val="bottom"/>
            <w:hideMark/>
          </w:tcPr>
          <w:p w14:paraId="35B4E94E" w14:textId="77777777" w:rsidR="00B142DC" w:rsidRPr="00B142DC" w:rsidRDefault="00B142DC">
            <w:pPr>
              <w:ind w:firstLineChars="300" w:firstLine="480"/>
              <w:rPr>
                <w:rFonts w:ascii="Arial" w:hAnsi="Arial" w:cs="Arial"/>
                <w:sz w:val="16"/>
                <w:szCs w:val="16"/>
              </w:rPr>
            </w:pPr>
            <w:r w:rsidRPr="00B142DC">
              <w:rPr>
                <w:rFonts w:ascii="Arial" w:hAnsi="Arial" w:cs="Arial"/>
                <w:sz w:val="16"/>
                <w:szCs w:val="16"/>
              </w:rPr>
              <w:t>Seguros</w:t>
            </w:r>
          </w:p>
        </w:tc>
        <w:tc>
          <w:tcPr>
            <w:tcW w:w="608" w:type="pct"/>
            <w:tcBorders>
              <w:top w:val="nil"/>
              <w:left w:val="nil"/>
              <w:bottom w:val="nil"/>
              <w:right w:val="nil"/>
            </w:tcBorders>
            <w:noWrap/>
            <w:vAlign w:val="bottom"/>
            <w:hideMark/>
          </w:tcPr>
          <w:p w14:paraId="78671399"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3.301 </w:t>
            </w:r>
          </w:p>
        </w:tc>
        <w:tc>
          <w:tcPr>
            <w:tcW w:w="74" w:type="pct"/>
            <w:tcBorders>
              <w:top w:val="nil"/>
              <w:left w:val="nil"/>
              <w:bottom w:val="nil"/>
              <w:right w:val="nil"/>
            </w:tcBorders>
            <w:noWrap/>
            <w:vAlign w:val="bottom"/>
            <w:hideMark/>
          </w:tcPr>
          <w:p w14:paraId="2567D29D"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1B079898"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5.339 </w:t>
            </w:r>
          </w:p>
        </w:tc>
        <w:tc>
          <w:tcPr>
            <w:tcW w:w="74" w:type="pct"/>
            <w:tcBorders>
              <w:top w:val="nil"/>
              <w:left w:val="nil"/>
              <w:bottom w:val="nil"/>
              <w:right w:val="nil"/>
            </w:tcBorders>
            <w:noWrap/>
            <w:vAlign w:val="bottom"/>
            <w:hideMark/>
          </w:tcPr>
          <w:p w14:paraId="0D75C49B" w14:textId="77777777" w:rsidR="00B142DC" w:rsidRPr="00B142DC" w:rsidRDefault="00B142DC">
            <w:pPr>
              <w:jc w:val="right"/>
              <w:rPr>
                <w:rFonts w:ascii="Arial" w:hAnsi="Arial" w:cs="Arial"/>
                <w:sz w:val="16"/>
                <w:szCs w:val="16"/>
              </w:rPr>
            </w:pPr>
          </w:p>
        </w:tc>
      </w:tr>
      <w:tr w:rsidR="00B142DC" w:rsidRPr="00B142DC" w14:paraId="355F34A2" w14:textId="77777777" w:rsidTr="00B142DC">
        <w:trPr>
          <w:trHeight w:val="215"/>
        </w:trPr>
        <w:tc>
          <w:tcPr>
            <w:tcW w:w="3501" w:type="pct"/>
            <w:tcBorders>
              <w:top w:val="nil"/>
              <w:left w:val="nil"/>
              <w:bottom w:val="nil"/>
              <w:right w:val="nil"/>
            </w:tcBorders>
            <w:noWrap/>
            <w:vAlign w:val="bottom"/>
            <w:hideMark/>
          </w:tcPr>
          <w:p w14:paraId="0CB62081" w14:textId="77777777" w:rsidR="00B142DC" w:rsidRPr="00B142DC" w:rsidRDefault="00B142DC">
            <w:pPr>
              <w:jc w:val="center"/>
              <w:rPr>
                <w:sz w:val="16"/>
                <w:szCs w:val="16"/>
              </w:rPr>
            </w:pPr>
          </w:p>
        </w:tc>
        <w:tc>
          <w:tcPr>
            <w:tcW w:w="608" w:type="pct"/>
            <w:tcBorders>
              <w:top w:val="nil"/>
              <w:left w:val="nil"/>
              <w:bottom w:val="nil"/>
              <w:right w:val="nil"/>
            </w:tcBorders>
            <w:noWrap/>
            <w:vAlign w:val="bottom"/>
            <w:hideMark/>
          </w:tcPr>
          <w:p w14:paraId="4209A98A" w14:textId="77777777" w:rsidR="00B142DC" w:rsidRPr="00B142DC" w:rsidRDefault="00B142DC" w:rsidP="00B142DC">
            <w:pPr>
              <w:ind w:firstLineChars="300" w:firstLine="480"/>
              <w:jc w:val="right"/>
              <w:rPr>
                <w:sz w:val="16"/>
                <w:szCs w:val="16"/>
              </w:rPr>
            </w:pPr>
          </w:p>
        </w:tc>
        <w:tc>
          <w:tcPr>
            <w:tcW w:w="74" w:type="pct"/>
            <w:tcBorders>
              <w:top w:val="nil"/>
              <w:left w:val="nil"/>
              <w:bottom w:val="nil"/>
              <w:right w:val="nil"/>
            </w:tcBorders>
            <w:noWrap/>
            <w:vAlign w:val="bottom"/>
            <w:hideMark/>
          </w:tcPr>
          <w:p w14:paraId="07B9E136" w14:textId="77777777" w:rsidR="00B142DC" w:rsidRPr="00B142DC" w:rsidRDefault="00B142DC" w:rsidP="00B142DC">
            <w:pPr>
              <w:jc w:val="right"/>
              <w:rPr>
                <w:sz w:val="16"/>
                <w:szCs w:val="16"/>
              </w:rPr>
            </w:pPr>
          </w:p>
        </w:tc>
        <w:tc>
          <w:tcPr>
            <w:tcW w:w="744" w:type="pct"/>
            <w:tcBorders>
              <w:top w:val="nil"/>
              <w:left w:val="nil"/>
              <w:bottom w:val="nil"/>
              <w:right w:val="nil"/>
            </w:tcBorders>
            <w:noWrap/>
            <w:vAlign w:val="bottom"/>
            <w:hideMark/>
          </w:tcPr>
          <w:p w14:paraId="01019270" w14:textId="77777777" w:rsidR="00B142DC" w:rsidRPr="00B142DC" w:rsidRDefault="00B142DC" w:rsidP="00B142DC">
            <w:pPr>
              <w:jc w:val="right"/>
              <w:rPr>
                <w:sz w:val="16"/>
                <w:szCs w:val="16"/>
              </w:rPr>
            </w:pPr>
          </w:p>
        </w:tc>
        <w:tc>
          <w:tcPr>
            <w:tcW w:w="74" w:type="pct"/>
            <w:tcBorders>
              <w:top w:val="nil"/>
              <w:left w:val="nil"/>
              <w:bottom w:val="nil"/>
              <w:right w:val="nil"/>
            </w:tcBorders>
            <w:noWrap/>
            <w:vAlign w:val="bottom"/>
            <w:hideMark/>
          </w:tcPr>
          <w:p w14:paraId="345B808B" w14:textId="77777777" w:rsidR="00B142DC" w:rsidRPr="00B142DC" w:rsidRDefault="00B142DC">
            <w:pPr>
              <w:jc w:val="right"/>
              <w:rPr>
                <w:sz w:val="16"/>
                <w:szCs w:val="16"/>
              </w:rPr>
            </w:pPr>
          </w:p>
        </w:tc>
      </w:tr>
      <w:tr w:rsidR="00B142DC" w:rsidRPr="00B142DC" w14:paraId="55B5CEDA" w14:textId="77777777" w:rsidTr="00B142DC">
        <w:trPr>
          <w:trHeight w:val="215"/>
        </w:trPr>
        <w:tc>
          <w:tcPr>
            <w:tcW w:w="3501" w:type="pct"/>
            <w:tcBorders>
              <w:top w:val="nil"/>
              <w:left w:val="nil"/>
              <w:bottom w:val="nil"/>
              <w:right w:val="nil"/>
            </w:tcBorders>
            <w:noWrap/>
            <w:vAlign w:val="bottom"/>
            <w:hideMark/>
          </w:tcPr>
          <w:p w14:paraId="2072EB8E" w14:textId="77777777" w:rsidR="00B142DC" w:rsidRPr="00B142DC" w:rsidRDefault="00B142DC">
            <w:pPr>
              <w:ind w:firstLineChars="200" w:firstLine="321"/>
              <w:rPr>
                <w:rFonts w:ascii="Arial" w:hAnsi="Arial" w:cs="Arial"/>
                <w:b/>
                <w:bCs/>
                <w:sz w:val="16"/>
                <w:szCs w:val="16"/>
              </w:rPr>
            </w:pPr>
            <w:r w:rsidRPr="00B142DC">
              <w:rPr>
                <w:rFonts w:ascii="Arial" w:hAnsi="Arial" w:cs="Arial"/>
                <w:b/>
                <w:bCs/>
                <w:sz w:val="16"/>
                <w:szCs w:val="16"/>
              </w:rPr>
              <w:t>Remuneração de Capitais Próprios</w:t>
            </w:r>
          </w:p>
        </w:tc>
        <w:tc>
          <w:tcPr>
            <w:tcW w:w="608" w:type="pct"/>
            <w:tcBorders>
              <w:top w:val="nil"/>
              <w:left w:val="nil"/>
              <w:bottom w:val="nil"/>
              <w:right w:val="nil"/>
            </w:tcBorders>
            <w:noWrap/>
            <w:vAlign w:val="bottom"/>
            <w:hideMark/>
          </w:tcPr>
          <w:p w14:paraId="73C3675C"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(89.543)</w:t>
            </w:r>
          </w:p>
        </w:tc>
        <w:tc>
          <w:tcPr>
            <w:tcW w:w="74" w:type="pct"/>
            <w:tcBorders>
              <w:top w:val="nil"/>
              <w:left w:val="nil"/>
              <w:bottom w:val="nil"/>
              <w:right w:val="nil"/>
            </w:tcBorders>
            <w:noWrap/>
            <w:vAlign w:val="bottom"/>
            <w:hideMark/>
          </w:tcPr>
          <w:p w14:paraId="2A612288" w14:textId="77777777" w:rsidR="00B142DC" w:rsidRPr="00B142DC" w:rsidRDefault="00B142DC" w:rsidP="00B142DC">
            <w:pPr>
              <w:jc w:val="right"/>
              <w:rPr>
                <w:rFonts w:ascii="Arial" w:hAnsi="Arial" w:cs="Arial"/>
                <w:b/>
                <w:bCs/>
                <w:sz w:val="16"/>
                <w:szCs w:val="16"/>
              </w:rPr>
            </w:pPr>
          </w:p>
        </w:tc>
        <w:tc>
          <w:tcPr>
            <w:tcW w:w="744" w:type="pct"/>
            <w:tcBorders>
              <w:top w:val="nil"/>
              <w:left w:val="nil"/>
              <w:bottom w:val="nil"/>
              <w:right w:val="nil"/>
            </w:tcBorders>
            <w:noWrap/>
            <w:vAlign w:val="bottom"/>
            <w:hideMark/>
          </w:tcPr>
          <w:p w14:paraId="6B767F10" w14:textId="77777777" w:rsidR="00B142DC" w:rsidRPr="00B142DC" w:rsidRDefault="00B142DC" w:rsidP="00B142DC">
            <w:pPr>
              <w:jc w:val="right"/>
              <w:rPr>
                <w:rFonts w:ascii="Arial" w:hAnsi="Arial" w:cs="Arial"/>
                <w:b/>
                <w:bCs/>
                <w:sz w:val="16"/>
                <w:szCs w:val="16"/>
              </w:rPr>
            </w:pPr>
            <w:r w:rsidRPr="00B142DC">
              <w:rPr>
                <w:rFonts w:ascii="Arial" w:hAnsi="Arial" w:cs="Arial"/>
                <w:b/>
                <w:bCs/>
                <w:sz w:val="16"/>
                <w:szCs w:val="16"/>
              </w:rPr>
              <w:t xml:space="preserve">            (10.905)</w:t>
            </w:r>
          </w:p>
        </w:tc>
        <w:tc>
          <w:tcPr>
            <w:tcW w:w="74" w:type="pct"/>
            <w:tcBorders>
              <w:top w:val="nil"/>
              <w:left w:val="nil"/>
              <w:bottom w:val="nil"/>
              <w:right w:val="nil"/>
            </w:tcBorders>
            <w:noWrap/>
            <w:vAlign w:val="bottom"/>
            <w:hideMark/>
          </w:tcPr>
          <w:p w14:paraId="3BF589D7" w14:textId="77777777" w:rsidR="00B142DC" w:rsidRPr="00B142DC" w:rsidRDefault="00B142DC">
            <w:pPr>
              <w:jc w:val="right"/>
              <w:rPr>
                <w:rFonts w:ascii="Arial" w:hAnsi="Arial" w:cs="Arial"/>
                <w:b/>
                <w:bCs/>
                <w:sz w:val="16"/>
                <w:szCs w:val="16"/>
              </w:rPr>
            </w:pPr>
          </w:p>
        </w:tc>
      </w:tr>
      <w:tr w:rsidR="00B142DC" w:rsidRPr="00B142DC" w14:paraId="60329558" w14:textId="77777777" w:rsidTr="00B142DC">
        <w:trPr>
          <w:trHeight w:val="215"/>
        </w:trPr>
        <w:tc>
          <w:tcPr>
            <w:tcW w:w="3501" w:type="pct"/>
            <w:tcBorders>
              <w:top w:val="nil"/>
              <w:left w:val="nil"/>
              <w:bottom w:val="nil"/>
              <w:right w:val="nil"/>
            </w:tcBorders>
            <w:noWrap/>
            <w:vAlign w:val="bottom"/>
            <w:hideMark/>
          </w:tcPr>
          <w:p w14:paraId="3ACD618E" w14:textId="0279AC0A" w:rsidR="00B142DC" w:rsidRPr="00B142DC" w:rsidRDefault="00B142DC">
            <w:pPr>
              <w:ind w:firstLineChars="300" w:firstLine="480"/>
              <w:rPr>
                <w:rFonts w:ascii="Arial" w:hAnsi="Arial" w:cs="Arial"/>
                <w:sz w:val="16"/>
                <w:szCs w:val="16"/>
              </w:rPr>
            </w:pPr>
            <w:r w:rsidRPr="00B142DC">
              <w:rPr>
                <w:rFonts w:ascii="Arial" w:hAnsi="Arial" w:cs="Arial"/>
                <w:sz w:val="16"/>
                <w:szCs w:val="16"/>
              </w:rPr>
              <w:t>Prejuízo do Período</w:t>
            </w:r>
          </w:p>
        </w:tc>
        <w:tc>
          <w:tcPr>
            <w:tcW w:w="608" w:type="pct"/>
            <w:tcBorders>
              <w:top w:val="nil"/>
              <w:left w:val="nil"/>
              <w:bottom w:val="nil"/>
              <w:right w:val="nil"/>
            </w:tcBorders>
            <w:noWrap/>
            <w:vAlign w:val="bottom"/>
            <w:hideMark/>
          </w:tcPr>
          <w:p w14:paraId="74244EB0"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(89.543)</w:t>
            </w:r>
          </w:p>
        </w:tc>
        <w:tc>
          <w:tcPr>
            <w:tcW w:w="74" w:type="pct"/>
            <w:tcBorders>
              <w:top w:val="nil"/>
              <w:left w:val="nil"/>
              <w:bottom w:val="nil"/>
              <w:right w:val="nil"/>
            </w:tcBorders>
            <w:noWrap/>
            <w:vAlign w:val="bottom"/>
            <w:hideMark/>
          </w:tcPr>
          <w:p w14:paraId="2FEBA86E" w14:textId="77777777" w:rsidR="00B142DC" w:rsidRPr="00B142DC" w:rsidRDefault="00B142DC" w:rsidP="00B142DC">
            <w:pPr>
              <w:jc w:val="right"/>
              <w:rPr>
                <w:rFonts w:ascii="Arial" w:hAnsi="Arial" w:cs="Arial"/>
                <w:sz w:val="16"/>
                <w:szCs w:val="16"/>
              </w:rPr>
            </w:pPr>
          </w:p>
        </w:tc>
        <w:tc>
          <w:tcPr>
            <w:tcW w:w="744" w:type="pct"/>
            <w:tcBorders>
              <w:top w:val="nil"/>
              <w:left w:val="nil"/>
              <w:bottom w:val="nil"/>
              <w:right w:val="nil"/>
            </w:tcBorders>
            <w:noWrap/>
            <w:vAlign w:val="bottom"/>
            <w:hideMark/>
          </w:tcPr>
          <w:p w14:paraId="7EA94C6A" w14:textId="77777777" w:rsidR="00B142DC" w:rsidRPr="00B142DC" w:rsidRDefault="00B142DC" w:rsidP="00B142DC">
            <w:pPr>
              <w:jc w:val="right"/>
              <w:rPr>
                <w:rFonts w:ascii="Arial" w:hAnsi="Arial" w:cs="Arial"/>
                <w:sz w:val="16"/>
                <w:szCs w:val="16"/>
              </w:rPr>
            </w:pPr>
            <w:r w:rsidRPr="00B142DC">
              <w:rPr>
                <w:rFonts w:ascii="Arial" w:hAnsi="Arial" w:cs="Arial"/>
                <w:sz w:val="16"/>
                <w:szCs w:val="16"/>
              </w:rPr>
              <w:t xml:space="preserve">            (10.905)</w:t>
            </w:r>
          </w:p>
        </w:tc>
        <w:tc>
          <w:tcPr>
            <w:tcW w:w="74" w:type="pct"/>
            <w:tcBorders>
              <w:top w:val="nil"/>
              <w:left w:val="nil"/>
              <w:bottom w:val="nil"/>
              <w:right w:val="nil"/>
            </w:tcBorders>
            <w:noWrap/>
            <w:vAlign w:val="bottom"/>
            <w:hideMark/>
          </w:tcPr>
          <w:p w14:paraId="3FE57126" w14:textId="77777777" w:rsidR="00B142DC" w:rsidRPr="00B142DC" w:rsidRDefault="00B142DC">
            <w:pPr>
              <w:rPr>
                <w:rFonts w:ascii="Arial" w:hAnsi="Arial" w:cs="Arial"/>
                <w:sz w:val="16"/>
                <w:szCs w:val="16"/>
              </w:rPr>
            </w:pPr>
          </w:p>
        </w:tc>
      </w:tr>
      <w:tr w:rsidR="00B142DC" w:rsidRPr="00B142DC" w14:paraId="4EF1F990" w14:textId="77777777" w:rsidTr="00B142DC">
        <w:trPr>
          <w:trHeight w:val="215"/>
        </w:trPr>
        <w:tc>
          <w:tcPr>
            <w:tcW w:w="3501" w:type="pct"/>
            <w:tcBorders>
              <w:top w:val="nil"/>
              <w:left w:val="nil"/>
              <w:bottom w:val="nil"/>
              <w:right w:val="nil"/>
            </w:tcBorders>
            <w:noWrap/>
            <w:vAlign w:val="bottom"/>
            <w:hideMark/>
          </w:tcPr>
          <w:p w14:paraId="0F98494F" w14:textId="77777777" w:rsidR="00B142DC" w:rsidRPr="00B142DC" w:rsidRDefault="00B142DC">
            <w:pPr>
              <w:rPr>
                <w:sz w:val="16"/>
                <w:szCs w:val="16"/>
              </w:rPr>
            </w:pPr>
          </w:p>
        </w:tc>
        <w:tc>
          <w:tcPr>
            <w:tcW w:w="608" w:type="pct"/>
            <w:tcBorders>
              <w:top w:val="nil"/>
              <w:left w:val="nil"/>
              <w:bottom w:val="nil"/>
              <w:right w:val="nil"/>
            </w:tcBorders>
            <w:noWrap/>
            <w:vAlign w:val="bottom"/>
            <w:hideMark/>
          </w:tcPr>
          <w:p w14:paraId="6041043C" w14:textId="77777777" w:rsidR="00B142DC" w:rsidRPr="00B142DC" w:rsidRDefault="00B142DC">
            <w:pPr>
              <w:rPr>
                <w:sz w:val="16"/>
                <w:szCs w:val="16"/>
              </w:rPr>
            </w:pPr>
          </w:p>
        </w:tc>
        <w:tc>
          <w:tcPr>
            <w:tcW w:w="74" w:type="pct"/>
            <w:tcBorders>
              <w:top w:val="nil"/>
              <w:left w:val="nil"/>
              <w:bottom w:val="nil"/>
              <w:right w:val="nil"/>
            </w:tcBorders>
            <w:noWrap/>
            <w:vAlign w:val="bottom"/>
            <w:hideMark/>
          </w:tcPr>
          <w:p w14:paraId="394C55E7" w14:textId="77777777" w:rsidR="00B142DC" w:rsidRPr="00B142DC" w:rsidRDefault="00B142DC">
            <w:pPr>
              <w:rPr>
                <w:sz w:val="16"/>
                <w:szCs w:val="16"/>
              </w:rPr>
            </w:pPr>
          </w:p>
        </w:tc>
        <w:tc>
          <w:tcPr>
            <w:tcW w:w="744" w:type="pct"/>
            <w:tcBorders>
              <w:top w:val="nil"/>
              <w:left w:val="nil"/>
              <w:bottom w:val="nil"/>
              <w:right w:val="nil"/>
            </w:tcBorders>
            <w:noWrap/>
            <w:vAlign w:val="bottom"/>
            <w:hideMark/>
          </w:tcPr>
          <w:p w14:paraId="40884C2B" w14:textId="77777777" w:rsidR="00B142DC" w:rsidRPr="00B142DC" w:rsidRDefault="00B142DC">
            <w:pPr>
              <w:jc w:val="center"/>
              <w:rPr>
                <w:sz w:val="16"/>
                <w:szCs w:val="16"/>
              </w:rPr>
            </w:pPr>
          </w:p>
        </w:tc>
        <w:tc>
          <w:tcPr>
            <w:tcW w:w="74" w:type="pct"/>
            <w:tcBorders>
              <w:top w:val="nil"/>
              <w:left w:val="nil"/>
              <w:bottom w:val="nil"/>
              <w:right w:val="nil"/>
            </w:tcBorders>
            <w:noWrap/>
            <w:vAlign w:val="bottom"/>
            <w:hideMark/>
          </w:tcPr>
          <w:p w14:paraId="47DEF1E0" w14:textId="77777777" w:rsidR="00B142DC" w:rsidRPr="00B142DC" w:rsidRDefault="00B142DC">
            <w:pPr>
              <w:rPr>
                <w:sz w:val="16"/>
                <w:szCs w:val="16"/>
              </w:rPr>
            </w:pPr>
          </w:p>
        </w:tc>
      </w:tr>
      <w:tr w:rsidR="00B142DC" w:rsidRPr="00B142DC" w14:paraId="47B64C2E" w14:textId="77777777" w:rsidTr="00B142DC">
        <w:trPr>
          <w:trHeight w:val="215"/>
        </w:trPr>
        <w:tc>
          <w:tcPr>
            <w:tcW w:w="3501" w:type="pct"/>
            <w:tcBorders>
              <w:top w:val="nil"/>
              <w:left w:val="nil"/>
              <w:bottom w:val="nil"/>
              <w:right w:val="nil"/>
            </w:tcBorders>
            <w:noWrap/>
            <w:vAlign w:val="bottom"/>
            <w:hideMark/>
          </w:tcPr>
          <w:p w14:paraId="33FFE553" w14:textId="77777777" w:rsidR="00B142DC" w:rsidRPr="00B142DC" w:rsidRDefault="00B142DC">
            <w:pPr>
              <w:rPr>
                <w:rFonts w:ascii="Arial" w:hAnsi="Arial" w:cs="Arial"/>
                <w:b/>
                <w:bCs/>
                <w:sz w:val="16"/>
                <w:szCs w:val="16"/>
              </w:rPr>
            </w:pPr>
            <w:r w:rsidRPr="00B142DC">
              <w:rPr>
                <w:rFonts w:ascii="Arial" w:hAnsi="Arial" w:cs="Arial"/>
                <w:b/>
                <w:bCs/>
                <w:sz w:val="16"/>
                <w:szCs w:val="16"/>
              </w:rPr>
              <w:t>As notas explicativas são parte integrante das demonstrações contábeis</w:t>
            </w:r>
          </w:p>
        </w:tc>
        <w:tc>
          <w:tcPr>
            <w:tcW w:w="608" w:type="pct"/>
            <w:tcBorders>
              <w:top w:val="nil"/>
              <w:left w:val="nil"/>
              <w:bottom w:val="nil"/>
              <w:right w:val="nil"/>
            </w:tcBorders>
            <w:noWrap/>
            <w:vAlign w:val="bottom"/>
            <w:hideMark/>
          </w:tcPr>
          <w:p w14:paraId="7B0D7D16" w14:textId="77777777" w:rsidR="00B142DC" w:rsidRPr="00B142DC" w:rsidRDefault="00B142DC">
            <w:pPr>
              <w:rPr>
                <w:rFonts w:ascii="Arial" w:hAnsi="Arial" w:cs="Arial"/>
                <w:b/>
                <w:bCs/>
                <w:sz w:val="16"/>
                <w:szCs w:val="16"/>
              </w:rPr>
            </w:pPr>
          </w:p>
        </w:tc>
        <w:tc>
          <w:tcPr>
            <w:tcW w:w="74" w:type="pct"/>
            <w:tcBorders>
              <w:top w:val="nil"/>
              <w:left w:val="nil"/>
              <w:bottom w:val="nil"/>
              <w:right w:val="nil"/>
            </w:tcBorders>
            <w:noWrap/>
            <w:vAlign w:val="bottom"/>
            <w:hideMark/>
          </w:tcPr>
          <w:p w14:paraId="4F84B053" w14:textId="77777777" w:rsidR="00B142DC" w:rsidRPr="00B142DC" w:rsidRDefault="00B142DC">
            <w:pPr>
              <w:rPr>
                <w:sz w:val="16"/>
                <w:szCs w:val="16"/>
              </w:rPr>
            </w:pPr>
          </w:p>
        </w:tc>
        <w:tc>
          <w:tcPr>
            <w:tcW w:w="744" w:type="pct"/>
            <w:tcBorders>
              <w:top w:val="nil"/>
              <w:left w:val="nil"/>
              <w:bottom w:val="nil"/>
              <w:right w:val="nil"/>
            </w:tcBorders>
            <w:noWrap/>
            <w:vAlign w:val="bottom"/>
            <w:hideMark/>
          </w:tcPr>
          <w:p w14:paraId="306D3965" w14:textId="77777777" w:rsidR="00B142DC" w:rsidRPr="00B142DC" w:rsidRDefault="00B142DC">
            <w:pPr>
              <w:rPr>
                <w:sz w:val="16"/>
                <w:szCs w:val="16"/>
              </w:rPr>
            </w:pPr>
          </w:p>
        </w:tc>
        <w:tc>
          <w:tcPr>
            <w:tcW w:w="74" w:type="pct"/>
            <w:tcBorders>
              <w:top w:val="nil"/>
              <w:left w:val="nil"/>
              <w:bottom w:val="nil"/>
              <w:right w:val="nil"/>
            </w:tcBorders>
            <w:noWrap/>
            <w:vAlign w:val="bottom"/>
            <w:hideMark/>
          </w:tcPr>
          <w:p w14:paraId="693F97FA" w14:textId="77777777" w:rsidR="00B142DC" w:rsidRPr="00B142DC" w:rsidRDefault="00B142DC">
            <w:pPr>
              <w:rPr>
                <w:sz w:val="16"/>
                <w:szCs w:val="16"/>
              </w:rPr>
            </w:pPr>
          </w:p>
        </w:tc>
      </w:tr>
    </w:tbl>
    <w:p w14:paraId="72502B59" w14:textId="77777777" w:rsidR="00804CA7" w:rsidRDefault="00804CA7" w:rsidP="00316093"/>
    <w:p w14:paraId="40C82A7E" w14:textId="77777777" w:rsidR="00804CA7" w:rsidRDefault="00804CA7" w:rsidP="00316093"/>
    <w:p w14:paraId="472D53DD" w14:textId="7C61454A" w:rsidR="00534DA4" w:rsidRDefault="00534DA4" w:rsidP="00316093"/>
    <w:p w14:paraId="1B17A842" w14:textId="77777777" w:rsidR="00096A42" w:rsidRPr="00096A42" w:rsidRDefault="00096A42" w:rsidP="00096A42">
      <w:pPr>
        <w:sectPr w:rsidR="00096A42" w:rsidRPr="00096A42" w:rsidSect="006056D5">
          <w:footerReference w:type="default" r:id="rId26"/>
          <w:headerReference w:type="first" r:id="rId27"/>
          <w:pgSz w:w="11906" w:h="16838" w:code="9"/>
          <w:pgMar w:top="567" w:right="851" w:bottom="567" w:left="1134" w:header="680" w:footer="850" w:gutter="0"/>
          <w:cols w:space="708"/>
          <w:titlePg/>
          <w:docGrid w:linePitch="360"/>
        </w:sectPr>
      </w:pPr>
    </w:p>
    <w:p w14:paraId="7A7FDEBC" w14:textId="6A11D921" w:rsidR="005C0599" w:rsidRPr="005C0599" w:rsidRDefault="005C0599" w:rsidP="005C0599">
      <w:pPr>
        <w:sectPr w:rsidR="005C0599" w:rsidRPr="005C0599" w:rsidSect="006056D5">
          <w:headerReference w:type="first" r:id="rId28"/>
          <w:footerReference w:type="first" r:id="rId29"/>
          <w:pgSz w:w="11906" w:h="16838" w:code="9"/>
          <w:pgMar w:top="993" w:right="567" w:bottom="851" w:left="567" w:header="964" w:footer="964" w:gutter="0"/>
          <w:cols w:space="708"/>
          <w:titlePg/>
          <w:docGrid w:linePitch="360"/>
        </w:sectPr>
      </w:pPr>
    </w:p>
    <w:p w14:paraId="1690C517" w14:textId="0E703717" w:rsidR="00831984" w:rsidRPr="002A36CE" w:rsidRDefault="005A5B23" w:rsidP="0037783A">
      <w:pPr>
        <w:pStyle w:val="Ttulo2"/>
        <w:numPr>
          <w:ilvl w:val="0"/>
          <w:numId w:val="1"/>
        </w:numPr>
        <w:tabs>
          <w:tab w:val="clear" w:pos="284"/>
          <w:tab w:val="clear" w:pos="340"/>
        </w:tabs>
        <w:spacing w:before="0" w:after="0"/>
        <w:ind w:left="567" w:hanging="567"/>
        <w:jc w:val="both"/>
        <w:rPr>
          <w:rFonts w:ascii="Arial" w:hAnsi="Arial" w:cs="Arial"/>
        </w:rPr>
      </w:pPr>
      <w:bookmarkStart w:id="6" w:name="_Toc491337673"/>
      <w:r>
        <w:rPr>
          <w:rFonts w:ascii="Arial" w:hAnsi="Arial" w:cs="Arial"/>
        </w:rPr>
        <w:t xml:space="preserve">   </w:t>
      </w:r>
      <w:r w:rsidR="00831984" w:rsidRPr="002A36CE">
        <w:rPr>
          <w:rFonts w:ascii="Arial" w:hAnsi="Arial" w:cs="Arial"/>
        </w:rPr>
        <w:t>CONTEXTO OPERACIONAL</w:t>
      </w:r>
      <w:r w:rsidR="00BE75DB" w:rsidRPr="002A36CE">
        <w:rPr>
          <w:rFonts w:ascii="Arial" w:hAnsi="Arial" w:cs="Arial"/>
        </w:rPr>
        <w:t xml:space="preserve"> E INFORMAÇÕES GERAIS</w:t>
      </w:r>
      <w:bookmarkEnd w:id="6"/>
    </w:p>
    <w:p w14:paraId="4AE5C152" w14:textId="77777777" w:rsidR="00A730D6" w:rsidRPr="002A36CE" w:rsidRDefault="00A730D6" w:rsidP="00A730D6">
      <w:pPr>
        <w:pStyle w:val="Corpodetexto"/>
        <w:tabs>
          <w:tab w:val="clear" w:pos="851"/>
          <w:tab w:val="left" w:pos="0"/>
        </w:tabs>
        <w:spacing w:before="0" w:after="0"/>
        <w:rPr>
          <w:rFonts w:ascii="Arial" w:hAnsi="Arial" w:cs="Arial"/>
        </w:rPr>
      </w:pPr>
    </w:p>
    <w:p w14:paraId="6B3648F1" w14:textId="5BDDA2B5" w:rsidR="00A730D6" w:rsidRPr="002A36CE" w:rsidRDefault="00A730D6" w:rsidP="003A7895">
      <w:pPr>
        <w:pStyle w:val="Ttulo2"/>
        <w:numPr>
          <w:ilvl w:val="1"/>
          <w:numId w:val="1"/>
        </w:numPr>
        <w:tabs>
          <w:tab w:val="clear" w:pos="284"/>
          <w:tab w:val="clear" w:pos="340"/>
          <w:tab w:val="left" w:pos="993"/>
        </w:tabs>
        <w:spacing w:before="0" w:after="0" w:line="276" w:lineRule="auto"/>
        <w:ind w:left="709" w:hanging="709"/>
        <w:jc w:val="both"/>
        <w:rPr>
          <w:rFonts w:ascii="Arial" w:eastAsia="Arial Unicode MS" w:hAnsi="Arial" w:cs="Arial"/>
          <w:bCs w:val="0"/>
          <w:iCs/>
        </w:rPr>
      </w:pPr>
      <w:r w:rsidRPr="002A36CE">
        <w:rPr>
          <w:rFonts w:ascii="Arial" w:eastAsia="Arial Unicode MS" w:hAnsi="Arial" w:cs="Arial"/>
          <w:bCs w:val="0"/>
          <w:iCs/>
        </w:rPr>
        <w:t xml:space="preserve"> </w:t>
      </w:r>
      <w:bookmarkStart w:id="7" w:name="_Toc491337674"/>
      <w:r w:rsidRPr="002A36CE">
        <w:rPr>
          <w:rFonts w:ascii="Arial" w:eastAsia="Arial Unicode MS" w:hAnsi="Arial" w:cs="Arial"/>
          <w:bCs w:val="0"/>
          <w:iCs/>
        </w:rPr>
        <w:t xml:space="preserve">A Companhia e suas </w:t>
      </w:r>
      <w:r w:rsidR="00713285">
        <w:rPr>
          <w:rFonts w:ascii="Arial" w:eastAsia="Arial Unicode MS" w:hAnsi="Arial" w:cs="Arial"/>
          <w:bCs w:val="0"/>
          <w:iCs/>
        </w:rPr>
        <w:t>O</w:t>
      </w:r>
      <w:r w:rsidRPr="002A36CE">
        <w:rPr>
          <w:rFonts w:ascii="Arial" w:eastAsia="Arial Unicode MS" w:hAnsi="Arial" w:cs="Arial"/>
          <w:bCs w:val="0"/>
          <w:iCs/>
        </w:rPr>
        <w:t>perações</w:t>
      </w:r>
      <w:bookmarkEnd w:id="7"/>
    </w:p>
    <w:p w14:paraId="1C9943CF" w14:textId="77777777" w:rsidR="00A24342" w:rsidRPr="00446E69" w:rsidRDefault="00A24342" w:rsidP="00A24342">
      <w:pPr>
        <w:rPr>
          <w:sz w:val="12"/>
          <w:szCs w:val="12"/>
        </w:rPr>
      </w:pPr>
    </w:p>
    <w:p w14:paraId="3ECB1239" w14:textId="11E6CB61" w:rsidR="00343D6D" w:rsidRDefault="00343D6D" w:rsidP="00597FE5">
      <w:pPr>
        <w:pStyle w:val="Corpodetexto"/>
        <w:spacing w:before="0" w:after="0" w:line="276" w:lineRule="auto"/>
        <w:rPr>
          <w:rFonts w:ascii="Arial" w:hAnsi="Arial" w:cs="Arial"/>
        </w:rPr>
      </w:pPr>
      <w:r w:rsidRPr="002A36CE">
        <w:rPr>
          <w:rFonts w:ascii="Arial" w:hAnsi="Arial" w:cs="Arial"/>
        </w:rPr>
        <w:t xml:space="preserve">A Telecomunicações Brasileiras S.A. </w:t>
      </w:r>
      <w:r w:rsidR="00CF00F9" w:rsidRPr="002A36CE">
        <w:rPr>
          <w:rFonts w:ascii="Arial" w:hAnsi="Arial" w:cs="Arial"/>
        </w:rPr>
        <w:t>(“Companhia ou Telebras”)</w:t>
      </w:r>
      <w:r w:rsidRPr="002A36CE">
        <w:rPr>
          <w:rFonts w:ascii="Arial" w:hAnsi="Arial" w:cs="Arial"/>
        </w:rPr>
        <w:t xml:space="preserve">, sediada </w:t>
      </w:r>
      <w:r w:rsidR="00EA098E" w:rsidRPr="002A36CE">
        <w:rPr>
          <w:rFonts w:ascii="Arial" w:hAnsi="Arial" w:cs="Arial"/>
        </w:rPr>
        <w:t xml:space="preserve">no SIG </w:t>
      </w:r>
      <w:proofErr w:type="spellStart"/>
      <w:r w:rsidR="00EA098E" w:rsidRPr="002A36CE">
        <w:rPr>
          <w:rFonts w:ascii="Arial" w:hAnsi="Arial" w:cs="Arial"/>
        </w:rPr>
        <w:t>Qd</w:t>
      </w:r>
      <w:proofErr w:type="spellEnd"/>
      <w:r w:rsidR="00EA098E" w:rsidRPr="002A36CE">
        <w:rPr>
          <w:rFonts w:ascii="Arial" w:hAnsi="Arial" w:cs="Arial"/>
        </w:rPr>
        <w:t xml:space="preserve">. 4, </w:t>
      </w:r>
      <w:proofErr w:type="spellStart"/>
      <w:r w:rsidR="00EA098E" w:rsidRPr="002A36CE">
        <w:rPr>
          <w:rFonts w:ascii="Arial" w:hAnsi="Arial" w:cs="Arial"/>
        </w:rPr>
        <w:t>Bl</w:t>
      </w:r>
      <w:proofErr w:type="spellEnd"/>
      <w:r w:rsidR="00EA098E" w:rsidRPr="002A36CE">
        <w:rPr>
          <w:rFonts w:ascii="Arial" w:hAnsi="Arial" w:cs="Arial"/>
        </w:rPr>
        <w:t>. A, 3º</w:t>
      </w:r>
      <w:r w:rsidR="00DB0183">
        <w:rPr>
          <w:rFonts w:ascii="Arial" w:hAnsi="Arial" w:cs="Arial"/>
        </w:rPr>
        <w:t> </w:t>
      </w:r>
      <w:r w:rsidR="00EA098E" w:rsidRPr="002A36CE">
        <w:rPr>
          <w:rFonts w:ascii="Arial" w:hAnsi="Arial" w:cs="Arial"/>
        </w:rPr>
        <w:t>andar – Edifício  Capital Financial Center – Brasília-DF,</w:t>
      </w:r>
      <w:r w:rsidRPr="002A36CE">
        <w:rPr>
          <w:rFonts w:ascii="Arial" w:hAnsi="Arial" w:cs="Arial"/>
        </w:rPr>
        <w:t xml:space="preserve"> endereço eletrônico: </w:t>
      </w:r>
      <w:hyperlink r:id="rId30" w:history="1">
        <w:r w:rsidR="006518F4" w:rsidRPr="002A36CE">
          <w:rPr>
            <w:rStyle w:val="Hyperlink"/>
            <w:rFonts w:ascii="Arial" w:hAnsi="Arial" w:cs="Arial"/>
          </w:rPr>
          <w:t>www.telebras.com.br</w:t>
        </w:r>
      </w:hyperlink>
      <w:r w:rsidRPr="002A36CE">
        <w:rPr>
          <w:rFonts w:ascii="Arial" w:hAnsi="Arial" w:cs="Arial"/>
        </w:rPr>
        <w:t xml:space="preserve">, CNPJ 00.336.701/0001-04, é uma sociedade empresária de economia mista e de capital aberto, vinculada ao </w:t>
      </w:r>
      <w:r w:rsidR="008204BE" w:rsidRPr="002A36CE">
        <w:rPr>
          <w:rFonts w:ascii="Arial" w:hAnsi="Arial" w:cs="Arial"/>
        </w:rPr>
        <w:t>Ministério da</w:t>
      </w:r>
      <w:r w:rsidR="00C03113">
        <w:rPr>
          <w:rFonts w:ascii="Arial" w:hAnsi="Arial" w:cs="Arial"/>
        </w:rPr>
        <w:t xml:space="preserve">s </w:t>
      </w:r>
      <w:r w:rsidR="003C2804">
        <w:rPr>
          <w:rFonts w:ascii="Arial" w:hAnsi="Arial" w:cs="Arial"/>
        </w:rPr>
        <w:t>C</w:t>
      </w:r>
      <w:r w:rsidR="00C03113">
        <w:rPr>
          <w:rFonts w:ascii="Arial" w:hAnsi="Arial" w:cs="Arial"/>
        </w:rPr>
        <w:t>omunicações</w:t>
      </w:r>
      <w:r w:rsidRPr="002A36CE">
        <w:rPr>
          <w:rFonts w:ascii="Arial" w:hAnsi="Arial" w:cs="Arial"/>
        </w:rPr>
        <w:t>, constituída em 9</w:t>
      </w:r>
      <w:r w:rsidR="008204BE" w:rsidRPr="002A36CE">
        <w:rPr>
          <w:rFonts w:ascii="Arial" w:hAnsi="Arial" w:cs="Arial"/>
        </w:rPr>
        <w:t xml:space="preserve"> de novembro de </w:t>
      </w:r>
      <w:r w:rsidRPr="002A36CE">
        <w:rPr>
          <w:rFonts w:ascii="Arial" w:hAnsi="Arial" w:cs="Arial"/>
        </w:rPr>
        <w:t xml:space="preserve">1972, de acordo com a Lei </w:t>
      </w:r>
      <w:r w:rsidR="00DB0183">
        <w:rPr>
          <w:rFonts w:ascii="Arial" w:hAnsi="Arial" w:cs="Arial"/>
        </w:rPr>
        <w:t>nº </w:t>
      </w:r>
      <w:r w:rsidRPr="002A36CE">
        <w:rPr>
          <w:rFonts w:ascii="Arial" w:hAnsi="Arial" w:cs="Arial"/>
        </w:rPr>
        <w:t xml:space="preserve">5.792, de </w:t>
      </w:r>
      <w:r w:rsidR="00F04E7E" w:rsidRPr="002A36CE">
        <w:rPr>
          <w:rFonts w:ascii="Arial" w:hAnsi="Arial" w:cs="Arial"/>
        </w:rPr>
        <w:t>0</w:t>
      </w:r>
      <w:r w:rsidRPr="002A36CE">
        <w:rPr>
          <w:rFonts w:ascii="Arial" w:hAnsi="Arial" w:cs="Arial"/>
        </w:rPr>
        <w:t>1</w:t>
      </w:r>
      <w:r w:rsidR="00F04E7E" w:rsidRPr="002A36CE">
        <w:rPr>
          <w:rFonts w:ascii="Arial" w:hAnsi="Arial" w:cs="Arial"/>
        </w:rPr>
        <w:t xml:space="preserve"> de julho de </w:t>
      </w:r>
      <w:r w:rsidRPr="002A36CE">
        <w:rPr>
          <w:rFonts w:ascii="Arial" w:hAnsi="Arial" w:cs="Arial"/>
        </w:rPr>
        <w:t xml:space="preserve">1972, devidamente autorizada pela ANATEL para a prestação do Serviço de Comunicação Multimídia (Termo PVST/SPV </w:t>
      </w:r>
      <w:r w:rsidR="00DB0183">
        <w:rPr>
          <w:rFonts w:ascii="Arial" w:hAnsi="Arial" w:cs="Arial"/>
        </w:rPr>
        <w:t>nº </w:t>
      </w:r>
      <w:r w:rsidRPr="002A36CE">
        <w:rPr>
          <w:rFonts w:ascii="Arial" w:hAnsi="Arial" w:cs="Arial"/>
        </w:rPr>
        <w:t xml:space="preserve">118/2011, </w:t>
      </w:r>
      <w:r w:rsidR="003372D1" w:rsidRPr="002A36CE">
        <w:rPr>
          <w:rFonts w:ascii="Arial" w:hAnsi="Arial" w:cs="Arial"/>
        </w:rPr>
        <w:t>publicado no DOU em 07</w:t>
      </w:r>
      <w:r w:rsidR="00F04E7E" w:rsidRPr="002A36CE">
        <w:rPr>
          <w:rFonts w:ascii="Arial" w:hAnsi="Arial" w:cs="Arial"/>
        </w:rPr>
        <w:t xml:space="preserve"> de abril de </w:t>
      </w:r>
      <w:r w:rsidR="003372D1" w:rsidRPr="002A36CE">
        <w:rPr>
          <w:rFonts w:ascii="Arial" w:hAnsi="Arial" w:cs="Arial"/>
        </w:rPr>
        <w:t>2011</w:t>
      </w:r>
      <w:r w:rsidRPr="002A36CE">
        <w:rPr>
          <w:rFonts w:ascii="Arial" w:hAnsi="Arial" w:cs="Arial"/>
        </w:rPr>
        <w:t>), portanto rege-se pela Lei</w:t>
      </w:r>
      <w:r w:rsidR="00082B2D">
        <w:rPr>
          <w:rFonts w:ascii="Arial" w:hAnsi="Arial" w:cs="Arial"/>
        </w:rPr>
        <w:t xml:space="preserve"> nº</w:t>
      </w:r>
      <w:r w:rsidR="00DB0183">
        <w:rPr>
          <w:rFonts w:ascii="Arial" w:hAnsi="Arial" w:cs="Arial"/>
        </w:rPr>
        <w:t> </w:t>
      </w:r>
      <w:r w:rsidRPr="002A36CE">
        <w:rPr>
          <w:rFonts w:ascii="Arial" w:hAnsi="Arial" w:cs="Arial"/>
        </w:rPr>
        <w:t xml:space="preserve">6.404/76, por disposições especiais de leis federais e da  Comissão de Valores Mobiliários - CVM, pela legislação de telecomunicações, pelas leis e usos do comércio e demais disposições legais aplicáveis </w:t>
      </w:r>
      <w:r w:rsidR="004E6482" w:rsidRPr="002A36CE">
        <w:rPr>
          <w:rFonts w:ascii="Arial" w:hAnsi="Arial" w:cs="Arial"/>
        </w:rPr>
        <w:t xml:space="preserve">à </w:t>
      </w:r>
      <w:r w:rsidRPr="002A36CE">
        <w:rPr>
          <w:rFonts w:ascii="Arial" w:hAnsi="Arial" w:cs="Arial"/>
        </w:rPr>
        <w:t>Companhia.</w:t>
      </w:r>
    </w:p>
    <w:p w14:paraId="5E14FF16" w14:textId="77777777" w:rsidR="00027D57" w:rsidRPr="002A36CE" w:rsidRDefault="00027D57" w:rsidP="00597FE5">
      <w:pPr>
        <w:pStyle w:val="Corpodetexto"/>
        <w:spacing w:before="0" w:after="0" w:line="276" w:lineRule="auto"/>
        <w:rPr>
          <w:rFonts w:ascii="Arial" w:hAnsi="Arial" w:cs="Arial"/>
        </w:rPr>
      </w:pPr>
    </w:p>
    <w:p w14:paraId="5DB1D7CE" w14:textId="14517B7C" w:rsidR="007D6377" w:rsidRPr="002A36CE" w:rsidRDefault="003B6EA2" w:rsidP="007D6377">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r w:rsidRPr="002A36CE">
        <w:rPr>
          <w:rFonts w:ascii="Arial" w:eastAsia="Arial Unicode MS" w:hAnsi="Arial" w:cs="Arial"/>
          <w:iCs/>
        </w:rPr>
        <w:t xml:space="preserve">Inclusão da Telebras nos Orçamentos Fiscais e da Seguridade Social da União </w:t>
      </w:r>
      <w:r w:rsidR="003313E9" w:rsidRPr="002A36CE">
        <w:rPr>
          <w:rFonts w:ascii="Arial" w:eastAsia="Arial Unicode MS" w:hAnsi="Arial" w:cs="Arial"/>
          <w:iCs/>
        </w:rPr>
        <w:t xml:space="preserve">e classificação da Companhia como uma estatal dependente </w:t>
      </w:r>
      <w:r w:rsidR="00763A1C">
        <w:rPr>
          <w:rFonts w:ascii="Arial" w:eastAsia="Arial Unicode MS" w:hAnsi="Arial" w:cs="Arial"/>
          <w:iCs/>
        </w:rPr>
        <w:t>a partir do</w:t>
      </w:r>
      <w:r w:rsidR="003313E9" w:rsidRPr="002A36CE">
        <w:rPr>
          <w:rFonts w:ascii="Arial" w:eastAsia="Arial Unicode MS" w:hAnsi="Arial" w:cs="Arial"/>
          <w:iCs/>
        </w:rPr>
        <w:t xml:space="preserve"> exercício de 2020.</w:t>
      </w:r>
    </w:p>
    <w:p w14:paraId="4F4911E8" w14:textId="2C3C8F55" w:rsidR="007D6377" w:rsidRPr="003521AA" w:rsidRDefault="003521AA" w:rsidP="00C27B21">
      <w:pPr>
        <w:pStyle w:val="NormalWeb"/>
        <w:shd w:val="clear" w:color="auto" w:fill="FDFDFD"/>
        <w:spacing w:before="0" w:after="0"/>
        <w:rPr>
          <w:rFonts w:ascii="Arial" w:hAnsi="Arial" w:cs="Arial"/>
          <w:color w:val="FF0000"/>
          <w:lang w:val="pt-BR"/>
        </w:rPr>
      </w:pPr>
      <w:r w:rsidRPr="003521AA">
        <w:rPr>
          <w:rFonts w:ascii="Arial" w:hAnsi="Arial" w:cs="Arial"/>
          <w:color w:val="FF0000"/>
          <w:lang w:val="pt-BR"/>
        </w:rPr>
        <w:t xml:space="preserve"> </w:t>
      </w:r>
    </w:p>
    <w:p w14:paraId="695A7ECE" w14:textId="09F33B81"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Em 8 de agosto de 2019</w:t>
      </w:r>
      <w:r w:rsidR="002B047E"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a Telebras recebeu ofício da Secretaria de Coordenação e Governança das Empresas Estatais (SEST)</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do Ministério da Economia (ME)</w:t>
      </w:r>
      <w:r w:rsidR="00D072FA" w:rsidRPr="00DC52CC">
        <w:rPr>
          <w:rFonts w:ascii="Arial" w:hAnsi="Arial" w:cs="Arial"/>
          <w:color w:val="000000" w:themeColor="text1"/>
          <w:sz w:val="22"/>
          <w:szCs w:val="22"/>
          <w:lang w:val="pt-BR"/>
        </w:rPr>
        <w:t>,</w:t>
      </w:r>
      <w:r w:rsidRPr="00DC52CC">
        <w:rPr>
          <w:rFonts w:ascii="Arial" w:hAnsi="Arial" w:cs="Arial"/>
          <w:color w:val="000000" w:themeColor="text1"/>
          <w:sz w:val="22"/>
          <w:szCs w:val="22"/>
          <w:lang w:val="pt-BR"/>
        </w:rPr>
        <w:t xml:space="preserve"> informando que seria incluída nos Orçamentos Fiscal e da Seguridade Social (OFSS) da União a partir do exercício de 2020.  </w:t>
      </w:r>
    </w:p>
    <w:p w14:paraId="7D44EB58"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4FBF953A" w14:textId="3982C82E" w:rsidR="00ED0B4E" w:rsidRPr="00DC52CC" w:rsidRDefault="00ED0B4E" w:rsidP="00ED0B4E">
      <w:pPr>
        <w:pStyle w:val="PargrafodaLista"/>
        <w:spacing w:after="0"/>
        <w:ind w:left="0"/>
        <w:rPr>
          <w:rFonts w:ascii="Arial" w:hAnsi="Arial" w:cs="Arial"/>
          <w:color w:val="000000" w:themeColor="text1"/>
          <w:sz w:val="22"/>
          <w:szCs w:val="22"/>
          <w:lang w:val="pt-BR"/>
        </w:rPr>
      </w:pPr>
      <w:r w:rsidRPr="00DC52CC">
        <w:rPr>
          <w:rFonts w:ascii="Arial" w:hAnsi="Arial" w:cs="Arial"/>
          <w:color w:val="000000" w:themeColor="text1"/>
          <w:sz w:val="22"/>
          <w:szCs w:val="22"/>
          <w:lang w:val="pt-BR"/>
        </w:rPr>
        <w:t xml:space="preserve">Em 15 de agosto de 2019, o Ministério da Ciência, Tecnologia, Inovações (MCTI) informou que a Telebras havia sido incluída, pelo ME, nos Orçamentos Fiscal e da Seguridade Social (OFSS) da União. A justificativa para a inclusão no Projeto de Lei Orçamentária Anual (PLOA) </w:t>
      </w:r>
      <w:r w:rsidR="006B53C7" w:rsidRPr="00DC52CC">
        <w:rPr>
          <w:rFonts w:ascii="Arial" w:hAnsi="Arial" w:cs="Arial"/>
          <w:color w:val="000000" w:themeColor="text1"/>
          <w:sz w:val="22"/>
          <w:szCs w:val="22"/>
          <w:lang w:val="pt-BR"/>
        </w:rPr>
        <w:t xml:space="preserve">se </w:t>
      </w:r>
      <w:r w:rsidRPr="00DC52CC">
        <w:rPr>
          <w:rFonts w:ascii="Arial" w:hAnsi="Arial" w:cs="Arial"/>
          <w:color w:val="000000" w:themeColor="text1"/>
          <w:sz w:val="22"/>
          <w:szCs w:val="22"/>
          <w:lang w:val="pt-BR"/>
        </w:rPr>
        <w:t>deve</w:t>
      </w:r>
      <w:r w:rsidR="00296CA3" w:rsidRPr="00DC52CC">
        <w:rPr>
          <w:rFonts w:ascii="Arial" w:hAnsi="Arial" w:cs="Arial"/>
          <w:color w:val="000000" w:themeColor="text1"/>
          <w:sz w:val="22"/>
          <w:szCs w:val="22"/>
          <w:lang w:val="pt-BR"/>
        </w:rPr>
        <w:t>u</w:t>
      </w:r>
      <w:r w:rsidRPr="00DC52CC">
        <w:rPr>
          <w:rFonts w:ascii="Arial" w:hAnsi="Arial" w:cs="Arial"/>
          <w:color w:val="000000" w:themeColor="text1"/>
          <w:sz w:val="22"/>
          <w:szCs w:val="22"/>
          <w:lang w:val="pt-BR"/>
        </w:rPr>
        <w:t xml:space="preserve"> à classificação da Telebras como uma empresa estatal dependente do OFSS para o exercício de 2020 e que esta inclusão já constava no Sistema Integrado de Planejamento e Orçamento (“SIOP”), referente ao PLOA de 2020.</w:t>
      </w:r>
    </w:p>
    <w:p w14:paraId="66193656" w14:textId="77777777" w:rsidR="00ED0B4E" w:rsidRPr="00904E52" w:rsidRDefault="00ED0B4E" w:rsidP="00ED0B4E">
      <w:pPr>
        <w:pStyle w:val="PargrafodaLista"/>
        <w:spacing w:after="0"/>
        <w:ind w:left="0"/>
        <w:rPr>
          <w:rFonts w:ascii="Arial" w:hAnsi="Arial" w:cs="Arial"/>
          <w:color w:val="000000" w:themeColor="text1"/>
          <w:sz w:val="12"/>
          <w:szCs w:val="12"/>
          <w:lang w:val="pt-BR"/>
        </w:rPr>
      </w:pPr>
    </w:p>
    <w:p w14:paraId="587BAEF1" w14:textId="1AFDAFBC" w:rsidR="00B20FF5" w:rsidRPr="00C33A97" w:rsidRDefault="00B20FF5" w:rsidP="007632C9">
      <w:pPr>
        <w:spacing w:line="276" w:lineRule="auto"/>
        <w:jc w:val="both"/>
        <w:rPr>
          <w:rFonts w:ascii="Arial" w:hAnsi="Arial" w:cs="Arial"/>
          <w:color w:val="000000" w:themeColor="text1"/>
          <w:sz w:val="22"/>
          <w:szCs w:val="22"/>
          <w:shd w:val="clear" w:color="auto" w:fill="FFFFFF"/>
        </w:rPr>
      </w:pPr>
      <w:r w:rsidRPr="00C33A97">
        <w:rPr>
          <w:rFonts w:ascii="Arial" w:hAnsi="Arial" w:cs="Arial"/>
          <w:color w:val="000000" w:themeColor="text1"/>
          <w:sz w:val="22"/>
          <w:szCs w:val="22"/>
        </w:rPr>
        <w:t>Segundo a Lei Complementa</w:t>
      </w:r>
      <w:r w:rsidR="00763A1C" w:rsidRPr="00C33A97">
        <w:rPr>
          <w:rFonts w:ascii="Arial" w:hAnsi="Arial" w:cs="Arial"/>
          <w:color w:val="000000" w:themeColor="text1"/>
          <w:sz w:val="22"/>
          <w:szCs w:val="22"/>
        </w:rPr>
        <w:t>r</w:t>
      </w:r>
      <w:r w:rsidRPr="00C33A97">
        <w:rPr>
          <w:rFonts w:ascii="Arial" w:hAnsi="Arial" w:cs="Arial"/>
          <w:color w:val="000000" w:themeColor="text1"/>
          <w:sz w:val="22"/>
          <w:szCs w:val="22"/>
        </w:rPr>
        <w:t xml:space="preserve"> </w:t>
      </w:r>
      <w:r w:rsidR="00BC4C03" w:rsidRPr="00C33A97">
        <w:rPr>
          <w:rFonts w:ascii="Arial" w:hAnsi="Arial" w:cs="Arial"/>
          <w:color w:val="000000" w:themeColor="text1"/>
          <w:sz w:val="22"/>
          <w:szCs w:val="22"/>
        </w:rPr>
        <w:t>nº </w:t>
      </w:r>
      <w:r w:rsidRPr="00C33A97">
        <w:rPr>
          <w:rFonts w:ascii="Arial" w:hAnsi="Arial" w:cs="Arial"/>
          <w:color w:val="000000" w:themeColor="text1"/>
          <w:sz w:val="22"/>
          <w:szCs w:val="22"/>
        </w:rPr>
        <w:t>101/2000 - Lei de Responsabilidade Fiscal (LRF), a definição de empresa</w:t>
      </w:r>
      <w:r w:rsidRPr="00C33A97">
        <w:rPr>
          <w:rFonts w:ascii="Arial" w:hAnsi="Arial" w:cs="Arial"/>
          <w:color w:val="000000" w:themeColor="text1"/>
          <w:sz w:val="22"/>
          <w:szCs w:val="22"/>
          <w:shd w:val="clear" w:color="auto" w:fill="FFFFFF"/>
        </w:rPr>
        <w:t xml:space="preserve"> estatal dependente é uma empresa controlada que receb</w:t>
      </w:r>
      <w:r w:rsidR="00D66F1B" w:rsidRPr="00C33A97">
        <w:rPr>
          <w:rFonts w:ascii="Arial" w:hAnsi="Arial" w:cs="Arial"/>
          <w:color w:val="000000" w:themeColor="text1"/>
          <w:sz w:val="22"/>
          <w:szCs w:val="22"/>
          <w:shd w:val="clear" w:color="auto" w:fill="FFFFFF"/>
        </w:rPr>
        <w:t>e</w:t>
      </w:r>
      <w:r w:rsidRPr="00C33A97">
        <w:rPr>
          <w:rFonts w:ascii="Arial" w:hAnsi="Arial" w:cs="Arial"/>
          <w:color w:val="000000" w:themeColor="text1"/>
          <w:sz w:val="22"/>
          <w:szCs w:val="22"/>
          <w:shd w:val="clear" w:color="auto" w:fill="FFFFFF"/>
        </w:rPr>
        <w:t xml:space="preserve"> do ente controlador recursos financeiros para pagamento de despesas com pessoal ou de custeio em geral ou de capital, excluídos, no último caso, aqueles provenientes de aumento de participação acionária</w:t>
      </w:r>
      <w:r w:rsidR="008905D7" w:rsidRPr="00C33A97">
        <w:rPr>
          <w:rFonts w:ascii="Arial" w:hAnsi="Arial" w:cs="Arial"/>
          <w:color w:val="000000" w:themeColor="text1"/>
          <w:sz w:val="22"/>
          <w:szCs w:val="22"/>
          <w:shd w:val="clear" w:color="auto" w:fill="FFFFFF"/>
        </w:rPr>
        <w:t>.</w:t>
      </w:r>
    </w:p>
    <w:p w14:paraId="56247B3F" w14:textId="77777777" w:rsidR="007802E1" w:rsidRDefault="007802E1" w:rsidP="007802E1">
      <w:pPr>
        <w:spacing w:line="276" w:lineRule="auto"/>
        <w:jc w:val="both"/>
        <w:rPr>
          <w:rFonts w:ascii="Arial" w:hAnsi="Arial" w:cs="Arial"/>
          <w:color w:val="000000"/>
          <w:sz w:val="22"/>
          <w:szCs w:val="22"/>
        </w:rPr>
      </w:pPr>
    </w:p>
    <w:p w14:paraId="509914D9" w14:textId="77777777" w:rsidR="007802E1" w:rsidRDefault="007802E1" w:rsidP="007802E1">
      <w:pPr>
        <w:pStyle w:val="Ttulo2"/>
        <w:numPr>
          <w:ilvl w:val="1"/>
          <w:numId w:val="1"/>
        </w:numPr>
        <w:tabs>
          <w:tab w:val="clear" w:pos="284"/>
          <w:tab w:val="clear" w:pos="340"/>
        </w:tabs>
        <w:spacing w:before="0" w:after="0" w:line="276" w:lineRule="auto"/>
        <w:ind w:left="851" w:hanging="851"/>
        <w:jc w:val="both"/>
        <w:rPr>
          <w:rFonts w:ascii="Arial" w:hAnsi="Arial" w:cs="Arial"/>
        </w:rPr>
      </w:pPr>
      <w:r w:rsidRPr="009A5450">
        <w:rPr>
          <w:rFonts w:ascii="Arial" w:hAnsi="Arial" w:cs="Arial"/>
        </w:rPr>
        <w:t>Decreto que regulamenta o processo de transição entre empresas estatais federais dependentes e não dependentes.</w:t>
      </w:r>
    </w:p>
    <w:p w14:paraId="1BC1B76E" w14:textId="77777777" w:rsidR="007802E1" w:rsidRPr="009A5450" w:rsidRDefault="007802E1" w:rsidP="007802E1">
      <w:pPr>
        <w:jc w:val="both"/>
      </w:pPr>
    </w:p>
    <w:p w14:paraId="71A6AE55"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Em 12 de junho de 2025, foi publicado no Diário Oficial da União o decreto nº 12.500, que regulamenta o processo de transição entre empresas estatais federais dependentes e não dependentes.</w:t>
      </w:r>
    </w:p>
    <w:p w14:paraId="227AD5A3"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  </w:t>
      </w:r>
    </w:p>
    <w:p w14:paraId="5D629146"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O Decreto estabelece, dentre outros critérios, que empresas com Índice de Sustentabilidade Financeira (ISF) igual ou superior a 0,4 poderão apresentar um plano de sustentabilidade visando à transição das estatais dependentes para a condição de não dependente.</w:t>
      </w:r>
    </w:p>
    <w:p w14:paraId="296C1A13"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 </w:t>
      </w:r>
    </w:p>
    <w:p w14:paraId="3331171B"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Esse plano deverá ser acompanhado de um contrato de gestão, com metas, indicadores, cronograma de repasses e mecanismos de monitoramento. </w:t>
      </w:r>
    </w:p>
    <w:p w14:paraId="093D63F5"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lastRenderedPageBreak/>
        <w:t xml:space="preserve">Ao final do contrato de gestão as empresas que alcançarem ISF superior a 1,05 serão avaliadas e poderão ser classificadas como empresa estatal não dependentes. </w:t>
      </w:r>
    </w:p>
    <w:p w14:paraId="13305E7C" w14:textId="77777777" w:rsidR="007802E1" w:rsidRPr="007802E1" w:rsidRDefault="007802E1" w:rsidP="007802E1">
      <w:pPr>
        <w:spacing w:line="276" w:lineRule="auto"/>
        <w:jc w:val="both"/>
        <w:rPr>
          <w:rFonts w:ascii="Arial" w:hAnsi="Arial" w:cs="Arial"/>
          <w:sz w:val="22"/>
          <w:szCs w:val="22"/>
        </w:rPr>
      </w:pPr>
    </w:p>
    <w:p w14:paraId="41A58287" w14:textId="77777777" w:rsidR="007802E1" w:rsidRPr="007802E1" w:rsidRDefault="007802E1" w:rsidP="007802E1">
      <w:pPr>
        <w:spacing w:line="276" w:lineRule="auto"/>
        <w:jc w:val="both"/>
        <w:rPr>
          <w:rFonts w:ascii="Arial" w:hAnsi="Arial" w:cs="Arial"/>
          <w:sz w:val="22"/>
          <w:szCs w:val="22"/>
        </w:rPr>
      </w:pPr>
      <w:r w:rsidRPr="007802E1">
        <w:rPr>
          <w:rFonts w:ascii="Arial" w:hAnsi="Arial" w:cs="Arial"/>
          <w:sz w:val="22"/>
          <w:szCs w:val="22"/>
        </w:rPr>
        <w:t xml:space="preserve">Este novo marco busca maior transparência, eficiência e autonomia na gestão das empresas estatais federais, alinhado às diretrizes fiscais e às boas práticas de governança pública, respeitada a Lei de Responsabilidade Fiscal. </w:t>
      </w:r>
    </w:p>
    <w:p w14:paraId="3A868837" w14:textId="77777777" w:rsidR="007802E1" w:rsidRPr="002A36CE" w:rsidRDefault="007802E1" w:rsidP="00E9105D">
      <w:pPr>
        <w:pStyle w:val="Corpodetexto"/>
        <w:spacing w:before="0" w:after="0" w:line="276" w:lineRule="auto"/>
        <w:rPr>
          <w:rFonts w:ascii="Arial" w:hAnsi="Arial" w:cs="Arial"/>
        </w:rPr>
      </w:pPr>
    </w:p>
    <w:p w14:paraId="3B099B19" w14:textId="65589EF3" w:rsidR="00E9105D" w:rsidRPr="002A36CE" w:rsidRDefault="00E9105D" w:rsidP="00E9105D">
      <w:pPr>
        <w:pStyle w:val="Ttulo2"/>
        <w:numPr>
          <w:ilvl w:val="1"/>
          <w:numId w:val="1"/>
        </w:numPr>
        <w:tabs>
          <w:tab w:val="clear" w:pos="284"/>
          <w:tab w:val="clear" w:pos="340"/>
        </w:tabs>
        <w:spacing w:before="0" w:after="0" w:line="276" w:lineRule="auto"/>
        <w:ind w:left="851" w:hanging="851"/>
        <w:jc w:val="both"/>
        <w:rPr>
          <w:rFonts w:ascii="Arial" w:eastAsia="Arial Unicode MS" w:hAnsi="Arial" w:cs="Arial"/>
          <w:iCs/>
        </w:rPr>
      </w:pPr>
      <w:bookmarkStart w:id="8" w:name="_Hlk212214760"/>
      <w:r w:rsidRPr="008A30E7">
        <w:rPr>
          <w:rFonts w:ascii="Arial" w:hAnsi="Arial" w:cs="Arial"/>
        </w:rPr>
        <w:t>Contrato de Gestão e Plano De Sustentabilidade Econômico-Financeira</w:t>
      </w:r>
    </w:p>
    <w:p w14:paraId="6317B41D" w14:textId="77777777" w:rsidR="00E9105D" w:rsidRDefault="00E9105D" w:rsidP="00387A39">
      <w:pPr>
        <w:pStyle w:val="PargrafodaLista"/>
        <w:spacing w:after="0"/>
        <w:ind w:left="0"/>
        <w:rPr>
          <w:rFonts w:ascii="Arial" w:hAnsi="Arial" w:cs="Arial"/>
          <w:sz w:val="22"/>
          <w:szCs w:val="22"/>
          <w:lang w:val="pt-BR"/>
        </w:rPr>
      </w:pPr>
    </w:p>
    <w:p w14:paraId="1E9DEAF1"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Em 05 de setembro de 2025, a Telecomunicações Brasileiras S.A. – Telebras celebrou Contrato de Gestão com seu órgão supervisor, o Ministério das Comunicações, em conformidade com a Portaria Conjunta MGI/MPO/MF nº 57, de 11 de agosto de 2025, que regulamenta o Decreto nº 12.500, de 11 de junho de 2025 e a Lei nº 13.303/2016. </w:t>
      </w:r>
    </w:p>
    <w:p w14:paraId="2B4ADC8B"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O referido contrato tem como fundamento o art. 47 da Lei Complementar nº 101/2001, os </w:t>
      </w:r>
      <w:proofErr w:type="spellStart"/>
      <w:r w:rsidRPr="008A30E7">
        <w:rPr>
          <w:rFonts w:ascii="Arial" w:hAnsi="Arial" w:cs="Arial"/>
          <w:sz w:val="22"/>
          <w:szCs w:val="22"/>
        </w:rPr>
        <w:t>arts</w:t>
      </w:r>
      <w:proofErr w:type="spellEnd"/>
      <w:r w:rsidRPr="008A30E7">
        <w:rPr>
          <w:rFonts w:ascii="Arial" w:hAnsi="Arial" w:cs="Arial"/>
          <w:sz w:val="22"/>
          <w:szCs w:val="22"/>
        </w:rPr>
        <w:t xml:space="preserve">. 6º, §§ 2º a 4º, e 48, §§ 6º a 8º, da Lei nº 15.080/2024, bem como as normas e regulamentações específicas editadas pelo órgão central do Sistema de Coordenação da Governança e da Supervisão Ministerial das Empresas Estatais Federais – SISEST/MGI. </w:t>
      </w:r>
    </w:p>
    <w:p w14:paraId="71FB94CA"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O Contrato de Gestão, celebrado pelo prazo de cinco anos, tem por finalidade a implementação do Plano de Sustentabilidade Econômico-Financeira (PSEF) da Companhia com o objetivo de regular o processo de transição da Telebras para o regime de empresa estatal não dependente. Esse plano reúne o diagnóstico econômico-financeiro, o planejamento estratégico, as projeções de fluxo de caixa e de resultados, além de indicadores e metas de desempenho correspondentes ao período contratual. A validade e a eficácia do Contrato de Gestão ficam condicionadas à publicação de seu extrato pelo Ministério supervisor no Diário Oficial da União e em seu sítio eletrônico oficial. </w:t>
      </w:r>
    </w:p>
    <w:p w14:paraId="5B87F07C"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Com a vigência do Contrato de Gestão, a Telebras passou a dispor de autonomia orçamentária e financeira, conforme previsto no art. 6º e § 7º do art. 48 da Lei nº 15.080/2024, submetendo-se, a partir de então, ao regime orçamentário e financeiro aplicável às empresas estatais não dependentes. Assim, a Companhia deixou de integrar o Orçamento Fiscal e da Seguridade Social da União, passando a ter seu orçamento acompanhado no âmbito do Orçamento de Investimento (OI) e do Programa de Dispêndios Globais (PDG) das empresas estatais federais, sob supervisão da Secretaria de Coordenação e Governança das Empresas Estatais – SEST. Ressalta-se, contudo, que a Companhia permanece, até a efetiva conclusão do processo de transição, classificada como empresa estatal dependente. </w:t>
      </w:r>
    </w:p>
    <w:p w14:paraId="09219C7E" w14:textId="77777777"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Para a execução do Contrato de Gestão, serão disponibilizados à Telebras recursos orçamentários pela União, a título de subvenção econômica, destinados à cobertura do déficit de manutenção relativo à operação e manutenção dos ativos e instalações, especialmente os custos e despesas que são necessárias para assegurar a continuidade e a eficiência das atividades operacionais da Companhia, discriminados na unidade orçamentária nº 41.260 (Telebras) provenientes de dotações previstas na Lei Orçamentária Anual do respectivo exercício financeiro. </w:t>
      </w:r>
    </w:p>
    <w:p w14:paraId="6ACE2A84" w14:textId="77777777" w:rsidR="00911D9F" w:rsidRDefault="00E9105D" w:rsidP="00557AF1">
      <w:pPr>
        <w:spacing w:after="160" w:line="276" w:lineRule="auto"/>
        <w:jc w:val="both"/>
        <w:rPr>
          <w:rFonts w:ascii="Arial" w:hAnsi="Arial" w:cs="Arial"/>
          <w:sz w:val="22"/>
          <w:szCs w:val="22"/>
        </w:rPr>
      </w:pPr>
      <w:r w:rsidRPr="008A30E7">
        <w:rPr>
          <w:rFonts w:ascii="Arial" w:hAnsi="Arial" w:cs="Arial"/>
          <w:sz w:val="22"/>
          <w:szCs w:val="22"/>
        </w:rPr>
        <w:t xml:space="preserve">O acompanhamento da execução do PSEF será realizado mediante monitoramento periódico, prestação de contas e elaboração de relatórios ao Ministério das Comunicações e ao Ministério da Gestão e da Inovação em Serviços Públicos, em conformidade com a legislação aplicável. A </w:t>
      </w:r>
    </w:p>
    <w:p w14:paraId="697D4046" w14:textId="02420AFC" w:rsidR="00E9105D" w:rsidRPr="008A30E7" w:rsidRDefault="00E9105D" w:rsidP="00557AF1">
      <w:pPr>
        <w:spacing w:after="160" w:line="276" w:lineRule="auto"/>
        <w:jc w:val="both"/>
        <w:rPr>
          <w:rFonts w:ascii="Arial" w:hAnsi="Arial" w:cs="Arial"/>
          <w:sz w:val="22"/>
          <w:szCs w:val="22"/>
        </w:rPr>
      </w:pPr>
      <w:r w:rsidRPr="008A30E7">
        <w:rPr>
          <w:rFonts w:ascii="Arial" w:hAnsi="Arial" w:cs="Arial"/>
          <w:sz w:val="22"/>
          <w:szCs w:val="22"/>
        </w:rPr>
        <w:lastRenderedPageBreak/>
        <w:t xml:space="preserve">avaliação de desempenho será aferida com base em objetivos, indicadores e metas de desempenho pactuados no Contrato de Gestão, com foco na mensuração da eficiência, eficácia e efetividade da atuação empresarial. </w:t>
      </w:r>
    </w:p>
    <w:p w14:paraId="0517A79B" w14:textId="77777777" w:rsidR="00E9105D" w:rsidRPr="00557AF1" w:rsidRDefault="00E9105D" w:rsidP="00557AF1">
      <w:pPr>
        <w:spacing w:line="276" w:lineRule="auto"/>
        <w:jc w:val="both"/>
        <w:rPr>
          <w:rFonts w:ascii="Arial" w:hAnsi="Arial" w:cs="Arial"/>
          <w:sz w:val="22"/>
          <w:szCs w:val="22"/>
        </w:rPr>
      </w:pPr>
      <w:r w:rsidRPr="00557AF1">
        <w:rPr>
          <w:rFonts w:ascii="Arial" w:hAnsi="Arial" w:cs="Arial"/>
          <w:sz w:val="22"/>
          <w:szCs w:val="22"/>
        </w:rPr>
        <w:t>A aprovação do Plano de Sustentabilidade Econômico-Financeira e a assinatura do Contrato de Gestão foram divulgadas como fato relevante, assegurando transparência aos acionistas, investidores e ao mercado em geral, por meio do site institucional da Companhia, em observância aos princípios da publicidade e da governança corporativa.</w:t>
      </w:r>
    </w:p>
    <w:bookmarkEnd w:id="8"/>
    <w:p w14:paraId="68B8B945" w14:textId="77777777" w:rsidR="00E9105D" w:rsidRDefault="00E9105D" w:rsidP="00387A39">
      <w:pPr>
        <w:pStyle w:val="PargrafodaLista"/>
        <w:spacing w:after="0"/>
        <w:ind w:left="0"/>
        <w:rPr>
          <w:rFonts w:ascii="Arial" w:hAnsi="Arial" w:cs="Arial"/>
          <w:sz w:val="22"/>
          <w:szCs w:val="22"/>
          <w:lang w:val="pt-BR"/>
        </w:rPr>
        <w:sectPr w:rsidR="00E9105D" w:rsidSect="006056D5">
          <w:headerReference w:type="default" r:id="rId31"/>
          <w:footerReference w:type="default" r:id="rId32"/>
          <w:type w:val="continuous"/>
          <w:pgSz w:w="11906" w:h="16838" w:code="9"/>
          <w:pgMar w:top="848" w:right="849" w:bottom="993" w:left="1276" w:header="850" w:footer="1134" w:gutter="0"/>
          <w:cols w:space="708"/>
          <w:docGrid w:linePitch="360"/>
        </w:sectPr>
      </w:pPr>
    </w:p>
    <w:p w14:paraId="4F1D02BA" w14:textId="77777777" w:rsidR="00CB01B0" w:rsidRDefault="00CB01B0" w:rsidP="00CB01B0">
      <w:pPr>
        <w:pStyle w:val="PargrafodaLista"/>
        <w:spacing w:after="0"/>
        <w:ind w:left="0"/>
        <w:rPr>
          <w:rFonts w:ascii="Arial" w:hAnsi="Arial" w:cs="Arial"/>
          <w:sz w:val="22"/>
          <w:szCs w:val="22"/>
          <w:lang w:val="pt-BR"/>
        </w:rPr>
      </w:pPr>
    </w:p>
    <w:p w14:paraId="60C964A2" w14:textId="38434DAB" w:rsidR="00CB01B0" w:rsidRDefault="00CB01B0" w:rsidP="006B5AB9">
      <w:pPr>
        <w:pStyle w:val="Ttulo2"/>
        <w:numPr>
          <w:ilvl w:val="1"/>
          <w:numId w:val="1"/>
        </w:numPr>
        <w:tabs>
          <w:tab w:val="clear" w:pos="284"/>
          <w:tab w:val="clear" w:pos="340"/>
        </w:tabs>
        <w:spacing w:before="0" w:after="0" w:line="276" w:lineRule="auto"/>
        <w:ind w:left="851" w:hanging="851"/>
        <w:jc w:val="both"/>
        <w:rPr>
          <w:rFonts w:ascii="Arial" w:hAnsi="Arial" w:cs="Arial"/>
        </w:rPr>
      </w:pPr>
      <w:r w:rsidRPr="00CB01B0">
        <w:rPr>
          <w:rFonts w:ascii="Arial" w:hAnsi="Arial" w:cs="Arial"/>
        </w:rPr>
        <w:t>Reforma Tributária no Brasil</w:t>
      </w:r>
    </w:p>
    <w:p w14:paraId="09077536" w14:textId="77777777" w:rsidR="00CB01B0" w:rsidRPr="00CB01B0" w:rsidRDefault="00CB01B0" w:rsidP="006B5AB9"/>
    <w:p w14:paraId="0FAFEA54" w14:textId="5518AF88"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Reforma Tributária Brasileira foi aprovada e promulgada</w:t>
      </w:r>
      <w:r w:rsidR="00A07271">
        <w:rPr>
          <w:rFonts w:ascii="Arial" w:hAnsi="Arial" w:cs="Arial"/>
          <w:color w:val="000000"/>
          <w:sz w:val="22"/>
          <w:szCs w:val="22"/>
        </w:rPr>
        <w:t>,</w:t>
      </w:r>
      <w:r w:rsidRPr="00CB01B0">
        <w:rPr>
          <w:rFonts w:ascii="Arial" w:hAnsi="Arial" w:cs="Arial"/>
          <w:color w:val="000000"/>
          <w:sz w:val="22"/>
          <w:szCs w:val="22"/>
        </w:rPr>
        <w:t xml:space="preserve"> em dezembro de 2023</w:t>
      </w:r>
      <w:r w:rsidR="00A07271">
        <w:rPr>
          <w:rFonts w:ascii="Arial" w:hAnsi="Arial" w:cs="Arial"/>
          <w:color w:val="000000"/>
          <w:sz w:val="22"/>
          <w:szCs w:val="22"/>
        </w:rPr>
        <w:t>,</w:t>
      </w:r>
      <w:r w:rsidRPr="00CB01B0">
        <w:rPr>
          <w:rFonts w:ascii="Arial" w:hAnsi="Arial" w:cs="Arial"/>
          <w:color w:val="000000"/>
          <w:sz w:val="22"/>
          <w:szCs w:val="22"/>
        </w:rPr>
        <w:t xml:space="preserve"> no Congresso Nacional com objetivo de simplificar os tributos sobre </w:t>
      </w:r>
      <w:r w:rsidR="00A07271">
        <w:rPr>
          <w:rFonts w:ascii="Arial" w:hAnsi="Arial" w:cs="Arial"/>
          <w:color w:val="000000"/>
          <w:sz w:val="22"/>
          <w:szCs w:val="22"/>
        </w:rPr>
        <w:t xml:space="preserve">o </w:t>
      </w:r>
      <w:r w:rsidRPr="00CB01B0">
        <w:rPr>
          <w:rFonts w:ascii="Arial" w:hAnsi="Arial" w:cs="Arial"/>
          <w:color w:val="000000"/>
          <w:sz w:val="22"/>
          <w:szCs w:val="22"/>
        </w:rPr>
        <w:t>consumo, acabar com a cumulatividade e unificar a legislação dos novos tributos, sendo um dos pilares da reforma a simplificação e harmonização dos tributos existentes.</w:t>
      </w:r>
    </w:p>
    <w:p w14:paraId="6ABD63AB" w14:textId="7466ABB2" w:rsidR="00CB01B0" w:rsidRPr="00CB01B0"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A unificação de impostos federais, estaduais e municipais busca reduzir a burocracia, elimina</w:t>
      </w:r>
      <w:r w:rsidR="00A07271">
        <w:rPr>
          <w:rFonts w:ascii="Arial" w:hAnsi="Arial" w:cs="Arial"/>
          <w:color w:val="000000"/>
          <w:sz w:val="22"/>
          <w:szCs w:val="22"/>
        </w:rPr>
        <w:t>r</w:t>
      </w:r>
      <w:r w:rsidRPr="00CB01B0">
        <w:rPr>
          <w:rFonts w:ascii="Arial" w:hAnsi="Arial" w:cs="Arial"/>
          <w:color w:val="000000"/>
          <w:sz w:val="22"/>
          <w:szCs w:val="22"/>
        </w:rPr>
        <w:t xml:space="preserve"> redundâncias e facilita</w:t>
      </w:r>
      <w:r w:rsidR="00A07271">
        <w:rPr>
          <w:rFonts w:ascii="Arial" w:hAnsi="Arial" w:cs="Arial"/>
          <w:color w:val="000000"/>
          <w:sz w:val="22"/>
          <w:szCs w:val="22"/>
        </w:rPr>
        <w:t>r</w:t>
      </w:r>
      <w:r w:rsidRPr="00CB01B0">
        <w:rPr>
          <w:rFonts w:ascii="Arial" w:hAnsi="Arial" w:cs="Arial"/>
          <w:color w:val="000000"/>
          <w:sz w:val="22"/>
          <w:szCs w:val="22"/>
        </w:rPr>
        <w:t xml:space="preserve"> o cumprimento das obrigações fiscais. A mudança substitui cinco tributos 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08F3921D" w14:textId="21D5D4A3" w:rsidR="00EF62D9" w:rsidRDefault="00CB01B0" w:rsidP="006B5AB9">
      <w:pPr>
        <w:spacing w:after="120" w:line="276" w:lineRule="auto"/>
        <w:jc w:val="both"/>
        <w:rPr>
          <w:rFonts w:ascii="Arial" w:hAnsi="Arial" w:cs="Arial"/>
          <w:color w:val="000000"/>
          <w:sz w:val="22"/>
          <w:szCs w:val="22"/>
        </w:rPr>
      </w:pPr>
      <w:r w:rsidRPr="00CB01B0">
        <w:rPr>
          <w:rFonts w:ascii="Arial" w:hAnsi="Arial" w:cs="Arial"/>
          <w:color w:val="000000"/>
          <w:sz w:val="22"/>
          <w:szCs w:val="22"/>
        </w:rPr>
        <w:t xml:space="preserve">Embora as alíquotas ainda não estejam completamente definidas, isso será feito por Lei Complementar. No entanto, de acordo com um estudo do Ministério da Fazenda, a alíquota padrão está estimada em 27%. </w:t>
      </w:r>
      <w:r w:rsidR="00EF62D9" w:rsidRPr="00E82BC9">
        <w:rPr>
          <w:rFonts w:ascii="Arial" w:hAnsi="Arial" w:cs="Arial"/>
          <w:color w:val="000000"/>
          <w:sz w:val="22"/>
          <w:szCs w:val="22"/>
        </w:rPr>
        <w:t>Em janeiro de 2025, a Lei Complementar nº 214/25 foi sancionada estabelecendo os critérios gerais para a transição tributária que vai de 2026 a 2033.  O IBS e CBS seguirão datas distintas de implantação, sendo que a CBS deverá entrar em vigor, plenamente, no ano de 2027. Já o IBS ainda depende de regulamentações a serem feitas pelo Comitê Gestor, mas tem a previsão de entrada em vigor, de forma escalonada, a partir de 2029 e completamente em 2033.</w:t>
      </w:r>
      <w:r w:rsidR="00EF62D9" w:rsidRPr="00EF62D9">
        <w:rPr>
          <w:rFonts w:ascii="Arial" w:hAnsi="Arial" w:cs="Arial"/>
          <w:color w:val="000000"/>
          <w:sz w:val="22"/>
          <w:szCs w:val="22"/>
        </w:rPr>
        <w:t> </w:t>
      </w:r>
    </w:p>
    <w:p w14:paraId="69D45B1A" w14:textId="77777777" w:rsidR="004B2DD4" w:rsidRPr="00811304" w:rsidRDefault="004B2DD4" w:rsidP="004B2DD4">
      <w:pPr>
        <w:pStyle w:val="Ttulo2"/>
        <w:numPr>
          <w:ilvl w:val="0"/>
          <w:numId w:val="1"/>
        </w:numPr>
        <w:tabs>
          <w:tab w:val="clear" w:pos="284"/>
          <w:tab w:val="clear" w:pos="340"/>
        </w:tabs>
        <w:spacing w:before="0" w:after="0" w:line="276" w:lineRule="auto"/>
        <w:ind w:left="851" w:hanging="851"/>
        <w:jc w:val="both"/>
        <w:rPr>
          <w:rFonts w:ascii="Arial" w:eastAsia="Arial Unicode MS" w:hAnsi="Arial" w:cs="Arial"/>
          <w:bCs w:val="0"/>
          <w:iCs/>
        </w:rPr>
      </w:pPr>
      <w:r w:rsidRPr="00811304">
        <w:rPr>
          <w:rFonts w:ascii="Arial" w:eastAsia="Arial Unicode MS" w:hAnsi="Arial" w:cs="Arial"/>
          <w:bCs w:val="0"/>
          <w:iCs/>
        </w:rPr>
        <w:t>BASE DE PREPARAÇÃO DAS DEMONSTRAÇÕES CONTÁBEIS E RESUMO DAS PRINCIPAIS POLÍTICAS CONTÁBEIS</w:t>
      </w:r>
    </w:p>
    <w:p w14:paraId="12B7E9A3" w14:textId="77777777" w:rsidR="004B2DD4" w:rsidRPr="00811304" w:rsidRDefault="004B2DD4" w:rsidP="004B2DD4">
      <w:pPr>
        <w:spacing w:line="276" w:lineRule="auto"/>
      </w:pPr>
    </w:p>
    <w:p w14:paraId="348AC8FD" w14:textId="77777777" w:rsidR="004B2DD4" w:rsidRPr="00811304" w:rsidRDefault="004B2DD4" w:rsidP="004B2DD4">
      <w:pPr>
        <w:spacing w:line="276" w:lineRule="auto"/>
        <w:jc w:val="both"/>
        <w:rPr>
          <w:rFonts w:ascii="Arial" w:hAnsi="Arial" w:cs="Arial"/>
        </w:rPr>
      </w:pPr>
      <w:r w:rsidRPr="00811304">
        <w:rPr>
          <w:rFonts w:ascii="Arial" w:hAnsi="Arial" w:cs="Arial"/>
          <w:sz w:val="22"/>
          <w:szCs w:val="22"/>
        </w:rPr>
        <w:t>As políticas contábeis descritas em detalhes abaixo têm sido aplicadas de maneira consistente</w:t>
      </w:r>
      <w:r>
        <w:rPr>
          <w:rFonts w:ascii="Arial" w:hAnsi="Arial" w:cs="Arial"/>
          <w:sz w:val="22"/>
          <w:szCs w:val="22"/>
        </w:rPr>
        <w:t xml:space="preserve"> pela Companhia </w:t>
      </w:r>
      <w:r w:rsidRPr="00811304">
        <w:rPr>
          <w:rFonts w:ascii="Arial" w:hAnsi="Arial" w:cs="Arial"/>
          <w:sz w:val="22"/>
          <w:szCs w:val="22"/>
        </w:rPr>
        <w:t>a todos os exercícios apresentados nessas Demonstrações Contábeis Individuais</w:t>
      </w:r>
      <w:r>
        <w:rPr>
          <w:rFonts w:ascii="Arial" w:hAnsi="Arial" w:cs="Arial"/>
          <w:sz w:val="22"/>
          <w:szCs w:val="22"/>
        </w:rPr>
        <w:t>.</w:t>
      </w:r>
    </w:p>
    <w:p w14:paraId="4B4D6348" w14:textId="77777777" w:rsidR="004B2DD4" w:rsidRPr="00811304" w:rsidRDefault="004B2DD4" w:rsidP="004B2DD4">
      <w:pPr>
        <w:pStyle w:val="Corpodetexto"/>
        <w:tabs>
          <w:tab w:val="clear" w:pos="851"/>
          <w:tab w:val="left" w:pos="0"/>
        </w:tabs>
        <w:spacing w:before="0" w:after="0" w:line="276" w:lineRule="auto"/>
        <w:rPr>
          <w:rFonts w:ascii="Arial" w:hAnsi="Arial" w:cs="Arial"/>
        </w:rPr>
      </w:pPr>
    </w:p>
    <w:p w14:paraId="72E6A508" w14:textId="77777777" w:rsidR="004B2DD4" w:rsidRPr="00811304" w:rsidRDefault="004B2DD4" w:rsidP="004B2DD4">
      <w:pPr>
        <w:pStyle w:val="Ttulo2"/>
        <w:numPr>
          <w:ilvl w:val="1"/>
          <w:numId w:val="1"/>
        </w:numPr>
        <w:tabs>
          <w:tab w:val="clear" w:pos="284"/>
          <w:tab w:val="clear" w:pos="340"/>
        </w:tabs>
        <w:spacing w:before="0" w:after="0" w:line="276" w:lineRule="auto"/>
        <w:ind w:left="851" w:hanging="851"/>
        <w:jc w:val="both"/>
        <w:rPr>
          <w:rFonts w:ascii="Arial" w:hAnsi="Arial" w:cs="Arial"/>
        </w:rPr>
      </w:pPr>
      <w:r w:rsidRPr="00811304">
        <w:rPr>
          <w:rFonts w:ascii="Arial" w:eastAsia="Arial Unicode MS" w:hAnsi="Arial" w:cs="Arial"/>
          <w:bCs w:val="0"/>
          <w:iCs/>
        </w:rPr>
        <w:t>Base de preparação</w:t>
      </w:r>
    </w:p>
    <w:p w14:paraId="155628FB" w14:textId="77777777" w:rsidR="004B2DD4" w:rsidRPr="00811304" w:rsidRDefault="004B2DD4" w:rsidP="004B2DD4">
      <w:pPr>
        <w:spacing w:line="276" w:lineRule="auto"/>
      </w:pPr>
    </w:p>
    <w:p w14:paraId="256EEF71" w14:textId="61796C52" w:rsidR="004B2DD4" w:rsidRPr="00065AAA" w:rsidRDefault="004B2DD4" w:rsidP="004B2DD4">
      <w:pPr>
        <w:pStyle w:val="PargrafodaLista"/>
        <w:ind w:left="0"/>
        <w:rPr>
          <w:rFonts w:ascii="Arial" w:hAnsi="Arial" w:cs="Arial"/>
          <w:i/>
          <w:iCs/>
          <w:sz w:val="22"/>
          <w:szCs w:val="22"/>
          <w:lang w:val="pt-BR"/>
        </w:rPr>
      </w:pPr>
      <w:r w:rsidRPr="00065AAA">
        <w:rPr>
          <w:rFonts w:ascii="Arial" w:hAnsi="Arial" w:cs="Arial"/>
          <w:color w:val="000000"/>
          <w:sz w:val="22"/>
          <w:szCs w:val="22"/>
          <w:lang w:val="pt-BR"/>
        </w:rPr>
        <w:t>As Informações Contábeis Intermediárias Individuais da Companhia foram preparadas para o período findo em 3</w:t>
      </w:r>
      <w:r>
        <w:rPr>
          <w:rFonts w:ascii="Arial" w:hAnsi="Arial" w:cs="Arial"/>
          <w:color w:val="000000"/>
          <w:sz w:val="22"/>
          <w:szCs w:val="22"/>
          <w:lang w:val="pt-BR"/>
        </w:rPr>
        <w:t>1</w:t>
      </w:r>
      <w:r w:rsidRPr="00065AAA">
        <w:rPr>
          <w:rFonts w:ascii="Arial" w:hAnsi="Arial" w:cs="Arial"/>
          <w:color w:val="000000"/>
          <w:sz w:val="22"/>
          <w:szCs w:val="22"/>
          <w:lang w:val="pt-BR"/>
        </w:rPr>
        <w:t xml:space="preserve"> de </w:t>
      </w:r>
      <w:r>
        <w:rPr>
          <w:rFonts w:ascii="Arial" w:hAnsi="Arial" w:cs="Arial"/>
          <w:color w:val="000000"/>
          <w:sz w:val="22"/>
          <w:szCs w:val="22"/>
          <w:lang w:val="pt-BR"/>
        </w:rPr>
        <w:t>março</w:t>
      </w:r>
      <w:r w:rsidRPr="00065AAA">
        <w:rPr>
          <w:rFonts w:ascii="Arial" w:hAnsi="Arial" w:cs="Arial"/>
          <w:color w:val="000000"/>
          <w:sz w:val="22"/>
          <w:szCs w:val="22"/>
          <w:lang w:val="pt-BR"/>
        </w:rPr>
        <w:t xml:space="preserve"> de 202</w:t>
      </w:r>
      <w:r>
        <w:rPr>
          <w:rFonts w:ascii="Arial" w:hAnsi="Arial" w:cs="Arial"/>
          <w:color w:val="000000"/>
          <w:sz w:val="22"/>
          <w:szCs w:val="22"/>
          <w:lang w:val="pt-BR"/>
        </w:rPr>
        <w:t>6</w:t>
      </w:r>
      <w:r w:rsidRPr="00065AAA">
        <w:rPr>
          <w:rFonts w:ascii="Arial" w:hAnsi="Arial" w:cs="Arial"/>
          <w:color w:val="000000"/>
          <w:sz w:val="22"/>
          <w:szCs w:val="22"/>
          <w:lang w:val="pt-BR"/>
        </w:rPr>
        <w:t xml:space="preserve">, </w:t>
      </w:r>
      <w:r w:rsidRPr="00065AAA">
        <w:rPr>
          <w:rFonts w:ascii="Arial" w:hAnsi="Arial" w:cs="Arial"/>
          <w:sz w:val="22"/>
          <w:szCs w:val="22"/>
          <w:lang w:val="pt-BR"/>
        </w:rPr>
        <w:t xml:space="preserve">de acordo com </w:t>
      </w:r>
      <w:bookmarkStart w:id="9" w:name="_Hlk7528794"/>
      <w:r w:rsidRPr="00065AAA">
        <w:rPr>
          <w:rFonts w:ascii="Arial" w:hAnsi="Arial" w:cs="Arial"/>
          <w:sz w:val="22"/>
          <w:szCs w:val="22"/>
          <w:lang w:val="pt-BR"/>
        </w:rPr>
        <w:t xml:space="preserve">as práticas contábeis adotadas no Brasil (BR GAAP), </w:t>
      </w:r>
      <w:r w:rsidRPr="00065AAA">
        <w:rPr>
          <w:rFonts w:ascii="Arial" w:hAnsi="Arial" w:cs="Arial"/>
          <w:color w:val="000000"/>
          <w:sz w:val="22"/>
          <w:szCs w:val="22"/>
          <w:lang w:val="pt-BR"/>
        </w:rPr>
        <w:t xml:space="preserve">de acordo com os IFRS, bem como estão alinhados com o IAS </w:t>
      </w:r>
      <w:r w:rsidRPr="00065AAA">
        <w:rPr>
          <w:rFonts w:ascii="Arial" w:hAnsi="Arial" w:cs="Arial"/>
          <w:sz w:val="22"/>
          <w:szCs w:val="22"/>
          <w:lang w:val="pt-BR"/>
        </w:rPr>
        <w:t>–</w:t>
      </w:r>
      <w:r w:rsidRPr="00065AAA">
        <w:rPr>
          <w:rFonts w:ascii="Arial" w:hAnsi="Arial" w:cs="Arial"/>
          <w:color w:val="000000"/>
          <w:sz w:val="22"/>
          <w:szCs w:val="22"/>
          <w:lang w:val="pt-BR"/>
        </w:rPr>
        <w:t xml:space="preserve"> “</w:t>
      </w:r>
      <w:r w:rsidRPr="00065AAA">
        <w:rPr>
          <w:rFonts w:ascii="Arial" w:hAnsi="Arial" w:cs="Arial"/>
          <w:i/>
          <w:iCs/>
          <w:color w:val="000000"/>
          <w:sz w:val="22"/>
          <w:szCs w:val="22"/>
          <w:lang w:val="pt-BR"/>
        </w:rPr>
        <w:t xml:space="preserve">International Accounting Standards” </w:t>
      </w:r>
      <w:r w:rsidRPr="00065AAA">
        <w:rPr>
          <w:rFonts w:ascii="Arial" w:hAnsi="Arial" w:cs="Arial"/>
          <w:color w:val="000000"/>
          <w:sz w:val="22"/>
          <w:szCs w:val="22"/>
          <w:lang w:val="pt-BR"/>
        </w:rPr>
        <w:t xml:space="preserve">nº 34 e com o pronunciamento técnico emitido pelo CPC </w:t>
      </w:r>
      <w:r w:rsidRPr="00065AAA">
        <w:rPr>
          <w:rFonts w:ascii="Arial" w:hAnsi="Arial" w:cs="Arial"/>
          <w:sz w:val="22"/>
          <w:szCs w:val="22"/>
          <w:lang w:val="pt-BR"/>
        </w:rPr>
        <w:t>–</w:t>
      </w:r>
      <w:r w:rsidRPr="00065AAA">
        <w:rPr>
          <w:rFonts w:ascii="Arial" w:hAnsi="Arial" w:cs="Arial"/>
          <w:color w:val="000000"/>
          <w:sz w:val="22"/>
          <w:szCs w:val="22"/>
          <w:lang w:val="pt-BR"/>
        </w:rPr>
        <w:t xml:space="preserve"> Comitê de Pronunciamentos Contábeis</w:t>
      </w:r>
      <w:r>
        <w:rPr>
          <w:rFonts w:ascii="Arial" w:hAnsi="Arial" w:cs="Arial"/>
          <w:color w:val="000000"/>
          <w:sz w:val="22"/>
          <w:szCs w:val="22"/>
          <w:lang w:val="pt-BR"/>
        </w:rPr>
        <w:t>,</w:t>
      </w:r>
      <w:r w:rsidRPr="00065AAA">
        <w:rPr>
          <w:rFonts w:ascii="Arial" w:hAnsi="Arial" w:cs="Arial"/>
          <w:color w:val="000000"/>
          <w:sz w:val="22"/>
          <w:szCs w:val="22"/>
          <w:lang w:val="pt-BR"/>
        </w:rPr>
        <w:t xml:space="preserve"> nº 21 (R1), que tratam das demonstrações intermediárias. </w:t>
      </w:r>
      <w:bookmarkEnd w:id="9"/>
    </w:p>
    <w:p w14:paraId="2BE475C1" w14:textId="77777777" w:rsidR="004B2DD4" w:rsidRPr="00065AAA" w:rsidRDefault="004B2DD4" w:rsidP="004B2DD4">
      <w:pPr>
        <w:spacing w:line="276" w:lineRule="auto"/>
        <w:jc w:val="both"/>
        <w:rPr>
          <w:rFonts w:ascii="Arial" w:hAnsi="Arial" w:cs="Arial"/>
          <w:color w:val="000000"/>
          <w:sz w:val="22"/>
          <w:szCs w:val="22"/>
        </w:rPr>
      </w:pPr>
      <w:r w:rsidRPr="00065AAA">
        <w:rPr>
          <w:rFonts w:ascii="Arial" w:hAnsi="Arial" w:cs="Arial"/>
          <w:color w:val="000000"/>
          <w:sz w:val="22"/>
          <w:szCs w:val="22"/>
        </w:rPr>
        <w:lastRenderedPageBreak/>
        <w:t xml:space="preserve">O CPC 21 (IAS 34) requer o uso de certas estimativas contábeis por parte da Administração da Companhia. As Informações Contábeis Intermediárias foram preparadas com base no custo histórico, exceto para determinados ativos e passivos financeiros que são mensurados a valor justo. </w:t>
      </w:r>
    </w:p>
    <w:p w14:paraId="76862D53" w14:textId="77777777" w:rsidR="004B2DD4" w:rsidRPr="00352F14" w:rsidRDefault="004B2DD4" w:rsidP="004B2DD4">
      <w:pPr>
        <w:spacing w:line="276" w:lineRule="auto"/>
        <w:ind w:left="426"/>
        <w:jc w:val="both"/>
        <w:rPr>
          <w:rFonts w:ascii="Arial" w:hAnsi="Arial" w:cs="Arial"/>
          <w:color w:val="000000"/>
          <w:sz w:val="14"/>
          <w:szCs w:val="14"/>
        </w:rPr>
      </w:pPr>
    </w:p>
    <w:p w14:paraId="1485BC8B" w14:textId="65DC5B43" w:rsidR="004B2DD4" w:rsidRPr="00065AAA" w:rsidRDefault="004B2DD4" w:rsidP="004B2DD4">
      <w:pPr>
        <w:spacing w:line="276" w:lineRule="auto"/>
        <w:jc w:val="both"/>
        <w:rPr>
          <w:rFonts w:ascii="Arial" w:hAnsi="Arial" w:cs="Arial"/>
          <w:sz w:val="22"/>
          <w:szCs w:val="22"/>
        </w:rPr>
      </w:pPr>
      <w:r w:rsidRPr="00065AAA">
        <w:rPr>
          <w:rFonts w:ascii="Arial" w:hAnsi="Arial" w:cs="Arial"/>
          <w:color w:val="000000"/>
          <w:sz w:val="22"/>
          <w:szCs w:val="22"/>
        </w:rPr>
        <w:t>Estas Informações Contábeis Intermediárias não incluem todas as informações e divulgações requeridas nas Demonstrações Contábeis Anuais, portanto, devem ser lidas em conjunto com as Demonstrações Contábeis referentes ao exercício findo em 31 de dezembro de 202</w:t>
      </w:r>
      <w:r>
        <w:rPr>
          <w:rFonts w:ascii="Arial" w:hAnsi="Arial" w:cs="Arial"/>
          <w:color w:val="000000"/>
          <w:sz w:val="22"/>
          <w:szCs w:val="22"/>
        </w:rPr>
        <w:t>5</w:t>
      </w:r>
      <w:r w:rsidRPr="00065AAA">
        <w:rPr>
          <w:rFonts w:ascii="Arial" w:hAnsi="Arial" w:cs="Arial"/>
          <w:color w:val="000000"/>
          <w:sz w:val="22"/>
          <w:szCs w:val="22"/>
        </w:rPr>
        <w:t xml:space="preserve">, arquivadas em </w:t>
      </w:r>
      <w:r>
        <w:rPr>
          <w:rFonts w:ascii="Arial" w:hAnsi="Arial" w:cs="Arial"/>
          <w:color w:val="000000"/>
          <w:sz w:val="22"/>
          <w:szCs w:val="22"/>
        </w:rPr>
        <w:t>20</w:t>
      </w:r>
      <w:r w:rsidRPr="00065AAA">
        <w:rPr>
          <w:rFonts w:ascii="Arial" w:hAnsi="Arial" w:cs="Arial"/>
          <w:color w:val="000000"/>
          <w:sz w:val="22"/>
          <w:szCs w:val="22"/>
        </w:rPr>
        <w:t xml:space="preserve"> de março de 202</w:t>
      </w:r>
      <w:r>
        <w:rPr>
          <w:rFonts w:ascii="Arial" w:hAnsi="Arial" w:cs="Arial"/>
          <w:color w:val="000000"/>
          <w:sz w:val="22"/>
          <w:szCs w:val="22"/>
        </w:rPr>
        <w:t>6</w:t>
      </w:r>
      <w:r w:rsidRPr="00065AAA">
        <w:rPr>
          <w:rFonts w:ascii="Arial" w:hAnsi="Arial" w:cs="Arial"/>
          <w:color w:val="000000"/>
          <w:sz w:val="22"/>
          <w:szCs w:val="22"/>
        </w:rPr>
        <w:t xml:space="preserve"> na Comissão de Valores Mobiliários – CVM, as quais foram preparadas de acordo com o IFRS – “</w:t>
      </w:r>
      <w:r w:rsidRPr="00065AAA">
        <w:rPr>
          <w:rFonts w:ascii="Arial" w:hAnsi="Arial" w:cs="Arial"/>
          <w:i/>
          <w:color w:val="000000"/>
          <w:sz w:val="22"/>
          <w:szCs w:val="22"/>
        </w:rPr>
        <w:t>International Financial Reporting Standards”</w:t>
      </w:r>
      <w:r w:rsidRPr="00065AAA">
        <w:rPr>
          <w:rFonts w:ascii="Arial" w:hAnsi="Arial" w:cs="Arial"/>
          <w:color w:val="000000"/>
          <w:sz w:val="22"/>
          <w:szCs w:val="22"/>
        </w:rPr>
        <w:t xml:space="preserve"> e em consonância com as práticas contábeis adotadas no Brasil. </w:t>
      </w:r>
      <w:r w:rsidRPr="00065AAA">
        <w:rPr>
          <w:rFonts w:ascii="Arial" w:hAnsi="Arial" w:cs="Arial"/>
          <w:color w:val="000000"/>
          <w:sz w:val="22"/>
          <w:szCs w:val="22"/>
          <w:shd w:val="clear" w:color="auto" w:fill="FDFDFD"/>
        </w:rPr>
        <w:t>As principais políticas contábeis aplicadas na preparação destas informações contábeis intermediárias são consistentes com aquelas adotadas e apresentadas nas Demonstrações Contábeis da Companhia do exercício findo em 31 de dezembro de 202</w:t>
      </w:r>
      <w:r>
        <w:rPr>
          <w:rFonts w:ascii="Arial" w:hAnsi="Arial" w:cs="Arial"/>
          <w:color w:val="000000"/>
          <w:sz w:val="22"/>
          <w:szCs w:val="22"/>
          <w:shd w:val="clear" w:color="auto" w:fill="FDFDFD"/>
        </w:rPr>
        <w:t>5</w:t>
      </w:r>
      <w:r w:rsidRPr="00065AAA">
        <w:rPr>
          <w:rFonts w:ascii="Arial" w:hAnsi="Arial" w:cs="Arial"/>
          <w:color w:val="000000"/>
          <w:sz w:val="22"/>
          <w:szCs w:val="22"/>
          <w:shd w:val="clear" w:color="auto" w:fill="FDFDFD"/>
        </w:rPr>
        <w:t>.</w:t>
      </w:r>
      <w:r w:rsidRPr="00065AAA">
        <w:rPr>
          <w:rFonts w:ascii="Arial" w:hAnsi="Arial" w:cs="Arial"/>
          <w:color w:val="000000"/>
          <w:sz w:val="22"/>
          <w:szCs w:val="22"/>
        </w:rPr>
        <w:t xml:space="preserve"> </w:t>
      </w:r>
    </w:p>
    <w:p w14:paraId="699EEFD8" w14:textId="77777777" w:rsidR="004B2DD4" w:rsidRPr="00352F14" w:rsidRDefault="004B2DD4" w:rsidP="004B2DD4">
      <w:pPr>
        <w:spacing w:line="276" w:lineRule="auto"/>
        <w:jc w:val="both"/>
        <w:rPr>
          <w:rFonts w:ascii="Arial" w:hAnsi="Arial" w:cs="Arial"/>
          <w:sz w:val="14"/>
          <w:szCs w:val="14"/>
        </w:rPr>
      </w:pPr>
    </w:p>
    <w:p w14:paraId="11641906" w14:textId="3C14F759" w:rsidR="004B2DD4" w:rsidRPr="00065AAA" w:rsidRDefault="004B2DD4" w:rsidP="004B2DD4">
      <w:pPr>
        <w:spacing w:line="276" w:lineRule="auto"/>
        <w:jc w:val="both"/>
        <w:rPr>
          <w:rFonts w:ascii="Arial" w:hAnsi="Arial" w:cs="Arial"/>
          <w:color w:val="000000"/>
          <w:sz w:val="22"/>
          <w:szCs w:val="22"/>
        </w:rPr>
      </w:pPr>
      <w:r w:rsidRPr="00065AAA">
        <w:rPr>
          <w:rFonts w:ascii="Arial" w:hAnsi="Arial" w:cs="Arial"/>
          <w:sz w:val="22"/>
          <w:szCs w:val="22"/>
        </w:rPr>
        <w:t xml:space="preserve">A autorização para a </w:t>
      </w:r>
      <w:r w:rsidRPr="00341ACE">
        <w:rPr>
          <w:rFonts w:ascii="Arial" w:hAnsi="Arial" w:cs="Arial"/>
          <w:sz w:val="22"/>
          <w:szCs w:val="22"/>
        </w:rPr>
        <w:t xml:space="preserve">emissão destas Informações Contábeis Intermediárias ocorreu na Reunião da Diretoria </w:t>
      </w:r>
      <w:r w:rsidRPr="00963ECD">
        <w:rPr>
          <w:rFonts w:ascii="Arial" w:hAnsi="Arial" w:cs="Arial"/>
          <w:sz w:val="22"/>
          <w:szCs w:val="22"/>
        </w:rPr>
        <w:t xml:space="preserve">realizada </w:t>
      </w:r>
      <w:r w:rsidRPr="003C15A4">
        <w:rPr>
          <w:rFonts w:ascii="Arial" w:hAnsi="Arial" w:cs="Arial"/>
          <w:sz w:val="22"/>
          <w:szCs w:val="22"/>
        </w:rPr>
        <w:t xml:space="preserve">em </w:t>
      </w:r>
      <w:r w:rsidR="003C15A4" w:rsidRPr="003C15A4">
        <w:rPr>
          <w:rFonts w:ascii="Arial" w:hAnsi="Arial" w:cs="Arial"/>
          <w:sz w:val="22"/>
          <w:szCs w:val="22"/>
        </w:rPr>
        <w:t>12</w:t>
      </w:r>
      <w:r w:rsidRPr="003C15A4">
        <w:rPr>
          <w:rFonts w:ascii="Arial" w:hAnsi="Arial" w:cs="Arial"/>
          <w:sz w:val="22"/>
          <w:szCs w:val="22"/>
        </w:rPr>
        <w:t xml:space="preserve"> de maio de 2026.</w:t>
      </w:r>
    </w:p>
    <w:p w14:paraId="4820AFB4" w14:textId="77777777" w:rsidR="004B2DD4" w:rsidRPr="00065AAA" w:rsidRDefault="004B2DD4" w:rsidP="004B2DD4">
      <w:pPr>
        <w:pStyle w:val="Corpodetexto"/>
        <w:tabs>
          <w:tab w:val="clear" w:pos="851"/>
          <w:tab w:val="left" w:pos="0"/>
        </w:tabs>
        <w:spacing w:before="0" w:after="0" w:line="276" w:lineRule="auto"/>
        <w:rPr>
          <w:rFonts w:ascii="Arial" w:hAnsi="Arial" w:cs="Arial"/>
        </w:rPr>
      </w:pPr>
    </w:p>
    <w:p w14:paraId="290172E5" w14:textId="77777777" w:rsidR="004B2DD4" w:rsidRPr="00065AAA" w:rsidRDefault="004B2DD4" w:rsidP="004B2DD4">
      <w:pPr>
        <w:pStyle w:val="Ttulo2"/>
        <w:numPr>
          <w:ilvl w:val="1"/>
          <w:numId w:val="1"/>
        </w:numPr>
        <w:tabs>
          <w:tab w:val="clear" w:pos="284"/>
          <w:tab w:val="clear" w:pos="340"/>
        </w:tabs>
        <w:spacing w:before="0" w:after="0"/>
        <w:ind w:left="851" w:hanging="851"/>
        <w:jc w:val="both"/>
        <w:rPr>
          <w:rFonts w:ascii="Arial" w:eastAsia="Arial Unicode MS" w:hAnsi="Arial" w:cs="Arial"/>
          <w:bCs w:val="0"/>
          <w:iCs/>
        </w:rPr>
      </w:pPr>
      <w:r w:rsidRPr="00065AAA">
        <w:rPr>
          <w:rFonts w:ascii="Arial" w:eastAsia="Arial Unicode MS" w:hAnsi="Arial" w:cs="Arial"/>
          <w:bCs w:val="0"/>
          <w:iCs/>
        </w:rPr>
        <w:t xml:space="preserve">Moeda funcional </w:t>
      </w:r>
    </w:p>
    <w:p w14:paraId="37A18140" w14:textId="77777777" w:rsidR="004B2DD4" w:rsidRPr="00352F14" w:rsidRDefault="004B2DD4" w:rsidP="004B2DD4">
      <w:pPr>
        <w:rPr>
          <w:sz w:val="18"/>
          <w:szCs w:val="18"/>
        </w:rPr>
      </w:pPr>
    </w:p>
    <w:p w14:paraId="49E847B8" w14:textId="77777777" w:rsidR="004B2DD4" w:rsidRDefault="004B2DD4" w:rsidP="004B2DD4">
      <w:pPr>
        <w:spacing w:after="160"/>
        <w:ind w:right="-81"/>
        <w:jc w:val="both"/>
        <w:rPr>
          <w:rFonts w:ascii="Arial" w:hAnsi="Arial" w:cs="Arial"/>
          <w:color w:val="000000"/>
          <w:sz w:val="22"/>
          <w:szCs w:val="22"/>
        </w:rPr>
      </w:pPr>
      <w:r w:rsidRPr="00065AAA">
        <w:rPr>
          <w:rFonts w:ascii="Arial" w:hAnsi="Arial" w:cs="Arial"/>
          <w:color w:val="000000"/>
          <w:sz w:val="22"/>
          <w:szCs w:val="22"/>
        </w:rPr>
        <w:t xml:space="preserve">A moeda do ambiente econômico principal no qual a Companhia opera, utilizada na preparação das informações contábeis intermediárias, é o Real (R$). </w:t>
      </w:r>
    </w:p>
    <w:p w14:paraId="1D5718D1" w14:textId="77777777" w:rsidR="004B2DD4" w:rsidRPr="00C33A97" w:rsidRDefault="004B2DD4" w:rsidP="004B2DD4">
      <w:pPr>
        <w:spacing w:after="160"/>
        <w:ind w:right="-81"/>
        <w:jc w:val="both"/>
        <w:rPr>
          <w:rFonts w:ascii="Arial" w:hAnsi="Arial" w:cs="Arial"/>
          <w:color w:val="000000"/>
          <w:sz w:val="6"/>
          <w:szCs w:val="6"/>
        </w:rPr>
      </w:pPr>
    </w:p>
    <w:p w14:paraId="315FCE30" w14:textId="77777777" w:rsidR="004B2DD4" w:rsidRPr="00065AAA" w:rsidRDefault="004B2DD4" w:rsidP="004B2DD4">
      <w:pPr>
        <w:pStyle w:val="Ttulo2"/>
        <w:numPr>
          <w:ilvl w:val="1"/>
          <w:numId w:val="1"/>
        </w:numPr>
        <w:tabs>
          <w:tab w:val="clear" w:pos="284"/>
          <w:tab w:val="clear" w:pos="340"/>
        </w:tabs>
        <w:spacing w:before="0" w:after="0"/>
        <w:ind w:left="851" w:hanging="851"/>
        <w:jc w:val="both"/>
        <w:rPr>
          <w:rFonts w:ascii="Arial" w:hAnsi="Arial" w:cs="Arial"/>
        </w:rPr>
      </w:pPr>
      <w:r w:rsidRPr="00065AAA">
        <w:rPr>
          <w:rFonts w:ascii="Arial" w:eastAsia="Arial Unicode MS" w:hAnsi="Arial" w:cs="Arial"/>
          <w:bCs w:val="0"/>
          <w:iCs/>
        </w:rPr>
        <w:t>Estimativas e julgamentos contábeis críticos</w:t>
      </w:r>
    </w:p>
    <w:p w14:paraId="4375CD1F" w14:textId="77777777" w:rsidR="004B2DD4" w:rsidRPr="00352F14" w:rsidRDefault="004B2DD4" w:rsidP="004B2DD4">
      <w:pPr>
        <w:rPr>
          <w:sz w:val="16"/>
          <w:szCs w:val="16"/>
        </w:rPr>
      </w:pPr>
    </w:p>
    <w:p w14:paraId="194AF542" w14:textId="7A1FA2C6" w:rsidR="004B2DD4" w:rsidRDefault="004B2DD4" w:rsidP="004B2DD4">
      <w:pPr>
        <w:spacing w:line="276" w:lineRule="auto"/>
        <w:jc w:val="both"/>
        <w:rPr>
          <w:rFonts w:ascii="Arial" w:hAnsi="Arial" w:cs="Arial"/>
          <w:sz w:val="22"/>
          <w:szCs w:val="22"/>
        </w:rPr>
      </w:pPr>
      <w:r w:rsidRPr="00065AAA">
        <w:rPr>
          <w:rFonts w:ascii="Arial" w:hAnsi="Arial" w:cs="Arial"/>
          <w:sz w:val="22"/>
          <w:szCs w:val="22"/>
        </w:rPr>
        <w:t>Ao preparar as Informações Contábeis Intermediárias, a Administração se baseia em estimativas e premissas derivadas da experiência histórica e outros fatores, incluindo expectativas de eventos futuros, as quais se consideram razoáveis e relevantes. A aplicação das estimativas e premissas frequentemente requer julgamentos relacionados a assuntos que são incertos, com relação aos resultados das operações e ao valor dos ativos e passivos. Os resultados operacionais e a posição financeira podem diferir se as experiências e premissas utilizadas na mensuração das estimativas forem diferentes dos resultados reais. As estimativas que possuem risco significativo de causar ajustes materiais sobre os saldos contábeis dos ativos e passivos foram divulgadas nas Demonstrações Contábeis Anuais da Companhia, acima mencionadas.  No trimestre findo em 3</w:t>
      </w:r>
      <w:r>
        <w:rPr>
          <w:rFonts w:ascii="Arial" w:hAnsi="Arial" w:cs="Arial"/>
          <w:sz w:val="22"/>
          <w:szCs w:val="22"/>
        </w:rPr>
        <w:t>1</w:t>
      </w:r>
      <w:r w:rsidRPr="00065AAA">
        <w:rPr>
          <w:rFonts w:ascii="Arial" w:hAnsi="Arial" w:cs="Arial"/>
          <w:sz w:val="22"/>
          <w:szCs w:val="22"/>
        </w:rPr>
        <w:t xml:space="preserve"> de </w:t>
      </w:r>
      <w:r>
        <w:rPr>
          <w:rFonts w:ascii="Arial" w:hAnsi="Arial" w:cs="Arial"/>
          <w:sz w:val="22"/>
          <w:szCs w:val="22"/>
        </w:rPr>
        <w:t>março</w:t>
      </w:r>
      <w:r w:rsidRPr="00065AAA">
        <w:rPr>
          <w:rFonts w:ascii="Arial" w:hAnsi="Arial" w:cs="Arial"/>
          <w:sz w:val="22"/>
          <w:szCs w:val="22"/>
        </w:rPr>
        <w:t xml:space="preserve"> de 202</w:t>
      </w:r>
      <w:r w:rsidR="001307F8">
        <w:rPr>
          <w:rFonts w:ascii="Arial" w:hAnsi="Arial" w:cs="Arial"/>
          <w:sz w:val="22"/>
          <w:szCs w:val="22"/>
        </w:rPr>
        <w:t>6</w:t>
      </w:r>
      <w:r w:rsidRPr="00065AAA">
        <w:rPr>
          <w:rFonts w:ascii="Arial" w:hAnsi="Arial" w:cs="Arial"/>
          <w:sz w:val="22"/>
          <w:szCs w:val="22"/>
        </w:rPr>
        <w:t>, não houve mudança relevante nas estimativas contábeis adotadas pela Companhia.</w:t>
      </w:r>
      <w:r w:rsidRPr="002A36CE">
        <w:rPr>
          <w:rFonts w:ascii="Arial" w:hAnsi="Arial" w:cs="Arial"/>
          <w:sz w:val="22"/>
          <w:szCs w:val="22"/>
        </w:rPr>
        <w:t xml:space="preserve"> </w:t>
      </w:r>
    </w:p>
    <w:p w14:paraId="583A8A6F" w14:textId="77777777" w:rsidR="00322A47" w:rsidRPr="00916015" w:rsidRDefault="00322A47" w:rsidP="00F8610A">
      <w:pPr>
        <w:spacing w:line="276" w:lineRule="auto"/>
        <w:jc w:val="both"/>
        <w:rPr>
          <w:rFonts w:ascii="Arial" w:hAnsi="Arial" w:cs="Arial"/>
          <w:sz w:val="22"/>
          <w:szCs w:val="22"/>
        </w:rPr>
      </w:pPr>
    </w:p>
    <w:p w14:paraId="5A52F945" w14:textId="77777777" w:rsidR="00AB540F" w:rsidRPr="002A36CE" w:rsidRDefault="00AB540F" w:rsidP="007F4A4E">
      <w:pPr>
        <w:pStyle w:val="Ttulo2"/>
        <w:numPr>
          <w:ilvl w:val="0"/>
          <w:numId w:val="12"/>
        </w:numPr>
        <w:tabs>
          <w:tab w:val="clear" w:pos="284"/>
          <w:tab w:val="clear" w:pos="340"/>
        </w:tabs>
        <w:spacing w:before="0" w:after="0" w:line="276" w:lineRule="auto"/>
        <w:ind w:hanging="502"/>
        <w:jc w:val="both"/>
        <w:rPr>
          <w:rFonts w:ascii="Arial" w:hAnsi="Arial" w:cs="Arial"/>
        </w:rPr>
      </w:pPr>
      <w:r w:rsidRPr="002A36CE">
        <w:rPr>
          <w:rFonts w:ascii="Arial" w:hAnsi="Arial" w:cs="Arial"/>
        </w:rPr>
        <w:t>GESTÃO DE RISCO E INSTRUMENTOS FINANCEIROS</w:t>
      </w:r>
    </w:p>
    <w:p w14:paraId="3C31A9CD" w14:textId="77777777" w:rsidR="00AB540F" w:rsidRPr="00C33A97" w:rsidRDefault="00AB540F" w:rsidP="00AB540F">
      <w:pPr>
        <w:spacing w:line="276" w:lineRule="auto"/>
        <w:rPr>
          <w:sz w:val="14"/>
          <w:szCs w:val="14"/>
        </w:rPr>
      </w:pPr>
    </w:p>
    <w:p w14:paraId="584C003A" w14:textId="77777777" w:rsidR="00AB540F" w:rsidRPr="002A36CE" w:rsidRDefault="00AB540F" w:rsidP="009541E1">
      <w:pPr>
        <w:pStyle w:val="Ttulo2"/>
        <w:numPr>
          <w:ilvl w:val="1"/>
          <w:numId w:val="12"/>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Fatores de risco</w:t>
      </w:r>
    </w:p>
    <w:p w14:paraId="76B19A57" w14:textId="77777777" w:rsidR="00AB540F" w:rsidRPr="00352F14" w:rsidRDefault="00AB540F" w:rsidP="00AB540F">
      <w:pPr>
        <w:spacing w:line="276" w:lineRule="auto"/>
        <w:rPr>
          <w:sz w:val="14"/>
          <w:szCs w:val="14"/>
        </w:rPr>
      </w:pPr>
    </w:p>
    <w:p w14:paraId="167B03AE" w14:textId="41AC16F2" w:rsidR="00AB540F" w:rsidRPr="002A36CE" w:rsidRDefault="00AB540F" w:rsidP="00AB540F">
      <w:pPr>
        <w:widowControl w:val="0"/>
        <w:tabs>
          <w:tab w:val="left" w:pos="1134"/>
        </w:tabs>
        <w:spacing w:line="276" w:lineRule="auto"/>
        <w:ind w:left="2" w:hanging="2"/>
        <w:jc w:val="both"/>
        <w:rPr>
          <w:rFonts w:ascii="Arial" w:hAnsi="Arial" w:cs="Arial"/>
          <w:sz w:val="22"/>
          <w:szCs w:val="22"/>
        </w:rPr>
      </w:pPr>
      <w:r w:rsidRPr="003B7080">
        <w:rPr>
          <w:rFonts w:ascii="Arial" w:hAnsi="Arial" w:cs="Arial"/>
          <w:sz w:val="22"/>
          <w:szCs w:val="22"/>
        </w:rPr>
        <w:t xml:space="preserve">A </w:t>
      </w:r>
      <w:r w:rsidR="00FA0374" w:rsidRPr="003B7080">
        <w:rPr>
          <w:rFonts w:ascii="Arial" w:hAnsi="Arial" w:cs="Arial"/>
          <w:sz w:val="22"/>
          <w:szCs w:val="22"/>
        </w:rPr>
        <w:t>a</w:t>
      </w:r>
      <w:r w:rsidRPr="003B7080">
        <w:rPr>
          <w:rFonts w:ascii="Arial" w:hAnsi="Arial" w:cs="Arial"/>
          <w:sz w:val="22"/>
          <w:szCs w:val="22"/>
        </w:rPr>
        <w:t>dministração</w:t>
      </w:r>
      <w:r w:rsidRPr="002A36CE">
        <w:rPr>
          <w:rFonts w:ascii="Arial" w:hAnsi="Arial" w:cs="Arial"/>
          <w:sz w:val="22"/>
          <w:szCs w:val="22"/>
        </w:rPr>
        <w:t xml:space="preserve"> tem total responsabilidade pelo estabelecimento e </w:t>
      </w:r>
      <w:r w:rsidR="008D2DD8">
        <w:rPr>
          <w:rFonts w:ascii="Arial" w:hAnsi="Arial" w:cs="Arial"/>
          <w:sz w:val="22"/>
          <w:szCs w:val="22"/>
        </w:rPr>
        <w:t xml:space="preserve">a </w:t>
      </w:r>
      <w:r w:rsidRPr="002A36CE">
        <w:rPr>
          <w:rFonts w:ascii="Arial" w:hAnsi="Arial" w:cs="Arial"/>
          <w:sz w:val="22"/>
          <w:szCs w:val="22"/>
        </w:rPr>
        <w:t xml:space="preserve">supervisão da estrutura de gerenciamento de seus riscos, observando, para tanto, as avaliações técnicas corporativas realizadas pela Companhia. </w:t>
      </w:r>
    </w:p>
    <w:p w14:paraId="0848D84C" w14:textId="77777777" w:rsidR="00AB540F" w:rsidRPr="00C33A97" w:rsidRDefault="00AB540F" w:rsidP="00AB540F">
      <w:pPr>
        <w:spacing w:line="276" w:lineRule="auto"/>
        <w:rPr>
          <w:rFonts w:ascii="Arial" w:hAnsi="Arial" w:cs="Arial"/>
          <w:sz w:val="14"/>
          <w:szCs w:val="14"/>
        </w:rPr>
      </w:pPr>
    </w:p>
    <w:p w14:paraId="6D9E83EB" w14:textId="67067454"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políticas de gerenciamento de risco são estabelecidas para dar previsibilidade a eventuais riscos, objetivando definir limites e controles apropriados, de forma a propiciar monitoração permanente e aderência aos limites operativos estabelecidos a cada empresa. A </w:t>
      </w:r>
      <w:r w:rsidR="00FA0374">
        <w:rPr>
          <w:rFonts w:ascii="Arial" w:hAnsi="Arial" w:cs="Arial"/>
          <w:sz w:val="22"/>
          <w:szCs w:val="22"/>
        </w:rPr>
        <w:t>a</w:t>
      </w:r>
      <w:r w:rsidRPr="002A36CE">
        <w:rPr>
          <w:rFonts w:ascii="Arial" w:hAnsi="Arial" w:cs="Arial"/>
          <w:sz w:val="22"/>
          <w:szCs w:val="22"/>
        </w:rPr>
        <w:t xml:space="preserve">dministração busca, efetivamente, a previsibilidade com vistas ao acompanhamento de operações que porventura possam comprometer a liquidez e </w:t>
      </w:r>
      <w:r w:rsidR="00B475F5">
        <w:rPr>
          <w:rFonts w:ascii="Arial" w:hAnsi="Arial" w:cs="Arial"/>
          <w:sz w:val="22"/>
          <w:szCs w:val="22"/>
        </w:rPr>
        <w:t xml:space="preserve">a </w:t>
      </w:r>
      <w:r w:rsidRPr="002A36CE">
        <w:rPr>
          <w:rFonts w:ascii="Arial" w:hAnsi="Arial" w:cs="Arial"/>
          <w:sz w:val="22"/>
          <w:szCs w:val="22"/>
        </w:rPr>
        <w:t xml:space="preserve">rentabilidade da Companhia. </w:t>
      </w:r>
    </w:p>
    <w:p w14:paraId="7537C3EE" w14:textId="77777777" w:rsidR="00AB540F" w:rsidRPr="00BB0290" w:rsidRDefault="00AB540F" w:rsidP="00AB540F">
      <w:pPr>
        <w:widowControl w:val="0"/>
        <w:tabs>
          <w:tab w:val="left" w:pos="1134"/>
        </w:tabs>
        <w:spacing w:line="276" w:lineRule="auto"/>
        <w:jc w:val="both"/>
        <w:rPr>
          <w:rFonts w:ascii="Arial" w:hAnsi="Arial" w:cs="Arial"/>
          <w:sz w:val="14"/>
          <w:szCs w:val="14"/>
        </w:rPr>
      </w:pPr>
    </w:p>
    <w:p w14:paraId="77648183" w14:textId="77777777" w:rsidR="00AB540F" w:rsidRPr="002A36CE"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lastRenderedPageBreak/>
        <w:t xml:space="preserve">Essa política trata da revisão periódica dos riscos financeiros associados às captações, de modo a antecipar eventuais mudanças nas condições de mercado e seus reflexos nas atividades da Companhia. </w:t>
      </w:r>
    </w:p>
    <w:p w14:paraId="65C968C3" w14:textId="77777777" w:rsidR="00AB540F" w:rsidRDefault="00AB540F" w:rsidP="00AB540F">
      <w:pPr>
        <w:widowControl w:val="0"/>
        <w:tabs>
          <w:tab w:val="left" w:pos="1134"/>
        </w:tabs>
        <w:spacing w:line="276" w:lineRule="auto"/>
        <w:jc w:val="both"/>
        <w:rPr>
          <w:rFonts w:ascii="Arial" w:hAnsi="Arial" w:cs="Arial"/>
          <w:sz w:val="16"/>
          <w:szCs w:val="16"/>
        </w:rPr>
      </w:pPr>
    </w:p>
    <w:p w14:paraId="7AC4E983" w14:textId="64A3D83C" w:rsidR="00AB540F" w:rsidRDefault="00AB540F" w:rsidP="00AB540F">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 Companhia mantém operações com instrumentos financeiros, cujos limites de exposição aos riscos de crédito são aprovados e revisados periodicamente pela </w:t>
      </w:r>
      <w:r w:rsidR="00B47943">
        <w:rPr>
          <w:rFonts w:ascii="Arial" w:hAnsi="Arial" w:cs="Arial"/>
          <w:sz w:val="22"/>
          <w:szCs w:val="22"/>
        </w:rPr>
        <w:t>A</w:t>
      </w:r>
      <w:r w:rsidRPr="002A36CE">
        <w:rPr>
          <w:rFonts w:ascii="Arial" w:hAnsi="Arial" w:cs="Arial"/>
          <w:sz w:val="22"/>
          <w:szCs w:val="22"/>
        </w:rPr>
        <w:t>dministração. Todos são inerentes à atividade operacional da Companhia, que não opera com instrumentos financeiros derivativos.</w:t>
      </w:r>
    </w:p>
    <w:p w14:paraId="1605AB51" w14:textId="77777777" w:rsidR="00545E62" w:rsidRPr="00C33A97" w:rsidRDefault="00545E62" w:rsidP="00D976BF">
      <w:pPr>
        <w:spacing w:line="276" w:lineRule="auto"/>
        <w:rPr>
          <w:sz w:val="14"/>
          <w:szCs w:val="14"/>
        </w:rPr>
      </w:pPr>
    </w:p>
    <w:p w14:paraId="7B162457" w14:textId="00AD5636"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Gestão de capital</w:t>
      </w:r>
    </w:p>
    <w:p w14:paraId="1B7D053C" w14:textId="77777777" w:rsidR="00D976BF" w:rsidRPr="002A36CE" w:rsidRDefault="00D976BF" w:rsidP="00D976BF">
      <w:pPr>
        <w:spacing w:line="276" w:lineRule="auto"/>
      </w:pPr>
    </w:p>
    <w:p w14:paraId="2C304BB0" w14:textId="52585776"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Ao administrar seu capital, a Companhia busca salvaguardar a capacidade de continuidade para oferecer retorno aos acionistas e benefícios às outras partes interessadas, monitorando os níveis de capital de giro líquido.</w:t>
      </w:r>
    </w:p>
    <w:p w14:paraId="056A0119" w14:textId="77777777" w:rsidR="00F2117D" w:rsidRDefault="00F2117D" w:rsidP="00D976BF">
      <w:pPr>
        <w:spacing w:line="276" w:lineRule="auto"/>
        <w:rPr>
          <w:sz w:val="14"/>
          <w:szCs w:val="14"/>
        </w:rPr>
      </w:pPr>
    </w:p>
    <w:p w14:paraId="7C63B65A" w14:textId="3CD201EF"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Risco de crédito</w:t>
      </w:r>
    </w:p>
    <w:p w14:paraId="18578A91" w14:textId="77777777" w:rsidR="00D976BF" w:rsidRPr="002A36CE" w:rsidRDefault="00D976BF" w:rsidP="00D976BF">
      <w:pPr>
        <w:spacing w:line="276" w:lineRule="auto"/>
      </w:pPr>
    </w:p>
    <w:p w14:paraId="02F3C88F"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O risco de crédito é o risco de uma operação negociada entre contrapartes de não cumprir uma obrigação prevista em um instrumento financeiro ou na negociação de venda ao cliente, que levaria ao prejuízo financeiro. A Companhia está exposta a risco de crédito em suas atividades operacionais e nos depósitos mantidos em bancos e outros investimentos em instrumentos financeiros em instituições financeiras.</w:t>
      </w:r>
    </w:p>
    <w:p w14:paraId="76F67B5E" w14:textId="77777777" w:rsidR="00911D9F" w:rsidRDefault="00911D9F" w:rsidP="00AB540F">
      <w:pPr>
        <w:autoSpaceDE w:val="0"/>
        <w:autoSpaceDN w:val="0"/>
        <w:adjustRightInd w:val="0"/>
        <w:spacing w:line="276" w:lineRule="auto"/>
        <w:jc w:val="both"/>
        <w:rPr>
          <w:rFonts w:ascii="Arial" w:hAnsi="Arial" w:cs="Arial"/>
          <w:sz w:val="22"/>
          <w:szCs w:val="22"/>
          <w:lang w:eastAsia="en-US"/>
        </w:rPr>
      </w:pPr>
    </w:p>
    <w:p w14:paraId="4CC0DE9E" w14:textId="77777777" w:rsidR="00911D9F" w:rsidRPr="002A36CE" w:rsidRDefault="00911D9F" w:rsidP="00AB540F">
      <w:pPr>
        <w:autoSpaceDE w:val="0"/>
        <w:autoSpaceDN w:val="0"/>
        <w:adjustRightInd w:val="0"/>
        <w:spacing w:line="276" w:lineRule="auto"/>
        <w:jc w:val="both"/>
        <w:rPr>
          <w:rFonts w:ascii="Arial" w:hAnsi="Arial" w:cs="Arial"/>
          <w:sz w:val="22"/>
          <w:szCs w:val="22"/>
          <w:lang w:eastAsia="en-US"/>
        </w:rPr>
        <w:sectPr w:rsidR="00911D9F" w:rsidRPr="002A36CE" w:rsidSect="006056D5">
          <w:footerReference w:type="default" r:id="rId33"/>
          <w:type w:val="continuous"/>
          <w:pgSz w:w="11906" w:h="16838" w:code="9"/>
          <w:pgMar w:top="848" w:right="849" w:bottom="993" w:left="1276" w:header="850" w:footer="964" w:gutter="0"/>
          <w:cols w:space="708"/>
          <w:docGrid w:linePitch="360"/>
        </w:sectPr>
      </w:pPr>
    </w:p>
    <w:p w14:paraId="63ABE2CA" w14:textId="4F93C5FF"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Risco de crédito Inadimplência das contas a receber de clientes</w:t>
      </w:r>
    </w:p>
    <w:p w14:paraId="2B822A7D" w14:textId="77777777" w:rsidR="00D976BF" w:rsidRDefault="00D976BF" w:rsidP="00BB0290">
      <w:pPr>
        <w:pStyle w:val="Corpodetexto"/>
        <w:tabs>
          <w:tab w:val="clear" w:pos="851"/>
        </w:tabs>
        <w:spacing w:before="0" w:after="0" w:line="276" w:lineRule="auto"/>
        <w:rPr>
          <w:rFonts w:ascii="Arial" w:hAnsi="Arial" w:cs="Arial"/>
        </w:rPr>
      </w:pPr>
    </w:p>
    <w:p w14:paraId="061ACBC3" w14:textId="2CF76FA0" w:rsidR="00581A61" w:rsidRDefault="00AB540F" w:rsidP="00BB0290">
      <w:pPr>
        <w:pStyle w:val="Corpodetexto"/>
        <w:tabs>
          <w:tab w:val="clear" w:pos="851"/>
        </w:tabs>
        <w:spacing w:before="0" w:after="0" w:line="276" w:lineRule="auto"/>
        <w:rPr>
          <w:rFonts w:ascii="Arial" w:hAnsi="Arial" w:cs="Arial"/>
        </w:rPr>
      </w:pPr>
      <w:r w:rsidRPr="002A36CE">
        <w:rPr>
          <w:rFonts w:ascii="Arial" w:hAnsi="Arial" w:cs="Arial"/>
        </w:rPr>
        <w:t>Para recuperação da inadimplência, a Companhia atua tempestivamente da seguinte forma: notificações de débito e de cobrança</w:t>
      </w:r>
      <w:r w:rsidR="00D772F3">
        <w:rPr>
          <w:rFonts w:ascii="Arial" w:hAnsi="Arial" w:cs="Arial"/>
        </w:rPr>
        <w:t>,</w:t>
      </w:r>
      <w:r w:rsidRPr="002A36CE">
        <w:rPr>
          <w:rFonts w:ascii="Arial" w:hAnsi="Arial" w:cs="Arial"/>
        </w:rPr>
        <w:t xml:space="preserve"> política de negociação de débitos</w:t>
      </w:r>
      <w:r w:rsidR="00D772F3">
        <w:rPr>
          <w:rFonts w:ascii="Arial" w:hAnsi="Arial" w:cs="Arial"/>
        </w:rPr>
        <w:t>,</w:t>
      </w:r>
      <w:r w:rsidRPr="002A36CE">
        <w:rPr>
          <w:rFonts w:ascii="Arial" w:hAnsi="Arial" w:cs="Arial"/>
        </w:rPr>
        <w:t xml:space="preserve"> interrupção dos serviços e negativação do cliente</w:t>
      </w:r>
      <w:r w:rsidR="00D772F3">
        <w:rPr>
          <w:rFonts w:ascii="Arial" w:hAnsi="Arial" w:cs="Arial"/>
        </w:rPr>
        <w:t>,</w:t>
      </w:r>
      <w:r w:rsidRPr="002A36CE">
        <w:rPr>
          <w:rFonts w:ascii="Arial" w:hAnsi="Arial" w:cs="Arial"/>
        </w:rPr>
        <w:t xml:space="preserve"> inclusão no Cadastro Informativo de Créditos não Quitados do Setor Público Federal – CADIN</w:t>
      </w:r>
      <w:r w:rsidR="00D772F3">
        <w:rPr>
          <w:rFonts w:ascii="Arial" w:hAnsi="Arial" w:cs="Arial"/>
        </w:rPr>
        <w:t>,</w:t>
      </w:r>
      <w:r w:rsidRPr="002A36CE">
        <w:rPr>
          <w:rFonts w:ascii="Arial" w:hAnsi="Arial" w:cs="Arial"/>
        </w:rPr>
        <w:t xml:space="preserve"> e cobrança Judicial.</w:t>
      </w:r>
    </w:p>
    <w:p w14:paraId="36D80F15" w14:textId="77777777" w:rsidR="00814926" w:rsidRPr="00352F14" w:rsidRDefault="00814926" w:rsidP="00D976BF">
      <w:pPr>
        <w:spacing w:line="276" w:lineRule="auto"/>
        <w:rPr>
          <w:sz w:val="20"/>
          <w:szCs w:val="20"/>
        </w:rPr>
      </w:pPr>
    </w:p>
    <w:p w14:paraId="2CF8DFC8" w14:textId="402EEEDE"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Caixa e equivalentes de caixa e investimentos financeiros</w:t>
      </w:r>
    </w:p>
    <w:p w14:paraId="62ADD977" w14:textId="77777777" w:rsidR="00D976BF" w:rsidRDefault="00D976BF" w:rsidP="00D976BF">
      <w:pPr>
        <w:pStyle w:val="Corpodetexto"/>
        <w:tabs>
          <w:tab w:val="clear" w:pos="851"/>
        </w:tabs>
        <w:spacing w:before="0" w:after="0" w:line="276" w:lineRule="auto"/>
        <w:rPr>
          <w:rFonts w:ascii="Arial" w:hAnsi="Arial" w:cs="Arial"/>
        </w:rPr>
      </w:pPr>
    </w:p>
    <w:p w14:paraId="6FB146F5" w14:textId="5FA5BFD3" w:rsidR="00264C2A" w:rsidRPr="00B96D6F" w:rsidRDefault="00AB540F" w:rsidP="00AB540F">
      <w:pPr>
        <w:pStyle w:val="Corpodetexto"/>
        <w:tabs>
          <w:tab w:val="clear" w:pos="851"/>
        </w:tabs>
        <w:spacing w:before="0" w:after="0" w:line="276" w:lineRule="auto"/>
        <w:rPr>
          <w:rFonts w:ascii="Arial" w:hAnsi="Arial" w:cs="Arial"/>
          <w:color w:val="000000" w:themeColor="text1"/>
        </w:rPr>
      </w:pPr>
      <w:r w:rsidRPr="00B96D6F">
        <w:rPr>
          <w:rFonts w:ascii="Arial" w:hAnsi="Arial" w:cs="Arial"/>
          <w:color w:val="000000" w:themeColor="text1"/>
        </w:rPr>
        <w:t xml:space="preserve">O risco de crédito dos saldos de caixa e dos investimentos financeiros, que é </w:t>
      </w:r>
      <w:r w:rsidR="00552527" w:rsidRPr="00B96D6F">
        <w:rPr>
          <w:rFonts w:ascii="Arial" w:hAnsi="Arial" w:cs="Arial"/>
          <w:color w:val="000000" w:themeColor="text1"/>
        </w:rPr>
        <w:t>gerido</w:t>
      </w:r>
      <w:r w:rsidRPr="00B96D6F">
        <w:rPr>
          <w:rFonts w:ascii="Arial" w:hAnsi="Arial" w:cs="Arial"/>
          <w:color w:val="000000" w:themeColor="text1"/>
        </w:rPr>
        <w:t xml:space="preserve"> pela </w:t>
      </w:r>
      <w:r w:rsidR="007D124B" w:rsidRPr="00B96D6F">
        <w:rPr>
          <w:rFonts w:ascii="Arial" w:hAnsi="Arial" w:cs="Arial"/>
          <w:color w:val="000000" w:themeColor="text1"/>
        </w:rPr>
        <w:t>A</w:t>
      </w:r>
      <w:r w:rsidR="00BD42FF" w:rsidRPr="00B96D6F">
        <w:rPr>
          <w:rFonts w:ascii="Arial" w:hAnsi="Arial" w:cs="Arial"/>
          <w:color w:val="000000" w:themeColor="text1"/>
        </w:rPr>
        <w:t xml:space="preserve">dministração </w:t>
      </w:r>
      <w:r w:rsidRPr="00B96D6F">
        <w:rPr>
          <w:rFonts w:ascii="Arial" w:hAnsi="Arial" w:cs="Arial"/>
          <w:color w:val="000000" w:themeColor="text1"/>
        </w:rPr>
        <w:t xml:space="preserve">da Companhia, é mitigado pela seleção dos investimentos considerados de baixo risco pelo mercado financeiro e investimentos vinculados a títulos de bancos públicos, principalmente devido às restrições impostas pelos órgãos reguladores (Conselho Monetário Nacional e Banco Central do Brasil), que definem, através </w:t>
      </w:r>
      <w:r w:rsidRPr="00E82BC9">
        <w:rPr>
          <w:rFonts w:ascii="Arial" w:hAnsi="Arial" w:cs="Arial"/>
          <w:color w:val="000000" w:themeColor="text1"/>
        </w:rPr>
        <w:t xml:space="preserve">da Resolução </w:t>
      </w:r>
      <w:r w:rsidR="00B471A0" w:rsidRPr="00E82BC9">
        <w:rPr>
          <w:rFonts w:ascii="Arial" w:hAnsi="Arial" w:cs="Arial"/>
          <w:color w:val="000000" w:themeColor="text1"/>
        </w:rPr>
        <w:t>n° 4.986 de 17 de fevereiro de 2022</w:t>
      </w:r>
      <w:r w:rsidR="007D124B" w:rsidRPr="00E82BC9">
        <w:rPr>
          <w:rFonts w:ascii="Arial" w:hAnsi="Arial" w:cs="Arial"/>
          <w:color w:val="000000" w:themeColor="text1"/>
        </w:rPr>
        <w:t>,</w:t>
      </w:r>
      <w:r w:rsidRPr="00E82BC9">
        <w:rPr>
          <w:rFonts w:ascii="Arial" w:hAnsi="Arial" w:cs="Arial"/>
          <w:color w:val="000000" w:themeColor="text1"/>
        </w:rPr>
        <w:t xml:space="preserve"> do</w:t>
      </w:r>
      <w:r w:rsidRPr="00B96D6F">
        <w:rPr>
          <w:rFonts w:ascii="Arial" w:hAnsi="Arial" w:cs="Arial"/>
          <w:color w:val="000000" w:themeColor="text1"/>
        </w:rPr>
        <w:t xml:space="preserve"> Banco Central do Brasil, que as disponibilidades oriundas de receitas próprias das empresas públicas e das sociedades de economia mista integrantes da Administração Federal Indireta sejam aplicadas em fundos ou por instituição integrante do conglomerado financeiro por eles liderados, constituídos com observância do disposto nesta Resolução. Neste sentindo, as disponibilidades da Companhia são aplicadas em fundos de investimento extramercado administrados pela Caixa Econômica Federal e pelo Banco do Brasil S.A.</w:t>
      </w:r>
    </w:p>
    <w:p w14:paraId="63E13E69" w14:textId="77777777" w:rsidR="00D976BF" w:rsidRDefault="00D976BF" w:rsidP="00D976BF">
      <w:pPr>
        <w:spacing w:line="276" w:lineRule="auto"/>
        <w:rPr>
          <w:sz w:val="14"/>
          <w:szCs w:val="14"/>
        </w:rPr>
      </w:pPr>
    </w:p>
    <w:p w14:paraId="08307E06" w14:textId="77777777" w:rsidR="00352F14" w:rsidRDefault="00352F14" w:rsidP="00D976BF">
      <w:pPr>
        <w:spacing w:line="276" w:lineRule="auto"/>
        <w:rPr>
          <w:sz w:val="14"/>
          <w:szCs w:val="14"/>
        </w:rPr>
      </w:pPr>
    </w:p>
    <w:p w14:paraId="316C9BA0" w14:textId="77777777" w:rsidR="00352F14" w:rsidRDefault="00352F14" w:rsidP="00D976BF">
      <w:pPr>
        <w:spacing w:line="276" w:lineRule="auto"/>
        <w:rPr>
          <w:sz w:val="14"/>
          <w:szCs w:val="14"/>
        </w:rPr>
      </w:pPr>
    </w:p>
    <w:p w14:paraId="1040136A" w14:textId="77777777" w:rsidR="00352F14" w:rsidRDefault="00352F14" w:rsidP="00D976BF">
      <w:pPr>
        <w:spacing w:line="276" w:lineRule="auto"/>
        <w:rPr>
          <w:sz w:val="14"/>
          <w:szCs w:val="14"/>
        </w:rPr>
      </w:pPr>
    </w:p>
    <w:p w14:paraId="532421FA" w14:textId="57F1EFFF" w:rsidR="00D976BF" w:rsidRPr="002A36CE"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lastRenderedPageBreak/>
        <w:t>Risco de liquidez</w:t>
      </w:r>
    </w:p>
    <w:p w14:paraId="2C3859E0" w14:textId="77777777" w:rsidR="00D976BF" w:rsidRPr="002A36CE" w:rsidRDefault="00D976BF" w:rsidP="00D976BF">
      <w:pPr>
        <w:spacing w:line="276" w:lineRule="auto"/>
      </w:pPr>
    </w:p>
    <w:p w14:paraId="3C2F8A77" w14:textId="77777777"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É o risco de a Companhia não dispor de recursos líquidos suficientes para honrar seus compromissos financeiros, em decorrência do descasamento de prazo ou volume entre os recebimentos e pagamentos previstos.</w:t>
      </w:r>
    </w:p>
    <w:p w14:paraId="06DFC6E2" w14:textId="77777777" w:rsidR="00AB540F" w:rsidRPr="002A36CE" w:rsidRDefault="00AB540F" w:rsidP="00AB540F">
      <w:pPr>
        <w:pStyle w:val="Corpodetexto"/>
        <w:tabs>
          <w:tab w:val="clear" w:pos="851"/>
        </w:tabs>
        <w:spacing w:before="0" w:after="0" w:line="276" w:lineRule="auto"/>
        <w:rPr>
          <w:rFonts w:ascii="Arial" w:hAnsi="Arial" w:cs="Arial"/>
        </w:rPr>
      </w:pPr>
    </w:p>
    <w:p w14:paraId="51DD82CC" w14:textId="2CBB1FF8"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Para administrar a liquidez do caixa são estabelecidas projeções baseadas em contratos e premissas de desembolsos e recebimentos futuros, sendo monitorados diariamente pela Companhia</w:t>
      </w:r>
      <w:r w:rsidR="009A4FBE">
        <w:rPr>
          <w:rFonts w:ascii="Arial" w:hAnsi="Arial" w:cs="Arial"/>
        </w:rPr>
        <w:t>. P</w:t>
      </w:r>
      <w:r w:rsidRPr="002A36CE">
        <w:rPr>
          <w:rFonts w:ascii="Arial" w:hAnsi="Arial" w:cs="Arial"/>
        </w:rPr>
        <w:t>ossíveis reduções são detectadas com antecedência</w:t>
      </w:r>
      <w:r w:rsidR="008D2DD8">
        <w:rPr>
          <w:rFonts w:ascii="Arial" w:hAnsi="Arial" w:cs="Arial"/>
        </w:rPr>
        <w:t>,</w:t>
      </w:r>
      <w:r w:rsidRPr="002A36CE">
        <w:rPr>
          <w:rFonts w:ascii="Arial" w:hAnsi="Arial" w:cs="Arial"/>
        </w:rPr>
        <w:t xml:space="preserve"> permitindo que a Companhia adote medidas </w:t>
      </w:r>
      <w:r w:rsidR="009A4FBE">
        <w:rPr>
          <w:rFonts w:ascii="Arial" w:hAnsi="Arial" w:cs="Arial"/>
        </w:rPr>
        <w:t>visando mitigar</w:t>
      </w:r>
      <w:r w:rsidRPr="002A36CE">
        <w:rPr>
          <w:rFonts w:ascii="Arial" w:hAnsi="Arial" w:cs="Arial"/>
        </w:rPr>
        <w:t xml:space="preserve"> o risco e o custo financeiro.</w:t>
      </w:r>
    </w:p>
    <w:p w14:paraId="563D9CF6" w14:textId="77777777" w:rsidR="00CA4B8C" w:rsidRPr="002A36CE" w:rsidRDefault="00CA4B8C" w:rsidP="00AB540F">
      <w:pPr>
        <w:pStyle w:val="Corpodetexto"/>
        <w:tabs>
          <w:tab w:val="clear" w:pos="851"/>
        </w:tabs>
        <w:spacing w:before="0" w:after="0" w:line="276" w:lineRule="auto"/>
        <w:rPr>
          <w:rFonts w:ascii="Arial" w:hAnsi="Arial" w:cs="Arial"/>
        </w:rPr>
      </w:pPr>
    </w:p>
    <w:p w14:paraId="3D2DC560" w14:textId="77777777" w:rsidR="00AB540F" w:rsidRPr="002A36CE" w:rsidRDefault="00AB540F" w:rsidP="00AB540F">
      <w:pPr>
        <w:spacing w:line="276" w:lineRule="auto"/>
        <w:jc w:val="both"/>
        <w:rPr>
          <w:rFonts w:ascii="Arial" w:hAnsi="Arial" w:cs="Arial"/>
          <w:color w:val="000000"/>
          <w:sz w:val="22"/>
          <w:szCs w:val="22"/>
        </w:rPr>
      </w:pPr>
      <w:r w:rsidRPr="002A36CE">
        <w:rPr>
          <w:rFonts w:ascii="Arial" w:hAnsi="Arial" w:cs="Arial"/>
          <w:color w:val="000000"/>
          <w:sz w:val="22"/>
          <w:szCs w:val="22"/>
        </w:rPr>
        <w:t>A seguir, estão demonstrados os fluxos de caixa contratuais dos passivos financeiros:</w:t>
      </w:r>
    </w:p>
    <w:p w14:paraId="19168E0A" w14:textId="05827DF7" w:rsidR="003F29EF" w:rsidRDefault="003F29EF" w:rsidP="00AB540F">
      <w:pPr>
        <w:spacing w:line="276" w:lineRule="auto"/>
        <w:jc w:val="both"/>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1133"/>
        <w:gridCol w:w="1133"/>
        <w:gridCol w:w="1133"/>
        <w:gridCol w:w="1133"/>
        <w:gridCol w:w="1130"/>
      </w:tblGrid>
      <w:tr w:rsidR="009561FF" w:rsidRPr="00E92D66" w14:paraId="7083EB70" w14:textId="77777777" w:rsidTr="00E92D66">
        <w:trPr>
          <w:trHeight w:val="232"/>
        </w:trPr>
        <w:tc>
          <w:tcPr>
            <w:tcW w:w="2102" w:type="pct"/>
            <w:shd w:val="clear" w:color="000000" w:fill="D9D9D9"/>
            <w:vAlign w:val="center"/>
            <w:hideMark/>
          </w:tcPr>
          <w:p w14:paraId="78E1D153" w14:textId="77777777" w:rsidR="009561FF" w:rsidRPr="00BB30DF" w:rsidRDefault="009561FF">
            <w:pPr>
              <w:rPr>
                <w:rFonts w:ascii="Arial" w:hAnsi="Arial" w:cs="Arial"/>
                <w:b/>
                <w:bCs/>
                <w:color w:val="000000"/>
                <w:sz w:val="18"/>
                <w:szCs w:val="18"/>
              </w:rPr>
            </w:pPr>
            <w:r w:rsidRPr="00BB30DF">
              <w:rPr>
                <w:rFonts w:ascii="Arial" w:hAnsi="Arial" w:cs="Arial"/>
                <w:b/>
                <w:bCs/>
                <w:color w:val="000000"/>
                <w:sz w:val="18"/>
                <w:szCs w:val="18"/>
              </w:rPr>
              <w:t>Passivos Financeiros não Derivativos</w:t>
            </w:r>
            <w:r w:rsidRPr="00BB30DF">
              <w:rPr>
                <w:rFonts w:ascii="Arial" w:hAnsi="Arial" w:cs="Arial"/>
                <w:color w:val="000000"/>
                <w:sz w:val="18"/>
                <w:szCs w:val="18"/>
              </w:rPr>
              <w:t> </w:t>
            </w:r>
          </w:p>
        </w:tc>
        <w:tc>
          <w:tcPr>
            <w:tcW w:w="580" w:type="pct"/>
            <w:vAlign w:val="center"/>
            <w:hideMark/>
          </w:tcPr>
          <w:p w14:paraId="0A2848AE" w14:textId="77777777" w:rsidR="009561FF" w:rsidRPr="00BB30DF" w:rsidRDefault="009561FF">
            <w:pPr>
              <w:jc w:val="center"/>
              <w:rPr>
                <w:rFonts w:ascii="Arial" w:hAnsi="Arial" w:cs="Arial"/>
                <w:b/>
                <w:bCs/>
                <w:color w:val="000000"/>
                <w:sz w:val="18"/>
                <w:szCs w:val="18"/>
              </w:rPr>
            </w:pPr>
            <w:r w:rsidRPr="00BB30DF">
              <w:rPr>
                <w:rFonts w:ascii="Arial" w:hAnsi="Arial" w:cs="Arial"/>
                <w:b/>
                <w:bCs/>
                <w:color w:val="000000"/>
                <w:sz w:val="18"/>
                <w:szCs w:val="18"/>
              </w:rPr>
              <w:t>Valor</w:t>
            </w:r>
          </w:p>
        </w:tc>
        <w:tc>
          <w:tcPr>
            <w:tcW w:w="580" w:type="pct"/>
            <w:vAlign w:val="center"/>
            <w:hideMark/>
          </w:tcPr>
          <w:p w14:paraId="4678E180" w14:textId="77777777" w:rsidR="009561FF" w:rsidRPr="00BB30DF" w:rsidRDefault="009561FF">
            <w:pPr>
              <w:jc w:val="center"/>
              <w:rPr>
                <w:rFonts w:ascii="Arial" w:hAnsi="Arial" w:cs="Arial"/>
                <w:b/>
                <w:bCs/>
                <w:color w:val="000000"/>
                <w:sz w:val="18"/>
                <w:szCs w:val="18"/>
              </w:rPr>
            </w:pPr>
            <w:r w:rsidRPr="00BB30DF">
              <w:rPr>
                <w:rFonts w:ascii="Arial" w:hAnsi="Arial" w:cs="Arial"/>
                <w:b/>
                <w:bCs/>
                <w:color w:val="000000"/>
                <w:sz w:val="18"/>
                <w:szCs w:val="18"/>
              </w:rPr>
              <w:t>Até 1 ano</w:t>
            </w:r>
          </w:p>
        </w:tc>
        <w:tc>
          <w:tcPr>
            <w:tcW w:w="580" w:type="pct"/>
            <w:vAlign w:val="center"/>
            <w:hideMark/>
          </w:tcPr>
          <w:p w14:paraId="266FBE5F" w14:textId="77777777" w:rsidR="009561FF" w:rsidRPr="00BB30DF" w:rsidRDefault="009561FF">
            <w:pPr>
              <w:jc w:val="center"/>
              <w:rPr>
                <w:rFonts w:ascii="Arial" w:hAnsi="Arial" w:cs="Arial"/>
                <w:b/>
                <w:bCs/>
                <w:color w:val="000000"/>
                <w:sz w:val="18"/>
                <w:szCs w:val="18"/>
              </w:rPr>
            </w:pPr>
            <w:r w:rsidRPr="00BB30DF">
              <w:rPr>
                <w:rFonts w:ascii="Arial" w:hAnsi="Arial" w:cs="Arial"/>
                <w:b/>
                <w:bCs/>
                <w:color w:val="000000"/>
                <w:sz w:val="18"/>
                <w:szCs w:val="18"/>
              </w:rPr>
              <w:t>De 1 a 2 anos</w:t>
            </w:r>
          </w:p>
        </w:tc>
        <w:tc>
          <w:tcPr>
            <w:tcW w:w="580" w:type="pct"/>
            <w:vAlign w:val="center"/>
            <w:hideMark/>
          </w:tcPr>
          <w:p w14:paraId="27E7184E" w14:textId="77777777" w:rsidR="009561FF" w:rsidRPr="00BB30DF" w:rsidRDefault="009561FF">
            <w:pPr>
              <w:jc w:val="center"/>
              <w:rPr>
                <w:rFonts w:ascii="Arial" w:hAnsi="Arial" w:cs="Arial"/>
                <w:b/>
                <w:bCs/>
                <w:color w:val="000000"/>
                <w:sz w:val="18"/>
                <w:szCs w:val="18"/>
              </w:rPr>
            </w:pPr>
            <w:r w:rsidRPr="00BB30DF">
              <w:rPr>
                <w:rFonts w:ascii="Arial" w:hAnsi="Arial" w:cs="Arial"/>
                <w:b/>
                <w:bCs/>
                <w:color w:val="000000"/>
                <w:sz w:val="18"/>
                <w:szCs w:val="18"/>
              </w:rPr>
              <w:t>De 2 a 5 anos</w:t>
            </w:r>
          </w:p>
        </w:tc>
        <w:tc>
          <w:tcPr>
            <w:tcW w:w="579" w:type="pct"/>
            <w:vAlign w:val="center"/>
            <w:hideMark/>
          </w:tcPr>
          <w:p w14:paraId="679C4159" w14:textId="77777777" w:rsidR="009561FF" w:rsidRPr="00BB30DF" w:rsidRDefault="009561FF">
            <w:pPr>
              <w:jc w:val="center"/>
              <w:rPr>
                <w:rFonts w:ascii="Arial" w:hAnsi="Arial" w:cs="Arial"/>
                <w:b/>
                <w:bCs/>
                <w:color w:val="000000"/>
                <w:sz w:val="18"/>
                <w:szCs w:val="18"/>
              </w:rPr>
            </w:pPr>
            <w:r w:rsidRPr="00BB30DF">
              <w:rPr>
                <w:rFonts w:ascii="Arial" w:hAnsi="Arial" w:cs="Arial"/>
                <w:b/>
                <w:bCs/>
                <w:color w:val="000000"/>
                <w:sz w:val="18"/>
                <w:szCs w:val="18"/>
              </w:rPr>
              <w:t>Mais de 5 anos</w:t>
            </w:r>
          </w:p>
        </w:tc>
      </w:tr>
      <w:tr w:rsidR="00E92D66" w:rsidRPr="00E92D66" w14:paraId="6F32A12A" w14:textId="77777777" w:rsidTr="00E92D66">
        <w:trPr>
          <w:trHeight w:val="232"/>
        </w:trPr>
        <w:tc>
          <w:tcPr>
            <w:tcW w:w="2102" w:type="pct"/>
            <w:noWrap/>
            <w:vAlign w:val="center"/>
            <w:hideMark/>
          </w:tcPr>
          <w:p w14:paraId="0FEC2E69" w14:textId="77777777" w:rsidR="00E92D66" w:rsidRPr="00BB30DF" w:rsidRDefault="00E92D66" w:rsidP="00E92D66">
            <w:pPr>
              <w:rPr>
                <w:rFonts w:ascii="Arial" w:hAnsi="Arial" w:cs="Arial"/>
                <w:color w:val="000000"/>
                <w:sz w:val="18"/>
                <w:szCs w:val="18"/>
              </w:rPr>
            </w:pPr>
            <w:r w:rsidRPr="00BB30DF">
              <w:rPr>
                <w:rFonts w:ascii="Arial" w:hAnsi="Arial" w:cs="Arial"/>
                <w:color w:val="000000"/>
                <w:sz w:val="18"/>
                <w:szCs w:val="18"/>
              </w:rPr>
              <w:t>Fornecedores</w:t>
            </w:r>
          </w:p>
        </w:tc>
        <w:tc>
          <w:tcPr>
            <w:tcW w:w="580" w:type="pct"/>
            <w:noWrap/>
            <w:vAlign w:val="center"/>
            <w:hideMark/>
          </w:tcPr>
          <w:p w14:paraId="72BD3C65" w14:textId="2569467A"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167.394</w:t>
            </w:r>
          </w:p>
        </w:tc>
        <w:tc>
          <w:tcPr>
            <w:tcW w:w="580" w:type="pct"/>
            <w:noWrap/>
            <w:vAlign w:val="center"/>
            <w:hideMark/>
          </w:tcPr>
          <w:p w14:paraId="60C2EF1E" w14:textId="6112E822"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167.394</w:t>
            </w:r>
          </w:p>
        </w:tc>
        <w:tc>
          <w:tcPr>
            <w:tcW w:w="580" w:type="pct"/>
            <w:noWrap/>
            <w:vAlign w:val="center"/>
            <w:hideMark/>
          </w:tcPr>
          <w:p w14:paraId="315C38A0" w14:textId="623D3D99"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 xml:space="preserve">     -    </w:t>
            </w:r>
          </w:p>
        </w:tc>
        <w:tc>
          <w:tcPr>
            <w:tcW w:w="580" w:type="pct"/>
            <w:noWrap/>
            <w:vAlign w:val="center"/>
            <w:hideMark/>
          </w:tcPr>
          <w:p w14:paraId="39F52D17" w14:textId="22C40566"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 xml:space="preserve">    -     </w:t>
            </w:r>
          </w:p>
        </w:tc>
        <w:tc>
          <w:tcPr>
            <w:tcW w:w="579" w:type="pct"/>
            <w:noWrap/>
            <w:vAlign w:val="center"/>
            <w:hideMark/>
          </w:tcPr>
          <w:p w14:paraId="0DCF9277" w14:textId="5CC22FC1"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 xml:space="preserve">    -     </w:t>
            </w:r>
          </w:p>
        </w:tc>
      </w:tr>
      <w:tr w:rsidR="00E92D66" w:rsidRPr="00E92D66" w14:paraId="4B13B252" w14:textId="77777777" w:rsidTr="00E92D66">
        <w:trPr>
          <w:trHeight w:val="232"/>
        </w:trPr>
        <w:tc>
          <w:tcPr>
            <w:tcW w:w="2102" w:type="pct"/>
            <w:noWrap/>
            <w:vAlign w:val="center"/>
            <w:hideMark/>
          </w:tcPr>
          <w:p w14:paraId="045DC278" w14:textId="77777777" w:rsidR="00E92D66" w:rsidRPr="00BB30DF" w:rsidRDefault="00E92D66" w:rsidP="00E92D66">
            <w:pPr>
              <w:rPr>
                <w:rFonts w:ascii="Arial" w:hAnsi="Arial" w:cs="Arial"/>
                <w:color w:val="000000"/>
                <w:sz w:val="18"/>
                <w:szCs w:val="18"/>
              </w:rPr>
            </w:pPr>
            <w:r w:rsidRPr="00BB30DF">
              <w:rPr>
                <w:rFonts w:ascii="Arial" w:hAnsi="Arial" w:cs="Arial"/>
                <w:color w:val="000000"/>
                <w:sz w:val="18"/>
                <w:szCs w:val="18"/>
              </w:rPr>
              <w:t>Arrendamento Mercantil Financeiro</w:t>
            </w:r>
          </w:p>
        </w:tc>
        <w:tc>
          <w:tcPr>
            <w:tcW w:w="580" w:type="pct"/>
            <w:noWrap/>
            <w:vAlign w:val="center"/>
            <w:hideMark/>
          </w:tcPr>
          <w:p w14:paraId="1BFA32F6" w14:textId="716F1BA9"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19.982</w:t>
            </w:r>
          </w:p>
        </w:tc>
        <w:tc>
          <w:tcPr>
            <w:tcW w:w="580" w:type="pct"/>
            <w:noWrap/>
            <w:vAlign w:val="center"/>
            <w:hideMark/>
          </w:tcPr>
          <w:p w14:paraId="6881D823" w14:textId="61D85892"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5.250</w:t>
            </w:r>
          </w:p>
        </w:tc>
        <w:tc>
          <w:tcPr>
            <w:tcW w:w="580" w:type="pct"/>
            <w:noWrap/>
            <w:vAlign w:val="center"/>
            <w:hideMark/>
          </w:tcPr>
          <w:p w14:paraId="584DAF93" w14:textId="539EC381"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7.523</w:t>
            </w:r>
          </w:p>
        </w:tc>
        <w:tc>
          <w:tcPr>
            <w:tcW w:w="580" w:type="pct"/>
            <w:noWrap/>
            <w:vAlign w:val="center"/>
            <w:hideMark/>
          </w:tcPr>
          <w:p w14:paraId="375573B8" w14:textId="16000AF0"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7.200</w:t>
            </w:r>
          </w:p>
        </w:tc>
        <w:tc>
          <w:tcPr>
            <w:tcW w:w="579" w:type="pct"/>
            <w:noWrap/>
            <w:vAlign w:val="center"/>
            <w:hideMark/>
          </w:tcPr>
          <w:p w14:paraId="64452119" w14:textId="7A70F0CB" w:rsidR="00E92D66" w:rsidRPr="00BB30DF" w:rsidRDefault="00E92D66" w:rsidP="00E92D66">
            <w:pPr>
              <w:jc w:val="right"/>
              <w:rPr>
                <w:rFonts w:ascii="Arial" w:hAnsi="Arial" w:cs="Arial"/>
                <w:color w:val="000000"/>
                <w:sz w:val="18"/>
                <w:szCs w:val="18"/>
              </w:rPr>
            </w:pPr>
            <w:r w:rsidRPr="00BB30DF">
              <w:rPr>
                <w:rFonts w:ascii="Arial" w:hAnsi="Arial" w:cs="Arial"/>
                <w:color w:val="000000"/>
                <w:sz w:val="18"/>
                <w:szCs w:val="18"/>
              </w:rPr>
              <w:t>9</w:t>
            </w:r>
          </w:p>
        </w:tc>
      </w:tr>
      <w:tr w:rsidR="00E92D66" w14:paraId="73565F90" w14:textId="77777777" w:rsidTr="00E92D66">
        <w:trPr>
          <w:trHeight w:val="232"/>
        </w:trPr>
        <w:tc>
          <w:tcPr>
            <w:tcW w:w="2102" w:type="pct"/>
            <w:noWrap/>
            <w:vAlign w:val="center"/>
            <w:hideMark/>
          </w:tcPr>
          <w:p w14:paraId="4DACBF64" w14:textId="77777777" w:rsidR="00E92D66" w:rsidRPr="00BB30DF" w:rsidRDefault="00E92D66" w:rsidP="00E92D66">
            <w:pPr>
              <w:rPr>
                <w:rFonts w:ascii="Arial" w:hAnsi="Arial" w:cs="Arial"/>
                <w:b/>
                <w:bCs/>
                <w:color w:val="000000"/>
                <w:sz w:val="18"/>
                <w:szCs w:val="18"/>
              </w:rPr>
            </w:pPr>
            <w:r w:rsidRPr="00BB30DF">
              <w:rPr>
                <w:rFonts w:ascii="Arial" w:hAnsi="Arial" w:cs="Arial"/>
                <w:b/>
                <w:bCs/>
                <w:color w:val="000000"/>
                <w:sz w:val="18"/>
                <w:szCs w:val="18"/>
              </w:rPr>
              <w:t>Total</w:t>
            </w:r>
          </w:p>
        </w:tc>
        <w:tc>
          <w:tcPr>
            <w:tcW w:w="580" w:type="pct"/>
            <w:noWrap/>
            <w:vAlign w:val="center"/>
            <w:hideMark/>
          </w:tcPr>
          <w:p w14:paraId="773743BB" w14:textId="00CC5E69" w:rsidR="00E92D66" w:rsidRPr="00BB30DF" w:rsidRDefault="00E92D66" w:rsidP="00E92D66">
            <w:pPr>
              <w:jc w:val="right"/>
              <w:rPr>
                <w:rFonts w:ascii="Arial" w:hAnsi="Arial" w:cs="Arial"/>
                <w:b/>
                <w:bCs/>
                <w:color w:val="000000"/>
                <w:sz w:val="18"/>
                <w:szCs w:val="18"/>
              </w:rPr>
            </w:pPr>
            <w:r w:rsidRPr="00BB30DF">
              <w:rPr>
                <w:rFonts w:ascii="Arial" w:hAnsi="Arial" w:cs="Arial"/>
                <w:b/>
                <w:bCs/>
                <w:color w:val="000000"/>
                <w:sz w:val="18"/>
                <w:szCs w:val="18"/>
              </w:rPr>
              <w:t>187.376</w:t>
            </w:r>
          </w:p>
        </w:tc>
        <w:tc>
          <w:tcPr>
            <w:tcW w:w="580" w:type="pct"/>
            <w:noWrap/>
            <w:vAlign w:val="center"/>
            <w:hideMark/>
          </w:tcPr>
          <w:p w14:paraId="1E2E460F" w14:textId="4E538304" w:rsidR="00E92D66" w:rsidRPr="00BB30DF" w:rsidRDefault="00E92D66" w:rsidP="00E92D66">
            <w:pPr>
              <w:jc w:val="right"/>
              <w:rPr>
                <w:rFonts w:ascii="Arial" w:hAnsi="Arial" w:cs="Arial"/>
                <w:b/>
                <w:bCs/>
                <w:color w:val="000000"/>
                <w:sz w:val="18"/>
                <w:szCs w:val="18"/>
              </w:rPr>
            </w:pPr>
            <w:r w:rsidRPr="00BB30DF">
              <w:rPr>
                <w:rFonts w:ascii="Arial" w:hAnsi="Arial" w:cs="Arial"/>
                <w:b/>
                <w:bCs/>
                <w:color w:val="000000"/>
                <w:sz w:val="18"/>
                <w:szCs w:val="18"/>
              </w:rPr>
              <w:t>172.644</w:t>
            </w:r>
          </w:p>
        </w:tc>
        <w:tc>
          <w:tcPr>
            <w:tcW w:w="580" w:type="pct"/>
            <w:noWrap/>
            <w:vAlign w:val="center"/>
            <w:hideMark/>
          </w:tcPr>
          <w:p w14:paraId="7042814B" w14:textId="527DEF1B" w:rsidR="00E92D66" w:rsidRPr="00BB30DF" w:rsidRDefault="00E92D66" w:rsidP="00E92D66">
            <w:pPr>
              <w:jc w:val="right"/>
              <w:rPr>
                <w:rFonts w:ascii="Arial" w:hAnsi="Arial" w:cs="Arial"/>
                <w:b/>
                <w:bCs/>
                <w:color w:val="000000"/>
                <w:sz w:val="18"/>
                <w:szCs w:val="18"/>
              </w:rPr>
            </w:pPr>
            <w:r w:rsidRPr="00BB30DF">
              <w:rPr>
                <w:rFonts w:ascii="Arial" w:hAnsi="Arial" w:cs="Arial"/>
                <w:b/>
                <w:bCs/>
                <w:color w:val="000000"/>
                <w:sz w:val="18"/>
                <w:szCs w:val="18"/>
              </w:rPr>
              <w:t>7.523</w:t>
            </w:r>
          </w:p>
        </w:tc>
        <w:tc>
          <w:tcPr>
            <w:tcW w:w="580" w:type="pct"/>
            <w:noWrap/>
            <w:vAlign w:val="center"/>
            <w:hideMark/>
          </w:tcPr>
          <w:p w14:paraId="4266FDE7" w14:textId="046369E8" w:rsidR="00E92D66" w:rsidRPr="00BB30DF" w:rsidRDefault="00E92D66" w:rsidP="00E92D66">
            <w:pPr>
              <w:jc w:val="right"/>
              <w:rPr>
                <w:rFonts w:ascii="Arial" w:hAnsi="Arial" w:cs="Arial"/>
                <w:b/>
                <w:bCs/>
                <w:color w:val="000000"/>
                <w:sz w:val="18"/>
                <w:szCs w:val="18"/>
              </w:rPr>
            </w:pPr>
            <w:r w:rsidRPr="00BB30DF">
              <w:rPr>
                <w:rFonts w:ascii="Arial" w:hAnsi="Arial" w:cs="Arial"/>
                <w:b/>
                <w:bCs/>
                <w:color w:val="000000"/>
                <w:sz w:val="18"/>
                <w:szCs w:val="18"/>
              </w:rPr>
              <w:t>7.200</w:t>
            </w:r>
          </w:p>
        </w:tc>
        <w:tc>
          <w:tcPr>
            <w:tcW w:w="579" w:type="pct"/>
            <w:noWrap/>
            <w:vAlign w:val="center"/>
            <w:hideMark/>
          </w:tcPr>
          <w:p w14:paraId="042750E0" w14:textId="36A43921" w:rsidR="00E92D66" w:rsidRPr="00BB30DF" w:rsidRDefault="00E92D66" w:rsidP="00E92D66">
            <w:pPr>
              <w:jc w:val="right"/>
              <w:rPr>
                <w:rFonts w:ascii="Arial" w:hAnsi="Arial" w:cs="Arial"/>
                <w:b/>
                <w:bCs/>
                <w:color w:val="000000"/>
                <w:sz w:val="18"/>
                <w:szCs w:val="18"/>
              </w:rPr>
            </w:pPr>
            <w:r w:rsidRPr="00BB30DF">
              <w:rPr>
                <w:rFonts w:ascii="Arial" w:hAnsi="Arial" w:cs="Arial"/>
                <w:b/>
                <w:bCs/>
                <w:color w:val="000000"/>
                <w:sz w:val="18"/>
                <w:szCs w:val="18"/>
              </w:rPr>
              <w:t>9</w:t>
            </w:r>
          </w:p>
        </w:tc>
      </w:tr>
    </w:tbl>
    <w:p w14:paraId="13828D99" w14:textId="77777777" w:rsidR="009D2190" w:rsidRDefault="009D2190" w:rsidP="00AB540F">
      <w:pPr>
        <w:spacing w:line="276" w:lineRule="auto"/>
        <w:jc w:val="both"/>
        <w:rPr>
          <w:rFonts w:ascii="Arial" w:hAnsi="Arial" w:cs="Arial"/>
          <w:color w:val="000000"/>
          <w:sz w:val="22"/>
          <w:szCs w:val="22"/>
        </w:rPr>
      </w:pPr>
    </w:p>
    <w:p w14:paraId="1BEEEB46" w14:textId="7A3491C5" w:rsidR="00D976BF"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Pr>
          <w:rFonts w:ascii="Arial" w:hAnsi="Arial" w:cs="Arial"/>
        </w:rPr>
        <w:t>Risco de mercado</w:t>
      </w:r>
    </w:p>
    <w:p w14:paraId="4DC92EDF" w14:textId="786A1594" w:rsidR="00D976BF" w:rsidRDefault="00D976BF" w:rsidP="00D976BF"/>
    <w:p w14:paraId="4F393440" w14:textId="548739B6" w:rsidR="00D976BF" w:rsidRPr="002A36CE" w:rsidRDefault="00D976BF" w:rsidP="009541E1">
      <w:pPr>
        <w:pStyle w:val="Ttulo2"/>
        <w:numPr>
          <w:ilvl w:val="3"/>
          <w:numId w:val="12"/>
        </w:numPr>
        <w:tabs>
          <w:tab w:val="clear" w:pos="284"/>
          <w:tab w:val="clear" w:pos="340"/>
        </w:tabs>
        <w:spacing w:before="0" w:after="0" w:line="276" w:lineRule="auto"/>
        <w:ind w:left="851" w:hanging="851"/>
        <w:jc w:val="both"/>
        <w:rPr>
          <w:rFonts w:ascii="Arial" w:hAnsi="Arial" w:cs="Arial"/>
        </w:rPr>
      </w:pPr>
      <w:r>
        <w:rPr>
          <w:rFonts w:ascii="Arial" w:hAnsi="Arial" w:cs="Arial"/>
        </w:rPr>
        <w:t>Risco de taxa de juros</w:t>
      </w:r>
    </w:p>
    <w:p w14:paraId="45EA99E7" w14:textId="77777777" w:rsidR="00D976BF" w:rsidRDefault="00D976BF" w:rsidP="00AB540F">
      <w:pPr>
        <w:pStyle w:val="Corpodetexto"/>
        <w:tabs>
          <w:tab w:val="clear" w:pos="851"/>
        </w:tabs>
        <w:spacing w:before="0" w:after="0" w:line="276" w:lineRule="auto"/>
        <w:rPr>
          <w:rFonts w:ascii="Arial" w:hAnsi="Arial" w:cs="Arial"/>
        </w:rPr>
      </w:pPr>
    </w:p>
    <w:p w14:paraId="3C903B8C" w14:textId="271338AF" w:rsidR="00AB540F"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Consiste na possibilidade de a Companhia vir a incorrer em perdas por conta de flutuações nas taxas de juros, fazendo com que aumentem as despesas financeiras relativas a passivos sujeitos a juros </w:t>
      </w:r>
      <w:r w:rsidRPr="00430B26">
        <w:rPr>
          <w:rFonts w:ascii="Arial" w:hAnsi="Arial" w:cs="Arial"/>
        </w:rPr>
        <w:t>flutuantes, que reduzem o rendimento dos ativos sujeitos a juros flutuantes e/ou quando a flutuação do valor justo na apuração d</w:t>
      </w:r>
      <w:r w:rsidR="000A61D7">
        <w:rPr>
          <w:rFonts w:ascii="Arial" w:hAnsi="Arial" w:cs="Arial"/>
        </w:rPr>
        <w:t>o</w:t>
      </w:r>
      <w:r w:rsidRPr="00430B26">
        <w:rPr>
          <w:rFonts w:ascii="Arial" w:hAnsi="Arial" w:cs="Arial"/>
        </w:rPr>
        <w:t xml:space="preserve"> preço de ativos e passivos, que estejam marcados a mercado, sejam corrigidos com taxas pr</w:t>
      </w:r>
      <w:r w:rsidR="00FA0374" w:rsidRPr="00430B26">
        <w:rPr>
          <w:rFonts w:ascii="Arial" w:hAnsi="Arial" w:cs="Arial"/>
        </w:rPr>
        <w:t>e</w:t>
      </w:r>
      <w:r w:rsidRPr="00430B26">
        <w:rPr>
          <w:rFonts w:ascii="Arial" w:hAnsi="Arial" w:cs="Arial"/>
        </w:rPr>
        <w:t>fixadas.</w:t>
      </w:r>
    </w:p>
    <w:p w14:paraId="74A40DCB" w14:textId="77777777" w:rsidR="00430B26" w:rsidRPr="00F01F07" w:rsidRDefault="00430B26" w:rsidP="00AB540F">
      <w:pPr>
        <w:pStyle w:val="Corpodetexto"/>
        <w:tabs>
          <w:tab w:val="clear" w:pos="851"/>
        </w:tabs>
        <w:spacing w:before="0" w:after="0" w:line="276" w:lineRule="auto"/>
        <w:rPr>
          <w:rFonts w:ascii="Arial" w:hAnsi="Arial" w:cs="Arial"/>
          <w:color w:val="FF0000"/>
        </w:rPr>
      </w:pPr>
    </w:p>
    <w:p w14:paraId="0449438D" w14:textId="5A5D6A9D" w:rsidR="00AB540F" w:rsidRPr="002A36CE" w:rsidRDefault="00AB540F" w:rsidP="00AB540F">
      <w:pPr>
        <w:pStyle w:val="Corpodetexto"/>
        <w:tabs>
          <w:tab w:val="clear" w:pos="851"/>
        </w:tabs>
        <w:spacing w:before="0" w:after="0" w:line="276" w:lineRule="auto"/>
        <w:rPr>
          <w:rFonts w:ascii="Arial" w:hAnsi="Arial" w:cs="Arial"/>
        </w:rPr>
      </w:pPr>
      <w:r w:rsidRPr="002A36CE">
        <w:rPr>
          <w:rFonts w:ascii="Arial" w:hAnsi="Arial" w:cs="Arial"/>
        </w:rPr>
        <w:t xml:space="preserve">As principais </w:t>
      </w:r>
      <w:r w:rsidR="00BB4B61" w:rsidRPr="002A36CE">
        <w:rPr>
          <w:rFonts w:ascii="Arial" w:hAnsi="Arial" w:cs="Arial"/>
        </w:rPr>
        <w:t>rubricas</w:t>
      </w:r>
      <w:r w:rsidRPr="002A36CE">
        <w:rPr>
          <w:rFonts w:ascii="Arial" w:hAnsi="Arial" w:cs="Arial"/>
        </w:rPr>
        <w:t xml:space="preserve"> das </w:t>
      </w:r>
      <w:r w:rsidR="00CE78C6" w:rsidRPr="002A36CE">
        <w:rPr>
          <w:rFonts w:ascii="Arial" w:hAnsi="Arial" w:cs="Arial"/>
        </w:rPr>
        <w:t xml:space="preserve">informações </w:t>
      </w:r>
      <w:r w:rsidRPr="002A36CE">
        <w:rPr>
          <w:rFonts w:ascii="Arial" w:hAnsi="Arial" w:cs="Arial"/>
        </w:rPr>
        <w:t>contábeis</w:t>
      </w:r>
      <w:r w:rsidR="00CE78C6" w:rsidRPr="002A36CE">
        <w:rPr>
          <w:rFonts w:ascii="Arial" w:hAnsi="Arial" w:cs="Arial"/>
        </w:rPr>
        <w:t xml:space="preserve"> intermediárias</w:t>
      </w:r>
      <w:r w:rsidRPr="002A36CE">
        <w:rPr>
          <w:rFonts w:ascii="Arial" w:hAnsi="Arial" w:cs="Arial"/>
        </w:rPr>
        <w:t xml:space="preserve"> sujeitas a risco de taxa de juros são:</w:t>
      </w:r>
    </w:p>
    <w:p w14:paraId="6F5607A2" w14:textId="2598BB07" w:rsidR="00AB540F" w:rsidRPr="00814926" w:rsidRDefault="00D6094C" w:rsidP="00AB540F">
      <w:pPr>
        <w:pStyle w:val="Corpodetexto"/>
        <w:tabs>
          <w:tab w:val="clear" w:pos="851"/>
        </w:tabs>
        <w:spacing w:before="0" w:after="0" w:line="276" w:lineRule="auto"/>
        <w:rPr>
          <w:rFonts w:ascii="Arial" w:hAnsi="Arial" w:cs="Arial"/>
        </w:rPr>
      </w:pPr>
      <w:r>
        <w:rPr>
          <w:rFonts w:ascii="Arial" w:hAnsi="Arial" w:cs="Arial"/>
        </w:rPr>
        <w:t>c</w:t>
      </w:r>
      <w:r w:rsidR="00AB540F" w:rsidRPr="002A36CE">
        <w:rPr>
          <w:rFonts w:ascii="Arial" w:hAnsi="Arial" w:cs="Arial"/>
        </w:rPr>
        <w:t xml:space="preserve">aixa, equivalentes de caixa e investimentos </w:t>
      </w:r>
      <w:r w:rsidR="00AB540F" w:rsidRPr="00430B26">
        <w:rPr>
          <w:rFonts w:ascii="Arial" w:hAnsi="Arial" w:cs="Arial"/>
        </w:rPr>
        <w:t>financeiros</w:t>
      </w:r>
      <w:r w:rsidR="00AB13B2" w:rsidRPr="00430B26">
        <w:rPr>
          <w:rFonts w:ascii="Arial" w:hAnsi="Arial" w:cs="Arial"/>
        </w:rPr>
        <w:t xml:space="preserve">, pois são </w:t>
      </w:r>
      <w:r w:rsidR="00B03544" w:rsidRPr="00430B26">
        <w:rPr>
          <w:rFonts w:ascii="Arial" w:hAnsi="Arial" w:cs="Arial"/>
        </w:rPr>
        <w:t>d</w:t>
      </w:r>
      <w:r w:rsidR="00AB540F" w:rsidRPr="00430B26">
        <w:rPr>
          <w:rFonts w:ascii="Arial" w:hAnsi="Arial" w:cs="Arial"/>
        </w:rPr>
        <w:t xml:space="preserve">evido </w:t>
      </w:r>
      <w:r w:rsidR="00CD76AD">
        <w:rPr>
          <w:rFonts w:ascii="Arial" w:hAnsi="Arial" w:cs="Arial"/>
        </w:rPr>
        <w:t>às</w:t>
      </w:r>
      <w:r w:rsidR="00AB540F" w:rsidRPr="002A36CE">
        <w:rPr>
          <w:rFonts w:ascii="Arial" w:hAnsi="Arial" w:cs="Arial"/>
        </w:rPr>
        <w:t xml:space="preserve"> limitações impostas pelo Conselho Monetário Nacional e </w:t>
      </w:r>
      <w:r w:rsidR="00B03544">
        <w:rPr>
          <w:rFonts w:ascii="Arial" w:hAnsi="Arial" w:cs="Arial"/>
        </w:rPr>
        <w:t xml:space="preserve">pelo </w:t>
      </w:r>
      <w:r w:rsidR="00AB540F" w:rsidRPr="002A36CE">
        <w:rPr>
          <w:rFonts w:ascii="Arial" w:hAnsi="Arial" w:cs="Arial"/>
        </w:rPr>
        <w:t xml:space="preserve">Banco Central do </w:t>
      </w:r>
      <w:r w:rsidR="00AB540F" w:rsidRPr="0017025B">
        <w:rPr>
          <w:rFonts w:ascii="Arial" w:hAnsi="Arial" w:cs="Arial"/>
        </w:rPr>
        <w:t>Brasil</w:t>
      </w:r>
      <w:r w:rsidR="007D124B" w:rsidRPr="0017025B">
        <w:rPr>
          <w:rFonts w:ascii="Arial" w:hAnsi="Arial" w:cs="Arial"/>
        </w:rPr>
        <w:t>,</w:t>
      </w:r>
      <w:r w:rsidR="00AB540F" w:rsidRPr="0017025B">
        <w:rPr>
          <w:rFonts w:ascii="Arial" w:hAnsi="Arial" w:cs="Arial"/>
        </w:rPr>
        <w:t xml:space="preserve"> através </w:t>
      </w:r>
      <w:r w:rsidR="00AB540F" w:rsidRPr="00E82BC9">
        <w:rPr>
          <w:rFonts w:ascii="Arial" w:hAnsi="Arial" w:cs="Arial"/>
        </w:rPr>
        <w:t xml:space="preserve">da Resolução </w:t>
      </w:r>
      <w:r w:rsidR="00EF6C95" w:rsidRPr="00E82BC9">
        <w:rPr>
          <w:rFonts w:ascii="Arial" w:hAnsi="Arial" w:cs="Arial"/>
          <w:color w:val="000000" w:themeColor="text1"/>
        </w:rPr>
        <w:t>n° 4.986 de 17 de fevereiro de 2022</w:t>
      </w:r>
      <w:r w:rsidR="007D124B" w:rsidRPr="00E82BC9">
        <w:rPr>
          <w:rFonts w:ascii="Arial" w:hAnsi="Arial" w:cs="Arial"/>
        </w:rPr>
        <w:t>,</w:t>
      </w:r>
      <w:r w:rsidR="00AB540F" w:rsidRPr="00E82BC9">
        <w:rPr>
          <w:rFonts w:ascii="Arial" w:hAnsi="Arial" w:cs="Arial"/>
        </w:rPr>
        <w:t xml:space="preserve"> para aplicação de recursos disponíveis para investimentos, </w:t>
      </w:r>
      <w:r w:rsidR="00B03544" w:rsidRPr="00E82BC9">
        <w:rPr>
          <w:rFonts w:ascii="Arial" w:hAnsi="Arial" w:cs="Arial"/>
        </w:rPr>
        <w:t xml:space="preserve">tornando </w:t>
      </w:r>
      <w:r w:rsidR="00AB540F" w:rsidRPr="00E82BC9">
        <w:rPr>
          <w:rFonts w:ascii="Arial" w:hAnsi="Arial" w:cs="Arial"/>
        </w:rPr>
        <w:t>a exposição da Companhia para este tipo de risco baix</w:t>
      </w:r>
      <w:r w:rsidRPr="00E82BC9">
        <w:rPr>
          <w:rFonts w:ascii="Arial" w:hAnsi="Arial" w:cs="Arial"/>
        </w:rPr>
        <w:t>o</w:t>
      </w:r>
      <w:r w:rsidR="00AB540F" w:rsidRPr="00E82BC9">
        <w:rPr>
          <w:rFonts w:ascii="Arial" w:hAnsi="Arial" w:cs="Arial"/>
        </w:rPr>
        <w:t>. Os investimentos</w:t>
      </w:r>
      <w:r w:rsidR="00AB540F" w:rsidRPr="002A36CE">
        <w:rPr>
          <w:rFonts w:ascii="Arial" w:hAnsi="Arial" w:cs="Arial"/>
        </w:rPr>
        <w:t xml:space="preserve"> financeiros são realizados em fundos de investimento extramercado administrados pela Caixa Econômica Federal e </w:t>
      </w:r>
      <w:r w:rsidR="00AB540F" w:rsidRPr="00814926">
        <w:rPr>
          <w:rFonts w:ascii="Arial" w:hAnsi="Arial" w:cs="Arial"/>
        </w:rPr>
        <w:t>pelo Banco</w:t>
      </w:r>
      <w:r w:rsidR="001C2D77" w:rsidRPr="00814926">
        <w:rPr>
          <w:rFonts w:ascii="Arial" w:hAnsi="Arial" w:cs="Arial"/>
        </w:rPr>
        <w:t xml:space="preserve"> do</w:t>
      </w:r>
      <w:r w:rsidR="00AB540F" w:rsidRPr="00814926">
        <w:rPr>
          <w:rFonts w:ascii="Arial" w:hAnsi="Arial" w:cs="Arial"/>
        </w:rPr>
        <w:t xml:space="preserve"> Brasil S.A.</w:t>
      </w:r>
    </w:p>
    <w:p w14:paraId="25A0C58A" w14:textId="77777777" w:rsidR="00D976BF" w:rsidRPr="00814926" w:rsidRDefault="00D976BF" w:rsidP="00D976BF">
      <w:pPr>
        <w:spacing w:line="276" w:lineRule="auto"/>
        <w:rPr>
          <w:sz w:val="14"/>
          <w:szCs w:val="14"/>
        </w:rPr>
      </w:pPr>
    </w:p>
    <w:p w14:paraId="23C707B4" w14:textId="286143C7" w:rsidR="00D976BF" w:rsidRPr="00814926" w:rsidRDefault="00D976BF" w:rsidP="009541E1">
      <w:pPr>
        <w:pStyle w:val="Ttulo2"/>
        <w:numPr>
          <w:ilvl w:val="2"/>
          <w:numId w:val="12"/>
        </w:numPr>
        <w:tabs>
          <w:tab w:val="clear" w:pos="284"/>
          <w:tab w:val="clear" w:pos="340"/>
        </w:tabs>
        <w:spacing w:before="0" w:after="0" w:line="276" w:lineRule="auto"/>
        <w:ind w:left="709" w:hanging="709"/>
        <w:jc w:val="both"/>
        <w:rPr>
          <w:rFonts w:ascii="Arial" w:hAnsi="Arial" w:cs="Arial"/>
        </w:rPr>
      </w:pPr>
      <w:r w:rsidRPr="00814926">
        <w:rPr>
          <w:rFonts w:ascii="Arial" w:hAnsi="Arial" w:cs="Arial"/>
        </w:rPr>
        <w:t>Risco operacional</w:t>
      </w:r>
    </w:p>
    <w:p w14:paraId="25719E6B" w14:textId="77777777" w:rsidR="00D976BF" w:rsidRPr="00814926" w:rsidRDefault="00D976BF" w:rsidP="00350C3D">
      <w:pPr>
        <w:pStyle w:val="Corpodetexto"/>
        <w:tabs>
          <w:tab w:val="clear" w:pos="851"/>
        </w:tabs>
        <w:spacing w:before="0" w:after="0" w:line="276" w:lineRule="auto"/>
        <w:rPr>
          <w:rFonts w:ascii="Arial" w:hAnsi="Arial" w:cs="Arial"/>
          <w:lang w:eastAsia="en-US"/>
        </w:rPr>
      </w:pPr>
    </w:p>
    <w:p w14:paraId="2D2EE095" w14:textId="4CE26CB8" w:rsidR="00350C3D" w:rsidRPr="000F0798" w:rsidRDefault="00350C3D" w:rsidP="00350C3D">
      <w:pPr>
        <w:pStyle w:val="Corpodetexto"/>
        <w:tabs>
          <w:tab w:val="clear" w:pos="851"/>
        </w:tabs>
        <w:spacing w:before="0" w:after="0" w:line="276" w:lineRule="auto"/>
        <w:rPr>
          <w:rFonts w:ascii="Arial" w:hAnsi="Arial" w:cs="Arial"/>
          <w:lang w:eastAsia="en-US"/>
        </w:rPr>
      </w:pPr>
      <w:r w:rsidRPr="000F0798">
        <w:rPr>
          <w:rFonts w:ascii="Arial" w:hAnsi="Arial" w:cs="Arial"/>
          <w:lang w:eastAsia="en-US"/>
        </w:rPr>
        <w:t>Risco operacional é o risco de prejuízos diretos ou indiretos decorrentes de uma variedade de causas associadas a processos, pessoal, tecnologia e infraestrutura</w:t>
      </w:r>
      <w:r w:rsidR="00AB13B2" w:rsidRPr="000F0798">
        <w:rPr>
          <w:rFonts w:ascii="Arial" w:hAnsi="Arial" w:cs="Arial"/>
          <w:lang w:eastAsia="en-US"/>
        </w:rPr>
        <w:t>, como também</w:t>
      </w:r>
      <w:r w:rsidRPr="000F0798">
        <w:rPr>
          <w:rFonts w:ascii="Arial" w:hAnsi="Arial" w:cs="Arial"/>
          <w:lang w:eastAsia="en-US"/>
        </w:rPr>
        <w:t xml:space="preserve"> a fatores externos, exceto riscos de crédito, mercado e liquidez, como aqueles decorrentes de exigências legais e regulatórias e de padrões geralmente aceitos de comportamento empresarial. Os riscos operacionais surgem de todas as operações da Companhia.</w:t>
      </w:r>
    </w:p>
    <w:p w14:paraId="7A6A7CCE" w14:textId="77777777" w:rsidR="00350C3D" w:rsidRPr="000F0798" w:rsidRDefault="00350C3D" w:rsidP="00350C3D">
      <w:pPr>
        <w:autoSpaceDE w:val="0"/>
        <w:autoSpaceDN w:val="0"/>
        <w:adjustRightInd w:val="0"/>
        <w:spacing w:line="276" w:lineRule="auto"/>
        <w:jc w:val="both"/>
        <w:rPr>
          <w:rFonts w:ascii="Arial" w:hAnsi="Arial" w:cs="Arial"/>
          <w:sz w:val="22"/>
          <w:szCs w:val="22"/>
          <w:lang w:eastAsia="en-US"/>
        </w:rPr>
      </w:pPr>
    </w:p>
    <w:p w14:paraId="6242F261" w14:textId="0E3025AF" w:rsidR="00350C3D" w:rsidRPr="000F0798" w:rsidRDefault="00350C3D" w:rsidP="00350C3D">
      <w:pPr>
        <w:autoSpaceDE w:val="0"/>
        <w:autoSpaceDN w:val="0"/>
        <w:adjustRightInd w:val="0"/>
        <w:spacing w:line="276" w:lineRule="auto"/>
        <w:jc w:val="both"/>
        <w:rPr>
          <w:rFonts w:ascii="Arial" w:hAnsi="Arial" w:cs="Arial"/>
          <w:sz w:val="22"/>
          <w:szCs w:val="22"/>
          <w:lang w:eastAsia="en-US"/>
        </w:rPr>
      </w:pPr>
      <w:r w:rsidRPr="000F0798">
        <w:rPr>
          <w:rFonts w:ascii="Arial" w:hAnsi="Arial" w:cs="Arial"/>
          <w:sz w:val="22"/>
          <w:szCs w:val="22"/>
          <w:lang w:eastAsia="en-US"/>
        </w:rPr>
        <w:lastRenderedPageBreak/>
        <w:t xml:space="preserve">O objetivo da </w:t>
      </w:r>
      <w:r w:rsidR="00CA4495" w:rsidRPr="000F0798">
        <w:rPr>
          <w:rFonts w:ascii="Arial" w:hAnsi="Arial" w:cs="Arial"/>
          <w:sz w:val="22"/>
          <w:szCs w:val="22"/>
          <w:lang w:eastAsia="en-US"/>
        </w:rPr>
        <w:t>A</w:t>
      </w:r>
      <w:r w:rsidRPr="000F0798">
        <w:rPr>
          <w:rFonts w:ascii="Arial" w:hAnsi="Arial" w:cs="Arial"/>
          <w:sz w:val="22"/>
          <w:szCs w:val="22"/>
          <w:lang w:eastAsia="en-US"/>
        </w:rPr>
        <w:t xml:space="preserve">dministração é </w:t>
      </w:r>
      <w:r w:rsidR="006E50AC" w:rsidRPr="000F0798">
        <w:rPr>
          <w:rFonts w:ascii="Arial" w:hAnsi="Arial" w:cs="Arial"/>
          <w:sz w:val="22"/>
          <w:szCs w:val="22"/>
          <w:lang w:eastAsia="en-US"/>
        </w:rPr>
        <w:t>gerenciar</w:t>
      </w:r>
      <w:r w:rsidRPr="000F0798">
        <w:rPr>
          <w:rFonts w:ascii="Arial" w:hAnsi="Arial" w:cs="Arial"/>
          <w:sz w:val="22"/>
          <w:szCs w:val="22"/>
          <w:lang w:eastAsia="en-US"/>
        </w:rPr>
        <w:t xml:space="preserve"> o risco operacional</w:t>
      </w:r>
      <w:r w:rsidR="00C10A74" w:rsidRPr="000F0798">
        <w:rPr>
          <w:rFonts w:ascii="Arial" w:hAnsi="Arial" w:cs="Arial"/>
          <w:sz w:val="22"/>
          <w:szCs w:val="22"/>
          <w:lang w:eastAsia="en-US"/>
        </w:rPr>
        <w:t>,</w:t>
      </w:r>
      <w:r w:rsidRPr="000F0798">
        <w:rPr>
          <w:rFonts w:ascii="Arial" w:hAnsi="Arial" w:cs="Arial"/>
          <w:sz w:val="22"/>
          <w:szCs w:val="22"/>
          <w:lang w:eastAsia="en-US"/>
        </w:rPr>
        <w:t xml:space="preserve"> para evitar a ocorrência de prejuízos operacionais ou financeiros e danos à reputação da Companhia,</w:t>
      </w:r>
      <w:r w:rsidR="00C10A74" w:rsidRPr="000F0798">
        <w:rPr>
          <w:rFonts w:ascii="Arial" w:hAnsi="Arial" w:cs="Arial"/>
          <w:sz w:val="22"/>
          <w:szCs w:val="22"/>
          <w:lang w:eastAsia="en-US"/>
        </w:rPr>
        <w:t xml:space="preserve"> além de</w:t>
      </w:r>
      <w:r w:rsidRPr="000F0798">
        <w:rPr>
          <w:rFonts w:ascii="Arial" w:hAnsi="Arial" w:cs="Arial"/>
          <w:sz w:val="22"/>
          <w:szCs w:val="22"/>
          <w:lang w:eastAsia="en-US"/>
        </w:rPr>
        <w:t xml:space="preserve"> buscar eficácia de custos e evitar procedimentos de controle que restrinjam a iniciativa e a criatividade.</w:t>
      </w:r>
    </w:p>
    <w:p w14:paraId="3B6F0EDB" w14:textId="77777777" w:rsidR="00E63C4F" w:rsidRPr="000F0798" w:rsidRDefault="00E63C4F" w:rsidP="00350C3D">
      <w:pPr>
        <w:autoSpaceDE w:val="0"/>
        <w:autoSpaceDN w:val="0"/>
        <w:adjustRightInd w:val="0"/>
        <w:spacing w:line="276" w:lineRule="auto"/>
        <w:jc w:val="both"/>
        <w:rPr>
          <w:rFonts w:ascii="Arial" w:hAnsi="Arial" w:cs="Arial"/>
          <w:sz w:val="22"/>
          <w:szCs w:val="22"/>
          <w:lang w:eastAsia="en-US"/>
        </w:rPr>
      </w:pPr>
    </w:p>
    <w:p w14:paraId="37BFEFC0" w14:textId="5051DE8A" w:rsidR="00CE40FC" w:rsidRPr="000F0798" w:rsidRDefault="00CE40FC" w:rsidP="00350C3D">
      <w:pPr>
        <w:autoSpaceDE w:val="0"/>
        <w:autoSpaceDN w:val="0"/>
        <w:adjustRightInd w:val="0"/>
        <w:spacing w:line="276" w:lineRule="auto"/>
        <w:jc w:val="both"/>
        <w:rPr>
          <w:rFonts w:ascii="Arial" w:hAnsi="Arial" w:cs="Arial"/>
          <w:sz w:val="22"/>
          <w:szCs w:val="22"/>
          <w:lang w:eastAsia="en-US"/>
        </w:rPr>
      </w:pPr>
      <w:r w:rsidRPr="000F0798">
        <w:rPr>
          <w:rFonts w:ascii="Arial" w:hAnsi="Arial" w:cs="Arial"/>
          <w:sz w:val="22"/>
          <w:szCs w:val="22"/>
          <w:lang w:eastAsia="en-US"/>
        </w:rPr>
        <w:t>Nesse sentido, a Companhia trabalha para expandir sua infraestrutura de rede de fibras ópticas (backbone), visando ampliar sua área de atuação e a carteira de clientes corporativos. Complementarmente à rede terrestre, a Telebras viabilizou o segmento satelital via Satélite Geoestacionário de Defesa e Comunicações Estratégicas (SGDC), potencializando a geração de receita neste segmento. Adicionalmente, a Companhia tem expandido seu portfólio de Serviços de Valor Adicionado (SVA).</w:t>
      </w:r>
    </w:p>
    <w:p w14:paraId="49CFECF6" w14:textId="77777777" w:rsidR="00CE40FC" w:rsidRPr="000F0798" w:rsidRDefault="00CE40FC" w:rsidP="00350C3D">
      <w:pPr>
        <w:autoSpaceDE w:val="0"/>
        <w:autoSpaceDN w:val="0"/>
        <w:adjustRightInd w:val="0"/>
        <w:spacing w:line="276" w:lineRule="auto"/>
        <w:jc w:val="both"/>
        <w:rPr>
          <w:rFonts w:ascii="Arial" w:hAnsi="Arial" w:cs="Arial"/>
          <w:sz w:val="22"/>
          <w:szCs w:val="22"/>
          <w:lang w:eastAsia="en-US"/>
        </w:rPr>
      </w:pPr>
    </w:p>
    <w:p w14:paraId="1DE3AE02" w14:textId="5EDF29DE" w:rsidR="00350C3D" w:rsidRDefault="00350C3D" w:rsidP="00350C3D">
      <w:pPr>
        <w:autoSpaceDE w:val="0"/>
        <w:autoSpaceDN w:val="0"/>
        <w:adjustRightInd w:val="0"/>
        <w:spacing w:line="276" w:lineRule="auto"/>
        <w:jc w:val="both"/>
        <w:rPr>
          <w:rFonts w:ascii="Arial" w:hAnsi="Arial" w:cs="Arial"/>
          <w:sz w:val="22"/>
          <w:szCs w:val="22"/>
          <w:lang w:eastAsia="en-US"/>
        </w:rPr>
      </w:pPr>
      <w:r w:rsidRPr="000F0798">
        <w:rPr>
          <w:rFonts w:ascii="Arial" w:hAnsi="Arial" w:cs="Arial"/>
          <w:sz w:val="22"/>
          <w:szCs w:val="22"/>
          <w:lang w:eastAsia="en-US"/>
        </w:rPr>
        <w:t xml:space="preserve">Todas essas ações aliadas às de </w:t>
      </w:r>
      <w:r w:rsidRPr="000F0798">
        <w:rPr>
          <w:rFonts w:ascii="Arial" w:hAnsi="Arial" w:cs="Arial"/>
          <w:iCs/>
          <w:sz w:val="22"/>
          <w:szCs w:val="22"/>
          <w:lang w:eastAsia="en-US"/>
        </w:rPr>
        <w:t>marketing</w:t>
      </w:r>
      <w:r w:rsidRPr="000F0798">
        <w:rPr>
          <w:rFonts w:ascii="Arial" w:hAnsi="Arial" w:cs="Arial"/>
          <w:sz w:val="22"/>
          <w:szCs w:val="22"/>
          <w:lang w:eastAsia="en-US"/>
        </w:rPr>
        <w:t xml:space="preserve"> têm por objetivo </w:t>
      </w:r>
      <w:r w:rsidR="006E50AC" w:rsidRPr="000F0798">
        <w:rPr>
          <w:rFonts w:ascii="Arial" w:hAnsi="Arial" w:cs="Arial"/>
          <w:sz w:val="22"/>
          <w:szCs w:val="22"/>
          <w:lang w:eastAsia="en-US"/>
        </w:rPr>
        <w:t>proporcionar</w:t>
      </w:r>
      <w:r w:rsidRPr="000F0798">
        <w:rPr>
          <w:rFonts w:ascii="Arial" w:hAnsi="Arial" w:cs="Arial"/>
          <w:sz w:val="22"/>
          <w:szCs w:val="22"/>
          <w:lang w:eastAsia="en-US"/>
        </w:rPr>
        <w:t xml:space="preserve"> à Telebrás o reconhecimento de uma empresa forte e competitiva no cenário nacional de telecomunicações, detentora de um backbone nacional de qualidade e de tecnologias modernas, promovendo o acesso aos melhores serviços de telecomunicações com qualidade e melhor relação custo/benefício. A conquista de novos mercados terá como consequência o expressivo aumento da receita operacional, a curto e médio prazos, com impactos positivos para o resultado da </w:t>
      </w:r>
      <w:r w:rsidR="00B475F5" w:rsidRPr="000F0798">
        <w:rPr>
          <w:rFonts w:ascii="Arial" w:hAnsi="Arial" w:cs="Arial"/>
          <w:sz w:val="22"/>
          <w:szCs w:val="22"/>
          <w:lang w:eastAsia="en-US"/>
        </w:rPr>
        <w:t>C</w:t>
      </w:r>
      <w:r w:rsidRPr="000F0798">
        <w:rPr>
          <w:rFonts w:ascii="Arial" w:hAnsi="Arial" w:cs="Arial"/>
          <w:sz w:val="22"/>
          <w:szCs w:val="22"/>
          <w:lang w:eastAsia="en-US"/>
        </w:rPr>
        <w:t>ompanhia.</w:t>
      </w:r>
    </w:p>
    <w:p w14:paraId="31F9928D" w14:textId="77777777" w:rsidR="00832984" w:rsidRDefault="00832984" w:rsidP="00832984">
      <w:pPr>
        <w:spacing w:line="276" w:lineRule="auto"/>
        <w:rPr>
          <w:sz w:val="14"/>
          <w:szCs w:val="14"/>
        </w:rPr>
      </w:pPr>
    </w:p>
    <w:p w14:paraId="23FA3B87" w14:textId="77777777" w:rsidR="00832984" w:rsidRPr="00832984" w:rsidRDefault="00832984" w:rsidP="00832984">
      <w:pPr>
        <w:pStyle w:val="PargrafodaLista"/>
        <w:keepNext/>
        <w:numPr>
          <w:ilvl w:val="0"/>
          <w:numId w:val="15"/>
        </w:numPr>
        <w:suppressAutoHyphens w:val="0"/>
        <w:spacing w:after="0"/>
        <w:outlineLvl w:val="1"/>
        <w:rPr>
          <w:rFonts w:ascii="Arial" w:hAnsi="Arial" w:cs="Arial"/>
          <w:b/>
          <w:bCs/>
          <w:vanish/>
          <w:sz w:val="22"/>
          <w:szCs w:val="22"/>
          <w:lang w:val="pt-BR" w:eastAsia="pt-BR"/>
        </w:rPr>
      </w:pPr>
    </w:p>
    <w:p w14:paraId="5DABAF61" w14:textId="77777777" w:rsidR="00832984" w:rsidRPr="00832984" w:rsidRDefault="00832984" w:rsidP="00832984">
      <w:pPr>
        <w:pStyle w:val="PargrafodaLista"/>
        <w:keepNext/>
        <w:numPr>
          <w:ilvl w:val="1"/>
          <w:numId w:val="15"/>
        </w:numPr>
        <w:suppressAutoHyphens w:val="0"/>
        <w:spacing w:after="0"/>
        <w:outlineLvl w:val="1"/>
        <w:rPr>
          <w:rFonts w:ascii="Arial" w:hAnsi="Arial" w:cs="Arial"/>
          <w:b/>
          <w:bCs/>
          <w:vanish/>
          <w:sz w:val="22"/>
          <w:szCs w:val="22"/>
          <w:lang w:val="pt-BR" w:eastAsia="pt-BR"/>
        </w:rPr>
      </w:pPr>
    </w:p>
    <w:p w14:paraId="160DE5E4" w14:textId="51CA6C5B" w:rsidR="00832984" w:rsidRPr="002A36CE" w:rsidRDefault="00832984" w:rsidP="00832984">
      <w:pPr>
        <w:pStyle w:val="Ttulo2"/>
        <w:numPr>
          <w:ilvl w:val="1"/>
          <w:numId w:val="15"/>
        </w:numPr>
        <w:tabs>
          <w:tab w:val="clear" w:pos="284"/>
          <w:tab w:val="clear" w:pos="340"/>
        </w:tabs>
        <w:spacing w:before="0" w:after="0" w:line="276" w:lineRule="auto"/>
        <w:ind w:left="720"/>
        <w:jc w:val="both"/>
        <w:rPr>
          <w:rFonts w:ascii="Arial" w:hAnsi="Arial" w:cs="Arial"/>
        </w:rPr>
      </w:pPr>
      <w:r w:rsidRPr="002A36CE">
        <w:rPr>
          <w:rFonts w:ascii="Arial" w:hAnsi="Arial" w:cs="Arial"/>
        </w:rPr>
        <w:t>Instrumentos financeiros</w:t>
      </w:r>
    </w:p>
    <w:p w14:paraId="2E39294E" w14:textId="3B9BD2F2" w:rsidR="00832984" w:rsidRDefault="00832984" w:rsidP="00832984">
      <w:pPr>
        <w:pStyle w:val="Corpodetexto"/>
        <w:spacing w:line="276" w:lineRule="auto"/>
        <w:rPr>
          <w:rFonts w:ascii="Arial" w:hAnsi="Arial" w:cs="Arial"/>
        </w:rPr>
      </w:pPr>
      <w:r w:rsidRPr="007D667A">
        <w:rPr>
          <w:rFonts w:ascii="Arial" w:hAnsi="Arial" w:cs="Arial"/>
        </w:rPr>
        <w:t>Os Instrumentos Financeiros da Companhia estão restritos à Caixa e equivalentes de caixa (nota explicativa 4), Contas a receber de clientes (nota explicativa 5),  Aplicações financeiras (nota explicativa 1</w:t>
      </w:r>
      <w:r w:rsidR="00AF5828">
        <w:rPr>
          <w:rFonts w:ascii="Arial" w:hAnsi="Arial" w:cs="Arial"/>
        </w:rPr>
        <w:t>0</w:t>
      </w:r>
      <w:r w:rsidRPr="007D667A">
        <w:rPr>
          <w:rFonts w:ascii="Arial" w:hAnsi="Arial" w:cs="Arial"/>
        </w:rPr>
        <w:t>),  Super</w:t>
      </w:r>
      <w:r>
        <w:rPr>
          <w:rFonts w:ascii="Arial" w:hAnsi="Arial" w:cs="Arial"/>
        </w:rPr>
        <w:t>á</w:t>
      </w:r>
      <w:r w:rsidRPr="007D667A">
        <w:rPr>
          <w:rFonts w:ascii="Arial" w:hAnsi="Arial" w:cs="Arial"/>
        </w:rPr>
        <w:t>vit – Previdência Privada (nota explicativa 8),  Fornecedores (nota explicativa 1</w:t>
      </w:r>
      <w:r w:rsidR="00AF5828">
        <w:rPr>
          <w:rFonts w:ascii="Arial" w:hAnsi="Arial" w:cs="Arial"/>
        </w:rPr>
        <w:t>7</w:t>
      </w:r>
      <w:r w:rsidRPr="007D667A">
        <w:rPr>
          <w:rFonts w:ascii="Arial" w:hAnsi="Arial" w:cs="Arial"/>
        </w:rPr>
        <w:t xml:space="preserve">), Operações de Arrendamento Mercantil (nota explicativa </w:t>
      </w:r>
      <w:r w:rsidR="00AF5828">
        <w:rPr>
          <w:rFonts w:ascii="Arial" w:hAnsi="Arial" w:cs="Arial"/>
        </w:rPr>
        <w:t>22</w:t>
      </w:r>
      <w:r w:rsidRPr="007D667A">
        <w:rPr>
          <w:rFonts w:ascii="Arial" w:hAnsi="Arial" w:cs="Arial"/>
        </w:rPr>
        <w:t>)</w:t>
      </w:r>
      <w:r w:rsidR="00AF5828">
        <w:rPr>
          <w:rFonts w:ascii="Arial" w:hAnsi="Arial" w:cs="Arial"/>
        </w:rPr>
        <w:t>,</w:t>
      </w:r>
      <w:r w:rsidRPr="007D667A">
        <w:rPr>
          <w:rFonts w:ascii="Arial" w:hAnsi="Arial" w:cs="Arial"/>
        </w:rPr>
        <w:t xml:space="preserve">  sendo os ganhos e perdas, obtidos nas operações, integralmente registrados no resultado do período ou no Patrimônio Líquido, de acordo com o Regime de Competência.</w:t>
      </w:r>
    </w:p>
    <w:p w14:paraId="61F26821" w14:textId="77777777" w:rsidR="00832984" w:rsidRPr="00DE5F33" w:rsidRDefault="00832984" w:rsidP="00832984">
      <w:pPr>
        <w:pStyle w:val="Corpodetexto"/>
        <w:spacing w:line="276" w:lineRule="auto"/>
        <w:rPr>
          <w:rFonts w:ascii="Arial" w:hAnsi="Arial" w:cs="Arial"/>
          <w:sz w:val="4"/>
          <w:szCs w:val="4"/>
        </w:rPr>
      </w:pPr>
    </w:p>
    <w:p w14:paraId="2B91AF2D" w14:textId="77777777" w:rsidR="00832984" w:rsidRPr="002A36CE" w:rsidRDefault="00832984" w:rsidP="00832984">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Ativos financeiros</w:t>
      </w:r>
    </w:p>
    <w:p w14:paraId="0EFA2E7D" w14:textId="77777777" w:rsidR="00832984" w:rsidRPr="002A36CE" w:rsidRDefault="00832984" w:rsidP="00832984"/>
    <w:p w14:paraId="2ED61C6C" w14:textId="77777777" w:rsidR="00832984" w:rsidRPr="002A36CE" w:rsidRDefault="00832984" w:rsidP="00832984">
      <w:pPr>
        <w:pStyle w:val="Ttulo2"/>
        <w:numPr>
          <w:ilvl w:val="3"/>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Classificação, reconhecimento, mensuração e baixas</w:t>
      </w:r>
    </w:p>
    <w:p w14:paraId="670D18C0" w14:textId="77777777" w:rsidR="00832984" w:rsidRPr="002A36CE" w:rsidRDefault="00832984" w:rsidP="00832984">
      <w:pPr>
        <w:spacing w:line="276" w:lineRule="auto"/>
      </w:pPr>
    </w:p>
    <w:p w14:paraId="7C7B5C75" w14:textId="77777777" w:rsidR="00832984" w:rsidRPr="002A36CE" w:rsidRDefault="00832984" w:rsidP="00832984">
      <w:pPr>
        <w:spacing w:line="276" w:lineRule="auto"/>
        <w:jc w:val="both"/>
        <w:rPr>
          <w:rFonts w:ascii="Arial" w:hAnsi="Arial" w:cs="Arial"/>
          <w:sz w:val="22"/>
          <w:szCs w:val="22"/>
        </w:rPr>
      </w:pPr>
      <w:r w:rsidRPr="002A36CE">
        <w:rPr>
          <w:rFonts w:ascii="Arial" w:hAnsi="Arial" w:cs="Arial"/>
          <w:sz w:val="22"/>
          <w:szCs w:val="22"/>
        </w:rPr>
        <w:t>A Companhia classifica seus ativos financeiros nas seguintes categorias: (a) ao custo amortizado, (b) mensurados ao valor justo por meio do resultado abrangente</w:t>
      </w:r>
      <w:r>
        <w:rPr>
          <w:rFonts w:ascii="Arial" w:hAnsi="Arial" w:cs="Arial"/>
          <w:sz w:val="22"/>
          <w:szCs w:val="22"/>
        </w:rPr>
        <w:t>,</w:t>
      </w:r>
      <w:r w:rsidRPr="002A36CE">
        <w:rPr>
          <w:rFonts w:ascii="Arial" w:hAnsi="Arial" w:cs="Arial"/>
          <w:sz w:val="22"/>
          <w:szCs w:val="22"/>
        </w:rPr>
        <w:t xml:space="preserve"> e (c) mensurados ao valor justo por meio do resultado. A classificação depende da finalidade para a qual os ativos financeiros foram adquiridos. As compras e as vendas regulares de ativos financeiros são reconhecidas na data de negociação - data na qual a Telebras se compromete a comprar ou vender o ativo. Os ativos financeiros são baixados</w:t>
      </w:r>
      <w:r>
        <w:rPr>
          <w:rFonts w:ascii="Arial" w:hAnsi="Arial" w:cs="Arial"/>
          <w:sz w:val="22"/>
          <w:szCs w:val="22"/>
        </w:rPr>
        <w:t>,</w:t>
      </w:r>
      <w:r w:rsidRPr="002A36CE">
        <w:rPr>
          <w:rFonts w:ascii="Arial" w:hAnsi="Arial" w:cs="Arial"/>
          <w:sz w:val="22"/>
          <w:szCs w:val="22"/>
        </w:rPr>
        <w:t xml:space="preserve"> quando os direitos de receber fluxos de caixa dos investimentos tenham vencido ou tenham sido transferidos; neste último caso, desde que a Companhia tenha transferido, significativamente, todos os riscos e os benefícios da propriedade.</w:t>
      </w:r>
    </w:p>
    <w:p w14:paraId="2396E520" w14:textId="77777777" w:rsidR="00832984" w:rsidRDefault="00832984" w:rsidP="00832984"/>
    <w:p w14:paraId="01BC1882" w14:textId="77777777" w:rsidR="001F4257" w:rsidRDefault="001F4257" w:rsidP="00832984"/>
    <w:p w14:paraId="5EB75D34" w14:textId="77777777" w:rsidR="001F4257" w:rsidRDefault="001F4257" w:rsidP="00832984"/>
    <w:p w14:paraId="22C6CEED" w14:textId="77777777" w:rsidR="001F4257" w:rsidRDefault="001F4257" w:rsidP="00832984"/>
    <w:p w14:paraId="6D658AE3" w14:textId="77777777" w:rsidR="001F4257" w:rsidRDefault="001F4257" w:rsidP="00832984"/>
    <w:p w14:paraId="443544E9" w14:textId="77777777" w:rsidR="001F4257" w:rsidRPr="002A36CE" w:rsidRDefault="001F4257" w:rsidP="00832984"/>
    <w:p w14:paraId="6EE0B066" w14:textId="77777777" w:rsidR="00832984" w:rsidRPr="002A36CE" w:rsidRDefault="00832984" w:rsidP="00832984">
      <w:pPr>
        <w:pStyle w:val="Ttulo2"/>
        <w:numPr>
          <w:ilvl w:val="3"/>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lastRenderedPageBreak/>
        <w:t>Categorias</w:t>
      </w:r>
    </w:p>
    <w:p w14:paraId="3CDC269A" w14:textId="77777777" w:rsidR="00832984" w:rsidRPr="002A36CE" w:rsidRDefault="00832984" w:rsidP="00832984"/>
    <w:p w14:paraId="64C1AB00" w14:textId="77777777" w:rsidR="00832984" w:rsidRPr="002A36CE" w:rsidRDefault="00832984" w:rsidP="00832984">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Custo amortizado</w:t>
      </w:r>
    </w:p>
    <w:p w14:paraId="74C9FCA8" w14:textId="77777777" w:rsidR="00832984" w:rsidRPr="002A36CE" w:rsidRDefault="00832984" w:rsidP="00832984">
      <w:pPr>
        <w:pStyle w:val="Corpodetexto"/>
        <w:spacing w:line="276" w:lineRule="auto"/>
        <w:rPr>
          <w:rFonts w:ascii="Arial" w:hAnsi="Arial" w:cs="Arial"/>
        </w:rPr>
      </w:pPr>
      <w:r w:rsidRPr="002A36CE">
        <w:rPr>
          <w:rFonts w:ascii="Arial" w:hAnsi="Arial" w:cs="Arial"/>
        </w:rPr>
        <w:t>São ativos financeiros mantidos pela Companhia</w:t>
      </w:r>
      <w:r>
        <w:rPr>
          <w:rFonts w:ascii="Arial" w:hAnsi="Arial" w:cs="Arial"/>
        </w:rPr>
        <w:t>,</w:t>
      </w:r>
      <w:r w:rsidRPr="002A36CE">
        <w:rPr>
          <w:rFonts w:ascii="Arial" w:hAnsi="Arial" w:cs="Arial"/>
        </w:rPr>
        <w:t xml:space="preserve"> (i) com o objetivo de recebimento de seu fluxo de caixa contratual e não para venda com realização de lucros ou prejuízos e (ii) cujos termos contratuais dão origem, em datas especificadas, a fluxos de caixa que constituam, exclusivamente, pagamentos de principal e juros sobre o valor do principal em aberto. </w:t>
      </w:r>
    </w:p>
    <w:p w14:paraId="03EEBB30" w14:textId="7C60E4DE" w:rsidR="00832984" w:rsidRPr="002A36CE" w:rsidRDefault="00832984" w:rsidP="00832984">
      <w:pPr>
        <w:pStyle w:val="Corpodetexto"/>
        <w:spacing w:before="0" w:after="0" w:line="276" w:lineRule="auto"/>
        <w:rPr>
          <w:rFonts w:ascii="Arial" w:hAnsi="Arial" w:cs="Arial"/>
        </w:rPr>
      </w:pPr>
      <w:r w:rsidRPr="002A36CE">
        <w:rPr>
          <w:rFonts w:ascii="Arial" w:hAnsi="Arial" w:cs="Arial"/>
        </w:rPr>
        <w:t>Os ativos financeiros classificados pelo custo amortizado compreendem o saldo de Contas a Receber de Clientes (Nota Explicativa 5), Super</w:t>
      </w:r>
      <w:r>
        <w:rPr>
          <w:rFonts w:ascii="Arial" w:hAnsi="Arial" w:cs="Arial"/>
        </w:rPr>
        <w:t>á</w:t>
      </w:r>
      <w:r w:rsidRPr="002A36CE">
        <w:rPr>
          <w:rFonts w:ascii="Arial" w:hAnsi="Arial" w:cs="Arial"/>
        </w:rPr>
        <w:t>vit – Previdência Privada (Nota Explicativa 8)</w:t>
      </w:r>
      <w:r w:rsidR="00AF5828">
        <w:rPr>
          <w:rFonts w:ascii="Arial" w:hAnsi="Arial" w:cs="Arial"/>
        </w:rPr>
        <w:t xml:space="preserve"> </w:t>
      </w:r>
      <w:r w:rsidRPr="002A36CE">
        <w:rPr>
          <w:rFonts w:ascii="Arial" w:hAnsi="Arial" w:cs="Arial"/>
        </w:rPr>
        <w:t>e Aplicações Financeiras (Nota Explicativa 1</w:t>
      </w:r>
      <w:r w:rsidR="00AF5828">
        <w:rPr>
          <w:rFonts w:ascii="Arial" w:hAnsi="Arial" w:cs="Arial"/>
        </w:rPr>
        <w:t>0</w:t>
      </w:r>
      <w:r w:rsidRPr="002A36CE">
        <w:rPr>
          <w:rFonts w:ascii="Arial" w:hAnsi="Arial" w:cs="Arial"/>
        </w:rPr>
        <w:t>). Suas variações são reconhecidas no resultado do período, na rubrica "Receitas Financeiras" ou "Despesas Financeiras", dependendo do resultado obtido.</w:t>
      </w:r>
    </w:p>
    <w:p w14:paraId="788FC12E" w14:textId="77777777" w:rsidR="00832984" w:rsidRPr="002A36CE" w:rsidRDefault="00832984" w:rsidP="00832984"/>
    <w:p w14:paraId="3DF2EA03" w14:textId="77777777" w:rsidR="00832984" w:rsidRPr="002A36CE" w:rsidRDefault="00832984" w:rsidP="00832984">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 xml:space="preserve">Ativos </w:t>
      </w:r>
      <w:r w:rsidRPr="002A36CE">
        <w:rPr>
          <w:rFonts w:ascii="Arial" w:eastAsia="Arial Unicode MS" w:hAnsi="Arial" w:cs="Arial"/>
          <w:iCs/>
        </w:rPr>
        <w:t>financeiros mensurados ao valor justo por meio de outros resultados abrangentes</w:t>
      </w:r>
      <w:r w:rsidRPr="002A36CE">
        <w:rPr>
          <w:rFonts w:ascii="Arial" w:hAnsi="Arial" w:cs="Arial"/>
        </w:rPr>
        <w:t xml:space="preserve"> </w:t>
      </w:r>
    </w:p>
    <w:p w14:paraId="2B0848F0" w14:textId="77777777" w:rsidR="00832984" w:rsidRPr="002A36CE" w:rsidRDefault="00832984" w:rsidP="00832984">
      <w:pPr>
        <w:pStyle w:val="Corpodetexto"/>
        <w:spacing w:line="276" w:lineRule="auto"/>
        <w:rPr>
          <w:rFonts w:ascii="Arial" w:hAnsi="Arial" w:cs="Arial"/>
        </w:rPr>
      </w:pPr>
      <w:r w:rsidRPr="002A36CE">
        <w:rPr>
          <w:rFonts w:ascii="Arial" w:hAnsi="Arial" w:cs="Arial"/>
        </w:rPr>
        <w:t>São ativos financeiros mantidos pela Companhia tanto para o recebimento de seu fluxo de caixa contratual</w:t>
      </w:r>
      <w:r>
        <w:rPr>
          <w:rFonts w:ascii="Arial" w:hAnsi="Arial" w:cs="Arial"/>
        </w:rPr>
        <w:t>,</w:t>
      </w:r>
      <w:r w:rsidRPr="002A36CE">
        <w:rPr>
          <w:rFonts w:ascii="Arial" w:hAnsi="Arial" w:cs="Arial"/>
        </w:rPr>
        <w:t xml:space="preserve"> quanto para a venda com realização de lucros ou prejuízos e cujos termos contratuais dão origem, em datas especificadas, a fluxos de caixa que constituam, exclusivamente, pagamentos de principal e juros sobre o valor do principal em aberto. Além disso, os investimentos em instrumentos patrimoniais em que, no reconhecimento inicial, a Companhia optou por apresentar as alterações subsequentes do seu valor justo em outros resultados abrangentes são classificados nessa categoria. </w:t>
      </w:r>
    </w:p>
    <w:p w14:paraId="77E2DC7A" w14:textId="77777777" w:rsidR="00832984" w:rsidRPr="002A36CE" w:rsidRDefault="00832984" w:rsidP="00832984">
      <w:pPr>
        <w:pStyle w:val="Corpodetexto"/>
        <w:spacing w:line="276" w:lineRule="auto"/>
        <w:rPr>
          <w:rFonts w:ascii="Arial" w:hAnsi="Arial" w:cs="Arial"/>
        </w:rPr>
        <w:sectPr w:rsidR="00832984" w:rsidRPr="002A36CE" w:rsidSect="00832984">
          <w:footerReference w:type="default" r:id="rId34"/>
          <w:type w:val="continuous"/>
          <w:pgSz w:w="11906" w:h="16838" w:code="9"/>
          <w:pgMar w:top="848" w:right="849" w:bottom="993" w:left="1276" w:header="850" w:footer="964" w:gutter="0"/>
          <w:cols w:space="708"/>
          <w:docGrid w:linePitch="360"/>
        </w:sectPr>
      </w:pPr>
    </w:p>
    <w:p w14:paraId="5531247D" w14:textId="2735E107" w:rsidR="00832984" w:rsidRDefault="00832984" w:rsidP="00832984">
      <w:pPr>
        <w:pStyle w:val="Corpodetexto"/>
        <w:spacing w:line="276" w:lineRule="auto"/>
        <w:rPr>
          <w:rFonts w:ascii="Arial" w:hAnsi="Arial" w:cs="Arial"/>
        </w:rPr>
      </w:pPr>
      <w:r w:rsidRPr="002A36CE">
        <w:rPr>
          <w:rFonts w:ascii="Arial" w:hAnsi="Arial" w:cs="Arial"/>
        </w:rPr>
        <w:t xml:space="preserve">Essa categoria é composta pelo saldo de </w:t>
      </w:r>
      <w:r w:rsidRPr="002A36CE">
        <w:rPr>
          <w:rFonts w:ascii="Arial" w:eastAsia="Arial Unicode MS" w:hAnsi="Arial" w:cs="Arial"/>
        </w:rPr>
        <w:t xml:space="preserve">Aplicações Financeiras representadas por </w:t>
      </w:r>
      <w:r>
        <w:rPr>
          <w:rFonts w:ascii="Arial" w:eastAsia="Arial Unicode MS" w:hAnsi="Arial" w:cs="Arial"/>
        </w:rPr>
        <w:t>t</w:t>
      </w:r>
      <w:r w:rsidRPr="002A36CE">
        <w:rPr>
          <w:rFonts w:ascii="Arial" w:eastAsia="Arial Unicode MS" w:hAnsi="Arial" w:cs="Arial"/>
        </w:rPr>
        <w:t>ítulos mobiliários (Ações) de empresa de telecomunicações e no Fundo de Investimento da Amazônia, que são títulos negociados em mercado ativo (Nota Explicativa 1</w:t>
      </w:r>
      <w:r w:rsidR="00AF5828">
        <w:rPr>
          <w:rFonts w:ascii="Arial" w:eastAsia="Arial Unicode MS" w:hAnsi="Arial" w:cs="Arial"/>
        </w:rPr>
        <w:t>0</w:t>
      </w:r>
      <w:r w:rsidRPr="002A36CE">
        <w:rPr>
          <w:rFonts w:ascii="Arial" w:eastAsia="Arial Unicode MS" w:hAnsi="Arial" w:cs="Arial"/>
        </w:rPr>
        <w:t>)</w:t>
      </w:r>
      <w:r w:rsidRPr="002A36CE">
        <w:rPr>
          <w:rFonts w:ascii="Arial" w:hAnsi="Arial" w:cs="Arial"/>
        </w:rPr>
        <w:t>. Suas variações são reconhecidas no resultado do período, na rubrica "Receitas Financeiras" ou "Despesas Financeiras", dependendo do resultado obtido, exceto pelo valor justo dos investimentos em instrumentos patrimoniais, que são reconhecidos em outros resultados abrangentes.</w:t>
      </w:r>
    </w:p>
    <w:p w14:paraId="5951A61A" w14:textId="77777777" w:rsidR="00832984" w:rsidRPr="002A36CE" w:rsidRDefault="00832984" w:rsidP="00832984">
      <w:pPr>
        <w:pStyle w:val="Ttulo2"/>
        <w:numPr>
          <w:ilvl w:val="4"/>
          <w:numId w:val="15"/>
        </w:numPr>
        <w:tabs>
          <w:tab w:val="clear" w:pos="284"/>
          <w:tab w:val="clear" w:pos="340"/>
        </w:tabs>
        <w:spacing w:before="0" w:after="0" w:line="276" w:lineRule="auto"/>
        <w:ind w:left="1134" w:hanging="1134"/>
        <w:jc w:val="both"/>
        <w:rPr>
          <w:rFonts w:ascii="Arial" w:hAnsi="Arial" w:cs="Arial"/>
        </w:rPr>
      </w:pPr>
      <w:r w:rsidRPr="002A36CE">
        <w:rPr>
          <w:rFonts w:ascii="Arial" w:hAnsi="Arial" w:cs="Arial"/>
        </w:rPr>
        <w:t xml:space="preserve">Ativos </w:t>
      </w:r>
      <w:r w:rsidRPr="002A36CE">
        <w:rPr>
          <w:rFonts w:ascii="Arial" w:eastAsia="Arial Unicode MS" w:hAnsi="Arial" w:cs="Arial"/>
          <w:iCs/>
        </w:rPr>
        <w:t>financeiros mensurados ao valor justo por meio do resultado</w:t>
      </w:r>
    </w:p>
    <w:p w14:paraId="2C5E135B" w14:textId="77777777" w:rsidR="00832984" w:rsidRPr="002A36CE" w:rsidRDefault="00832984" w:rsidP="00832984">
      <w:pPr>
        <w:spacing w:line="276" w:lineRule="auto"/>
        <w:jc w:val="both"/>
        <w:rPr>
          <w:rFonts w:ascii="Arial" w:hAnsi="Arial" w:cs="Arial"/>
          <w:sz w:val="22"/>
          <w:szCs w:val="22"/>
        </w:rPr>
      </w:pPr>
    </w:p>
    <w:p w14:paraId="301950B8" w14:textId="77777777" w:rsidR="00832984" w:rsidRPr="002A36CE" w:rsidRDefault="00832984" w:rsidP="00832984">
      <w:pPr>
        <w:spacing w:line="276" w:lineRule="auto"/>
        <w:jc w:val="both"/>
        <w:rPr>
          <w:rFonts w:ascii="Arial" w:hAnsi="Arial" w:cs="Arial"/>
          <w:sz w:val="22"/>
          <w:szCs w:val="22"/>
        </w:rPr>
      </w:pPr>
      <w:r w:rsidRPr="002A36CE">
        <w:rPr>
          <w:rFonts w:ascii="Arial" w:hAnsi="Arial" w:cs="Arial"/>
          <w:sz w:val="22"/>
          <w:szCs w:val="22"/>
        </w:rPr>
        <w:t xml:space="preserve">Ativos financeiros mensurados ao valor justo por meio do resultado são classificados nessa categoria, </w:t>
      </w:r>
      <w:r>
        <w:rPr>
          <w:rFonts w:ascii="Arial" w:hAnsi="Arial" w:cs="Arial"/>
          <w:sz w:val="22"/>
          <w:szCs w:val="22"/>
        </w:rPr>
        <w:t xml:space="preserve">incluindo </w:t>
      </w:r>
      <w:r w:rsidRPr="002A36CE">
        <w:rPr>
          <w:rFonts w:ascii="Arial" w:hAnsi="Arial" w:cs="Arial"/>
          <w:sz w:val="22"/>
          <w:szCs w:val="22"/>
        </w:rPr>
        <w:t>os ativos financeiros que não sejam mensurados ao custo amortizado ou ao valor justo por meio de outros resultados abrangentes. Compreende o saldo de caixa e bancos e equivalentes de caixa (Nota Explicativa 4). Suas variações são reconhecidas no resultado do período, na rubrica "Receitas financeiras" ou "Despesas financeiras", dependendo do resultado obtido.</w:t>
      </w:r>
    </w:p>
    <w:p w14:paraId="563A6155" w14:textId="77777777" w:rsidR="00832984" w:rsidRPr="002A36CE" w:rsidRDefault="00832984" w:rsidP="00832984">
      <w:pPr>
        <w:spacing w:line="276" w:lineRule="auto"/>
      </w:pPr>
    </w:p>
    <w:p w14:paraId="18B4E674" w14:textId="77777777" w:rsidR="00832984" w:rsidRPr="002A36CE" w:rsidRDefault="00832984" w:rsidP="00832984">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Deterioração de ativos financeiros</w:t>
      </w:r>
    </w:p>
    <w:p w14:paraId="6EF9AB2E" w14:textId="77777777" w:rsidR="00832984" w:rsidRPr="002A36CE" w:rsidRDefault="00832984" w:rsidP="00832984"/>
    <w:p w14:paraId="7B290901" w14:textId="77777777" w:rsidR="00832984" w:rsidRDefault="00832984" w:rsidP="00832984">
      <w:pPr>
        <w:pStyle w:val="Default"/>
        <w:spacing w:line="276" w:lineRule="auto"/>
        <w:jc w:val="both"/>
        <w:rPr>
          <w:sz w:val="22"/>
          <w:szCs w:val="22"/>
        </w:rPr>
      </w:pPr>
      <w:r w:rsidRPr="002A36CE">
        <w:rPr>
          <w:sz w:val="22"/>
          <w:szCs w:val="22"/>
        </w:rPr>
        <w:t>A Companhia avalia, na data do encerramento do exercício, se há evidência objetiva de que o ativo financeiro ou um grupo de ativos financeiros está deteriorado. Um ativo financeiro ou um grupo de ativos financeiros é considerado deteriorado quando existirem evidências objetivas da redução de seu valor recuperável, sendo estas evidências o resultado de um ou mais eventos que ocorreram após o reconhecimento inicial do ativo, e quando houver impacto nos fluxos de caixa futuros estimados.</w:t>
      </w:r>
    </w:p>
    <w:p w14:paraId="704B70F5" w14:textId="77777777" w:rsidR="00832984" w:rsidRPr="002A36CE" w:rsidRDefault="00832984" w:rsidP="00832984">
      <w:pPr>
        <w:pStyle w:val="Default"/>
        <w:spacing w:line="276" w:lineRule="auto"/>
        <w:jc w:val="both"/>
        <w:rPr>
          <w:sz w:val="20"/>
          <w:szCs w:val="20"/>
        </w:rPr>
      </w:pPr>
    </w:p>
    <w:p w14:paraId="1939621D" w14:textId="77777777" w:rsidR="00832984" w:rsidRPr="002A36CE" w:rsidRDefault="00832984" w:rsidP="00832984">
      <w:pPr>
        <w:pStyle w:val="Corpodetexto"/>
        <w:tabs>
          <w:tab w:val="clear" w:pos="851"/>
          <w:tab w:val="left" w:pos="0"/>
        </w:tabs>
        <w:spacing w:before="0" w:after="0" w:line="276" w:lineRule="auto"/>
        <w:rPr>
          <w:rFonts w:ascii="Arial" w:hAnsi="Arial" w:cs="Arial"/>
        </w:rPr>
      </w:pPr>
      <w:r w:rsidRPr="002A36CE">
        <w:rPr>
          <w:rFonts w:ascii="Arial" w:hAnsi="Arial" w:cs="Arial"/>
        </w:rPr>
        <w:lastRenderedPageBreak/>
        <w:t>No caso de investimentos patrimoniais, um declínio significativo ou prolongado em seu valor justo abaixo do seu custo é considerado evidência objetiva de redução ao valor recuperável.</w:t>
      </w:r>
    </w:p>
    <w:p w14:paraId="4975B6CB" w14:textId="77777777" w:rsidR="00832984" w:rsidRPr="002A36CE" w:rsidRDefault="00832984" w:rsidP="00832984">
      <w:pPr>
        <w:spacing w:line="276" w:lineRule="auto"/>
      </w:pPr>
    </w:p>
    <w:p w14:paraId="43F275CB" w14:textId="77777777" w:rsidR="00832984" w:rsidRPr="002A36CE" w:rsidRDefault="00832984" w:rsidP="00832984">
      <w:pPr>
        <w:pStyle w:val="Ttulo2"/>
        <w:numPr>
          <w:ilvl w:val="2"/>
          <w:numId w:val="15"/>
        </w:numPr>
        <w:tabs>
          <w:tab w:val="clear" w:pos="284"/>
          <w:tab w:val="clear" w:pos="340"/>
        </w:tabs>
        <w:spacing w:before="0" w:after="0" w:line="276" w:lineRule="auto"/>
        <w:ind w:left="851" w:hanging="851"/>
        <w:jc w:val="both"/>
        <w:rPr>
          <w:rFonts w:ascii="Arial" w:hAnsi="Arial" w:cs="Arial"/>
        </w:rPr>
      </w:pPr>
      <w:r w:rsidRPr="002A36CE">
        <w:rPr>
          <w:rFonts w:ascii="Arial" w:hAnsi="Arial" w:cs="Arial"/>
        </w:rPr>
        <w:t>Passivos financeiros</w:t>
      </w:r>
    </w:p>
    <w:p w14:paraId="479DC3BD" w14:textId="77777777" w:rsidR="00832984" w:rsidRPr="002A36CE" w:rsidRDefault="00832984" w:rsidP="00832984"/>
    <w:p w14:paraId="0A6AFF15" w14:textId="77777777" w:rsidR="00832984" w:rsidRPr="002A36CE" w:rsidRDefault="00832984" w:rsidP="00832984">
      <w:pPr>
        <w:spacing w:line="276" w:lineRule="auto"/>
        <w:jc w:val="both"/>
        <w:rPr>
          <w:rFonts w:ascii="Arial" w:hAnsi="Arial" w:cs="Arial"/>
          <w:sz w:val="22"/>
          <w:szCs w:val="22"/>
        </w:rPr>
      </w:pPr>
      <w:r w:rsidRPr="002A36CE">
        <w:rPr>
          <w:rFonts w:ascii="Arial" w:hAnsi="Arial" w:cs="Arial"/>
          <w:sz w:val="22"/>
          <w:szCs w:val="22"/>
          <w:lang w:eastAsia="en-US"/>
        </w:rPr>
        <w:t xml:space="preserve">A nova norma (CPC 48/IFRS 9) não trouxe mudanças significativas em relação aos critérios atuais, </w:t>
      </w:r>
      <w:r w:rsidRPr="002A36CE">
        <w:rPr>
          <w:rFonts w:ascii="Arial" w:hAnsi="Arial" w:cs="Arial"/>
          <w:sz w:val="22"/>
          <w:szCs w:val="22"/>
        </w:rPr>
        <w:t>exceto pelo reconhecimento de mudanças no risco de crédito próprio em Outros Resultados Abrangentes para aqueles passivos designados ao valor justo por meio do resultado.</w:t>
      </w:r>
    </w:p>
    <w:p w14:paraId="45C87ECD" w14:textId="77777777" w:rsidR="00832984" w:rsidRPr="009F0693" w:rsidRDefault="00832984" w:rsidP="00832984">
      <w:pPr>
        <w:autoSpaceDE w:val="0"/>
        <w:autoSpaceDN w:val="0"/>
        <w:adjustRightInd w:val="0"/>
        <w:spacing w:line="276" w:lineRule="auto"/>
        <w:jc w:val="both"/>
        <w:rPr>
          <w:rFonts w:ascii="Arial" w:hAnsi="Arial" w:cs="Arial"/>
          <w:sz w:val="14"/>
          <w:szCs w:val="14"/>
          <w:lang w:eastAsia="en-US"/>
        </w:rPr>
      </w:pPr>
    </w:p>
    <w:p w14:paraId="37B564D3" w14:textId="77777777" w:rsidR="00832984" w:rsidRPr="002A36CE" w:rsidRDefault="00832984" w:rsidP="00832984">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A Companhia reconhece títulos de dívida e passivos subordinados inicialmente na data em que são originados. Todos os outros passivos financeiros (incluindo passivos designados pelo valor justo registrado no resultado) são reconhecidos inicialmente na data de negociação</w:t>
      </w:r>
      <w:r>
        <w:rPr>
          <w:rFonts w:ascii="Arial" w:hAnsi="Arial" w:cs="Arial"/>
          <w:sz w:val="22"/>
          <w:szCs w:val="22"/>
          <w:lang w:eastAsia="en-US"/>
        </w:rPr>
        <w:t>,</w:t>
      </w:r>
      <w:r w:rsidRPr="002A36CE">
        <w:rPr>
          <w:rFonts w:ascii="Arial" w:hAnsi="Arial" w:cs="Arial"/>
          <w:sz w:val="22"/>
          <w:szCs w:val="22"/>
          <w:lang w:eastAsia="en-US"/>
        </w:rPr>
        <w:t xml:space="preserve"> na qual a Companhia se torna parte das disposições contratuais do instrumento. A Companhia baixa um passivo financeiro quando tem suas obrigações contratuais retiradas, canceladas ou vencidas.</w:t>
      </w:r>
    </w:p>
    <w:p w14:paraId="44E9D123" w14:textId="77777777" w:rsidR="00832984" w:rsidRPr="008B7B4E" w:rsidRDefault="00832984" w:rsidP="00832984">
      <w:pPr>
        <w:autoSpaceDE w:val="0"/>
        <w:autoSpaceDN w:val="0"/>
        <w:adjustRightInd w:val="0"/>
        <w:spacing w:line="276" w:lineRule="auto"/>
        <w:jc w:val="both"/>
        <w:rPr>
          <w:rFonts w:ascii="Arial" w:hAnsi="Arial" w:cs="Arial"/>
          <w:sz w:val="18"/>
          <w:szCs w:val="18"/>
          <w:lang w:eastAsia="en-US"/>
        </w:rPr>
      </w:pPr>
    </w:p>
    <w:p w14:paraId="5909076D" w14:textId="77777777" w:rsidR="00832984" w:rsidRPr="002A36CE" w:rsidRDefault="00832984" w:rsidP="00832984">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Companhia classifica os passivos financeiros não derivativos na categoria de outros passivos financeiros. Tais passivos financeiros são reconhecidos inicialmente pelo valor justo acrescido de quaisquer custos de transações atribuíveis. Após o reconhecimento inicial, esses passivos financeiros são mensurados pelo custo amortizado através do método de juros efetivos. </w:t>
      </w:r>
    </w:p>
    <w:p w14:paraId="4A6EC706" w14:textId="77777777" w:rsidR="00832984" w:rsidRPr="009F0693" w:rsidRDefault="00832984" w:rsidP="00832984">
      <w:pPr>
        <w:autoSpaceDE w:val="0"/>
        <w:autoSpaceDN w:val="0"/>
        <w:adjustRightInd w:val="0"/>
        <w:spacing w:line="276" w:lineRule="auto"/>
        <w:jc w:val="both"/>
        <w:rPr>
          <w:rFonts w:ascii="Arial" w:hAnsi="Arial" w:cs="Arial"/>
          <w:sz w:val="14"/>
          <w:szCs w:val="14"/>
          <w:lang w:eastAsia="en-US"/>
        </w:rPr>
      </w:pPr>
    </w:p>
    <w:p w14:paraId="16D616A3" w14:textId="6F5A1761" w:rsidR="00832984" w:rsidRDefault="00832984" w:rsidP="00832984">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A Companhia tem os seguintes passivos financeiros não derivativos: Operações de Arrendamento Mercantil (Nota Explicativa </w:t>
      </w:r>
      <w:r w:rsidR="00AF5828">
        <w:rPr>
          <w:rFonts w:ascii="Arial" w:hAnsi="Arial" w:cs="Arial"/>
          <w:sz w:val="22"/>
          <w:szCs w:val="22"/>
          <w:lang w:eastAsia="en-US"/>
        </w:rPr>
        <w:t>22</w:t>
      </w:r>
      <w:r w:rsidRPr="002A36CE">
        <w:rPr>
          <w:rFonts w:ascii="Arial" w:hAnsi="Arial" w:cs="Arial"/>
          <w:sz w:val="22"/>
          <w:szCs w:val="22"/>
          <w:lang w:eastAsia="en-US"/>
        </w:rPr>
        <w:t>), fornecedores (Nota Explicativa 1</w:t>
      </w:r>
      <w:r w:rsidR="00AF5828">
        <w:rPr>
          <w:rFonts w:ascii="Arial" w:hAnsi="Arial" w:cs="Arial"/>
          <w:sz w:val="22"/>
          <w:szCs w:val="22"/>
          <w:lang w:eastAsia="en-US"/>
        </w:rPr>
        <w:t>7</w:t>
      </w:r>
      <w:r w:rsidRPr="002A36CE">
        <w:rPr>
          <w:rFonts w:ascii="Arial" w:hAnsi="Arial" w:cs="Arial"/>
          <w:sz w:val="22"/>
          <w:szCs w:val="22"/>
          <w:lang w:eastAsia="en-US"/>
        </w:rPr>
        <w:t>) e outras contas a pagar.</w:t>
      </w:r>
    </w:p>
    <w:p w14:paraId="64DA8260" w14:textId="77777777" w:rsidR="00911D9F" w:rsidRDefault="00911D9F" w:rsidP="00B45C00">
      <w:pPr>
        <w:spacing w:line="276" w:lineRule="auto"/>
        <w:rPr>
          <w:sz w:val="14"/>
          <w:szCs w:val="14"/>
        </w:rPr>
      </w:pPr>
    </w:p>
    <w:p w14:paraId="7EE6977E" w14:textId="77777777" w:rsidR="00911D9F" w:rsidRPr="00C33A97" w:rsidRDefault="00911D9F" w:rsidP="00B45C00">
      <w:pPr>
        <w:spacing w:line="276" w:lineRule="auto"/>
        <w:rPr>
          <w:sz w:val="14"/>
          <w:szCs w:val="14"/>
        </w:rPr>
      </w:pPr>
    </w:p>
    <w:p w14:paraId="0D9086B9" w14:textId="6003368A" w:rsidR="00B45C00" w:rsidRPr="002A36CE" w:rsidRDefault="00B45C00" w:rsidP="00641DC6">
      <w:pPr>
        <w:pStyle w:val="Ttulo2"/>
        <w:numPr>
          <w:ilvl w:val="1"/>
          <w:numId w:val="17"/>
        </w:numPr>
        <w:tabs>
          <w:tab w:val="clear" w:pos="284"/>
          <w:tab w:val="clear" w:pos="340"/>
        </w:tabs>
        <w:spacing w:before="0" w:after="0" w:line="276" w:lineRule="auto"/>
        <w:ind w:left="709" w:hanging="709"/>
        <w:jc w:val="both"/>
        <w:rPr>
          <w:rFonts w:ascii="Arial" w:hAnsi="Arial" w:cs="Arial"/>
        </w:rPr>
      </w:pPr>
      <w:r>
        <w:rPr>
          <w:rFonts w:ascii="Arial" w:hAnsi="Arial" w:cs="Arial"/>
        </w:rPr>
        <w:t>Estimativa de valor justo</w:t>
      </w:r>
    </w:p>
    <w:p w14:paraId="7C8D29E4" w14:textId="77777777" w:rsidR="00B45C00" w:rsidRPr="002A36CE" w:rsidRDefault="00B45C00" w:rsidP="00B45C00">
      <w:pPr>
        <w:spacing w:line="276" w:lineRule="auto"/>
      </w:pPr>
    </w:p>
    <w:p w14:paraId="28DF30D0"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Os instrumentos financeiros ativos e passivos são registrados, inicialmente, pelo valor justo das transações que lhes deram origem e são atualizados, quando aplicável, com base nos encargos contratuais e ajustados pelas estimativas de perda. A Administração avalia que os valores apurados com base nesses critérios podem ser considerados a melhor estimativa para apuração do valor justo dos instrumentos financeiros detidos pela Companhia.</w:t>
      </w:r>
    </w:p>
    <w:p w14:paraId="6485A60F" w14:textId="77777777" w:rsidR="00B45C00" w:rsidRPr="00C33A97" w:rsidRDefault="00B45C00" w:rsidP="00B45C00">
      <w:pPr>
        <w:spacing w:line="276" w:lineRule="auto"/>
        <w:rPr>
          <w:sz w:val="14"/>
          <w:szCs w:val="14"/>
        </w:rPr>
      </w:pPr>
    </w:p>
    <w:p w14:paraId="76408601" w14:textId="5389D82E" w:rsidR="00B45C00" w:rsidRDefault="00B45C00" w:rsidP="00641DC6">
      <w:pPr>
        <w:pStyle w:val="Ttulo2"/>
        <w:numPr>
          <w:ilvl w:val="2"/>
          <w:numId w:val="17"/>
        </w:numPr>
        <w:tabs>
          <w:tab w:val="clear" w:pos="284"/>
          <w:tab w:val="clear" w:pos="340"/>
        </w:tabs>
        <w:spacing w:before="0" w:after="0" w:line="276" w:lineRule="auto"/>
        <w:ind w:left="709" w:hanging="709"/>
        <w:jc w:val="both"/>
        <w:rPr>
          <w:rFonts w:ascii="Arial" w:hAnsi="Arial" w:cs="Arial"/>
        </w:rPr>
      </w:pPr>
      <w:r>
        <w:rPr>
          <w:rFonts w:ascii="Arial" w:hAnsi="Arial" w:cs="Arial"/>
        </w:rPr>
        <w:t>Hierarquia do valor justo</w:t>
      </w:r>
    </w:p>
    <w:p w14:paraId="2461DE88" w14:textId="77777777" w:rsidR="00B45C00" w:rsidRDefault="00B45C00" w:rsidP="00B45C00">
      <w:pPr>
        <w:pStyle w:val="Corpodetexto"/>
        <w:tabs>
          <w:tab w:val="clear" w:pos="851"/>
        </w:tabs>
        <w:spacing w:before="0" w:after="0" w:line="276" w:lineRule="auto"/>
        <w:rPr>
          <w:rFonts w:ascii="Arial" w:hAnsi="Arial" w:cs="Arial"/>
          <w:lang w:eastAsia="en-US"/>
        </w:rPr>
      </w:pPr>
    </w:p>
    <w:p w14:paraId="4BC33008"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O CPC 40 / IFRS 7 define valor justo como o valor/preço que seria recebido na venda de um ativo ou pago na transferência de um passivo em uma transação ordinária entre participantes de um mercado na data de sua mensuração. A norma esclarece que o valor justo deve ser fundamentado nas premissas que os participantes de um mercado utilizam quando atribuem um valor/preço a um ativo ou passivo e estabelece uma hierarquia que prioriza a informação utilizada para desenvolver essas premissas. A hierarquia do valor justo atribui maior peso às informações de mercado disponíveis (ou seja, dados observáveis) e menor peso às informações relacionadas a dados sem transparência (ou</w:t>
      </w:r>
      <w:r>
        <w:rPr>
          <w:rFonts w:ascii="Arial" w:hAnsi="Arial" w:cs="Arial"/>
          <w:sz w:val="22"/>
          <w:szCs w:val="22"/>
        </w:rPr>
        <w:t xml:space="preserve"> </w:t>
      </w:r>
      <w:r w:rsidRPr="002A36CE">
        <w:rPr>
          <w:rFonts w:ascii="Arial" w:hAnsi="Arial" w:cs="Arial"/>
          <w:sz w:val="22"/>
          <w:szCs w:val="22"/>
        </w:rPr>
        <w:t xml:space="preserve">seja, dados inobserváveis). Adicionalmente, a norma requer que a empresa considere todos os aspectos de riscos de não desempenho </w:t>
      </w:r>
      <w:r w:rsidRPr="002A36CE">
        <w:rPr>
          <w:rFonts w:ascii="Arial" w:hAnsi="Arial" w:cs="Arial"/>
          <w:i/>
          <w:sz w:val="22"/>
          <w:szCs w:val="22"/>
        </w:rPr>
        <w:t xml:space="preserve">(“non-performance </w:t>
      </w:r>
      <w:proofErr w:type="spellStart"/>
      <w:r w:rsidRPr="002A36CE">
        <w:rPr>
          <w:rFonts w:ascii="Arial" w:hAnsi="Arial" w:cs="Arial"/>
          <w:i/>
          <w:sz w:val="22"/>
          <w:szCs w:val="22"/>
        </w:rPr>
        <w:t>risk</w:t>
      </w:r>
      <w:proofErr w:type="spellEnd"/>
      <w:r w:rsidRPr="002A36CE">
        <w:rPr>
          <w:rFonts w:ascii="Arial" w:hAnsi="Arial" w:cs="Arial"/>
          <w:i/>
          <w:sz w:val="22"/>
          <w:szCs w:val="22"/>
        </w:rPr>
        <w:t>”)</w:t>
      </w:r>
      <w:r w:rsidRPr="002A36CE">
        <w:rPr>
          <w:rFonts w:ascii="Arial" w:hAnsi="Arial" w:cs="Arial"/>
          <w:sz w:val="22"/>
          <w:szCs w:val="22"/>
        </w:rPr>
        <w:t>, incluindo o próprio crédito da Companhia e de suas controladas e coligadas (quando couber), ao mensurar o valor justo de um passivo.</w:t>
      </w:r>
    </w:p>
    <w:p w14:paraId="1A167C73" w14:textId="77777777" w:rsidR="000659A8" w:rsidRDefault="000659A8" w:rsidP="000659A8">
      <w:pPr>
        <w:widowControl w:val="0"/>
        <w:tabs>
          <w:tab w:val="left" w:pos="1134"/>
        </w:tabs>
        <w:spacing w:line="276" w:lineRule="auto"/>
        <w:jc w:val="both"/>
        <w:rPr>
          <w:rFonts w:ascii="Arial" w:hAnsi="Arial" w:cs="Arial"/>
          <w:sz w:val="22"/>
          <w:szCs w:val="22"/>
        </w:rPr>
      </w:pPr>
    </w:p>
    <w:p w14:paraId="17D6B423" w14:textId="77777777" w:rsidR="0085618A" w:rsidRPr="002A36CE" w:rsidRDefault="0085618A" w:rsidP="000659A8">
      <w:pPr>
        <w:widowControl w:val="0"/>
        <w:tabs>
          <w:tab w:val="left" w:pos="1134"/>
        </w:tabs>
        <w:spacing w:line="276" w:lineRule="auto"/>
        <w:jc w:val="both"/>
        <w:rPr>
          <w:rFonts w:ascii="Arial" w:hAnsi="Arial" w:cs="Arial"/>
          <w:sz w:val="22"/>
          <w:szCs w:val="22"/>
        </w:rPr>
      </w:pPr>
    </w:p>
    <w:p w14:paraId="6BB0FD93"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lastRenderedPageBreak/>
        <w:t>O CPC 40 / IFRS 7 estabelece uma hierarquia de três níveis a ser utilizada ao mensurar e divulgar o valor justo. Um instrumento de categorização na hierarquia do valor justo baseia-se no menor nível de “</w:t>
      </w:r>
      <w:r w:rsidRPr="002A36CE">
        <w:rPr>
          <w:rFonts w:ascii="Arial" w:hAnsi="Arial" w:cs="Arial"/>
          <w:i/>
          <w:sz w:val="22"/>
          <w:szCs w:val="22"/>
        </w:rPr>
        <w:t>input</w:t>
      </w:r>
      <w:r w:rsidRPr="002A36CE">
        <w:rPr>
          <w:rFonts w:ascii="Arial" w:hAnsi="Arial" w:cs="Arial"/>
          <w:sz w:val="22"/>
          <w:szCs w:val="22"/>
        </w:rPr>
        <w:t>” significativo para sua mensuração. Abaixo está demonstrada uma descrição dos três níveis de hierarquia:</w:t>
      </w:r>
    </w:p>
    <w:p w14:paraId="7FFCDA46"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224EA299" w14:textId="77777777"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1 — Os “</w:t>
      </w:r>
      <w:r w:rsidRPr="002A36CE">
        <w:rPr>
          <w:rFonts w:ascii="Arial" w:hAnsi="Arial" w:cs="Arial"/>
          <w:i/>
          <w:sz w:val="22"/>
          <w:szCs w:val="22"/>
        </w:rPr>
        <w:t>inputs</w:t>
      </w:r>
      <w:r w:rsidRPr="002A36CE">
        <w:rPr>
          <w:rFonts w:ascii="Arial" w:hAnsi="Arial" w:cs="Arial"/>
          <w:sz w:val="22"/>
          <w:szCs w:val="22"/>
        </w:rPr>
        <w:t>” são determinados com base nos preços praticados em um mercado ativo para ativos ou passivos idênticos na data da mensuração. Adicionalmente, a Companhia e suas controladas e coligadas (quando couber) devem ter possibilidade de negociar nesse mercado ativo e o preço praticado não pode ser ajustado pelas empresas.</w:t>
      </w:r>
    </w:p>
    <w:p w14:paraId="3DC0821A"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1D4BF3F8" w14:textId="77777777"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2 — Os “</w:t>
      </w:r>
      <w:r w:rsidRPr="002A36CE">
        <w:rPr>
          <w:rFonts w:ascii="Arial" w:hAnsi="Arial" w:cs="Arial"/>
          <w:i/>
          <w:sz w:val="22"/>
          <w:szCs w:val="22"/>
        </w:rPr>
        <w:t>inputs</w:t>
      </w:r>
      <w:r w:rsidRPr="002A36CE">
        <w:rPr>
          <w:rFonts w:ascii="Arial" w:hAnsi="Arial" w:cs="Arial"/>
          <w:sz w:val="22"/>
          <w:szCs w:val="22"/>
        </w:rPr>
        <w:t>” são outros que não sejam preços praticados conforme determinado pelo Nível 1 que são observáveis para o ativo ou passivo, direta ou indiretamente. Os “</w:t>
      </w:r>
      <w:r w:rsidRPr="002A36CE">
        <w:rPr>
          <w:rFonts w:ascii="Arial" w:hAnsi="Arial" w:cs="Arial"/>
          <w:i/>
          <w:sz w:val="22"/>
          <w:szCs w:val="22"/>
        </w:rPr>
        <w:t>inputs</w:t>
      </w:r>
      <w:r w:rsidRPr="002A36CE">
        <w:rPr>
          <w:rFonts w:ascii="Arial" w:hAnsi="Arial" w:cs="Arial"/>
          <w:sz w:val="22"/>
          <w:szCs w:val="22"/>
        </w:rPr>
        <w:t>” do Nível 2 incluem preços praticados em um mercado ativo para ativos ou passivos similares, preços praticados em um mercado inativo para ativos ou passivos idênticos; ou “</w:t>
      </w:r>
      <w:r w:rsidRPr="002A36CE">
        <w:rPr>
          <w:rFonts w:ascii="Arial" w:hAnsi="Arial" w:cs="Arial"/>
          <w:i/>
          <w:sz w:val="22"/>
          <w:szCs w:val="22"/>
        </w:rPr>
        <w:t>inputs</w:t>
      </w:r>
      <w:r w:rsidRPr="002A36CE">
        <w:rPr>
          <w:rFonts w:ascii="Arial" w:hAnsi="Arial" w:cs="Arial"/>
          <w:sz w:val="22"/>
          <w:szCs w:val="22"/>
        </w:rPr>
        <w:t>” que são observáveis ou que possam corroborar na observação de dados de um mercado por correlação ou de outras formas para substancialmente toda parte do ativo ou passivo.</w:t>
      </w:r>
    </w:p>
    <w:p w14:paraId="05DB2061" w14:textId="77777777" w:rsidR="000659A8" w:rsidRPr="002A36CE" w:rsidRDefault="000659A8" w:rsidP="000659A8">
      <w:pPr>
        <w:widowControl w:val="0"/>
        <w:tabs>
          <w:tab w:val="left" w:pos="1134"/>
        </w:tabs>
        <w:spacing w:line="276" w:lineRule="auto"/>
        <w:jc w:val="both"/>
        <w:rPr>
          <w:rFonts w:ascii="Arial" w:hAnsi="Arial" w:cs="Arial"/>
          <w:sz w:val="22"/>
          <w:szCs w:val="22"/>
        </w:rPr>
      </w:pPr>
    </w:p>
    <w:p w14:paraId="4275CDF4" w14:textId="18C54410" w:rsidR="000659A8" w:rsidRPr="002A36CE"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Nível 3 — Os “</w:t>
      </w:r>
      <w:r w:rsidRPr="002A36CE">
        <w:rPr>
          <w:rFonts w:ascii="Arial" w:hAnsi="Arial" w:cs="Arial"/>
          <w:i/>
          <w:sz w:val="22"/>
          <w:szCs w:val="22"/>
        </w:rPr>
        <w:t>inputs</w:t>
      </w:r>
      <w:r w:rsidRPr="002A36CE">
        <w:rPr>
          <w:rFonts w:ascii="Arial" w:hAnsi="Arial" w:cs="Arial"/>
          <w:sz w:val="22"/>
          <w:szCs w:val="22"/>
        </w:rPr>
        <w:t>” inobserváveis são aqueles provenientes de pouca ou nenhuma atividade de mercado. Esses “</w:t>
      </w:r>
      <w:r w:rsidRPr="002A36CE">
        <w:rPr>
          <w:rFonts w:ascii="Arial" w:hAnsi="Arial" w:cs="Arial"/>
          <w:i/>
          <w:sz w:val="22"/>
          <w:szCs w:val="22"/>
        </w:rPr>
        <w:t>inputs</w:t>
      </w:r>
      <w:r w:rsidRPr="002A36CE">
        <w:rPr>
          <w:rFonts w:ascii="Arial" w:hAnsi="Arial" w:cs="Arial"/>
          <w:sz w:val="22"/>
          <w:szCs w:val="22"/>
        </w:rPr>
        <w:t>” representam as melhores estimativas da Administração da Companhia de como os participantes de mercado poderiam atribuir valor/preço a esses ativos ou passivos. Geralmente, os ativos e passivos de Nível 3 são mensurados utilizando modelos de precificação, fluxo de caixa descontados ou metodologias similares que demandam um significativo julgamento ou estimativa.</w:t>
      </w:r>
    </w:p>
    <w:p w14:paraId="3B2CF2D1" w14:textId="77777777" w:rsidR="00911D9F" w:rsidRPr="00213232" w:rsidRDefault="00911D9F" w:rsidP="000659A8">
      <w:pPr>
        <w:widowControl w:val="0"/>
        <w:tabs>
          <w:tab w:val="left" w:pos="1134"/>
        </w:tabs>
        <w:spacing w:line="276" w:lineRule="auto"/>
        <w:jc w:val="both"/>
        <w:rPr>
          <w:rFonts w:ascii="Arial" w:hAnsi="Arial" w:cs="Arial"/>
          <w:sz w:val="16"/>
          <w:szCs w:val="16"/>
        </w:rPr>
      </w:pPr>
    </w:p>
    <w:p w14:paraId="6BAB7718" w14:textId="35C9C059" w:rsidR="000659A8" w:rsidRPr="002A36CE" w:rsidRDefault="000659A8" w:rsidP="000659A8">
      <w:pPr>
        <w:widowControl w:val="0"/>
        <w:tabs>
          <w:tab w:val="left" w:pos="1134"/>
        </w:tabs>
        <w:spacing w:line="245" w:lineRule="auto"/>
        <w:jc w:val="both"/>
        <w:rPr>
          <w:rFonts w:ascii="Arial" w:hAnsi="Arial" w:cs="Arial"/>
          <w:sz w:val="22"/>
          <w:szCs w:val="22"/>
        </w:rPr>
      </w:pPr>
      <w:r w:rsidRPr="002A36CE">
        <w:rPr>
          <w:rFonts w:ascii="Arial" w:hAnsi="Arial" w:cs="Arial"/>
          <w:sz w:val="22"/>
          <w:szCs w:val="22"/>
        </w:rPr>
        <w:t xml:space="preserve">De acordo com o CPC 40 / IFRS 7, a Companhia mensura seus Equivalentes de caixa (Aplicações financeiras de liquidez imediata) pelo seu valor justo. Esses Equivalentes de caixa são classificados como Nível </w:t>
      </w:r>
      <w:r w:rsidR="002473E9">
        <w:rPr>
          <w:rFonts w:ascii="Arial" w:hAnsi="Arial" w:cs="Arial"/>
          <w:sz w:val="22"/>
          <w:szCs w:val="22"/>
        </w:rPr>
        <w:t>1</w:t>
      </w:r>
      <w:r w:rsidRPr="002A36CE">
        <w:rPr>
          <w:rFonts w:ascii="Arial" w:hAnsi="Arial" w:cs="Arial"/>
          <w:sz w:val="22"/>
          <w:szCs w:val="22"/>
        </w:rPr>
        <w:t>, pois são mensurados utilizando preços de mercado para instrumentos similares.</w:t>
      </w:r>
    </w:p>
    <w:p w14:paraId="2C04CB3B" w14:textId="77777777" w:rsidR="000659A8" w:rsidRPr="00E63C4F" w:rsidRDefault="000659A8" w:rsidP="000659A8">
      <w:pPr>
        <w:autoSpaceDE w:val="0"/>
        <w:autoSpaceDN w:val="0"/>
        <w:adjustRightInd w:val="0"/>
        <w:spacing w:line="276" w:lineRule="auto"/>
        <w:jc w:val="both"/>
        <w:rPr>
          <w:rFonts w:ascii="Arial" w:hAnsi="Arial" w:cs="Arial"/>
          <w:sz w:val="16"/>
          <w:szCs w:val="16"/>
          <w:lang w:eastAsia="en-US"/>
        </w:rPr>
      </w:pPr>
    </w:p>
    <w:p w14:paraId="4EF5657B" w14:textId="2AF6D1C8" w:rsidR="000659A8" w:rsidRDefault="000659A8" w:rsidP="000659A8">
      <w:pPr>
        <w:widowControl w:val="0"/>
        <w:tabs>
          <w:tab w:val="left" w:pos="1134"/>
        </w:tabs>
        <w:spacing w:line="276" w:lineRule="auto"/>
        <w:jc w:val="both"/>
        <w:rPr>
          <w:rFonts w:ascii="Arial" w:hAnsi="Arial" w:cs="Arial"/>
          <w:sz w:val="22"/>
          <w:szCs w:val="22"/>
        </w:rPr>
      </w:pPr>
      <w:r w:rsidRPr="002A36CE">
        <w:rPr>
          <w:rFonts w:ascii="Arial" w:hAnsi="Arial" w:cs="Arial"/>
          <w:sz w:val="22"/>
          <w:szCs w:val="22"/>
        </w:rPr>
        <w:t xml:space="preserve">As tabelas abaixo demonstram, de forma resumida, os principais instrumentos financeiros ativos e passivos em </w:t>
      </w:r>
      <w:r w:rsidR="00595828">
        <w:rPr>
          <w:rFonts w:ascii="Arial" w:hAnsi="Arial" w:cs="Arial"/>
          <w:sz w:val="22"/>
          <w:szCs w:val="22"/>
        </w:rPr>
        <w:t>3</w:t>
      </w:r>
      <w:r w:rsidR="009D2190">
        <w:rPr>
          <w:rFonts w:ascii="Arial" w:hAnsi="Arial" w:cs="Arial"/>
          <w:sz w:val="22"/>
          <w:szCs w:val="22"/>
        </w:rPr>
        <w:t>1</w:t>
      </w:r>
      <w:r w:rsidR="00595828">
        <w:rPr>
          <w:rFonts w:ascii="Arial" w:hAnsi="Arial" w:cs="Arial"/>
          <w:sz w:val="22"/>
          <w:szCs w:val="22"/>
        </w:rPr>
        <w:t xml:space="preserve"> de </w:t>
      </w:r>
      <w:r w:rsidR="00734627">
        <w:rPr>
          <w:rFonts w:ascii="Arial" w:hAnsi="Arial" w:cs="Arial"/>
          <w:sz w:val="22"/>
          <w:szCs w:val="22"/>
        </w:rPr>
        <w:t>março</w:t>
      </w:r>
      <w:r w:rsidRPr="002A36CE">
        <w:rPr>
          <w:rFonts w:ascii="Arial" w:hAnsi="Arial" w:cs="Arial"/>
          <w:sz w:val="22"/>
          <w:szCs w:val="22"/>
        </w:rPr>
        <w:t xml:space="preserve"> de 202</w:t>
      </w:r>
      <w:r w:rsidR="00734627">
        <w:rPr>
          <w:rFonts w:ascii="Arial" w:hAnsi="Arial" w:cs="Arial"/>
          <w:sz w:val="22"/>
          <w:szCs w:val="22"/>
        </w:rPr>
        <w:t>6</w:t>
      </w:r>
      <w:r w:rsidRPr="002A36CE">
        <w:rPr>
          <w:rFonts w:ascii="Arial" w:hAnsi="Arial" w:cs="Arial"/>
          <w:sz w:val="22"/>
          <w:szCs w:val="22"/>
        </w:rPr>
        <w:t xml:space="preserve"> e 31 de dezembro de 20</w:t>
      </w:r>
      <w:r>
        <w:rPr>
          <w:rFonts w:ascii="Arial" w:hAnsi="Arial" w:cs="Arial"/>
          <w:sz w:val="22"/>
          <w:szCs w:val="22"/>
        </w:rPr>
        <w:t>2</w:t>
      </w:r>
      <w:r w:rsidR="00734627">
        <w:rPr>
          <w:rFonts w:ascii="Arial" w:hAnsi="Arial" w:cs="Arial"/>
          <w:sz w:val="22"/>
          <w:szCs w:val="22"/>
        </w:rPr>
        <w:t>5</w:t>
      </w:r>
      <w:r w:rsidRPr="002A36CE">
        <w:rPr>
          <w:rFonts w:ascii="Arial" w:hAnsi="Arial" w:cs="Arial"/>
          <w:sz w:val="22"/>
          <w:szCs w:val="22"/>
        </w:rPr>
        <w:t xml:space="preserve">: </w:t>
      </w:r>
    </w:p>
    <w:p w14:paraId="5D2C9202" w14:textId="77777777" w:rsidR="008F7389" w:rsidRDefault="008F7389" w:rsidP="000659A8">
      <w:pPr>
        <w:widowControl w:val="0"/>
        <w:tabs>
          <w:tab w:val="left" w:pos="1134"/>
        </w:tabs>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461"/>
        <w:gridCol w:w="950"/>
        <w:gridCol w:w="932"/>
        <w:gridCol w:w="854"/>
        <w:gridCol w:w="855"/>
        <w:gridCol w:w="855"/>
        <w:gridCol w:w="854"/>
      </w:tblGrid>
      <w:tr w:rsidR="008F7389" w:rsidRPr="00734627" w14:paraId="36772467" w14:textId="77777777" w:rsidTr="00734627">
        <w:trPr>
          <w:trHeight w:val="232"/>
          <w:tblHeader/>
        </w:trPr>
        <w:tc>
          <w:tcPr>
            <w:tcW w:w="211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9AC7D48" w14:textId="77777777" w:rsidR="008F7389" w:rsidRPr="00734627" w:rsidRDefault="008F7389">
            <w:pPr>
              <w:rPr>
                <w:rFonts w:ascii="Arial" w:hAnsi="Arial" w:cs="Arial"/>
                <w:b/>
                <w:bCs/>
                <w:color w:val="000000"/>
                <w:sz w:val="16"/>
                <w:szCs w:val="16"/>
              </w:rPr>
            </w:pPr>
            <w:r w:rsidRPr="00734627">
              <w:rPr>
                <w:rFonts w:ascii="Arial" w:hAnsi="Arial" w:cs="Arial"/>
                <w:b/>
                <w:bCs/>
                <w:color w:val="000000"/>
                <w:sz w:val="16"/>
                <w:szCs w:val="16"/>
              </w:rPr>
              <w:t>Instrumentos Financeiros:</w:t>
            </w:r>
          </w:p>
        </w:tc>
        <w:tc>
          <w:tcPr>
            <w:tcW w:w="516" w:type="pct"/>
            <w:vMerge w:val="restart"/>
            <w:tcBorders>
              <w:top w:val="single" w:sz="8" w:space="0" w:color="auto"/>
              <w:left w:val="single" w:sz="8" w:space="0" w:color="auto"/>
              <w:bottom w:val="single" w:sz="8" w:space="0" w:color="000000"/>
              <w:right w:val="single" w:sz="8" w:space="0" w:color="auto"/>
            </w:tcBorders>
            <w:vAlign w:val="center"/>
            <w:hideMark/>
          </w:tcPr>
          <w:p w14:paraId="794F2246" w14:textId="77777777" w:rsidR="008F7389" w:rsidRPr="00734627" w:rsidRDefault="008F7389">
            <w:pPr>
              <w:jc w:val="center"/>
              <w:rPr>
                <w:rFonts w:ascii="Arial" w:hAnsi="Arial" w:cs="Arial"/>
                <w:b/>
                <w:bCs/>
                <w:color w:val="000000"/>
                <w:sz w:val="16"/>
                <w:szCs w:val="16"/>
              </w:rPr>
            </w:pPr>
            <w:r w:rsidRPr="00734627">
              <w:rPr>
                <w:rFonts w:ascii="Arial" w:hAnsi="Arial" w:cs="Arial"/>
                <w:b/>
                <w:bCs/>
                <w:color w:val="000000"/>
                <w:sz w:val="16"/>
                <w:szCs w:val="16"/>
              </w:rPr>
              <w:t>Avaliação</w:t>
            </w:r>
          </w:p>
        </w:tc>
        <w:tc>
          <w:tcPr>
            <w:tcW w:w="506" w:type="pct"/>
            <w:vMerge w:val="restart"/>
            <w:tcBorders>
              <w:top w:val="single" w:sz="8" w:space="0" w:color="auto"/>
              <w:left w:val="single" w:sz="8" w:space="0" w:color="auto"/>
              <w:bottom w:val="single" w:sz="8" w:space="0" w:color="000000"/>
              <w:right w:val="single" w:sz="8" w:space="0" w:color="auto"/>
            </w:tcBorders>
            <w:vAlign w:val="center"/>
            <w:hideMark/>
          </w:tcPr>
          <w:p w14:paraId="6BE2BF94" w14:textId="77777777" w:rsidR="008F7389" w:rsidRPr="00734627" w:rsidRDefault="008F7389">
            <w:pPr>
              <w:jc w:val="center"/>
              <w:rPr>
                <w:rFonts w:ascii="Arial" w:hAnsi="Arial" w:cs="Arial"/>
                <w:b/>
                <w:bCs/>
                <w:color w:val="000000"/>
                <w:sz w:val="16"/>
                <w:szCs w:val="16"/>
              </w:rPr>
            </w:pPr>
            <w:r w:rsidRPr="00734627">
              <w:rPr>
                <w:rFonts w:ascii="Arial" w:hAnsi="Arial" w:cs="Arial"/>
                <w:b/>
                <w:bCs/>
                <w:color w:val="000000"/>
                <w:sz w:val="16"/>
                <w:szCs w:val="16"/>
              </w:rPr>
              <w:t>Hierarquia do Valor justo</w:t>
            </w:r>
          </w:p>
        </w:tc>
        <w:tc>
          <w:tcPr>
            <w:tcW w:w="934" w:type="pct"/>
            <w:gridSpan w:val="2"/>
            <w:tcBorders>
              <w:top w:val="single" w:sz="8" w:space="0" w:color="auto"/>
              <w:left w:val="nil"/>
              <w:bottom w:val="single" w:sz="8" w:space="0" w:color="auto"/>
              <w:right w:val="single" w:sz="8" w:space="0" w:color="000000"/>
            </w:tcBorders>
            <w:noWrap/>
            <w:vAlign w:val="center"/>
            <w:hideMark/>
          </w:tcPr>
          <w:p w14:paraId="74DC7D2F" w14:textId="77777777" w:rsidR="008F7389" w:rsidRPr="00734627" w:rsidRDefault="008F7389">
            <w:pPr>
              <w:jc w:val="center"/>
              <w:rPr>
                <w:rFonts w:ascii="Arial" w:hAnsi="Arial" w:cs="Arial"/>
                <w:b/>
                <w:bCs/>
                <w:color w:val="000000"/>
                <w:sz w:val="16"/>
                <w:szCs w:val="16"/>
              </w:rPr>
            </w:pPr>
            <w:r w:rsidRPr="00734627">
              <w:rPr>
                <w:rFonts w:ascii="Arial" w:hAnsi="Arial" w:cs="Arial"/>
                <w:b/>
                <w:bCs/>
                <w:color w:val="000000"/>
                <w:sz w:val="16"/>
                <w:szCs w:val="16"/>
              </w:rPr>
              <w:t>31/03/2026</w:t>
            </w:r>
          </w:p>
        </w:tc>
        <w:tc>
          <w:tcPr>
            <w:tcW w:w="934" w:type="pct"/>
            <w:gridSpan w:val="2"/>
            <w:tcBorders>
              <w:top w:val="single" w:sz="8" w:space="0" w:color="auto"/>
              <w:left w:val="nil"/>
              <w:bottom w:val="single" w:sz="8" w:space="0" w:color="auto"/>
              <w:right w:val="single" w:sz="8" w:space="0" w:color="000000"/>
            </w:tcBorders>
            <w:noWrap/>
            <w:vAlign w:val="center"/>
            <w:hideMark/>
          </w:tcPr>
          <w:p w14:paraId="49BB6DFB" w14:textId="77777777" w:rsidR="008F7389" w:rsidRPr="00734627" w:rsidRDefault="008F7389">
            <w:pPr>
              <w:jc w:val="center"/>
              <w:rPr>
                <w:rFonts w:ascii="Arial" w:hAnsi="Arial" w:cs="Arial"/>
                <w:b/>
                <w:bCs/>
                <w:color w:val="000000"/>
                <w:sz w:val="16"/>
                <w:szCs w:val="16"/>
              </w:rPr>
            </w:pPr>
            <w:r w:rsidRPr="00734627">
              <w:rPr>
                <w:rFonts w:ascii="Arial" w:hAnsi="Arial" w:cs="Arial"/>
                <w:b/>
                <w:bCs/>
                <w:color w:val="000000"/>
                <w:sz w:val="16"/>
                <w:szCs w:val="16"/>
              </w:rPr>
              <w:t>31/12/2025</w:t>
            </w:r>
          </w:p>
        </w:tc>
      </w:tr>
      <w:tr w:rsidR="008F7389" w:rsidRPr="00734627" w14:paraId="533B1135" w14:textId="77777777" w:rsidTr="00734627">
        <w:trPr>
          <w:trHeight w:val="232"/>
          <w:tblHeader/>
        </w:trPr>
        <w:tc>
          <w:tcPr>
            <w:tcW w:w="2111" w:type="pct"/>
            <w:vMerge/>
            <w:tcBorders>
              <w:top w:val="single" w:sz="8" w:space="0" w:color="auto"/>
              <w:left w:val="single" w:sz="8" w:space="0" w:color="auto"/>
              <w:bottom w:val="single" w:sz="8" w:space="0" w:color="000000"/>
              <w:right w:val="single" w:sz="8" w:space="0" w:color="auto"/>
            </w:tcBorders>
            <w:vAlign w:val="center"/>
            <w:hideMark/>
          </w:tcPr>
          <w:p w14:paraId="13BC64AE" w14:textId="77777777" w:rsidR="008F7389" w:rsidRPr="00734627" w:rsidRDefault="008F7389">
            <w:pPr>
              <w:rPr>
                <w:rFonts w:ascii="Arial" w:hAnsi="Arial" w:cs="Arial"/>
                <w:b/>
                <w:bCs/>
                <w:color w:val="000000"/>
                <w:sz w:val="16"/>
                <w:szCs w:val="16"/>
              </w:rPr>
            </w:pPr>
          </w:p>
        </w:tc>
        <w:tc>
          <w:tcPr>
            <w:tcW w:w="516" w:type="pct"/>
            <w:vMerge/>
            <w:tcBorders>
              <w:top w:val="single" w:sz="8" w:space="0" w:color="auto"/>
              <w:left w:val="single" w:sz="8" w:space="0" w:color="auto"/>
              <w:bottom w:val="single" w:sz="8" w:space="0" w:color="000000"/>
              <w:right w:val="single" w:sz="8" w:space="0" w:color="auto"/>
            </w:tcBorders>
            <w:vAlign w:val="center"/>
            <w:hideMark/>
          </w:tcPr>
          <w:p w14:paraId="3D6F11D8" w14:textId="77777777" w:rsidR="008F7389" w:rsidRPr="00734627" w:rsidRDefault="008F7389">
            <w:pPr>
              <w:rPr>
                <w:rFonts w:ascii="Arial" w:hAnsi="Arial" w:cs="Arial"/>
                <w:b/>
                <w:bCs/>
                <w:color w:val="000000"/>
                <w:sz w:val="16"/>
                <w:szCs w:val="16"/>
              </w:rPr>
            </w:pP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690C72DE" w14:textId="77777777" w:rsidR="008F7389" w:rsidRPr="00734627" w:rsidRDefault="008F7389">
            <w:pPr>
              <w:rPr>
                <w:rFonts w:ascii="Arial" w:hAnsi="Arial" w:cs="Arial"/>
                <w:b/>
                <w:bCs/>
                <w:color w:val="000000"/>
                <w:sz w:val="16"/>
                <w:szCs w:val="16"/>
              </w:rPr>
            </w:pPr>
          </w:p>
        </w:tc>
        <w:tc>
          <w:tcPr>
            <w:tcW w:w="467" w:type="pct"/>
            <w:tcBorders>
              <w:top w:val="nil"/>
              <w:left w:val="nil"/>
              <w:bottom w:val="single" w:sz="8" w:space="0" w:color="auto"/>
              <w:right w:val="single" w:sz="8" w:space="0" w:color="auto"/>
            </w:tcBorders>
            <w:vAlign w:val="center"/>
            <w:hideMark/>
          </w:tcPr>
          <w:p w14:paraId="1D9FA1F7" w14:textId="77777777" w:rsidR="008F7389" w:rsidRPr="00734627" w:rsidRDefault="008F7389">
            <w:pPr>
              <w:jc w:val="center"/>
              <w:rPr>
                <w:rFonts w:ascii="Arial" w:hAnsi="Arial" w:cs="Arial"/>
                <w:b/>
                <w:bCs/>
                <w:color w:val="000000"/>
                <w:sz w:val="16"/>
                <w:szCs w:val="16"/>
              </w:rPr>
            </w:pPr>
            <w:r w:rsidRPr="00734627">
              <w:rPr>
                <w:rFonts w:ascii="Arial" w:hAnsi="Arial" w:cs="Arial"/>
                <w:b/>
                <w:bCs/>
                <w:color w:val="000000"/>
                <w:sz w:val="16"/>
                <w:szCs w:val="16"/>
              </w:rPr>
              <w:t xml:space="preserve"> Valor Contábil </w:t>
            </w:r>
          </w:p>
        </w:tc>
        <w:tc>
          <w:tcPr>
            <w:tcW w:w="467" w:type="pct"/>
            <w:tcBorders>
              <w:top w:val="nil"/>
              <w:left w:val="nil"/>
              <w:bottom w:val="single" w:sz="8" w:space="0" w:color="auto"/>
              <w:right w:val="single" w:sz="8" w:space="0" w:color="auto"/>
            </w:tcBorders>
            <w:vAlign w:val="center"/>
            <w:hideMark/>
          </w:tcPr>
          <w:p w14:paraId="1015491D" w14:textId="77777777" w:rsidR="008F7389" w:rsidRPr="00734627" w:rsidRDefault="008F7389">
            <w:pPr>
              <w:jc w:val="center"/>
              <w:rPr>
                <w:rFonts w:ascii="Arial" w:hAnsi="Arial" w:cs="Arial"/>
                <w:b/>
                <w:bCs/>
                <w:color w:val="000000"/>
                <w:sz w:val="16"/>
                <w:szCs w:val="16"/>
              </w:rPr>
            </w:pPr>
            <w:r w:rsidRPr="00734627">
              <w:rPr>
                <w:rFonts w:ascii="Arial" w:hAnsi="Arial" w:cs="Arial"/>
                <w:b/>
                <w:bCs/>
                <w:color w:val="000000"/>
                <w:sz w:val="16"/>
                <w:szCs w:val="16"/>
              </w:rPr>
              <w:t xml:space="preserve"> Valor Justo </w:t>
            </w:r>
          </w:p>
        </w:tc>
        <w:tc>
          <w:tcPr>
            <w:tcW w:w="467" w:type="pct"/>
            <w:tcBorders>
              <w:top w:val="nil"/>
              <w:left w:val="nil"/>
              <w:bottom w:val="single" w:sz="8" w:space="0" w:color="auto"/>
              <w:right w:val="single" w:sz="8" w:space="0" w:color="auto"/>
            </w:tcBorders>
            <w:vAlign w:val="center"/>
            <w:hideMark/>
          </w:tcPr>
          <w:p w14:paraId="1BA2A2D9" w14:textId="77777777" w:rsidR="008F7389" w:rsidRPr="00734627" w:rsidRDefault="008F7389">
            <w:pPr>
              <w:jc w:val="center"/>
              <w:rPr>
                <w:rFonts w:ascii="Arial" w:hAnsi="Arial" w:cs="Arial"/>
                <w:b/>
                <w:bCs/>
                <w:color w:val="000000"/>
                <w:sz w:val="16"/>
                <w:szCs w:val="16"/>
              </w:rPr>
            </w:pPr>
            <w:r w:rsidRPr="00734627">
              <w:rPr>
                <w:rFonts w:ascii="Arial" w:hAnsi="Arial" w:cs="Arial"/>
                <w:b/>
                <w:bCs/>
                <w:color w:val="000000"/>
                <w:sz w:val="16"/>
                <w:szCs w:val="16"/>
              </w:rPr>
              <w:t xml:space="preserve"> Valor Contábil </w:t>
            </w:r>
          </w:p>
        </w:tc>
        <w:tc>
          <w:tcPr>
            <w:tcW w:w="467" w:type="pct"/>
            <w:tcBorders>
              <w:top w:val="nil"/>
              <w:left w:val="nil"/>
              <w:bottom w:val="single" w:sz="8" w:space="0" w:color="auto"/>
              <w:right w:val="single" w:sz="8" w:space="0" w:color="auto"/>
            </w:tcBorders>
            <w:vAlign w:val="center"/>
            <w:hideMark/>
          </w:tcPr>
          <w:p w14:paraId="494E12FB" w14:textId="77777777" w:rsidR="008F7389" w:rsidRPr="00734627" w:rsidRDefault="008F7389">
            <w:pPr>
              <w:jc w:val="center"/>
              <w:rPr>
                <w:rFonts w:ascii="Arial" w:hAnsi="Arial" w:cs="Arial"/>
                <w:b/>
                <w:bCs/>
                <w:color w:val="000000"/>
                <w:sz w:val="16"/>
                <w:szCs w:val="16"/>
              </w:rPr>
            </w:pPr>
            <w:r w:rsidRPr="00734627">
              <w:rPr>
                <w:rFonts w:ascii="Arial" w:hAnsi="Arial" w:cs="Arial"/>
                <w:b/>
                <w:bCs/>
                <w:color w:val="000000"/>
                <w:sz w:val="16"/>
                <w:szCs w:val="16"/>
              </w:rPr>
              <w:t xml:space="preserve"> Valor Justo</w:t>
            </w:r>
          </w:p>
        </w:tc>
      </w:tr>
      <w:tr w:rsidR="008F7389" w:rsidRPr="00734627" w14:paraId="35C7ADBC"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1C0FF8EB" w14:textId="77777777" w:rsidR="008F7389" w:rsidRPr="00734627" w:rsidRDefault="008F7389">
            <w:pPr>
              <w:rPr>
                <w:rFonts w:ascii="Arial" w:hAnsi="Arial" w:cs="Arial"/>
                <w:b/>
                <w:bCs/>
                <w:color w:val="000000"/>
                <w:sz w:val="16"/>
                <w:szCs w:val="16"/>
              </w:rPr>
            </w:pPr>
            <w:r w:rsidRPr="00734627">
              <w:rPr>
                <w:rFonts w:ascii="Arial" w:hAnsi="Arial" w:cs="Arial"/>
                <w:b/>
                <w:bCs/>
                <w:color w:val="000000"/>
                <w:sz w:val="16"/>
                <w:szCs w:val="16"/>
              </w:rPr>
              <w:t>Ativos Financeiros</w:t>
            </w:r>
          </w:p>
        </w:tc>
        <w:tc>
          <w:tcPr>
            <w:tcW w:w="516" w:type="pct"/>
            <w:tcBorders>
              <w:top w:val="nil"/>
              <w:left w:val="nil"/>
              <w:bottom w:val="single" w:sz="8" w:space="0" w:color="auto"/>
              <w:right w:val="single" w:sz="8" w:space="0" w:color="auto"/>
            </w:tcBorders>
            <w:noWrap/>
            <w:vAlign w:val="center"/>
            <w:hideMark/>
          </w:tcPr>
          <w:p w14:paraId="2BCD20F8"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506" w:type="pct"/>
            <w:tcBorders>
              <w:top w:val="nil"/>
              <w:left w:val="nil"/>
              <w:bottom w:val="single" w:sz="8" w:space="0" w:color="auto"/>
              <w:right w:val="single" w:sz="8" w:space="0" w:color="auto"/>
            </w:tcBorders>
            <w:noWrap/>
            <w:vAlign w:val="center"/>
            <w:hideMark/>
          </w:tcPr>
          <w:p w14:paraId="77769C83"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C5F464D"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0E18C36E"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670E0310"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F986E2E"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r>
      <w:tr w:rsidR="008F7389" w:rsidRPr="00734627" w14:paraId="6FF9997F"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4860C2AA" w14:textId="77777777" w:rsidR="008F7389" w:rsidRPr="00734627" w:rsidRDefault="008F7389">
            <w:pPr>
              <w:rPr>
                <w:rFonts w:ascii="Arial" w:hAnsi="Arial" w:cs="Arial"/>
                <w:b/>
                <w:bCs/>
                <w:color w:val="000000"/>
                <w:sz w:val="16"/>
                <w:szCs w:val="16"/>
              </w:rPr>
            </w:pPr>
            <w:r w:rsidRPr="00734627">
              <w:rPr>
                <w:rFonts w:ascii="Arial" w:hAnsi="Arial" w:cs="Arial"/>
                <w:b/>
                <w:bCs/>
                <w:color w:val="000000"/>
                <w:sz w:val="16"/>
                <w:szCs w:val="16"/>
              </w:rPr>
              <w:t> </w:t>
            </w:r>
          </w:p>
        </w:tc>
        <w:tc>
          <w:tcPr>
            <w:tcW w:w="516" w:type="pct"/>
            <w:tcBorders>
              <w:top w:val="nil"/>
              <w:left w:val="nil"/>
              <w:bottom w:val="single" w:sz="8" w:space="0" w:color="auto"/>
              <w:right w:val="single" w:sz="8" w:space="0" w:color="auto"/>
            </w:tcBorders>
            <w:noWrap/>
            <w:vAlign w:val="center"/>
            <w:hideMark/>
          </w:tcPr>
          <w:p w14:paraId="4318C488"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506" w:type="pct"/>
            <w:tcBorders>
              <w:top w:val="nil"/>
              <w:left w:val="nil"/>
              <w:bottom w:val="single" w:sz="8" w:space="0" w:color="auto"/>
              <w:right w:val="single" w:sz="8" w:space="0" w:color="auto"/>
            </w:tcBorders>
            <w:noWrap/>
            <w:vAlign w:val="center"/>
            <w:hideMark/>
          </w:tcPr>
          <w:p w14:paraId="283867E7"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6F6E23C"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851DF0E"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7E6EBF6"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0F707F9"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r>
      <w:tr w:rsidR="008F7389" w:rsidRPr="00734627" w14:paraId="72EDA261"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55828643" w14:textId="77777777" w:rsidR="008F7389" w:rsidRPr="00734627" w:rsidRDefault="008F7389">
            <w:pPr>
              <w:rPr>
                <w:rFonts w:ascii="Arial" w:hAnsi="Arial" w:cs="Arial"/>
                <w:b/>
                <w:bCs/>
                <w:color w:val="000000"/>
                <w:sz w:val="16"/>
                <w:szCs w:val="16"/>
              </w:rPr>
            </w:pPr>
            <w:r w:rsidRPr="00734627">
              <w:rPr>
                <w:rFonts w:ascii="Arial" w:hAnsi="Arial" w:cs="Arial"/>
                <w:b/>
                <w:bCs/>
                <w:color w:val="000000"/>
                <w:sz w:val="16"/>
                <w:szCs w:val="16"/>
              </w:rPr>
              <w:t>Valor Justo por meio do Resultado</w:t>
            </w:r>
          </w:p>
        </w:tc>
        <w:tc>
          <w:tcPr>
            <w:tcW w:w="516" w:type="pct"/>
            <w:tcBorders>
              <w:top w:val="nil"/>
              <w:left w:val="nil"/>
              <w:bottom w:val="single" w:sz="8" w:space="0" w:color="auto"/>
              <w:right w:val="single" w:sz="8" w:space="0" w:color="auto"/>
            </w:tcBorders>
            <w:vAlign w:val="center"/>
            <w:hideMark/>
          </w:tcPr>
          <w:p w14:paraId="0B658C30" w14:textId="77777777" w:rsidR="008F7389" w:rsidRPr="00734627" w:rsidRDefault="008F7389">
            <w:pPr>
              <w:jc w:val="center"/>
              <w:rPr>
                <w:rFonts w:ascii="Arial" w:hAnsi="Arial" w:cs="Arial"/>
                <w:color w:val="000000"/>
                <w:sz w:val="16"/>
                <w:szCs w:val="16"/>
              </w:rPr>
            </w:pPr>
            <w:r w:rsidRPr="00734627">
              <w:rPr>
                <w:rFonts w:ascii="Arial" w:hAnsi="Arial" w:cs="Arial"/>
                <w:color w:val="000000"/>
                <w:sz w:val="16"/>
                <w:szCs w:val="16"/>
              </w:rPr>
              <w:t> </w:t>
            </w:r>
          </w:p>
        </w:tc>
        <w:tc>
          <w:tcPr>
            <w:tcW w:w="506" w:type="pct"/>
            <w:tcBorders>
              <w:top w:val="nil"/>
              <w:left w:val="nil"/>
              <w:bottom w:val="single" w:sz="8" w:space="0" w:color="auto"/>
              <w:right w:val="single" w:sz="8" w:space="0" w:color="auto"/>
            </w:tcBorders>
            <w:vAlign w:val="center"/>
            <w:hideMark/>
          </w:tcPr>
          <w:p w14:paraId="51BFCABA"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45D131BD"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056DF648"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668DDABB" w14:textId="77777777" w:rsidR="008F7389" w:rsidRPr="00734627" w:rsidRDefault="008F7389">
            <w:pPr>
              <w:rPr>
                <w:rFonts w:ascii="Calibri" w:hAnsi="Calibri" w:cs="Calibri"/>
                <w:color w:val="000000"/>
                <w:sz w:val="22"/>
                <w:szCs w:val="22"/>
              </w:rPr>
            </w:pPr>
            <w:r w:rsidRPr="00734627">
              <w:rPr>
                <w:rFonts w:ascii="Calibri" w:hAnsi="Calibri" w:cs="Calibri"/>
                <w:color w:val="000000"/>
                <w:sz w:val="22"/>
                <w:szCs w:val="22"/>
              </w:rPr>
              <w:t> </w:t>
            </w:r>
          </w:p>
        </w:tc>
        <w:tc>
          <w:tcPr>
            <w:tcW w:w="467" w:type="pct"/>
            <w:tcBorders>
              <w:top w:val="nil"/>
              <w:left w:val="nil"/>
              <w:bottom w:val="single" w:sz="8" w:space="0" w:color="auto"/>
              <w:right w:val="single" w:sz="8" w:space="0" w:color="auto"/>
            </w:tcBorders>
            <w:noWrap/>
            <w:vAlign w:val="center"/>
            <w:hideMark/>
          </w:tcPr>
          <w:p w14:paraId="6B0D2913" w14:textId="77777777" w:rsidR="008F7389" w:rsidRPr="00734627" w:rsidRDefault="008F7389">
            <w:pPr>
              <w:rPr>
                <w:rFonts w:ascii="Calibri" w:hAnsi="Calibri" w:cs="Calibri"/>
                <w:color w:val="000000"/>
                <w:sz w:val="22"/>
                <w:szCs w:val="22"/>
              </w:rPr>
            </w:pPr>
            <w:r w:rsidRPr="00734627">
              <w:rPr>
                <w:rFonts w:ascii="Calibri" w:hAnsi="Calibri" w:cs="Calibri"/>
                <w:color w:val="000000"/>
                <w:sz w:val="22"/>
                <w:szCs w:val="22"/>
              </w:rPr>
              <w:t> </w:t>
            </w:r>
          </w:p>
        </w:tc>
      </w:tr>
      <w:tr w:rsidR="008F7389" w:rsidRPr="00734627" w14:paraId="3D85B77D"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217B5368" w14:textId="77777777" w:rsidR="008F7389" w:rsidRPr="00734627" w:rsidRDefault="008F7389">
            <w:pPr>
              <w:rPr>
                <w:rFonts w:ascii="Arial" w:hAnsi="Arial" w:cs="Arial"/>
                <w:color w:val="000000"/>
                <w:sz w:val="16"/>
                <w:szCs w:val="16"/>
              </w:rPr>
            </w:pPr>
            <w:r w:rsidRPr="00734627">
              <w:rPr>
                <w:rFonts w:ascii="Arial" w:hAnsi="Arial" w:cs="Arial"/>
                <w:color w:val="000000"/>
                <w:sz w:val="16"/>
                <w:szCs w:val="16"/>
              </w:rPr>
              <w:t>Caixa e Bancos</w:t>
            </w:r>
          </w:p>
        </w:tc>
        <w:tc>
          <w:tcPr>
            <w:tcW w:w="516" w:type="pct"/>
            <w:tcBorders>
              <w:top w:val="nil"/>
              <w:left w:val="nil"/>
              <w:bottom w:val="single" w:sz="8" w:space="0" w:color="auto"/>
              <w:right w:val="single" w:sz="8" w:space="0" w:color="auto"/>
            </w:tcBorders>
            <w:vAlign w:val="center"/>
            <w:hideMark/>
          </w:tcPr>
          <w:p w14:paraId="133B937A" w14:textId="77777777" w:rsidR="008F7389" w:rsidRPr="00734627" w:rsidRDefault="008F7389">
            <w:pPr>
              <w:jc w:val="center"/>
              <w:rPr>
                <w:rFonts w:ascii="Arial" w:hAnsi="Arial" w:cs="Arial"/>
                <w:color w:val="000000"/>
                <w:sz w:val="16"/>
                <w:szCs w:val="16"/>
              </w:rPr>
            </w:pPr>
            <w:r w:rsidRPr="00734627">
              <w:rPr>
                <w:rFonts w:ascii="Arial" w:hAnsi="Arial" w:cs="Arial"/>
                <w:color w:val="000000"/>
                <w:sz w:val="16"/>
                <w:szCs w:val="16"/>
              </w:rPr>
              <w:t>VJR (i)</w:t>
            </w:r>
          </w:p>
        </w:tc>
        <w:tc>
          <w:tcPr>
            <w:tcW w:w="506" w:type="pct"/>
            <w:tcBorders>
              <w:top w:val="nil"/>
              <w:left w:val="nil"/>
              <w:bottom w:val="single" w:sz="8" w:space="0" w:color="auto"/>
              <w:right w:val="single" w:sz="8" w:space="0" w:color="auto"/>
            </w:tcBorders>
            <w:vAlign w:val="center"/>
            <w:hideMark/>
          </w:tcPr>
          <w:p w14:paraId="6F9568DD"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Nível 1</w:t>
            </w:r>
          </w:p>
        </w:tc>
        <w:tc>
          <w:tcPr>
            <w:tcW w:w="467" w:type="pct"/>
            <w:tcBorders>
              <w:top w:val="nil"/>
              <w:left w:val="nil"/>
              <w:bottom w:val="single" w:sz="8" w:space="0" w:color="auto"/>
              <w:right w:val="single" w:sz="8" w:space="0" w:color="auto"/>
            </w:tcBorders>
            <w:noWrap/>
            <w:vAlign w:val="center"/>
            <w:hideMark/>
          </w:tcPr>
          <w:p w14:paraId="51E4D34E" w14:textId="3D6FE0D1"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6</w:t>
            </w:r>
            <w:r w:rsidR="0054305E" w:rsidRPr="00734627">
              <w:rPr>
                <w:rFonts w:ascii="Arial" w:hAnsi="Arial" w:cs="Arial"/>
                <w:color w:val="000000"/>
                <w:sz w:val="16"/>
                <w:szCs w:val="16"/>
              </w:rPr>
              <w:t>.</w:t>
            </w:r>
            <w:r w:rsidRPr="00734627">
              <w:rPr>
                <w:rFonts w:ascii="Arial" w:hAnsi="Arial" w:cs="Arial"/>
                <w:color w:val="000000"/>
                <w:sz w:val="16"/>
                <w:szCs w:val="16"/>
              </w:rPr>
              <w:t>963</w:t>
            </w:r>
          </w:p>
        </w:tc>
        <w:tc>
          <w:tcPr>
            <w:tcW w:w="467" w:type="pct"/>
            <w:tcBorders>
              <w:top w:val="nil"/>
              <w:left w:val="nil"/>
              <w:bottom w:val="single" w:sz="8" w:space="0" w:color="auto"/>
              <w:right w:val="single" w:sz="8" w:space="0" w:color="auto"/>
            </w:tcBorders>
            <w:noWrap/>
            <w:vAlign w:val="center"/>
            <w:hideMark/>
          </w:tcPr>
          <w:p w14:paraId="528B3C43" w14:textId="08107A63"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6</w:t>
            </w:r>
            <w:r w:rsidR="0054305E" w:rsidRPr="00734627">
              <w:rPr>
                <w:rFonts w:ascii="Arial" w:hAnsi="Arial" w:cs="Arial"/>
                <w:color w:val="000000"/>
                <w:sz w:val="16"/>
                <w:szCs w:val="16"/>
              </w:rPr>
              <w:t>.</w:t>
            </w:r>
            <w:r w:rsidRPr="00734627">
              <w:rPr>
                <w:rFonts w:ascii="Arial" w:hAnsi="Arial" w:cs="Arial"/>
                <w:color w:val="000000"/>
                <w:sz w:val="16"/>
                <w:szCs w:val="16"/>
              </w:rPr>
              <w:t>963</w:t>
            </w:r>
          </w:p>
        </w:tc>
        <w:tc>
          <w:tcPr>
            <w:tcW w:w="467" w:type="pct"/>
            <w:tcBorders>
              <w:top w:val="nil"/>
              <w:left w:val="nil"/>
              <w:bottom w:val="single" w:sz="8" w:space="0" w:color="auto"/>
              <w:right w:val="single" w:sz="8" w:space="0" w:color="auto"/>
            </w:tcBorders>
            <w:noWrap/>
            <w:vAlign w:val="center"/>
            <w:hideMark/>
          </w:tcPr>
          <w:p w14:paraId="4293C9E1"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771</w:t>
            </w:r>
          </w:p>
        </w:tc>
        <w:tc>
          <w:tcPr>
            <w:tcW w:w="467" w:type="pct"/>
            <w:tcBorders>
              <w:top w:val="nil"/>
              <w:left w:val="nil"/>
              <w:bottom w:val="single" w:sz="8" w:space="0" w:color="auto"/>
              <w:right w:val="single" w:sz="8" w:space="0" w:color="auto"/>
            </w:tcBorders>
            <w:noWrap/>
            <w:vAlign w:val="center"/>
            <w:hideMark/>
          </w:tcPr>
          <w:p w14:paraId="3AB49A06"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771</w:t>
            </w:r>
          </w:p>
        </w:tc>
      </w:tr>
      <w:tr w:rsidR="008F7389" w:rsidRPr="00734627" w14:paraId="5E8E78CF"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4DDD120C" w14:textId="77777777" w:rsidR="008F7389" w:rsidRPr="00734627" w:rsidRDefault="008F7389">
            <w:pPr>
              <w:rPr>
                <w:rFonts w:ascii="Arial" w:hAnsi="Arial" w:cs="Arial"/>
                <w:color w:val="000000"/>
                <w:sz w:val="16"/>
                <w:szCs w:val="16"/>
              </w:rPr>
            </w:pPr>
            <w:r w:rsidRPr="00734627">
              <w:rPr>
                <w:rFonts w:ascii="Arial" w:hAnsi="Arial" w:cs="Arial"/>
                <w:color w:val="000000"/>
                <w:sz w:val="16"/>
                <w:szCs w:val="16"/>
              </w:rPr>
              <w:t>Aplicações Financeiras</w:t>
            </w:r>
          </w:p>
        </w:tc>
        <w:tc>
          <w:tcPr>
            <w:tcW w:w="516" w:type="pct"/>
            <w:tcBorders>
              <w:top w:val="nil"/>
              <w:left w:val="nil"/>
              <w:bottom w:val="single" w:sz="8" w:space="0" w:color="auto"/>
              <w:right w:val="single" w:sz="8" w:space="0" w:color="auto"/>
            </w:tcBorders>
            <w:vAlign w:val="center"/>
            <w:hideMark/>
          </w:tcPr>
          <w:p w14:paraId="350A35D2" w14:textId="77777777" w:rsidR="008F7389" w:rsidRPr="00734627" w:rsidRDefault="008F7389">
            <w:pPr>
              <w:jc w:val="center"/>
              <w:rPr>
                <w:rFonts w:ascii="Arial" w:hAnsi="Arial" w:cs="Arial"/>
                <w:color w:val="000000"/>
                <w:sz w:val="16"/>
                <w:szCs w:val="16"/>
              </w:rPr>
            </w:pPr>
            <w:r w:rsidRPr="00734627">
              <w:rPr>
                <w:rFonts w:ascii="Arial" w:hAnsi="Arial" w:cs="Arial"/>
                <w:color w:val="000000"/>
                <w:sz w:val="16"/>
                <w:szCs w:val="16"/>
              </w:rPr>
              <w:t>VJR (i)</w:t>
            </w:r>
          </w:p>
        </w:tc>
        <w:tc>
          <w:tcPr>
            <w:tcW w:w="506" w:type="pct"/>
            <w:tcBorders>
              <w:top w:val="nil"/>
              <w:left w:val="nil"/>
              <w:bottom w:val="single" w:sz="8" w:space="0" w:color="auto"/>
              <w:right w:val="single" w:sz="8" w:space="0" w:color="auto"/>
            </w:tcBorders>
            <w:vAlign w:val="center"/>
            <w:hideMark/>
          </w:tcPr>
          <w:p w14:paraId="63BF7C7F"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Nível 1</w:t>
            </w:r>
          </w:p>
        </w:tc>
        <w:tc>
          <w:tcPr>
            <w:tcW w:w="467" w:type="pct"/>
            <w:tcBorders>
              <w:top w:val="nil"/>
              <w:left w:val="nil"/>
              <w:bottom w:val="single" w:sz="8" w:space="0" w:color="auto"/>
              <w:right w:val="single" w:sz="8" w:space="0" w:color="auto"/>
            </w:tcBorders>
            <w:noWrap/>
            <w:vAlign w:val="center"/>
            <w:hideMark/>
          </w:tcPr>
          <w:p w14:paraId="441811B7"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731.299</w:t>
            </w:r>
          </w:p>
        </w:tc>
        <w:tc>
          <w:tcPr>
            <w:tcW w:w="467" w:type="pct"/>
            <w:tcBorders>
              <w:top w:val="nil"/>
              <w:left w:val="nil"/>
              <w:bottom w:val="single" w:sz="8" w:space="0" w:color="auto"/>
              <w:right w:val="single" w:sz="8" w:space="0" w:color="auto"/>
            </w:tcBorders>
            <w:noWrap/>
            <w:vAlign w:val="center"/>
            <w:hideMark/>
          </w:tcPr>
          <w:p w14:paraId="6A6C83CD"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731.299</w:t>
            </w:r>
          </w:p>
        </w:tc>
        <w:tc>
          <w:tcPr>
            <w:tcW w:w="467" w:type="pct"/>
            <w:tcBorders>
              <w:top w:val="nil"/>
              <w:left w:val="nil"/>
              <w:bottom w:val="single" w:sz="8" w:space="0" w:color="auto"/>
              <w:right w:val="single" w:sz="8" w:space="0" w:color="auto"/>
            </w:tcBorders>
            <w:noWrap/>
            <w:vAlign w:val="center"/>
            <w:hideMark/>
          </w:tcPr>
          <w:p w14:paraId="60094602"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697.743</w:t>
            </w:r>
          </w:p>
        </w:tc>
        <w:tc>
          <w:tcPr>
            <w:tcW w:w="467" w:type="pct"/>
            <w:tcBorders>
              <w:top w:val="nil"/>
              <w:left w:val="nil"/>
              <w:bottom w:val="single" w:sz="8" w:space="0" w:color="auto"/>
              <w:right w:val="single" w:sz="8" w:space="0" w:color="auto"/>
            </w:tcBorders>
            <w:noWrap/>
            <w:vAlign w:val="center"/>
            <w:hideMark/>
          </w:tcPr>
          <w:p w14:paraId="5ECFA233"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697.743</w:t>
            </w:r>
          </w:p>
        </w:tc>
      </w:tr>
      <w:tr w:rsidR="008F7389" w:rsidRPr="00734627" w14:paraId="568F2D85"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1ABD87D3" w14:textId="77777777" w:rsidR="008F7389" w:rsidRPr="00734627" w:rsidRDefault="008F7389">
            <w:pPr>
              <w:rPr>
                <w:rFonts w:ascii="Arial" w:hAnsi="Arial" w:cs="Arial"/>
                <w:b/>
                <w:bCs/>
                <w:color w:val="000000"/>
                <w:sz w:val="16"/>
                <w:szCs w:val="16"/>
              </w:rPr>
            </w:pPr>
            <w:r w:rsidRPr="00734627">
              <w:rPr>
                <w:rFonts w:ascii="Arial" w:hAnsi="Arial" w:cs="Arial"/>
                <w:b/>
                <w:bCs/>
                <w:color w:val="000000"/>
                <w:sz w:val="16"/>
                <w:szCs w:val="16"/>
              </w:rPr>
              <w:t>Custo Amortizado</w:t>
            </w:r>
          </w:p>
        </w:tc>
        <w:tc>
          <w:tcPr>
            <w:tcW w:w="516" w:type="pct"/>
            <w:tcBorders>
              <w:top w:val="nil"/>
              <w:left w:val="nil"/>
              <w:bottom w:val="single" w:sz="8" w:space="0" w:color="auto"/>
              <w:right w:val="single" w:sz="8" w:space="0" w:color="auto"/>
            </w:tcBorders>
            <w:vAlign w:val="center"/>
            <w:hideMark/>
          </w:tcPr>
          <w:p w14:paraId="74106F55" w14:textId="77777777" w:rsidR="008F7389" w:rsidRPr="00734627" w:rsidRDefault="008F7389">
            <w:pPr>
              <w:rPr>
                <w:rFonts w:ascii="Calibri" w:hAnsi="Calibri" w:cs="Calibri"/>
                <w:color w:val="000000"/>
                <w:sz w:val="22"/>
                <w:szCs w:val="22"/>
              </w:rPr>
            </w:pPr>
            <w:r w:rsidRPr="00734627">
              <w:rPr>
                <w:rFonts w:ascii="Calibri" w:hAnsi="Calibri" w:cs="Calibri"/>
                <w:color w:val="000000"/>
                <w:sz w:val="22"/>
                <w:szCs w:val="22"/>
              </w:rPr>
              <w:t> </w:t>
            </w:r>
          </w:p>
        </w:tc>
        <w:tc>
          <w:tcPr>
            <w:tcW w:w="506" w:type="pct"/>
            <w:tcBorders>
              <w:top w:val="nil"/>
              <w:left w:val="nil"/>
              <w:bottom w:val="single" w:sz="8" w:space="0" w:color="auto"/>
              <w:right w:val="single" w:sz="8" w:space="0" w:color="auto"/>
            </w:tcBorders>
            <w:vAlign w:val="center"/>
            <w:hideMark/>
          </w:tcPr>
          <w:p w14:paraId="358C0D3C"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58E48C4A"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52E6D663"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7CBB7631"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3EB23B06"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r>
      <w:tr w:rsidR="008F7389" w:rsidRPr="00734627" w14:paraId="3A3E9A9D"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4DD22713" w14:textId="77777777" w:rsidR="008F7389" w:rsidRPr="00734627" w:rsidRDefault="008F7389">
            <w:pPr>
              <w:rPr>
                <w:rFonts w:ascii="Arial" w:hAnsi="Arial" w:cs="Arial"/>
                <w:color w:val="000000"/>
                <w:sz w:val="16"/>
                <w:szCs w:val="16"/>
              </w:rPr>
            </w:pPr>
            <w:r w:rsidRPr="00734627">
              <w:rPr>
                <w:rFonts w:ascii="Arial" w:hAnsi="Arial" w:cs="Arial"/>
                <w:color w:val="000000"/>
                <w:sz w:val="16"/>
                <w:szCs w:val="16"/>
              </w:rPr>
              <w:t>Contas a Receber</w:t>
            </w:r>
          </w:p>
        </w:tc>
        <w:tc>
          <w:tcPr>
            <w:tcW w:w="516" w:type="pct"/>
            <w:tcBorders>
              <w:top w:val="nil"/>
              <w:left w:val="nil"/>
              <w:bottom w:val="single" w:sz="8" w:space="0" w:color="auto"/>
              <w:right w:val="single" w:sz="8" w:space="0" w:color="auto"/>
            </w:tcBorders>
            <w:vAlign w:val="center"/>
            <w:hideMark/>
          </w:tcPr>
          <w:p w14:paraId="1231E2FD" w14:textId="77777777" w:rsidR="008F7389" w:rsidRPr="00734627" w:rsidRDefault="008F7389">
            <w:pPr>
              <w:jc w:val="center"/>
              <w:rPr>
                <w:rFonts w:ascii="Arial" w:hAnsi="Arial" w:cs="Arial"/>
                <w:color w:val="000000"/>
                <w:sz w:val="16"/>
                <w:szCs w:val="16"/>
              </w:rPr>
            </w:pPr>
            <w:r w:rsidRPr="00734627">
              <w:rPr>
                <w:rFonts w:ascii="Arial" w:hAnsi="Arial" w:cs="Arial"/>
                <w:color w:val="000000"/>
                <w:sz w:val="16"/>
                <w:szCs w:val="16"/>
              </w:rPr>
              <w:t>Custo Amortizado</w:t>
            </w:r>
          </w:p>
        </w:tc>
        <w:tc>
          <w:tcPr>
            <w:tcW w:w="506" w:type="pct"/>
            <w:tcBorders>
              <w:top w:val="nil"/>
              <w:left w:val="nil"/>
              <w:bottom w:val="single" w:sz="8" w:space="0" w:color="auto"/>
              <w:right w:val="single" w:sz="8" w:space="0" w:color="auto"/>
            </w:tcBorders>
            <w:vAlign w:val="center"/>
            <w:hideMark/>
          </w:tcPr>
          <w:p w14:paraId="1EDDCAA5"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3DB3E167"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512.402</w:t>
            </w:r>
          </w:p>
        </w:tc>
        <w:tc>
          <w:tcPr>
            <w:tcW w:w="467" w:type="pct"/>
            <w:tcBorders>
              <w:top w:val="nil"/>
              <w:left w:val="nil"/>
              <w:bottom w:val="single" w:sz="8" w:space="0" w:color="auto"/>
              <w:right w:val="single" w:sz="8" w:space="0" w:color="auto"/>
            </w:tcBorders>
            <w:noWrap/>
            <w:vAlign w:val="center"/>
            <w:hideMark/>
          </w:tcPr>
          <w:p w14:paraId="38DAEE81"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512.402</w:t>
            </w:r>
          </w:p>
        </w:tc>
        <w:tc>
          <w:tcPr>
            <w:tcW w:w="467" w:type="pct"/>
            <w:tcBorders>
              <w:top w:val="nil"/>
              <w:left w:val="nil"/>
              <w:bottom w:val="single" w:sz="8" w:space="0" w:color="auto"/>
              <w:right w:val="single" w:sz="8" w:space="0" w:color="auto"/>
            </w:tcBorders>
            <w:noWrap/>
            <w:vAlign w:val="center"/>
            <w:hideMark/>
          </w:tcPr>
          <w:p w14:paraId="41FCACA5"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448.342</w:t>
            </w:r>
          </w:p>
        </w:tc>
        <w:tc>
          <w:tcPr>
            <w:tcW w:w="467" w:type="pct"/>
            <w:tcBorders>
              <w:top w:val="nil"/>
              <w:left w:val="nil"/>
              <w:bottom w:val="single" w:sz="8" w:space="0" w:color="auto"/>
              <w:right w:val="single" w:sz="8" w:space="0" w:color="auto"/>
            </w:tcBorders>
            <w:noWrap/>
            <w:vAlign w:val="center"/>
            <w:hideMark/>
          </w:tcPr>
          <w:p w14:paraId="1578115B"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448.342</w:t>
            </w:r>
          </w:p>
        </w:tc>
      </w:tr>
      <w:tr w:rsidR="008F7389" w:rsidRPr="00734627" w14:paraId="6FBF6F2F"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0EBE489D" w14:textId="77777777" w:rsidR="008F7389" w:rsidRPr="00734627" w:rsidRDefault="008F7389">
            <w:pPr>
              <w:rPr>
                <w:rFonts w:ascii="Arial" w:hAnsi="Arial" w:cs="Arial"/>
                <w:color w:val="000000"/>
                <w:sz w:val="16"/>
                <w:szCs w:val="16"/>
              </w:rPr>
            </w:pPr>
            <w:r w:rsidRPr="00734627">
              <w:rPr>
                <w:rFonts w:ascii="Arial" w:hAnsi="Arial" w:cs="Arial"/>
                <w:color w:val="000000"/>
                <w:sz w:val="16"/>
                <w:szCs w:val="16"/>
              </w:rPr>
              <w:t>Aplicações Financeiras – Garantia e outros</w:t>
            </w:r>
          </w:p>
        </w:tc>
        <w:tc>
          <w:tcPr>
            <w:tcW w:w="516" w:type="pct"/>
            <w:tcBorders>
              <w:top w:val="nil"/>
              <w:left w:val="nil"/>
              <w:bottom w:val="single" w:sz="8" w:space="0" w:color="auto"/>
              <w:right w:val="single" w:sz="8" w:space="0" w:color="auto"/>
            </w:tcBorders>
            <w:vAlign w:val="center"/>
            <w:hideMark/>
          </w:tcPr>
          <w:p w14:paraId="34F45EC4" w14:textId="77777777" w:rsidR="008F7389" w:rsidRPr="00734627" w:rsidRDefault="008F7389">
            <w:pPr>
              <w:jc w:val="center"/>
              <w:rPr>
                <w:rFonts w:ascii="Arial" w:hAnsi="Arial" w:cs="Arial"/>
                <w:color w:val="000000"/>
                <w:sz w:val="16"/>
                <w:szCs w:val="16"/>
              </w:rPr>
            </w:pPr>
            <w:r w:rsidRPr="00734627">
              <w:rPr>
                <w:rFonts w:ascii="Arial" w:hAnsi="Arial" w:cs="Arial"/>
                <w:color w:val="000000"/>
                <w:sz w:val="16"/>
                <w:szCs w:val="16"/>
              </w:rPr>
              <w:t>Custo Amortizado</w:t>
            </w:r>
          </w:p>
        </w:tc>
        <w:tc>
          <w:tcPr>
            <w:tcW w:w="506" w:type="pct"/>
            <w:tcBorders>
              <w:top w:val="nil"/>
              <w:left w:val="nil"/>
              <w:bottom w:val="single" w:sz="8" w:space="0" w:color="auto"/>
              <w:right w:val="single" w:sz="8" w:space="0" w:color="auto"/>
            </w:tcBorders>
            <w:vAlign w:val="center"/>
            <w:hideMark/>
          </w:tcPr>
          <w:p w14:paraId="1DE453BB"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5B6CEE32" w14:textId="1FD96F91" w:rsidR="008F7389" w:rsidRPr="00734627" w:rsidRDefault="00804663">
            <w:pPr>
              <w:jc w:val="right"/>
              <w:rPr>
                <w:rFonts w:ascii="Arial" w:hAnsi="Arial" w:cs="Arial"/>
                <w:color w:val="000000"/>
                <w:sz w:val="16"/>
                <w:szCs w:val="16"/>
              </w:rPr>
            </w:pPr>
            <w:r w:rsidRPr="00734627">
              <w:rPr>
                <w:rFonts w:ascii="Arial" w:hAnsi="Arial" w:cs="Arial"/>
                <w:color w:val="000000"/>
                <w:sz w:val="16"/>
                <w:szCs w:val="16"/>
              </w:rPr>
              <w:t>52.111</w:t>
            </w:r>
          </w:p>
        </w:tc>
        <w:tc>
          <w:tcPr>
            <w:tcW w:w="467" w:type="pct"/>
            <w:tcBorders>
              <w:top w:val="nil"/>
              <w:left w:val="nil"/>
              <w:bottom w:val="single" w:sz="8" w:space="0" w:color="auto"/>
              <w:right w:val="single" w:sz="8" w:space="0" w:color="auto"/>
            </w:tcBorders>
            <w:noWrap/>
            <w:vAlign w:val="center"/>
            <w:hideMark/>
          </w:tcPr>
          <w:p w14:paraId="7CFAD604" w14:textId="39068D46" w:rsidR="008F7389" w:rsidRPr="00734627" w:rsidRDefault="00804663">
            <w:pPr>
              <w:jc w:val="right"/>
              <w:rPr>
                <w:rFonts w:ascii="Arial" w:hAnsi="Arial" w:cs="Arial"/>
                <w:color w:val="000000"/>
                <w:sz w:val="16"/>
                <w:szCs w:val="16"/>
              </w:rPr>
            </w:pPr>
            <w:r w:rsidRPr="00734627">
              <w:rPr>
                <w:rFonts w:ascii="Arial" w:hAnsi="Arial" w:cs="Arial"/>
                <w:color w:val="000000"/>
                <w:sz w:val="16"/>
                <w:szCs w:val="16"/>
              </w:rPr>
              <w:t>52.111</w:t>
            </w:r>
          </w:p>
        </w:tc>
        <w:tc>
          <w:tcPr>
            <w:tcW w:w="467" w:type="pct"/>
            <w:tcBorders>
              <w:top w:val="nil"/>
              <w:left w:val="nil"/>
              <w:bottom w:val="single" w:sz="8" w:space="0" w:color="auto"/>
              <w:right w:val="single" w:sz="8" w:space="0" w:color="auto"/>
            </w:tcBorders>
            <w:noWrap/>
            <w:vAlign w:val="center"/>
            <w:hideMark/>
          </w:tcPr>
          <w:p w14:paraId="3DF16033"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50.665</w:t>
            </w:r>
          </w:p>
        </w:tc>
        <w:tc>
          <w:tcPr>
            <w:tcW w:w="467" w:type="pct"/>
            <w:tcBorders>
              <w:top w:val="nil"/>
              <w:left w:val="nil"/>
              <w:bottom w:val="single" w:sz="8" w:space="0" w:color="auto"/>
              <w:right w:val="single" w:sz="8" w:space="0" w:color="auto"/>
            </w:tcBorders>
            <w:noWrap/>
            <w:vAlign w:val="center"/>
            <w:hideMark/>
          </w:tcPr>
          <w:p w14:paraId="70044B08"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50.665</w:t>
            </w:r>
          </w:p>
        </w:tc>
      </w:tr>
      <w:tr w:rsidR="008F7389" w:rsidRPr="00734627" w14:paraId="15AF3648"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1E1952E4" w14:textId="77777777" w:rsidR="008F7389" w:rsidRPr="00734627" w:rsidRDefault="008F7389">
            <w:pPr>
              <w:rPr>
                <w:rFonts w:ascii="Arial" w:hAnsi="Arial" w:cs="Arial"/>
                <w:b/>
                <w:bCs/>
                <w:color w:val="000000"/>
                <w:sz w:val="16"/>
                <w:szCs w:val="16"/>
              </w:rPr>
            </w:pPr>
            <w:r w:rsidRPr="00734627">
              <w:rPr>
                <w:rFonts w:ascii="Arial" w:hAnsi="Arial" w:cs="Arial"/>
                <w:b/>
                <w:bCs/>
                <w:color w:val="000000"/>
                <w:sz w:val="16"/>
                <w:szCs w:val="16"/>
              </w:rPr>
              <w:t>Valor Justo por meio de Outros Resultados Abrangentes</w:t>
            </w:r>
          </w:p>
        </w:tc>
        <w:tc>
          <w:tcPr>
            <w:tcW w:w="516" w:type="pct"/>
            <w:tcBorders>
              <w:top w:val="nil"/>
              <w:left w:val="nil"/>
              <w:bottom w:val="single" w:sz="8" w:space="0" w:color="auto"/>
              <w:right w:val="single" w:sz="8" w:space="0" w:color="auto"/>
            </w:tcBorders>
            <w:vAlign w:val="center"/>
            <w:hideMark/>
          </w:tcPr>
          <w:p w14:paraId="4C8DAF32" w14:textId="77777777" w:rsidR="008F7389" w:rsidRPr="00734627" w:rsidRDefault="008F7389">
            <w:pPr>
              <w:rPr>
                <w:rFonts w:ascii="Calibri" w:hAnsi="Calibri" w:cs="Calibri"/>
                <w:color w:val="000000"/>
                <w:sz w:val="22"/>
                <w:szCs w:val="22"/>
              </w:rPr>
            </w:pPr>
            <w:r w:rsidRPr="00734627">
              <w:rPr>
                <w:rFonts w:ascii="Calibri" w:hAnsi="Calibri" w:cs="Calibri"/>
                <w:color w:val="000000"/>
                <w:sz w:val="22"/>
                <w:szCs w:val="22"/>
              </w:rPr>
              <w:t> </w:t>
            </w:r>
          </w:p>
        </w:tc>
        <w:tc>
          <w:tcPr>
            <w:tcW w:w="506" w:type="pct"/>
            <w:tcBorders>
              <w:top w:val="nil"/>
              <w:left w:val="nil"/>
              <w:bottom w:val="single" w:sz="8" w:space="0" w:color="auto"/>
              <w:right w:val="single" w:sz="8" w:space="0" w:color="auto"/>
            </w:tcBorders>
            <w:vAlign w:val="center"/>
            <w:hideMark/>
          </w:tcPr>
          <w:p w14:paraId="7286FE1B"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3FCF560F"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02547DB"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01425E33"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6A24827F"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r>
      <w:tr w:rsidR="008F7389" w:rsidRPr="00734627" w14:paraId="5CD3FBD4"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7DC2158F" w14:textId="77777777" w:rsidR="008F7389" w:rsidRPr="00734627" w:rsidRDefault="008F7389">
            <w:pPr>
              <w:rPr>
                <w:rFonts w:ascii="Arial" w:hAnsi="Arial" w:cs="Arial"/>
                <w:color w:val="000000"/>
                <w:sz w:val="16"/>
                <w:szCs w:val="16"/>
              </w:rPr>
            </w:pPr>
            <w:r w:rsidRPr="00734627">
              <w:rPr>
                <w:rFonts w:ascii="Arial" w:hAnsi="Arial" w:cs="Arial"/>
                <w:color w:val="000000"/>
                <w:sz w:val="16"/>
                <w:szCs w:val="16"/>
              </w:rPr>
              <w:t>Aplicações Financeiras (Ações)</w:t>
            </w:r>
          </w:p>
        </w:tc>
        <w:tc>
          <w:tcPr>
            <w:tcW w:w="516" w:type="pct"/>
            <w:tcBorders>
              <w:top w:val="nil"/>
              <w:left w:val="nil"/>
              <w:bottom w:val="single" w:sz="8" w:space="0" w:color="auto"/>
              <w:right w:val="single" w:sz="8" w:space="0" w:color="auto"/>
            </w:tcBorders>
            <w:vAlign w:val="center"/>
            <w:hideMark/>
          </w:tcPr>
          <w:p w14:paraId="19C21200" w14:textId="77777777" w:rsidR="008F7389" w:rsidRPr="00734627" w:rsidRDefault="008F7389">
            <w:pPr>
              <w:jc w:val="center"/>
              <w:rPr>
                <w:rFonts w:ascii="Arial" w:hAnsi="Arial" w:cs="Arial"/>
                <w:color w:val="000000"/>
                <w:sz w:val="16"/>
                <w:szCs w:val="16"/>
              </w:rPr>
            </w:pPr>
            <w:r w:rsidRPr="00734627">
              <w:rPr>
                <w:rFonts w:ascii="Arial" w:hAnsi="Arial" w:cs="Arial"/>
                <w:color w:val="000000"/>
                <w:sz w:val="16"/>
                <w:szCs w:val="16"/>
              </w:rPr>
              <w:t>VJORA (ii)</w:t>
            </w:r>
          </w:p>
        </w:tc>
        <w:tc>
          <w:tcPr>
            <w:tcW w:w="506" w:type="pct"/>
            <w:tcBorders>
              <w:top w:val="nil"/>
              <w:left w:val="nil"/>
              <w:bottom w:val="single" w:sz="8" w:space="0" w:color="auto"/>
              <w:right w:val="single" w:sz="8" w:space="0" w:color="auto"/>
            </w:tcBorders>
            <w:vAlign w:val="center"/>
            <w:hideMark/>
          </w:tcPr>
          <w:p w14:paraId="45395800"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Nível 1</w:t>
            </w:r>
          </w:p>
        </w:tc>
        <w:tc>
          <w:tcPr>
            <w:tcW w:w="467" w:type="pct"/>
            <w:tcBorders>
              <w:top w:val="nil"/>
              <w:left w:val="nil"/>
              <w:bottom w:val="single" w:sz="8" w:space="0" w:color="auto"/>
              <w:right w:val="single" w:sz="8" w:space="0" w:color="auto"/>
            </w:tcBorders>
            <w:noWrap/>
            <w:vAlign w:val="center"/>
            <w:hideMark/>
          </w:tcPr>
          <w:p w14:paraId="43F1D536" w14:textId="587D92B9" w:rsidR="008F7389" w:rsidRPr="00734627" w:rsidRDefault="00804663">
            <w:pPr>
              <w:jc w:val="right"/>
              <w:rPr>
                <w:rFonts w:ascii="Arial" w:hAnsi="Arial" w:cs="Arial"/>
                <w:color w:val="000000"/>
                <w:sz w:val="16"/>
                <w:szCs w:val="16"/>
              </w:rPr>
            </w:pPr>
            <w:r w:rsidRPr="00734627">
              <w:rPr>
                <w:rFonts w:ascii="Arial" w:hAnsi="Arial" w:cs="Arial"/>
                <w:color w:val="000000"/>
                <w:sz w:val="16"/>
                <w:szCs w:val="16"/>
              </w:rPr>
              <w:t>4.077</w:t>
            </w:r>
          </w:p>
        </w:tc>
        <w:tc>
          <w:tcPr>
            <w:tcW w:w="467" w:type="pct"/>
            <w:tcBorders>
              <w:top w:val="nil"/>
              <w:left w:val="nil"/>
              <w:bottom w:val="single" w:sz="8" w:space="0" w:color="auto"/>
              <w:right w:val="single" w:sz="8" w:space="0" w:color="auto"/>
            </w:tcBorders>
            <w:noWrap/>
            <w:vAlign w:val="center"/>
            <w:hideMark/>
          </w:tcPr>
          <w:p w14:paraId="2F8D50F5" w14:textId="50561F54" w:rsidR="008F7389" w:rsidRPr="00734627" w:rsidRDefault="00804663">
            <w:pPr>
              <w:jc w:val="right"/>
              <w:rPr>
                <w:rFonts w:ascii="Arial" w:hAnsi="Arial" w:cs="Arial"/>
                <w:color w:val="000000"/>
                <w:sz w:val="16"/>
                <w:szCs w:val="16"/>
              </w:rPr>
            </w:pPr>
            <w:r w:rsidRPr="00734627">
              <w:rPr>
                <w:rFonts w:ascii="Arial" w:hAnsi="Arial" w:cs="Arial"/>
                <w:color w:val="000000"/>
                <w:sz w:val="16"/>
                <w:szCs w:val="16"/>
              </w:rPr>
              <w:t>4.077</w:t>
            </w:r>
          </w:p>
        </w:tc>
        <w:tc>
          <w:tcPr>
            <w:tcW w:w="467" w:type="pct"/>
            <w:tcBorders>
              <w:top w:val="nil"/>
              <w:left w:val="nil"/>
              <w:bottom w:val="single" w:sz="8" w:space="0" w:color="auto"/>
              <w:right w:val="single" w:sz="8" w:space="0" w:color="auto"/>
            </w:tcBorders>
            <w:noWrap/>
            <w:vAlign w:val="center"/>
            <w:hideMark/>
          </w:tcPr>
          <w:p w14:paraId="5B67A6C3"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3.284</w:t>
            </w:r>
          </w:p>
        </w:tc>
        <w:tc>
          <w:tcPr>
            <w:tcW w:w="467" w:type="pct"/>
            <w:tcBorders>
              <w:top w:val="nil"/>
              <w:left w:val="nil"/>
              <w:bottom w:val="single" w:sz="8" w:space="0" w:color="auto"/>
              <w:right w:val="single" w:sz="8" w:space="0" w:color="auto"/>
            </w:tcBorders>
            <w:noWrap/>
            <w:vAlign w:val="center"/>
            <w:hideMark/>
          </w:tcPr>
          <w:p w14:paraId="327565ED"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3.284</w:t>
            </w:r>
          </w:p>
        </w:tc>
      </w:tr>
      <w:tr w:rsidR="008F7389" w:rsidRPr="00734627" w14:paraId="273043E3"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4B70DFD6" w14:textId="77777777" w:rsidR="008F7389" w:rsidRPr="00734627" w:rsidRDefault="008F7389">
            <w:pPr>
              <w:rPr>
                <w:rFonts w:ascii="Arial" w:hAnsi="Arial" w:cs="Arial"/>
                <w:b/>
                <w:bCs/>
                <w:color w:val="000000"/>
                <w:sz w:val="16"/>
                <w:szCs w:val="16"/>
              </w:rPr>
            </w:pPr>
            <w:r w:rsidRPr="00734627">
              <w:rPr>
                <w:rFonts w:ascii="Arial" w:hAnsi="Arial" w:cs="Arial"/>
                <w:b/>
                <w:bCs/>
                <w:color w:val="000000"/>
                <w:sz w:val="16"/>
                <w:szCs w:val="16"/>
              </w:rPr>
              <w:t>Passivos Financeiros</w:t>
            </w:r>
          </w:p>
        </w:tc>
        <w:tc>
          <w:tcPr>
            <w:tcW w:w="516" w:type="pct"/>
            <w:tcBorders>
              <w:top w:val="nil"/>
              <w:left w:val="nil"/>
              <w:bottom w:val="single" w:sz="8" w:space="0" w:color="auto"/>
              <w:right w:val="single" w:sz="8" w:space="0" w:color="auto"/>
            </w:tcBorders>
            <w:noWrap/>
            <w:vAlign w:val="center"/>
            <w:hideMark/>
          </w:tcPr>
          <w:p w14:paraId="4447FD31" w14:textId="77777777" w:rsidR="008F7389" w:rsidRPr="00734627" w:rsidRDefault="008F7389">
            <w:pPr>
              <w:rPr>
                <w:rFonts w:ascii="Calibri" w:hAnsi="Calibri" w:cs="Calibri"/>
                <w:color w:val="000000"/>
                <w:sz w:val="22"/>
                <w:szCs w:val="22"/>
              </w:rPr>
            </w:pPr>
            <w:r w:rsidRPr="00734627">
              <w:rPr>
                <w:rFonts w:ascii="Calibri" w:hAnsi="Calibri" w:cs="Calibri"/>
                <w:color w:val="000000"/>
                <w:sz w:val="22"/>
                <w:szCs w:val="22"/>
              </w:rPr>
              <w:t> </w:t>
            </w:r>
          </w:p>
        </w:tc>
        <w:tc>
          <w:tcPr>
            <w:tcW w:w="506" w:type="pct"/>
            <w:tcBorders>
              <w:top w:val="nil"/>
              <w:left w:val="nil"/>
              <w:bottom w:val="single" w:sz="8" w:space="0" w:color="auto"/>
              <w:right w:val="single" w:sz="8" w:space="0" w:color="auto"/>
            </w:tcBorders>
            <w:noWrap/>
            <w:vAlign w:val="center"/>
            <w:hideMark/>
          </w:tcPr>
          <w:p w14:paraId="18C92296"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7740898A"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01E9640E"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71B0165E"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0B571794"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r>
      <w:tr w:rsidR="008F7389" w:rsidRPr="00734627" w14:paraId="64E73E40"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01A91B02" w14:textId="77777777" w:rsidR="008F7389" w:rsidRPr="00734627" w:rsidRDefault="008F7389">
            <w:pPr>
              <w:rPr>
                <w:rFonts w:ascii="Arial" w:hAnsi="Arial" w:cs="Arial"/>
                <w:b/>
                <w:bCs/>
                <w:color w:val="000000"/>
                <w:sz w:val="16"/>
                <w:szCs w:val="16"/>
              </w:rPr>
            </w:pPr>
            <w:r w:rsidRPr="00734627">
              <w:rPr>
                <w:rFonts w:ascii="Arial" w:hAnsi="Arial" w:cs="Arial"/>
                <w:b/>
                <w:bCs/>
                <w:color w:val="000000"/>
                <w:sz w:val="16"/>
                <w:szCs w:val="16"/>
              </w:rPr>
              <w:t>Custo Amortizado</w:t>
            </w:r>
          </w:p>
        </w:tc>
        <w:tc>
          <w:tcPr>
            <w:tcW w:w="516" w:type="pct"/>
            <w:tcBorders>
              <w:top w:val="nil"/>
              <w:left w:val="nil"/>
              <w:bottom w:val="single" w:sz="8" w:space="0" w:color="auto"/>
              <w:right w:val="single" w:sz="8" w:space="0" w:color="auto"/>
            </w:tcBorders>
            <w:noWrap/>
            <w:vAlign w:val="center"/>
            <w:hideMark/>
          </w:tcPr>
          <w:p w14:paraId="4F7DD067" w14:textId="77777777" w:rsidR="008F7389" w:rsidRPr="00734627" w:rsidRDefault="008F7389">
            <w:pPr>
              <w:rPr>
                <w:rFonts w:ascii="Calibri" w:hAnsi="Calibri" w:cs="Calibri"/>
                <w:color w:val="000000"/>
                <w:sz w:val="22"/>
                <w:szCs w:val="22"/>
              </w:rPr>
            </w:pPr>
            <w:r w:rsidRPr="00734627">
              <w:rPr>
                <w:rFonts w:ascii="Calibri" w:hAnsi="Calibri" w:cs="Calibri"/>
                <w:color w:val="000000"/>
                <w:sz w:val="22"/>
                <w:szCs w:val="22"/>
              </w:rPr>
              <w:t> </w:t>
            </w:r>
          </w:p>
        </w:tc>
        <w:tc>
          <w:tcPr>
            <w:tcW w:w="506" w:type="pct"/>
            <w:tcBorders>
              <w:top w:val="nil"/>
              <w:left w:val="nil"/>
              <w:bottom w:val="single" w:sz="8" w:space="0" w:color="auto"/>
              <w:right w:val="single" w:sz="8" w:space="0" w:color="auto"/>
            </w:tcBorders>
            <w:noWrap/>
            <w:vAlign w:val="center"/>
            <w:hideMark/>
          </w:tcPr>
          <w:p w14:paraId="28B0CD7F"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21C84A6B"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BDBB713"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570B2353"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615715AB" w14:textId="77777777" w:rsidR="008F7389" w:rsidRPr="00734627" w:rsidRDefault="008F7389">
            <w:pPr>
              <w:jc w:val="right"/>
              <w:rPr>
                <w:rFonts w:ascii="Calibri" w:hAnsi="Calibri" w:cs="Calibri"/>
                <w:color w:val="000000"/>
                <w:sz w:val="16"/>
                <w:szCs w:val="16"/>
              </w:rPr>
            </w:pPr>
            <w:r w:rsidRPr="00734627">
              <w:rPr>
                <w:rFonts w:ascii="Calibri" w:hAnsi="Calibri" w:cs="Calibri"/>
                <w:color w:val="000000"/>
                <w:sz w:val="16"/>
                <w:szCs w:val="16"/>
              </w:rPr>
              <w:t> </w:t>
            </w:r>
          </w:p>
        </w:tc>
      </w:tr>
      <w:tr w:rsidR="008F7389" w:rsidRPr="00734627" w14:paraId="6536CB26"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164C0421" w14:textId="77777777" w:rsidR="008F7389" w:rsidRPr="00734627" w:rsidRDefault="008F7389">
            <w:pPr>
              <w:rPr>
                <w:rFonts w:ascii="Arial" w:hAnsi="Arial" w:cs="Arial"/>
                <w:color w:val="000000"/>
                <w:sz w:val="16"/>
                <w:szCs w:val="16"/>
              </w:rPr>
            </w:pPr>
            <w:r w:rsidRPr="00734627">
              <w:rPr>
                <w:rFonts w:ascii="Arial" w:hAnsi="Arial" w:cs="Arial"/>
                <w:color w:val="000000"/>
                <w:sz w:val="16"/>
                <w:szCs w:val="16"/>
              </w:rPr>
              <w:lastRenderedPageBreak/>
              <w:t>Fornecedores</w:t>
            </w:r>
          </w:p>
        </w:tc>
        <w:tc>
          <w:tcPr>
            <w:tcW w:w="516" w:type="pct"/>
            <w:tcBorders>
              <w:top w:val="nil"/>
              <w:left w:val="nil"/>
              <w:bottom w:val="single" w:sz="8" w:space="0" w:color="auto"/>
              <w:right w:val="single" w:sz="8" w:space="0" w:color="auto"/>
            </w:tcBorders>
            <w:vAlign w:val="center"/>
            <w:hideMark/>
          </w:tcPr>
          <w:p w14:paraId="7D472885" w14:textId="77777777" w:rsidR="008F7389" w:rsidRPr="00734627" w:rsidRDefault="008F7389">
            <w:pPr>
              <w:jc w:val="center"/>
              <w:rPr>
                <w:rFonts w:ascii="Arial" w:hAnsi="Arial" w:cs="Arial"/>
                <w:color w:val="000000"/>
                <w:sz w:val="16"/>
                <w:szCs w:val="16"/>
              </w:rPr>
            </w:pPr>
            <w:r w:rsidRPr="00734627">
              <w:rPr>
                <w:rFonts w:ascii="Arial" w:hAnsi="Arial" w:cs="Arial"/>
                <w:color w:val="000000"/>
                <w:sz w:val="16"/>
                <w:szCs w:val="16"/>
              </w:rPr>
              <w:t>Custo Amortizado</w:t>
            </w:r>
          </w:p>
        </w:tc>
        <w:tc>
          <w:tcPr>
            <w:tcW w:w="506" w:type="pct"/>
            <w:tcBorders>
              <w:top w:val="nil"/>
              <w:left w:val="nil"/>
              <w:bottom w:val="single" w:sz="8" w:space="0" w:color="auto"/>
              <w:right w:val="single" w:sz="8" w:space="0" w:color="auto"/>
            </w:tcBorders>
            <w:vAlign w:val="center"/>
            <w:hideMark/>
          </w:tcPr>
          <w:p w14:paraId="2DEA81E9"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8868A69"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lang w:eastAsia="en-US"/>
              </w:rPr>
              <w:t>167.394</w:t>
            </w:r>
          </w:p>
        </w:tc>
        <w:tc>
          <w:tcPr>
            <w:tcW w:w="467" w:type="pct"/>
            <w:tcBorders>
              <w:top w:val="nil"/>
              <w:left w:val="nil"/>
              <w:bottom w:val="single" w:sz="8" w:space="0" w:color="auto"/>
              <w:right w:val="single" w:sz="8" w:space="0" w:color="auto"/>
            </w:tcBorders>
            <w:noWrap/>
            <w:vAlign w:val="center"/>
            <w:hideMark/>
          </w:tcPr>
          <w:p w14:paraId="7C788B8C"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lang w:eastAsia="en-US"/>
              </w:rPr>
              <w:t>167.394</w:t>
            </w:r>
          </w:p>
        </w:tc>
        <w:tc>
          <w:tcPr>
            <w:tcW w:w="467" w:type="pct"/>
            <w:tcBorders>
              <w:top w:val="nil"/>
              <w:left w:val="nil"/>
              <w:bottom w:val="single" w:sz="8" w:space="0" w:color="auto"/>
              <w:right w:val="single" w:sz="8" w:space="0" w:color="auto"/>
            </w:tcBorders>
            <w:noWrap/>
            <w:vAlign w:val="center"/>
            <w:hideMark/>
          </w:tcPr>
          <w:p w14:paraId="378E7CE9"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lang w:eastAsia="en-US"/>
              </w:rPr>
              <w:t>151.794</w:t>
            </w:r>
          </w:p>
        </w:tc>
        <w:tc>
          <w:tcPr>
            <w:tcW w:w="467" w:type="pct"/>
            <w:tcBorders>
              <w:top w:val="nil"/>
              <w:left w:val="nil"/>
              <w:bottom w:val="single" w:sz="8" w:space="0" w:color="auto"/>
              <w:right w:val="single" w:sz="8" w:space="0" w:color="auto"/>
            </w:tcBorders>
            <w:noWrap/>
            <w:vAlign w:val="center"/>
            <w:hideMark/>
          </w:tcPr>
          <w:p w14:paraId="705AC4A4"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lang w:eastAsia="en-US"/>
              </w:rPr>
              <w:t>151.794</w:t>
            </w:r>
          </w:p>
        </w:tc>
      </w:tr>
      <w:tr w:rsidR="008F7389" w14:paraId="35CDD464" w14:textId="77777777" w:rsidTr="008F7389">
        <w:trPr>
          <w:trHeight w:val="232"/>
        </w:trPr>
        <w:tc>
          <w:tcPr>
            <w:tcW w:w="2111" w:type="pct"/>
            <w:tcBorders>
              <w:top w:val="nil"/>
              <w:left w:val="single" w:sz="8" w:space="0" w:color="auto"/>
              <w:bottom w:val="single" w:sz="8" w:space="0" w:color="auto"/>
              <w:right w:val="single" w:sz="8" w:space="0" w:color="auto"/>
            </w:tcBorders>
            <w:noWrap/>
            <w:vAlign w:val="center"/>
            <w:hideMark/>
          </w:tcPr>
          <w:p w14:paraId="021C6F83" w14:textId="77777777" w:rsidR="008F7389" w:rsidRPr="00734627" w:rsidRDefault="008F7389">
            <w:pPr>
              <w:rPr>
                <w:rFonts w:ascii="Arial" w:hAnsi="Arial" w:cs="Arial"/>
                <w:color w:val="000000"/>
                <w:sz w:val="16"/>
                <w:szCs w:val="16"/>
              </w:rPr>
            </w:pPr>
            <w:r w:rsidRPr="00734627">
              <w:rPr>
                <w:rFonts w:ascii="Arial" w:hAnsi="Arial" w:cs="Arial"/>
                <w:color w:val="000000"/>
                <w:sz w:val="16"/>
                <w:szCs w:val="16"/>
              </w:rPr>
              <w:t>Financiamento - Arrendamento Mercantil Financeiro (iii)</w:t>
            </w:r>
          </w:p>
        </w:tc>
        <w:tc>
          <w:tcPr>
            <w:tcW w:w="516" w:type="pct"/>
            <w:tcBorders>
              <w:top w:val="nil"/>
              <w:left w:val="nil"/>
              <w:bottom w:val="single" w:sz="8" w:space="0" w:color="auto"/>
              <w:right w:val="single" w:sz="8" w:space="0" w:color="auto"/>
            </w:tcBorders>
            <w:vAlign w:val="center"/>
            <w:hideMark/>
          </w:tcPr>
          <w:p w14:paraId="17EEADFD" w14:textId="77777777" w:rsidR="008F7389" w:rsidRPr="00734627" w:rsidRDefault="008F7389">
            <w:pPr>
              <w:jc w:val="center"/>
              <w:rPr>
                <w:rFonts w:ascii="Arial" w:hAnsi="Arial" w:cs="Arial"/>
                <w:color w:val="000000"/>
                <w:sz w:val="16"/>
                <w:szCs w:val="16"/>
              </w:rPr>
            </w:pPr>
            <w:r w:rsidRPr="00734627">
              <w:rPr>
                <w:rFonts w:ascii="Arial" w:hAnsi="Arial" w:cs="Arial"/>
                <w:color w:val="000000"/>
                <w:sz w:val="16"/>
                <w:szCs w:val="16"/>
              </w:rPr>
              <w:t>Custo Amortizado</w:t>
            </w:r>
          </w:p>
        </w:tc>
        <w:tc>
          <w:tcPr>
            <w:tcW w:w="506" w:type="pct"/>
            <w:tcBorders>
              <w:top w:val="nil"/>
              <w:left w:val="nil"/>
              <w:bottom w:val="single" w:sz="8" w:space="0" w:color="auto"/>
              <w:right w:val="single" w:sz="8" w:space="0" w:color="auto"/>
            </w:tcBorders>
            <w:vAlign w:val="center"/>
            <w:hideMark/>
          </w:tcPr>
          <w:p w14:paraId="3A957BA2"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 </w:t>
            </w:r>
          </w:p>
        </w:tc>
        <w:tc>
          <w:tcPr>
            <w:tcW w:w="467" w:type="pct"/>
            <w:tcBorders>
              <w:top w:val="nil"/>
              <w:left w:val="nil"/>
              <w:bottom w:val="single" w:sz="8" w:space="0" w:color="auto"/>
              <w:right w:val="single" w:sz="8" w:space="0" w:color="auto"/>
            </w:tcBorders>
            <w:noWrap/>
            <w:vAlign w:val="center"/>
            <w:hideMark/>
          </w:tcPr>
          <w:p w14:paraId="13B4D397"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19.982</w:t>
            </w:r>
          </w:p>
        </w:tc>
        <w:tc>
          <w:tcPr>
            <w:tcW w:w="467" w:type="pct"/>
            <w:tcBorders>
              <w:top w:val="nil"/>
              <w:left w:val="nil"/>
              <w:bottom w:val="single" w:sz="8" w:space="0" w:color="auto"/>
              <w:right w:val="single" w:sz="8" w:space="0" w:color="auto"/>
            </w:tcBorders>
            <w:noWrap/>
            <w:vAlign w:val="center"/>
            <w:hideMark/>
          </w:tcPr>
          <w:p w14:paraId="1B260440"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19.982</w:t>
            </w:r>
          </w:p>
        </w:tc>
        <w:tc>
          <w:tcPr>
            <w:tcW w:w="467" w:type="pct"/>
            <w:tcBorders>
              <w:top w:val="nil"/>
              <w:left w:val="nil"/>
              <w:bottom w:val="single" w:sz="8" w:space="0" w:color="auto"/>
              <w:right w:val="single" w:sz="8" w:space="0" w:color="auto"/>
            </w:tcBorders>
            <w:noWrap/>
            <w:vAlign w:val="center"/>
            <w:hideMark/>
          </w:tcPr>
          <w:p w14:paraId="1C7DCE2A" w14:textId="77777777" w:rsidR="008F7389" w:rsidRPr="00734627" w:rsidRDefault="008F7389">
            <w:pPr>
              <w:jc w:val="right"/>
              <w:rPr>
                <w:rFonts w:ascii="Arial" w:hAnsi="Arial" w:cs="Arial"/>
                <w:color w:val="000000"/>
                <w:sz w:val="16"/>
                <w:szCs w:val="16"/>
              </w:rPr>
            </w:pPr>
            <w:r w:rsidRPr="00734627">
              <w:rPr>
                <w:rFonts w:ascii="Arial" w:hAnsi="Arial" w:cs="Arial"/>
                <w:color w:val="000000"/>
                <w:sz w:val="16"/>
                <w:szCs w:val="16"/>
              </w:rPr>
              <w:t>19.879</w:t>
            </w:r>
          </w:p>
        </w:tc>
        <w:tc>
          <w:tcPr>
            <w:tcW w:w="467" w:type="pct"/>
            <w:tcBorders>
              <w:top w:val="nil"/>
              <w:left w:val="nil"/>
              <w:bottom w:val="single" w:sz="8" w:space="0" w:color="auto"/>
              <w:right w:val="single" w:sz="8" w:space="0" w:color="auto"/>
            </w:tcBorders>
            <w:noWrap/>
            <w:vAlign w:val="center"/>
            <w:hideMark/>
          </w:tcPr>
          <w:p w14:paraId="215ADC9A" w14:textId="77777777" w:rsidR="008F7389" w:rsidRDefault="008F7389">
            <w:pPr>
              <w:jc w:val="right"/>
              <w:rPr>
                <w:rFonts w:ascii="Arial" w:hAnsi="Arial" w:cs="Arial"/>
                <w:color w:val="000000"/>
                <w:sz w:val="16"/>
                <w:szCs w:val="16"/>
              </w:rPr>
            </w:pPr>
            <w:r w:rsidRPr="00734627">
              <w:rPr>
                <w:rFonts w:ascii="Arial" w:hAnsi="Arial" w:cs="Arial"/>
                <w:color w:val="000000"/>
                <w:sz w:val="16"/>
                <w:szCs w:val="16"/>
              </w:rPr>
              <w:t>19.879</w:t>
            </w:r>
          </w:p>
        </w:tc>
      </w:tr>
    </w:tbl>
    <w:p w14:paraId="28DE23F2" w14:textId="40241E15"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 VJR – Valor justo por meio do resultado.</w:t>
      </w:r>
    </w:p>
    <w:p w14:paraId="6D15BB93" w14:textId="77777777" w:rsidR="00AB540F" w:rsidRPr="00870077" w:rsidRDefault="00AB540F" w:rsidP="00AB540F">
      <w:pPr>
        <w:widowControl w:val="0"/>
        <w:tabs>
          <w:tab w:val="left" w:pos="1134"/>
        </w:tabs>
        <w:spacing w:line="276" w:lineRule="auto"/>
        <w:jc w:val="both"/>
        <w:rPr>
          <w:rFonts w:ascii="Arial" w:hAnsi="Arial" w:cs="Arial"/>
          <w:sz w:val="16"/>
          <w:szCs w:val="16"/>
        </w:rPr>
      </w:pPr>
      <w:r w:rsidRPr="00870077">
        <w:rPr>
          <w:rFonts w:ascii="Arial" w:hAnsi="Arial" w:cs="Arial"/>
          <w:sz w:val="16"/>
          <w:szCs w:val="16"/>
        </w:rPr>
        <w:t>(ii) VJORA – Valor justo por meio de outros resultados abrangentes.</w:t>
      </w:r>
    </w:p>
    <w:p w14:paraId="29EC6540" w14:textId="71336ACB" w:rsidR="00F6768F" w:rsidRDefault="00F6768F" w:rsidP="00AB540F">
      <w:pPr>
        <w:spacing w:line="276" w:lineRule="auto"/>
        <w:jc w:val="both"/>
        <w:rPr>
          <w:rFonts w:ascii="Arial" w:hAnsi="Arial" w:cs="Arial"/>
          <w:sz w:val="16"/>
          <w:szCs w:val="16"/>
        </w:rPr>
      </w:pPr>
      <w:r w:rsidRPr="00870077">
        <w:rPr>
          <w:rFonts w:ascii="Arial" w:hAnsi="Arial" w:cs="Arial"/>
          <w:sz w:val="16"/>
          <w:szCs w:val="16"/>
        </w:rPr>
        <w:t>(i</w:t>
      </w:r>
      <w:r w:rsidR="00E81AD2" w:rsidRPr="00870077">
        <w:rPr>
          <w:rFonts w:ascii="Arial" w:hAnsi="Arial" w:cs="Arial"/>
          <w:sz w:val="16"/>
          <w:szCs w:val="16"/>
        </w:rPr>
        <w:t>ii</w:t>
      </w:r>
      <w:r w:rsidRPr="00870077">
        <w:rPr>
          <w:rFonts w:ascii="Arial" w:hAnsi="Arial" w:cs="Arial"/>
          <w:sz w:val="16"/>
          <w:szCs w:val="16"/>
        </w:rPr>
        <w:t xml:space="preserve">) Valor líquido dos Juros a Incorrer no valor </w:t>
      </w:r>
      <w:r w:rsidRPr="001D0E38">
        <w:rPr>
          <w:rFonts w:ascii="Arial" w:hAnsi="Arial" w:cs="Arial"/>
          <w:sz w:val="16"/>
          <w:szCs w:val="16"/>
        </w:rPr>
        <w:t xml:space="preserve">de R$ </w:t>
      </w:r>
      <w:r w:rsidR="0077519A">
        <w:rPr>
          <w:rFonts w:ascii="Arial" w:hAnsi="Arial" w:cs="Arial"/>
          <w:sz w:val="16"/>
          <w:szCs w:val="16"/>
        </w:rPr>
        <w:t>2.</w:t>
      </w:r>
      <w:r w:rsidR="008F7389">
        <w:rPr>
          <w:rFonts w:ascii="Arial" w:hAnsi="Arial" w:cs="Arial"/>
          <w:sz w:val="16"/>
          <w:szCs w:val="16"/>
        </w:rPr>
        <w:t>673</w:t>
      </w:r>
      <w:r w:rsidR="00587B7D" w:rsidRPr="001D0E38">
        <w:rPr>
          <w:rFonts w:ascii="Arial" w:hAnsi="Arial" w:cs="Arial"/>
          <w:sz w:val="16"/>
          <w:szCs w:val="16"/>
        </w:rPr>
        <w:t>.</w:t>
      </w:r>
    </w:p>
    <w:p w14:paraId="0012EECF" w14:textId="1D29445D" w:rsidR="00B15BFD" w:rsidRDefault="00B15BFD" w:rsidP="00AB540F">
      <w:pPr>
        <w:spacing w:line="276" w:lineRule="auto"/>
        <w:jc w:val="both"/>
        <w:rPr>
          <w:rFonts w:ascii="Arial" w:hAnsi="Arial" w:cs="Arial"/>
          <w:sz w:val="16"/>
          <w:szCs w:val="16"/>
        </w:rPr>
      </w:pPr>
    </w:p>
    <w:p w14:paraId="0AE54BA2" w14:textId="77777777" w:rsidR="00831984" w:rsidRPr="002A36CE" w:rsidRDefault="00BC471A" w:rsidP="007F4A4E">
      <w:pPr>
        <w:pStyle w:val="Ttulo2"/>
        <w:numPr>
          <w:ilvl w:val="0"/>
          <w:numId w:val="5"/>
        </w:numPr>
        <w:tabs>
          <w:tab w:val="clear" w:pos="284"/>
          <w:tab w:val="clear" w:pos="340"/>
        </w:tabs>
        <w:spacing w:before="0" w:after="0"/>
        <w:jc w:val="both"/>
        <w:rPr>
          <w:rFonts w:ascii="Arial" w:hAnsi="Arial" w:cs="Arial"/>
        </w:rPr>
      </w:pPr>
      <w:bookmarkStart w:id="10" w:name="_Toc491337707"/>
      <w:bookmarkEnd w:id="0"/>
      <w:bookmarkEnd w:id="1"/>
      <w:r w:rsidRPr="002A36CE">
        <w:rPr>
          <w:rFonts w:ascii="Arial" w:hAnsi="Arial" w:cs="Arial"/>
        </w:rPr>
        <w:t>CAIXA E EQUIVALENTES DE CAIXA</w:t>
      </w:r>
      <w:bookmarkEnd w:id="10"/>
    </w:p>
    <w:p w14:paraId="199333DC" w14:textId="6E1C019F" w:rsidR="00E31335" w:rsidRDefault="00E31335" w:rsidP="005E1909">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7"/>
        <w:gridCol w:w="2077"/>
        <w:gridCol w:w="2077"/>
      </w:tblGrid>
      <w:tr w:rsidR="007A28D3" w:rsidRPr="00E03E98" w14:paraId="064E9547" w14:textId="77777777" w:rsidTr="007A28D3">
        <w:trPr>
          <w:trHeight w:val="232"/>
        </w:trPr>
        <w:tc>
          <w:tcPr>
            <w:tcW w:w="2874" w:type="pct"/>
            <w:shd w:val="clear" w:color="000000" w:fill="D9D9D9"/>
            <w:vAlign w:val="center"/>
            <w:hideMark/>
          </w:tcPr>
          <w:p w14:paraId="1B493AE0" w14:textId="77777777" w:rsidR="007A28D3" w:rsidRPr="00E03E98" w:rsidRDefault="007A28D3" w:rsidP="007A28D3">
            <w:pPr>
              <w:rPr>
                <w:rFonts w:ascii="Arial" w:hAnsi="Arial" w:cs="Arial"/>
                <w:b/>
                <w:bCs/>
                <w:color w:val="000000"/>
                <w:sz w:val="18"/>
                <w:szCs w:val="18"/>
              </w:rPr>
            </w:pPr>
            <w:r w:rsidRPr="00E03E98">
              <w:rPr>
                <w:rFonts w:ascii="Arial" w:hAnsi="Arial" w:cs="Arial"/>
                <w:b/>
                <w:bCs/>
                <w:color w:val="000000"/>
                <w:sz w:val="18"/>
                <w:szCs w:val="18"/>
              </w:rPr>
              <w:t>Composição: </w:t>
            </w:r>
          </w:p>
        </w:tc>
        <w:tc>
          <w:tcPr>
            <w:tcW w:w="1063" w:type="pct"/>
            <w:vAlign w:val="center"/>
            <w:hideMark/>
          </w:tcPr>
          <w:p w14:paraId="63645760" w14:textId="77C4DC84" w:rsidR="007A28D3" w:rsidRPr="00E03E98" w:rsidRDefault="007A28D3" w:rsidP="007A28D3">
            <w:pPr>
              <w:jc w:val="center"/>
              <w:rPr>
                <w:rFonts w:ascii="Arial" w:hAnsi="Arial" w:cs="Arial"/>
                <w:b/>
                <w:bCs/>
                <w:color w:val="000000"/>
                <w:sz w:val="18"/>
                <w:szCs w:val="18"/>
              </w:rPr>
            </w:pPr>
            <w:r w:rsidRPr="00E03E98">
              <w:rPr>
                <w:rFonts w:ascii="Arial" w:hAnsi="Arial" w:cs="Arial"/>
                <w:b/>
                <w:bCs/>
                <w:color w:val="000000"/>
                <w:sz w:val="18"/>
                <w:szCs w:val="18"/>
                <w:lang w:eastAsia="en-US"/>
              </w:rPr>
              <w:t>31/</w:t>
            </w:r>
            <w:r w:rsidR="00E03E98">
              <w:rPr>
                <w:rFonts w:ascii="Arial" w:hAnsi="Arial" w:cs="Arial"/>
                <w:b/>
                <w:bCs/>
                <w:color w:val="000000"/>
                <w:sz w:val="18"/>
                <w:szCs w:val="18"/>
                <w:lang w:eastAsia="en-US"/>
              </w:rPr>
              <w:t>03</w:t>
            </w:r>
            <w:r w:rsidRPr="00E03E98">
              <w:rPr>
                <w:rFonts w:ascii="Arial" w:hAnsi="Arial" w:cs="Arial"/>
                <w:b/>
                <w:bCs/>
                <w:color w:val="000000"/>
                <w:sz w:val="18"/>
                <w:szCs w:val="18"/>
                <w:lang w:eastAsia="en-US"/>
              </w:rPr>
              <w:t>/2026</w:t>
            </w:r>
          </w:p>
        </w:tc>
        <w:tc>
          <w:tcPr>
            <w:tcW w:w="1063" w:type="pct"/>
            <w:vAlign w:val="center"/>
            <w:hideMark/>
          </w:tcPr>
          <w:p w14:paraId="1B78D9F7" w14:textId="77777777" w:rsidR="007A28D3" w:rsidRPr="00E03E98" w:rsidRDefault="007A28D3" w:rsidP="007A28D3">
            <w:pPr>
              <w:jc w:val="center"/>
              <w:rPr>
                <w:rFonts w:ascii="Arial" w:hAnsi="Arial" w:cs="Arial"/>
                <w:b/>
                <w:bCs/>
                <w:color w:val="000000"/>
                <w:sz w:val="18"/>
                <w:szCs w:val="18"/>
              </w:rPr>
            </w:pPr>
            <w:r w:rsidRPr="00E03E98">
              <w:rPr>
                <w:rFonts w:ascii="Arial" w:hAnsi="Arial" w:cs="Arial"/>
                <w:b/>
                <w:bCs/>
                <w:color w:val="000000"/>
                <w:sz w:val="18"/>
                <w:szCs w:val="18"/>
                <w:lang w:eastAsia="en-US"/>
              </w:rPr>
              <w:t>31/12/2025</w:t>
            </w:r>
          </w:p>
        </w:tc>
      </w:tr>
      <w:tr w:rsidR="007A28D3" w:rsidRPr="00E03E98" w14:paraId="1C03E49E" w14:textId="77777777" w:rsidTr="007A28D3">
        <w:trPr>
          <w:trHeight w:val="232"/>
        </w:trPr>
        <w:tc>
          <w:tcPr>
            <w:tcW w:w="2874" w:type="pct"/>
            <w:vAlign w:val="center"/>
            <w:hideMark/>
          </w:tcPr>
          <w:p w14:paraId="0FC16F48" w14:textId="77777777" w:rsidR="007A28D3" w:rsidRPr="00E03E98" w:rsidRDefault="007A28D3" w:rsidP="007A28D3">
            <w:pPr>
              <w:jc w:val="both"/>
              <w:rPr>
                <w:rFonts w:ascii="Arial" w:hAnsi="Arial" w:cs="Arial"/>
                <w:color w:val="000000"/>
                <w:sz w:val="18"/>
                <w:szCs w:val="18"/>
              </w:rPr>
            </w:pPr>
            <w:r w:rsidRPr="00E03E98">
              <w:rPr>
                <w:rFonts w:ascii="Arial" w:hAnsi="Arial" w:cs="Arial"/>
                <w:color w:val="000000"/>
                <w:sz w:val="18"/>
                <w:szCs w:val="18"/>
              </w:rPr>
              <w:t>Aplicações Financeiras</w:t>
            </w:r>
          </w:p>
        </w:tc>
        <w:tc>
          <w:tcPr>
            <w:tcW w:w="1063" w:type="pct"/>
            <w:vAlign w:val="center"/>
            <w:hideMark/>
          </w:tcPr>
          <w:p w14:paraId="0AD6D043" w14:textId="77777777" w:rsidR="007A28D3" w:rsidRPr="00E03E98" w:rsidRDefault="007A28D3" w:rsidP="007A28D3">
            <w:pPr>
              <w:jc w:val="right"/>
              <w:rPr>
                <w:rFonts w:ascii="Arial" w:hAnsi="Arial" w:cs="Arial"/>
                <w:color w:val="000000"/>
                <w:sz w:val="18"/>
                <w:szCs w:val="18"/>
              </w:rPr>
            </w:pPr>
            <w:r w:rsidRPr="00E03E98">
              <w:rPr>
                <w:rFonts w:ascii="Arial" w:hAnsi="Arial" w:cs="Arial"/>
                <w:color w:val="000000"/>
                <w:sz w:val="18"/>
                <w:szCs w:val="18"/>
              </w:rPr>
              <w:t>731.299</w:t>
            </w:r>
          </w:p>
        </w:tc>
        <w:tc>
          <w:tcPr>
            <w:tcW w:w="1063" w:type="pct"/>
            <w:vAlign w:val="center"/>
            <w:hideMark/>
          </w:tcPr>
          <w:p w14:paraId="6E00492B" w14:textId="77777777" w:rsidR="007A28D3" w:rsidRPr="00E03E98" w:rsidRDefault="007A28D3" w:rsidP="007A28D3">
            <w:pPr>
              <w:jc w:val="right"/>
              <w:rPr>
                <w:rFonts w:ascii="Arial" w:hAnsi="Arial" w:cs="Arial"/>
                <w:color w:val="000000"/>
                <w:sz w:val="18"/>
                <w:szCs w:val="18"/>
              </w:rPr>
            </w:pPr>
            <w:r w:rsidRPr="00E03E98">
              <w:rPr>
                <w:rFonts w:ascii="Arial" w:hAnsi="Arial" w:cs="Arial"/>
                <w:color w:val="000000"/>
                <w:sz w:val="18"/>
                <w:szCs w:val="18"/>
              </w:rPr>
              <w:t>697.743</w:t>
            </w:r>
          </w:p>
        </w:tc>
      </w:tr>
      <w:tr w:rsidR="007A28D3" w:rsidRPr="00E03E98" w14:paraId="5913474B" w14:textId="77777777" w:rsidTr="007A28D3">
        <w:trPr>
          <w:trHeight w:val="232"/>
        </w:trPr>
        <w:tc>
          <w:tcPr>
            <w:tcW w:w="2874" w:type="pct"/>
            <w:vAlign w:val="center"/>
            <w:hideMark/>
          </w:tcPr>
          <w:p w14:paraId="5C664DC0" w14:textId="77777777" w:rsidR="007A28D3" w:rsidRPr="00E03E98" w:rsidRDefault="007A28D3" w:rsidP="007A28D3">
            <w:pPr>
              <w:rPr>
                <w:rFonts w:ascii="Arial" w:hAnsi="Arial" w:cs="Arial"/>
                <w:color w:val="000000"/>
                <w:sz w:val="18"/>
                <w:szCs w:val="18"/>
              </w:rPr>
            </w:pPr>
            <w:r w:rsidRPr="00E03E98">
              <w:rPr>
                <w:rFonts w:ascii="Arial" w:hAnsi="Arial" w:cs="Arial"/>
                <w:color w:val="000000"/>
                <w:sz w:val="18"/>
                <w:szCs w:val="18"/>
              </w:rPr>
              <w:t>Caixa e Banco Conta Movimento</w:t>
            </w:r>
          </w:p>
        </w:tc>
        <w:tc>
          <w:tcPr>
            <w:tcW w:w="1063" w:type="pct"/>
            <w:vAlign w:val="center"/>
            <w:hideMark/>
          </w:tcPr>
          <w:p w14:paraId="5BC19C1C" w14:textId="77777777" w:rsidR="007A28D3" w:rsidRPr="00E03E98" w:rsidRDefault="007A28D3" w:rsidP="007A28D3">
            <w:pPr>
              <w:jc w:val="right"/>
              <w:rPr>
                <w:rFonts w:ascii="Arial" w:hAnsi="Arial" w:cs="Arial"/>
                <w:color w:val="000000"/>
                <w:sz w:val="18"/>
                <w:szCs w:val="18"/>
              </w:rPr>
            </w:pPr>
            <w:r w:rsidRPr="00E03E98">
              <w:rPr>
                <w:rFonts w:ascii="Arial" w:hAnsi="Arial" w:cs="Arial"/>
                <w:color w:val="000000"/>
                <w:sz w:val="18"/>
                <w:szCs w:val="18"/>
              </w:rPr>
              <w:t xml:space="preserve">          6.963 </w:t>
            </w:r>
          </w:p>
        </w:tc>
        <w:tc>
          <w:tcPr>
            <w:tcW w:w="1063" w:type="pct"/>
            <w:vAlign w:val="center"/>
            <w:hideMark/>
          </w:tcPr>
          <w:p w14:paraId="2D8EC473" w14:textId="77777777" w:rsidR="007A28D3" w:rsidRPr="00E03E98" w:rsidRDefault="007A28D3" w:rsidP="007A28D3">
            <w:pPr>
              <w:jc w:val="right"/>
              <w:rPr>
                <w:rFonts w:ascii="Arial" w:hAnsi="Arial" w:cs="Arial"/>
                <w:color w:val="000000"/>
                <w:sz w:val="18"/>
                <w:szCs w:val="18"/>
              </w:rPr>
            </w:pPr>
            <w:r w:rsidRPr="00E03E98">
              <w:rPr>
                <w:rFonts w:ascii="Arial" w:hAnsi="Arial" w:cs="Arial"/>
                <w:color w:val="000000"/>
                <w:sz w:val="18"/>
                <w:szCs w:val="18"/>
              </w:rPr>
              <w:t xml:space="preserve">             767 </w:t>
            </w:r>
          </w:p>
        </w:tc>
      </w:tr>
      <w:tr w:rsidR="007A28D3" w:rsidRPr="00E03E98" w14:paraId="20F7E641" w14:textId="77777777" w:rsidTr="007A28D3">
        <w:trPr>
          <w:trHeight w:val="232"/>
        </w:trPr>
        <w:tc>
          <w:tcPr>
            <w:tcW w:w="2874" w:type="pct"/>
            <w:vAlign w:val="center"/>
            <w:hideMark/>
          </w:tcPr>
          <w:p w14:paraId="53A2E814" w14:textId="77777777" w:rsidR="007A28D3" w:rsidRPr="00E03E98" w:rsidRDefault="007A28D3" w:rsidP="007A28D3">
            <w:pPr>
              <w:jc w:val="both"/>
              <w:rPr>
                <w:rFonts w:ascii="Arial" w:hAnsi="Arial" w:cs="Arial"/>
                <w:color w:val="000000"/>
                <w:sz w:val="18"/>
                <w:szCs w:val="18"/>
              </w:rPr>
            </w:pPr>
            <w:r w:rsidRPr="00E03E98">
              <w:rPr>
                <w:rFonts w:ascii="Arial" w:hAnsi="Arial" w:cs="Arial"/>
                <w:color w:val="000000"/>
                <w:sz w:val="18"/>
                <w:szCs w:val="18"/>
              </w:rPr>
              <w:t>Limite de Saque com Vinculação de Pagamentos</w:t>
            </w:r>
          </w:p>
        </w:tc>
        <w:tc>
          <w:tcPr>
            <w:tcW w:w="1063" w:type="pct"/>
            <w:vAlign w:val="center"/>
            <w:hideMark/>
          </w:tcPr>
          <w:p w14:paraId="2BAE2D52" w14:textId="77777777" w:rsidR="007A28D3" w:rsidRPr="00E03E98" w:rsidRDefault="007A28D3" w:rsidP="007A28D3">
            <w:pPr>
              <w:jc w:val="right"/>
              <w:rPr>
                <w:rFonts w:ascii="Arial" w:hAnsi="Arial" w:cs="Arial"/>
                <w:color w:val="000000"/>
                <w:sz w:val="18"/>
                <w:szCs w:val="18"/>
              </w:rPr>
            </w:pPr>
            <w:r w:rsidRPr="00E03E98">
              <w:rPr>
                <w:rFonts w:ascii="Arial" w:hAnsi="Arial" w:cs="Arial"/>
                <w:color w:val="000000"/>
                <w:sz w:val="18"/>
                <w:szCs w:val="18"/>
              </w:rPr>
              <w:t>0</w:t>
            </w:r>
          </w:p>
        </w:tc>
        <w:tc>
          <w:tcPr>
            <w:tcW w:w="1063" w:type="pct"/>
            <w:vAlign w:val="center"/>
            <w:hideMark/>
          </w:tcPr>
          <w:p w14:paraId="540D6566" w14:textId="77777777" w:rsidR="007A28D3" w:rsidRPr="00E03E98" w:rsidRDefault="007A28D3" w:rsidP="007A28D3">
            <w:pPr>
              <w:jc w:val="right"/>
              <w:rPr>
                <w:rFonts w:ascii="Arial" w:hAnsi="Arial" w:cs="Arial"/>
                <w:color w:val="000000"/>
                <w:sz w:val="18"/>
                <w:szCs w:val="18"/>
              </w:rPr>
            </w:pPr>
            <w:r w:rsidRPr="00E03E98">
              <w:rPr>
                <w:rFonts w:ascii="Arial" w:hAnsi="Arial" w:cs="Arial"/>
                <w:color w:val="000000"/>
                <w:sz w:val="18"/>
                <w:szCs w:val="18"/>
              </w:rPr>
              <w:t xml:space="preserve">                 4 </w:t>
            </w:r>
          </w:p>
        </w:tc>
      </w:tr>
      <w:tr w:rsidR="007A28D3" w14:paraId="7FF78D0E" w14:textId="77777777" w:rsidTr="007A28D3">
        <w:trPr>
          <w:trHeight w:val="232"/>
        </w:trPr>
        <w:tc>
          <w:tcPr>
            <w:tcW w:w="2874" w:type="pct"/>
            <w:vAlign w:val="center"/>
            <w:hideMark/>
          </w:tcPr>
          <w:p w14:paraId="61490A2D" w14:textId="77777777" w:rsidR="007A28D3" w:rsidRPr="00E03E98" w:rsidRDefault="007A28D3" w:rsidP="007A28D3">
            <w:pPr>
              <w:rPr>
                <w:rFonts w:ascii="Arial" w:hAnsi="Arial" w:cs="Arial"/>
                <w:b/>
                <w:bCs/>
                <w:color w:val="000000"/>
                <w:sz w:val="18"/>
                <w:szCs w:val="18"/>
              </w:rPr>
            </w:pPr>
            <w:r w:rsidRPr="00E03E98">
              <w:rPr>
                <w:rFonts w:ascii="Arial" w:hAnsi="Arial" w:cs="Arial"/>
                <w:b/>
                <w:bCs/>
                <w:color w:val="000000"/>
                <w:sz w:val="18"/>
                <w:szCs w:val="18"/>
              </w:rPr>
              <w:t>Total</w:t>
            </w:r>
          </w:p>
        </w:tc>
        <w:tc>
          <w:tcPr>
            <w:tcW w:w="1063" w:type="pct"/>
            <w:vAlign w:val="center"/>
            <w:hideMark/>
          </w:tcPr>
          <w:p w14:paraId="4A1853E3" w14:textId="77777777" w:rsidR="007A28D3" w:rsidRPr="00E03E98" w:rsidRDefault="007A28D3" w:rsidP="007A28D3">
            <w:pPr>
              <w:jc w:val="right"/>
              <w:rPr>
                <w:rFonts w:ascii="Arial" w:hAnsi="Arial" w:cs="Arial"/>
                <w:b/>
                <w:bCs/>
                <w:color w:val="000000"/>
                <w:sz w:val="18"/>
                <w:szCs w:val="18"/>
              </w:rPr>
            </w:pPr>
            <w:r w:rsidRPr="00E03E98">
              <w:rPr>
                <w:rFonts w:ascii="Arial" w:hAnsi="Arial" w:cs="Arial"/>
                <w:b/>
                <w:bCs/>
                <w:color w:val="000000"/>
                <w:sz w:val="18"/>
                <w:szCs w:val="18"/>
              </w:rPr>
              <w:t>738.262</w:t>
            </w:r>
          </w:p>
        </w:tc>
        <w:tc>
          <w:tcPr>
            <w:tcW w:w="1063" w:type="pct"/>
            <w:vAlign w:val="center"/>
            <w:hideMark/>
          </w:tcPr>
          <w:p w14:paraId="225708C1" w14:textId="77777777" w:rsidR="007A28D3" w:rsidRDefault="007A28D3" w:rsidP="007A28D3">
            <w:pPr>
              <w:jc w:val="right"/>
              <w:rPr>
                <w:rFonts w:ascii="Arial" w:hAnsi="Arial" w:cs="Arial"/>
                <w:b/>
                <w:bCs/>
                <w:color w:val="000000"/>
                <w:sz w:val="18"/>
                <w:szCs w:val="18"/>
              </w:rPr>
            </w:pPr>
            <w:r w:rsidRPr="00E03E98">
              <w:rPr>
                <w:rFonts w:ascii="Arial" w:hAnsi="Arial" w:cs="Arial"/>
                <w:b/>
                <w:bCs/>
                <w:color w:val="000000"/>
                <w:sz w:val="18"/>
                <w:szCs w:val="18"/>
              </w:rPr>
              <w:t>698.514</w:t>
            </w:r>
          </w:p>
        </w:tc>
      </w:tr>
    </w:tbl>
    <w:p w14:paraId="128C917F" w14:textId="77777777" w:rsidR="000C6942" w:rsidRPr="002A36CE" w:rsidRDefault="000C6942" w:rsidP="005E1909">
      <w:pPr>
        <w:rPr>
          <w:rFonts w:ascii="Arial" w:hAnsi="Arial" w:cs="Arial"/>
          <w:sz w:val="22"/>
          <w:szCs w:val="22"/>
        </w:rPr>
      </w:pPr>
    </w:p>
    <w:p w14:paraId="6A4547D0" w14:textId="6189EBB1" w:rsidR="00F90855" w:rsidRPr="002A36CE" w:rsidRDefault="00F90855" w:rsidP="009541E1">
      <w:pPr>
        <w:pStyle w:val="Ttulo2"/>
        <w:numPr>
          <w:ilvl w:val="1"/>
          <w:numId w:val="5"/>
        </w:numPr>
        <w:tabs>
          <w:tab w:val="clear" w:pos="284"/>
          <w:tab w:val="clear" w:pos="340"/>
        </w:tabs>
        <w:spacing w:before="0" w:after="0"/>
        <w:ind w:hanging="862"/>
        <w:jc w:val="both"/>
        <w:rPr>
          <w:rFonts w:ascii="Arial" w:hAnsi="Arial" w:cs="Arial"/>
        </w:rPr>
      </w:pPr>
      <w:r w:rsidRPr="002A36CE">
        <w:rPr>
          <w:rFonts w:ascii="Arial" w:hAnsi="Arial" w:cs="Arial"/>
        </w:rPr>
        <w:t>Limite de saque com vinculação de pagamentos</w:t>
      </w:r>
    </w:p>
    <w:p w14:paraId="7EE0D57E" w14:textId="77777777" w:rsidR="00F90855" w:rsidRPr="002A36CE" w:rsidRDefault="00F90855" w:rsidP="00F90855">
      <w:pPr>
        <w:rPr>
          <w:rFonts w:ascii="Arial" w:hAnsi="Arial" w:cs="Arial"/>
          <w:sz w:val="22"/>
          <w:szCs w:val="22"/>
        </w:rPr>
      </w:pPr>
    </w:p>
    <w:p w14:paraId="4EF43816" w14:textId="302951E2" w:rsidR="00F90855" w:rsidRPr="002A36CE" w:rsidRDefault="00A253CE" w:rsidP="00F90855">
      <w:pPr>
        <w:shd w:val="clear" w:color="auto" w:fill="FDFDFD"/>
        <w:spacing w:line="276" w:lineRule="auto"/>
        <w:jc w:val="both"/>
        <w:rPr>
          <w:rFonts w:ascii="Arial" w:hAnsi="Arial" w:cs="Arial"/>
          <w:sz w:val="22"/>
          <w:szCs w:val="22"/>
        </w:rPr>
      </w:pPr>
      <w:r w:rsidRPr="00883E76">
        <w:rPr>
          <w:rFonts w:ascii="Arial" w:hAnsi="Arial" w:cs="Arial"/>
          <w:sz w:val="22"/>
          <w:szCs w:val="22"/>
        </w:rPr>
        <w:t>Nes</w:t>
      </w:r>
      <w:r w:rsidR="00883E76">
        <w:rPr>
          <w:rFonts w:ascii="Arial" w:hAnsi="Arial" w:cs="Arial"/>
          <w:sz w:val="22"/>
          <w:szCs w:val="22"/>
        </w:rPr>
        <w:t>t</w:t>
      </w:r>
      <w:r w:rsidRPr="00883E76">
        <w:rPr>
          <w:rFonts w:ascii="Arial" w:hAnsi="Arial" w:cs="Arial"/>
          <w:sz w:val="22"/>
          <w:szCs w:val="22"/>
        </w:rPr>
        <w:t>a conta</w:t>
      </w:r>
      <w:r w:rsidRPr="002A36CE">
        <w:rPr>
          <w:rFonts w:ascii="Arial" w:hAnsi="Arial" w:cs="Arial"/>
          <w:sz w:val="22"/>
          <w:szCs w:val="22"/>
        </w:rPr>
        <w:t xml:space="preserve"> é registrado o valor do limite de saque da Conta Única do Tesouro Nacional, estabelecido pelo órgão central de programação financeira</w:t>
      </w:r>
      <w:r w:rsidR="008543FF" w:rsidRPr="002A36CE">
        <w:rPr>
          <w:rFonts w:ascii="Arial" w:hAnsi="Arial" w:cs="Arial"/>
          <w:sz w:val="22"/>
          <w:szCs w:val="22"/>
        </w:rPr>
        <w:t xml:space="preserve"> (C</w:t>
      </w:r>
      <w:r w:rsidR="00651A4B">
        <w:rPr>
          <w:rFonts w:ascii="Arial" w:hAnsi="Arial" w:cs="Arial"/>
          <w:sz w:val="22"/>
          <w:szCs w:val="22"/>
        </w:rPr>
        <w:t>ofin</w:t>
      </w:r>
      <w:r w:rsidR="008543FF" w:rsidRPr="002A36CE">
        <w:rPr>
          <w:rFonts w:ascii="Arial" w:hAnsi="Arial" w:cs="Arial"/>
          <w:sz w:val="22"/>
          <w:szCs w:val="22"/>
        </w:rPr>
        <w:t>) da Secretaria do Tesouro Nacional (STN)</w:t>
      </w:r>
      <w:r w:rsidRPr="002A36CE">
        <w:rPr>
          <w:rFonts w:ascii="Arial" w:hAnsi="Arial" w:cs="Arial"/>
          <w:sz w:val="22"/>
          <w:szCs w:val="22"/>
        </w:rPr>
        <w:t xml:space="preserve">, para atender </w:t>
      </w:r>
      <w:r w:rsidR="00260E68">
        <w:rPr>
          <w:rFonts w:ascii="Arial" w:hAnsi="Arial" w:cs="Arial"/>
          <w:sz w:val="22"/>
          <w:szCs w:val="22"/>
        </w:rPr>
        <w:t>à</w:t>
      </w:r>
      <w:r w:rsidRPr="002A36CE">
        <w:rPr>
          <w:rFonts w:ascii="Arial" w:hAnsi="Arial" w:cs="Arial"/>
          <w:sz w:val="22"/>
          <w:szCs w:val="22"/>
        </w:rPr>
        <w:t xml:space="preserve">s despesas com vinculações de </w:t>
      </w:r>
      <w:r w:rsidRPr="000A0420">
        <w:rPr>
          <w:rFonts w:ascii="Arial" w:hAnsi="Arial" w:cs="Arial"/>
          <w:sz w:val="22"/>
          <w:szCs w:val="22"/>
        </w:rPr>
        <w:t>pagamentos</w:t>
      </w:r>
      <w:r w:rsidR="00883E76" w:rsidRPr="000A0420">
        <w:rPr>
          <w:rFonts w:ascii="Arial" w:hAnsi="Arial" w:cs="Arial"/>
          <w:sz w:val="22"/>
          <w:szCs w:val="22"/>
        </w:rPr>
        <w:t>, sendo então</w:t>
      </w:r>
      <w:r w:rsidRPr="000A0420">
        <w:rPr>
          <w:rFonts w:ascii="Arial" w:hAnsi="Arial" w:cs="Arial"/>
          <w:sz w:val="22"/>
          <w:szCs w:val="22"/>
        </w:rPr>
        <w:t xml:space="preserve"> divididas </w:t>
      </w:r>
      <w:r w:rsidRPr="002A36CE">
        <w:rPr>
          <w:rFonts w:ascii="Arial" w:hAnsi="Arial" w:cs="Arial"/>
          <w:sz w:val="22"/>
          <w:szCs w:val="22"/>
        </w:rPr>
        <w:t>nas seguintes categorias: Categoria de Gasto com Pessoal e Encargos Sociais</w:t>
      </w:r>
      <w:r w:rsidR="009E7218">
        <w:rPr>
          <w:rFonts w:ascii="Arial" w:hAnsi="Arial" w:cs="Arial"/>
          <w:sz w:val="22"/>
          <w:szCs w:val="22"/>
        </w:rPr>
        <w:t>,</w:t>
      </w:r>
      <w:r w:rsidRPr="002A36CE">
        <w:rPr>
          <w:rFonts w:ascii="Arial" w:hAnsi="Arial" w:cs="Arial"/>
          <w:sz w:val="22"/>
          <w:szCs w:val="22"/>
        </w:rPr>
        <w:t xml:space="preserve"> Categoria de Gasto com Custeio/Investimento</w:t>
      </w:r>
      <w:r w:rsidR="00F90855" w:rsidRPr="002A36CE">
        <w:rPr>
          <w:rFonts w:ascii="Arial" w:hAnsi="Arial" w:cs="Arial"/>
          <w:sz w:val="22"/>
          <w:szCs w:val="22"/>
        </w:rPr>
        <w:t xml:space="preserve"> e</w:t>
      </w:r>
      <w:r w:rsidRPr="002A36CE">
        <w:rPr>
          <w:rFonts w:ascii="Arial" w:hAnsi="Arial" w:cs="Arial"/>
          <w:sz w:val="22"/>
          <w:szCs w:val="22"/>
        </w:rPr>
        <w:t xml:space="preserve"> Categoria de Gasto com Investimentos (Obras). </w:t>
      </w:r>
    </w:p>
    <w:p w14:paraId="681BEBFF" w14:textId="77777777" w:rsidR="00F90855" w:rsidRDefault="00F90855" w:rsidP="00F90855">
      <w:pPr>
        <w:shd w:val="clear" w:color="auto" w:fill="FDFDFD"/>
        <w:spacing w:line="276" w:lineRule="auto"/>
        <w:jc w:val="both"/>
        <w:rPr>
          <w:rFonts w:ascii="Arial" w:hAnsi="Arial" w:cs="Arial"/>
          <w:sz w:val="22"/>
          <w:szCs w:val="22"/>
        </w:rPr>
      </w:pPr>
    </w:p>
    <w:p w14:paraId="26BEFE4C" w14:textId="7A9494BC" w:rsidR="00A253CE" w:rsidRPr="002A36CE" w:rsidRDefault="00A253CE" w:rsidP="00F90855">
      <w:pPr>
        <w:shd w:val="clear" w:color="auto" w:fill="FDFDFD"/>
        <w:spacing w:line="276" w:lineRule="auto"/>
        <w:jc w:val="both"/>
        <w:rPr>
          <w:rFonts w:ascii="Arial" w:hAnsi="Arial" w:cs="Arial"/>
          <w:sz w:val="22"/>
          <w:szCs w:val="22"/>
        </w:rPr>
      </w:pPr>
      <w:r w:rsidRPr="002A36CE">
        <w:rPr>
          <w:rFonts w:ascii="Arial" w:hAnsi="Arial" w:cs="Arial"/>
          <w:sz w:val="22"/>
          <w:szCs w:val="22"/>
        </w:rPr>
        <w:t>A</w:t>
      </w:r>
      <w:r w:rsidR="00F90855" w:rsidRPr="002A36CE">
        <w:rPr>
          <w:rFonts w:ascii="Arial" w:hAnsi="Arial" w:cs="Arial"/>
          <w:sz w:val="22"/>
          <w:szCs w:val="22"/>
        </w:rPr>
        <w:t xml:space="preserve"> função</w:t>
      </w:r>
      <w:r w:rsidR="00FE4289">
        <w:rPr>
          <w:rFonts w:ascii="Arial" w:hAnsi="Arial" w:cs="Arial"/>
          <w:sz w:val="22"/>
          <w:szCs w:val="22"/>
        </w:rPr>
        <w:t xml:space="preserve"> da</w:t>
      </w:r>
      <w:r w:rsidRPr="002A36CE">
        <w:rPr>
          <w:rFonts w:ascii="Arial" w:hAnsi="Arial" w:cs="Arial"/>
          <w:sz w:val="22"/>
          <w:szCs w:val="22"/>
        </w:rPr>
        <w:t xml:space="preserve"> conta Limite de </w:t>
      </w:r>
      <w:r w:rsidR="00F90855" w:rsidRPr="002A36CE">
        <w:rPr>
          <w:rFonts w:ascii="Arial" w:hAnsi="Arial" w:cs="Arial"/>
          <w:sz w:val="22"/>
          <w:szCs w:val="22"/>
        </w:rPr>
        <w:t>S</w:t>
      </w:r>
      <w:r w:rsidRPr="002A36CE">
        <w:rPr>
          <w:rFonts w:ascii="Arial" w:hAnsi="Arial" w:cs="Arial"/>
          <w:sz w:val="22"/>
          <w:szCs w:val="22"/>
        </w:rPr>
        <w:t>aque com Vinculação de Pagamento</w:t>
      </w:r>
      <w:r w:rsidR="00F90855" w:rsidRPr="002A36CE">
        <w:rPr>
          <w:rFonts w:ascii="Arial" w:hAnsi="Arial" w:cs="Arial"/>
          <w:sz w:val="22"/>
          <w:szCs w:val="22"/>
        </w:rPr>
        <w:t xml:space="preserve"> é </w:t>
      </w:r>
      <w:r w:rsidRPr="002A36CE">
        <w:rPr>
          <w:rFonts w:ascii="Arial" w:hAnsi="Arial" w:cs="Arial"/>
          <w:sz w:val="22"/>
          <w:szCs w:val="22"/>
        </w:rPr>
        <w:t>registra</w:t>
      </w:r>
      <w:r w:rsidR="00F90855" w:rsidRPr="002A36CE">
        <w:rPr>
          <w:rFonts w:ascii="Arial" w:hAnsi="Arial" w:cs="Arial"/>
          <w:sz w:val="22"/>
          <w:szCs w:val="22"/>
        </w:rPr>
        <w:t>r</w:t>
      </w:r>
      <w:r w:rsidRPr="002A36CE">
        <w:rPr>
          <w:rFonts w:ascii="Arial" w:hAnsi="Arial" w:cs="Arial"/>
          <w:sz w:val="22"/>
          <w:szCs w:val="22"/>
        </w:rPr>
        <w:t xml:space="preserve"> o valor do limite de saque da Conta Única da União, estabelecido pelo </w:t>
      </w:r>
      <w:r w:rsidR="00737B39">
        <w:rPr>
          <w:rFonts w:ascii="Arial" w:hAnsi="Arial" w:cs="Arial"/>
          <w:sz w:val="22"/>
          <w:szCs w:val="22"/>
        </w:rPr>
        <w:t>Ó</w:t>
      </w:r>
      <w:r w:rsidRPr="002A36CE">
        <w:rPr>
          <w:rFonts w:ascii="Arial" w:hAnsi="Arial" w:cs="Arial"/>
          <w:sz w:val="22"/>
          <w:szCs w:val="22"/>
        </w:rPr>
        <w:t>rgão Central de Programação Financeira para atender às despesas com vinculação de pagamentos</w:t>
      </w:r>
      <w:r w:rsidR="00271515" w:rsidRPr="002A36CE">
        <w:rPr>
          <w:rFonts w:ascii="Arial" w:hAnsi="Arial" w:cs="Arial"/>
          <w:sz w:val="22"/>
          <w:szCs w:val="22"/>
        </w:rPr>
        <w:t xml:space="preserve"> que foram processada</w:t>
      </w:r>
      <w:r w:rsidR="00FE4289">
        <w:rPr>
          <w:rFonts w:ascii="Arial" w:hAnsi="Arial" w:cs="Arial"/>
          <w:sz w:val="22"/>
          <w:szCs w:val="22"/>
        </w:rPr>
        <w:t>s e liquidadas</w:t>
      </w:r>
      <w:r w:rsidR="00737B39">
        <w:rPr>
          <w:rFonts w:ascii="Arial" w:hAnsi="Arial" w:cs="Arial"/>
          <w:sz w:val="22"/>
          <w:szCs w:val="22"/>
        </w:rPr>
        <w:t>,</w:t>
      </w:r>
      <w:r w:rsidR="00FE4289">
        <w:rPr>
          <w:rFonts w:ascii="Arial" w:hAnsi="Arial" w:cs="Arial"/>
          <w:sz w:val="22"/>
          <w:szCs w:val="22"/>
        </w:rPr>
        <w:t xml:space="preserve"> conforme processamento no</w:t>
      </w:r>
      <w:r w:rsidR="00271515" w:rsidRPr="002A36CE">
        <w:rPr>
          <w:rFonts w:ascii="Arial" w:hAnsi="Arial" w:cs="Arial"/>
          <w:sz w:val="22"/>
          <w:szCs w:val="22"/>
        </w:rPr>
        <w:t xml:space="preserve"> Sistema Integrado de Administração Financeira do Governo Federal (S</w:t>
      </w:r>
      <w:r w:rsidR="00651A4B">
        <w:rPr>
          <w:rFonts w:ascii="Arial" w:hAnsi="Arial" w:cs="Arial"/>
          <w:sz w:val="22"/>
          <w:szCs w:val="22"/>
        </w:rPr>
        <w:t>iafi</w:t>
      </w:r>
      <w:r w:rsidR="00271515" w:rsidRPr="002A36CE">
        <w:rPr>
          <w:rFonts w:ascii="Arial" w:hAnsi="Arial" w:cs="Arial"/>
          <w:sz w:val="22"/>
          <w:szCs w:val="22"/>
        </w:rPr>
        <w:t>)</w:t>
      </w:r>
      <w:r w:rsidRPr="002A36CE">
        <w:rPr>
          <w:rFonts w:ascii="Arial" w:hAnsi="Arial" w:cs="Arial"/>
          <w:sz w:val="22"/>
          <w:szCs w:val="22"/>
        </w:rPr>
        <w:t xml:space="preserve">. </w:t>
      </w:r>
    </w:p>
    <w:p w14:paraId="433CA1F8" w14:textId="77777777" w:rsidR="002B18A6" w:rsidRDefault="002B18A6" w:rsidP="00F90855">
      <w:pPr>
        <w:shd w:val="clear" w:color="auto" w:fill="FDFDFD"/>
        <w:spacing w:line="276" w:lineRule="auto"/>
        <w:jc w:val="both"/>
        <w:rPr>
          <w:rFonts w:ascii="Arial" w:hAnsi="Arial" w:cs="Arial"/>
          <w:sz w:val="22"/>
          <w:szCs w:val="22"/>
        </w:rPr>
      </w:pPr>
    </w:p>
    <w:p w14:paraId="6F186E95" w14:textId="766CEDEB" w:rsidR="00F53C5F" w:rsidRDefault="00F53C5F" w:rsidP="00F90855">
      <w:pPr>
        <w:shd w:val="clear" w:color="auto" w:fill="FDFDFD"/>
        <w:spacing w:line="276" w:lineRule="auto"/>
        <w:jc w:val="both"/>
        <w:rPr>
          <w:rFonts w:ascii="Arial" w:hAnsi="Arial" w:cs="Arial"/>
          <w:sz w:val="22"/>
          <w:szCs w:val="22"/>
        </w:rPr>
      </w:pPr>
      <w:r>
        <w:rPr>
          <w:rFonts w:ascii="Arial" w:hAnsi="Arial" w:cs="Arial"/>
          <w:sz w:val="22"/>
          <w:szCs w:val="22"/>
        </w:rPr>
        <w:t>A redução do saldo da rubrica é justificada pela assinatura do Contrato de Gestão, uma vez, que após a assinatura do contrato a Companhia não usará o sistema SIAFI para a escrituração de sua contabilidade na ver</w:t>
      </w:r>
      <w:r w:rsidR="008A33DE">
        <w:rPr>
          <w:rFonts w:ascii="Arial" w:hAnsi="Arial" w:cs="Arial"/>
          <w:sz w:val="22"/>
          <w:szCs w:val="22"/>
        </w:rPr>
        <w:t>s</w:t>
      </w:r>
      <w:r>
        <w:rPr>
          <w:rFonts w:ascii="Arial" w:hAnsi="Arial" w:cs="Arial"/>
          <w:sz w:val="22"/>
          <w:szCs w:val="22"/>
        </w:rPr>
        <w:t>ão de Contabilidade Pública.</w:t>
      </w:r>
    </w:p>
    <w:p w14:paraId="208EADF7" w14:textId="4432E217" w:rsidR="00F53C5F" w:rsidRDefault="00F53C5F" w:rsidP="00F90855">
      <w:pPr>
        <w:shd w:val="clear" w:color="auto" w:fill="FDFDFD"/>
        <w:spacing w:line="276" w:lineRule="auto"/>
        <w:jc w:val="both"/>
        <w:rPr>
          <w:rFonts w:ascii="Arial" w:hAnsi="Arial" w:cs="Arial"/>
          <w:sz w:val="22"/>
          <w:szCs w:val="22"/>
        </w:rPr>
      </w:pPr>
      <w:r>
        <w:rPr>
          <w:rFonts w:ascii="Arial" w:hAnsi="Arial" w:cs="Arial"/>
          <w:sz w:val="22"/>
          <w:szCs w:val="22"/>
        </w:rPr>
        <w:t xml:space="preserve"> </w:t>
      </w:r>
    </w:p>
    <w:p w14:paraId="1120DE57" w14:textId="2A93D3FA" w:rsidR="000975A5" w:rsidRPr="002A36CE" w:rsidRDefault="000975A5" w:rsidP="009541E1">
      <w:pPr>
        <w:pStyle w:val="Ttulo2"/>
        <w:numPr>
          <w:ilvl w:val="1"/>
          <w:numId w:val="5"/>
        </w:numPr>
        <w:tabs>
          <w:tab w:val="clear" w:pos="284"/>
          <w:tab w:val="clear" w:pos="340"/>
        </w:tabs>
        <w:spacing w:before="0" w:after="0"/>
        <w:ind w:hanging="862"/>
        <w:jc w:val="both"/>
        <w:rPr>
          <w:rFonts w:ascii="Arial" w:hAnsi="Arial" w:cs="Arial"/>
        </w:rPr>
      </w:pPr>
      <w:r w:rsidRPr="002A36CE">
        <w:rPr>
          <w:rFonts w:ascii="Arial" w:hAnsi="Arial" w:cs="Arial"/>
        </w:rPr>
        <w:t>Aplicações financeiras</w:t>
      </w:r>
    </w:p>
    <w:p w14:paraId="34FE591E" w14:textId="77777777" w:rsidR="000975A5" w:rsidRPr="002A36CE" w:rsidRDefault="000975A5" w:rsidP="000975A5">
      <w:pPr>
        <w:rPr>
          <w:rFonts w:ascii="Arial" w:hAnsi="Arial" w:cs="Arial"/>
          <w:sz w:val="22"/>
          <w:szCs w:val="22"/>
        </w:rPr>
      </w:pPr>
    </w:p>
    <w:p w14:paraId="227214D1" w14:textId="6F5C0CE5" w:rsidR="00CD461D" w:rsidRDefault="00CD461D" w:rsidP="00597FE5">
      <w:pPr>
        <w:shd w:val="clear" w:color="auto" w:fill="FDFDFD"/>
        <w:spacing w:line="276" w:lineRule="auto"/>
        <w:jc w:val="both"/>
        <w:rPr>
          <w:rFonts w:ascii="Arial" w:hAnsi="Arial" w:cs="Arial"/>
          <w:sz w:val="22"/>
          <w:szCs w:val="22"/>
        </w:rPr>
      </w:pPr>
      <w:r w:rsidRPr="00B8060F">
        <w:rPr>
          <w:rFonts w:ascii="Arial" w:hAnsi="Arial" w:cs="Arial"/>
          <w:sz w:val="22"/>
          <w:szCs w:val="22"/>
        </w:rPr>
        <w:t xml:space="preserve">A Companhia </w:t>
      </w:r>
      <w:r w:rsidR="00831526" w:rsidRPr="00B8060F">
        <w:rPr>
          <w:rFonts w:ascii="Arial" w:hAnsi="Arial" w:cs="Arial"/>
          <w:sz w:val="22"/>
          <w:szCs w:val="22"/>
        </w:rPr>
        <w:t>mantém</w:t>
      </w:r>
      <w:r w:rsidRPr="00B8060F">
        <w:rPr>
          <w:rFonts w:ascii="Arial" w:hAnsi="Arial" w:cs="Arial"/>
          <w:sz w:val="22"/>
          <w:szCs w:val="22"/>
        </w:rPr>
        <w:t xml:space="preserve"> seus recursos disponíveis aplicados em fundos de investimento</w:t>
      </w:r>
      <w:r w:rsidR="005C417F" w:rsidRPr="00B8060F">
        <w:rPr>
          <w:rFonts w:ascii="Arial" w:hAnsi="Arial" w:cs="Arial"/>
          <w:sz w:val="22"/>
          <w:szCs w:val="22"/>
        </w:rPr>
        <w:t>s</w:t>
      </w:r>
      <w:r w:rsidRPr="00B8060F">
        <w:rPr>
          <w:rFonts w:ascii="Arial" w:hAnsi="Arial" w:cs="Arial"/>
          <w:sz w:val="22"/>
          <w:szCs w:val="22"/>
        </w:rPr>
        <w:t xml:space="preserve"> extramercado administrados pela Caixa Econômica Federal e pelo Banco</w:t>
      </w:r>
      <w:r w:rsidR="00FB7435" w:rsidRPr="00B8060F">
        <w:rPr>
          <w:rFonts w:ascii="Arial" w:hAnsi="Arial" w:cs="Arial"/>
          <w:sz w:val="22"/>
          <w:szCs w:val="22"/>
        </w:rPr>
        <w:t xml:space="preserve"> do</w:t>
      </w:r>
      <w:r w:rsidRPr="00B8060F">
        <w:rPr>
          <w:rFonts w:ascii="Arial" w:hAnsi="Arial" w:cs="Arial"/>
          <w:sz w:val="22"/>
          <w:szCs w:val="22"/>
        </w:rPr>
        <w:t xml:space="preserve"> Brasil S.A</w:t>
      </w:r>
      <w:r w:rsidR="00137AE7" w:rsidRPr="00B8060F">
        <w:rPr>
          <w:rFonts w:ascii="Arial" w:hAnsi="Arial" w:cs="Arial"/>
          <w:sz w:val="22"/>
          <w:szCs w:val="22"/>
        </w:rPr>
        <w:t>,</w:t>
      </w:r>
      <w:r w:rsidRPr="00B8060F">
        <w:rPr>
          <w:rFonts w:ascii="Arial" w:hAnsi="Arial" w:cs="Arial"/>
          <w:sz w:val="22"/>
          <w:szCs w:val="22"/>
        </w:rPr>
        <w:t xml:space="preserve"> conforme determina </w:t>
      </w:r>
      <w:r w:rsidRPr="00E82BC9">
        <w:rPr>
          <w:rFonts w:ascii="Arial" w:hAnsi="Arial" w:cs="Arial"/>
          <w:sz w:val="22"/>
          <w:szCs w:val="22"/>
        </w:rPr>
        <w:t xml:space="preserve">a Resolução </w:t>
      </w:r>
      <w:r w:rsidR="00FA595D" w:rsidRPr="00E82BC9">
        <w:rPr>
          <w:rFonts w:ascii="Arial" w:hAnsi="Arial" w:cs="Arial"/>
          <w:color w:val="000000" w:themeColor="text1"/>
        </w:rPr>
        <w:t>n° 4.986 de 17 de fevereiro de 2022</w:t>
      </w:r>
      <w:r w:rsidR="00AC223C" w:rsidRPr="00E82BC9">
        <w:rPr>
          <w:rFonts w:ascii="Arial" w:hAnsi="Arial" w:cs="Arial"/>
          <w:sz w:val="22"/>
          <w:szCs w:val="22"/>
        </w:rPr>
        <w:t>,</w:t>
      </w:r>
      <w:r w:rsidRPr="00E82BC9">
        <w:rPr>
          <w:rFonts w:ascii="Arial" w:hAnsi="Arial" w:cs="Arial"/>
          <w:sz w:val="22"/>
          <w:szCs w:val="22"/>
        </w:rPr>
        <w:t xml:space="preserve"> do</w:t>
      </w:r>
      <w:r w:rsidRPr="00B8060F">
        <w:rPr>
          <w:rFonts w:ascii="Arial" w:hAnsi="Arial" w:cs="Arial"/>
          <w:sz w:val="22"/>
          <w:szCs w:val="22"/>
        </w:rPr>
        <w:t xml:space="preserve"> Banco Central do Brasil</w:t>
      </w:r>
      <w:r w:rsidR="00137AE7" w:rsidRPr="00B8060F">
        <w:rPr>
          <w:rFonts w:ascii="Arial" w:hAnsi="Arial" w:cs="Arial"/>
          <w:sz w:val="22"/>
          <w:szCs w:val="22"/>
        </w:rPr>
        <w:t xml:space="preserve">. </w:t>
      </w:r>
      <w:r w:rsidR="0098293C" w:rsidRPr="00B8060F">
        <w:rPr>
          <w:rFonts w:ascii="Arial" w:hAnsi="Arial" w:cs="Arial"/>
          <w:sz w:val="22"/>
          <w:szCs w:val="22"/>
        </w:rPr>
        <w:t xml:space="preserve">A Resolução estabelece </w:t>
      </w:r>
      <w:r w:rsidR="00137AE7" w:rsidRPr="00B8060F">
        <w:rPr>
          <w:rFonts w:ascii="Arial" w:hAnsi="Arial" w:cs="Arial"/>
          <w:sz w:val="22"/>
          <w:szCs w:val="22"/>
        </w:rPr>
        <w:t>que as disponibilidades oriundas de receitas próprias das empresas públicas e das sociedades de economia mista integrantes da Administração Federal Indireta sejam aplicadas nestes fundos ou por instituição integrante do conglomerado financeiro por eles liderados, constituídos com observância do disposto nesta Resolução</w:t>
      </w:r>
      <w:r w:rsidRPr="00B8060F">
        <w:rPr>
          <w:rFonts w:ascii="Arial" w:hAnsi="Arial" w:cs="Arial"/>
          <w:sz w:val="22"/>
          <w:szCs w:val="22"/>
        </w:rPr>
        <w:t>. Os recursos estão</w:t>
      </w:r>
      <w:r w:rsidRPr="002A36CE">
        <w:rPr>
          <w:rFonts w:ascii="Arial" w:hAnsi="Arial" w:cs="Arial"/>
          <w:sz w:val="22"/>
          <w:szCs w:val="22"/>
        </w:rPr>
        <w:t xml:space="preserve"> aplicados no Banco do Brasil</w:t>
      </w:r>
      <w:r w:rsidR="00426170">
        <w:rPr>
          <w:rFonts w:ascii="Arial" w:hAnsi="Arial" w:cs="Arial"/>
          <w:sz w:val="22"/>
          <w:szCs w:val="22"/>
        </w:rPr>
        <w:t>,</w:t>
      </w:r>
      <w:r w:rsidRPr="002A36CE">
        <w:rPr>
          <w:rFonts w:ascii="Arial" w:hAnsi="Arial" w:cs="Arial"/>
          <w:sz w:val="22"/>
          <w:szCs w:val="22"/>
        </w:rPr>
        <w:t xml:space="preserve"> no fundo </w:t>
      </w:r>
      <w:r w:rsidR="007B06EF" w:rsidRPr="002A36CE">
        <w:rPr>
          <w:rFonts w:ascii="Arial" w:hAnsi="Arial" w:cs="Arial"/>
          <w:sz w:val="22"/>
          <w:szCs w:val="22"/>
        </w:rPr>
        <w:t>extramercado</w:t>
      </w:r>
      <w:r w:rsidRPr="002A36CE">
        <w:rPr>
          <w:rFonts w:ascii="Arial" w:hAnsi="Arial" w:cs="Arial"/>
          <w:sz w:val="22"/>
          <w:szCs w:val="22"/>
        </w:rPr>
        <w:t xml:space="preserve"> FAE FI RF e na Caixa Econômica Federal no fundo – CEF</w:t>
      </w:r>
      <w:r w:rsidR="002B18A6">
        <w:rPr>
          <w:rFonts w:ascii="Arial" w:hAnsi="Arial" w:cs="Arial"/>
          <w:sz w:val="22"/>
          <w:szCs w:val="22"/>
        </w:rPr>
        <w:t>,</w:t>
      </w:r>
      <w:r w:rsidRPr="002A36CE">
        <w:rPr>
          <w:rFonts w:ascii="Arial" w:hAnsi="Arial" w:cs="Arial"/>
          <w:sz w:val="22"/>
          <w:szCs w:val="22"/>
        </w:rPr>
        <w:t xml:space="preserve"> E</w:t>
      </w:r>
      <w:r w:rsidR="00742C70" w:rsidRPr="002A36CE">
        <w:rPr>
          <w:rFonts w:ascii="Arial" w:hAnsi="Arial" w:cs="Arial"/>
          <w:sz w:val="22"/>
          <w:szCs w:val="22"/>
        </w:rPr>
        <w:t>xtra Comum.</w:t>
      </w:r>
    </w:p>
    <w:p w14:paraId="1996B42E" w14:textId="77777777" w:rsidR="00DF2D33" w:rsidRPr="00304B88" w:rsidRDefault="00DF2D33" w:rsidP="00597FE5">
      <w:pPr>
        <w:shd w:val="clear" w:color="auto" w:fill="FDFDFD"/>
        <w:spacing w:line="276" w:lineRule="auto"/>
        <w:jc w:val="both"/>
        <w:rPr>
          <w:rFonts w:ascii="Arial" w:hAnsi="Arial" w:cs="Arial"/>
          <w:sz w:val="14"/>
          <w:szCs w:val="14"/>
        </w:rPr>
      </w:pPr>
    </w:p>
    <w:p w14:paraId="38078E39" w14:textId="008D6AE7" w:rsidR="00CD461D" w:rsidRDefault="00CD461D" w:rsidP="00597FE5">
      <w:pPr>
        <w:shd w:val="clear" w:color="auto" w:fill="FDFDFD"/>
        <w:spacing w:line="276" w:lineRule="auto"/>
        <w:jc w:val="both"/>
        <w:rPr>
          <w:rFonts w:ascii="Arial" w:hAnsi="Arial" w:cs="Arial"/>
          <w:sz w:val="22"/>
          <w:szCs w:val="22"/>
        </w:rPr>
      </w:pPr>
      <w:r w:rsidRPr="002A36CE">
        <w:rPr>
          <w:rFonts w:ascii="Arial" w:hAnsi="Arial" w:cs="Arial"/>
          <w:sz w:val="22"/>
          <w:szCs w:val="22"/>
        </w:rPr>
        <w:t xml:space="preserve">Os fundos </w:t>
      </w:r>
      <w:r w:rsidR="001578DE">
        <w:rPr>
          <w:rFonts w:ascii="Arial" w:hAnsi="Arial" w:cs="Arial"/>
          <w:sz w:val="22"/>
          <w:szCs w:val="22"/>
        </w:rPr>
        <w:t xml:space="preserve">possuem </w:t>
      </w:r>
      <w:r w:rsidRPr="002A36CE">
        <w:rPr>
          <w:rFonts w:ascii="Arial" w:hAnsi="Arial" w:cs="Arial"/>
          <w:sz w:val="22"/>
          <w:szCs w:val="22"/>
        </w:rPr>
        <w:t xml:space="preserve">prazo de resgate indeterminado, dependendo das necessidades da </w:t>
      </w:r>
      <w:r w:rsidR="00682C18" w:rsidRPr="002A36CE">
        <w:rPr>
          <w:rFonts w:ascii="Arial" w:hAnsi="Arial" w:cs="Arial"/>
          <w:sz w:val="22"/>
          <w:szCs w:val="22"/>
        </w:rPr>
        <w:t>Companhia</w:t>
      </w:r>
      <w:r w:rsidR="00EB2A49" w:rsidRPr="002A36CE">
        <w:rPr>
          <w:rFonts w:ascii="Arial" w:hAnsi="Arial" w:cs="Arial"/>
          <w:sz w:val="22"/>
          <w:szCs w:val="22"/>
        </w:rPr>
        <w:t>,</w:t>
      </w:r>
      <w:r w:rsidR="00AE190B" w:rsidRPr="002A36CE">
        <w:rPr>
          <w:rFonts w:ascii="Arial" w:hAnsi="Arial" w:cs="Arial"/>
          <w:sz w:val="22"/>
          <w:szCs w:val="22"/>
        </w:rPr>
        <w:t xml:space="preserve"> </w:t>
      </w:r>
      <w:r w:rsidR="00AC223C" w:rsidRPr="0017025B">
        <w:rPr>
          <w:rFonts w:ascii="Arial" w:hAnsi="Arial" w:cs="Arial"/>
          <w:sz w:val="22"/>
          <w:szCs w:val="22"/>
        </w:rPr>
        <w:t>e</w:t>
      </w:r>
      <w:r w:rsidR="00AC223C">
        <w:rPr>
          <w:rFonts w:ascii="Arial" w:hAnsi="Arial" w:cs="Arial"/>
          <w:sz w:val="22"/>
          <w:szCs w:val="22"/>
        </w:rPr>
        <w:t xml:space="preserve"> </w:t>
      </w:r>
      <w:r w:rsidR="001578DE">
        <w:rPr>
          <w:rFonts w:ascii="Arial" w:hAnsi="Arial" w:cs="Arial"/>
          <w:sz w:val="22"/>
          <w:szCs w:val="22"/>
        </w:rPr>
        <w:t>as</w:t>
      </w:r>
      <w:r w:rsidR="00AE190B" w:rsidRPr="002A36CE">
        <w:rPr>
          <w:rFonts w:ascii="Arial" w:hAnsi="Arial" w:cs="Arial"/>
          <w:sz w:val="22"/>
          <w:szCs w:val="22"/>
        </w:rPr>
        <w:t xml:space="preserve"> remunerações</w:t>
      </w:r>
      <w:r w:rsidRPr="002A36CE">
        <w:rPr>
          <w:rFonts w:ascii="Arial" w:hAnsi="Arial" w:cs="Arial"/>
          <w:sz w:val="22"/>
          <w:szCs w:val="22"/>
        </w:rPr>
        <w:t xml:space="preserve"> </w:t>
      </w:r>
      <w:r w:rsidR="001578DE">
        <w:rPr>
          <w:rFonts w:ascii="Arial" w:hAnsi="Arial" w:cs="Arial"/>
          <w:sz w:val="22"/>
          <w:szCs w:val="22"/>
        </w:rPr>
        <w:t xml:space="preserve">são </w:t>
      </w:r>
      <w:r w:rsidRPr="002A36CE">
        <w:rPr>
          <w:rFonts w:ascii="Arial" w:hAnsi="Arial" w:cs="Arial"/>
          <w:sz w:val="22"/>
          <w:szCs w:val="22"/>
        </w:rPr>
        <w:t>atreladas aos índices IMA-B e IRFM (extramercado).</w:t>
      </w:r>
    </w:p>
    <w:p w14:paraId="19B5881D" w14:textId="4D8845BC" w:rsidR="00817F1A" w:rsidRPr="002A36CE" w:rsidRDefault="00817F1A" w:rsidP="00817F1A">
      <w:pPr>
        <w:shd w:val="clear" w:color="auto" w:fill="FDFDFD"/>
        <w:spacing w:line="276" w:lineRule="auto"/>
        <w:jc w:val="both"/>
        <w:rPr>
          <w:rFonts w:ascii="Arial" w:hAnsi="Arial" w:cs="Arial"/>
          <w:sz w:val="22"/>
          <w:szCs w:val="22"/>
        </w:rPr>
      </w:pPr>
      <w:r w:rsidRPr="00C24ED1">
        <w:rPr>
          <w:rFonts w:ascii="Arial" w:hAnsi="Arial" w:cs="Arial"/>
          <w:sz w:val="22"/>
          <w:szCs w:val="22"/>
        </w:rPr>
        <w:lastRenderedPageBreak/>
        <w:t xml:space="preserve">A remuneração média dos fundos nos últimos 12 (doze) meses foi de </w:t>
      </w:r>
      <w:r w:rsidR="00F10A02" w:rsidRPr="00C24ED1">
        <w:rPr>
          <w:rFonts w:ascii="Arial" w:hAnsi="Arial" w:cs="Arial"/>
          <w:sz w:val="22"/>
          <w:szCs w:val="22"/>
        </w:rPr>
        <w:t>14,</w:t>
      </w:r>
      <w:r w:rsidR="00C24ED1" w:rsidRPr="00C24ED1">
        <w:rPr>
          <w:rFonts w:ascii="Arial" w:hAnsi="Arial" w:cs="Arial"/>
          <w:sz w:val="22"/>
          <w:szCs w:val="22"/>
        </w:rPr>
        <w:t>55</w:t>
      </w:r>
      <w:r w:rsidRPr="00C24ED1">
        <w:rPr>
          <w:rFonts w:ascii="Arial" w:hAnsi="Arial" w:cs="Arial"/>
          <w:sz w:val="22"/>
          <w:szCs w:val="22"/>
        </w:rPr>
        <w:t>% a.a.</w:t>
      </w:r>
      <w:r w:rsidR="00BD10F7">
        <w:rPr>
          <w:rFonts w:ascii="Arial" w:hAnsi="Arial" w:cs="Arial"/>
          <w:sz w:val="22"/>
          <w:szCs w:val="22"/>
        </w:rPr>
        <w:t xml:space="preserve"> </w:t>
      </w:r>
    </w:p>
    <w:p w14:paraId="14E7EA84" w14:textId="77777777" w:rsidR="000A3799" w:rsidRPr="00304B88" w:rsidRDefault="000A3799" w:rsidP="00597FE5">
      <w:pPr>
        <w:shd w:val="clear" w:color="auto" w:fill="FDFDFD"/>
        <w:spacing w:line="276" w:lineRule="auto"/>
        <w:jc w:val="both"/>
        <w:rPr>
          <w:rFonts w:ascii="Arial" w:hAnsi="Arial" w:cs="Arial"/>
          <w:sz w:val="14"/>
          <w:szCs w:val="14"/>
        </w:rPr>
      </w:pPr>
    </w:p>
    <w:p w14:paraId="4A0B74F1" w14:textId="3AC5447B" w:rsidR="002B00FC" w:rsidRDefault="002B00FC" w:rsidP="009541E1">
      <w:pPr>
        <w:pStyle w:val="Ttulo2"/>
        <w:numPr>
          <w:ilvl w:val="0"/>
          <w:numId w:val="5"/>
        </w:numPr>
        <w:tabs>
          <w:tab w:val="clear" w:pos="284"/>
          <w:tab w:val="clear" w:pos="340"/>
        </w:tabs>
        <w:spacing w:before="0" w:after="0"/>
        <w:ind w:left="851" w:hanging="851"/>
        <w:jc w:val="both"/>
        <w:rPr>
          <w:rFonts w:ascii="Arial" w:hAnsi="Arial" w:cs="Arial"/>
        </w:rPr>
      </w:pPr>
      <w:bookmarkStart w:id="11" w:name="_Toc491337708"/>
      <w:r w:rsidRPr="002A36CE">
        <w:rPr>
          <w:rFonts w:ascii="Arial" w:hAnsi="Arial" w:cs="Arial"/>
        </w:rPr>
        <w:t xml:space="preserve">CONTAS A RECEBER </w:t>
      </w:r>
      <w:bookmarkEnd w:id="11"/>
      <w:r w:rsidR="00840B45">
        <w:rPr>
          <w:rFonts w:ascii="Arial" w:hAnsi="Arial" w:cs="Arial"/>
        </w:rPr>
        <w:t>DE CLIENTES</w:t>
      </w:r>
    </w:p>
    <w:p w14:paraId="0516EC7D" w14:textId="77777777" w:rsidR="00175ED7" w:rsidRDefault="00175ED7" w:rsidP="00175ED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841"/>
        <w:gridCol w:w="1839"/>
      </w:tblGrid>
      <w:tr w:rsidR="00175ED7" w:rsidRPr="00AB0AB9" w14:paraId="6C5E5F0C" w14:textId="77777777" w:rsidTr="00175ED7">
        <w:trPr>
          <w:trHeight w:val="232"/>
        </w:trPr>
        <w:tc>
          <w:tcPr>
            <w:tcW w:w="3117" w:type="pct"/>
            <w:shd w:val="clear" w:color="000000" w:fill="D9D9D9"/>
            <w:vAlign w:val="center"/>
            <w:hideMark/>
          </w:tcPr>
          <w:p w14:paraId="45C3BC1F" w14:textId="77777777" w:rsidR="00175ED7" w:rsidRPr="00AB0AB9" w:rsidRDefault="00175ED7" w:rsidP="00175ED7">
            <w:pPr>
              <w:rPr>
                <w:rFonts w:ascii="Arial" w:hAnsi="Arial" w:cs="Arial"/>
                <w:b/>
                <w:bCs/>
                <w:color w:val="000000"/>
                <w:sz w:val="18"/>
                <w:szCs w:val="18"/>
              </w:rPr>
            </w:pPr>
            <w:r w:rsidRPr="00AB0AB9">
              <w:rPr>
                <w:rFonts w:ascii="Arial" w:hAnsi="Arial" w:cs="Arial"/>
                <w:b/>
                <w:bCs/>
                <w:color w:val="000000"/>
                <w:sz w:val="18"/>
                <w:szCs w:val="18"/>
              </w:rPr>
              <w:t>Composição:</w:t>
            </w:r>
          </w:p>
        </w:tc>
        <w:tc>
          <w:tcPr>
            <w:tcW w:w="942" w:type="pct"/>
            <w:vAlign w:val="center"/>
            <w:hideMark/>
          </w:tcPr>
          <w:p w14:paraId="0114C0FD" w14:textId="0EA41D6B" w:rsidR="00175ED7" w:rsidRPr="00AB0AB9" w:rsidRDefault="00175ED7" w:rsidP="00175ED7">
            <w:pPr>
              <w:jc w:val="center"/>
              <w:rPr>
                <w:rFonts w:ascii="Arial" w:hAnsi="Arial" w:cs="Arial"/>
                <w:b/>
                <w:bCs/>
                <w:color w:val="000000"/>
                <w:sz w:val="18"/>
                <w:szCs w:val="18"/>
              </w:rPr>
            </w:pPr>
            <w:r w:rsidRPr="00AB0AB9">
              <w:rPr>
                <w:rFonts w:ascii="Arial" w:hAnsi="Arial" w:cs="Arial"/>
                <w:b/>
                <w:bCs/>
                <w:color w:val="000000"/>
                <w:sz w:val="18"/>
                <w:szCs w:val="18"/>
                <w:lang w:eastAsia="en-US"/>
              </w:rPr>
              <w:t>31/</w:t>
            </w:r>
            <w:r w:rsidR="002B638A">
              <w:rPr>
                <w:rFonts w:ascii="Arial" w:hAnsi="Arial" w:cs="Arial"/>
                <w:b/>
                <w:bCs/>
                <w:color w:val="000000"/>
                <w:sz w:val="18"/>
                <w:szCs w:val="18"/>
                <w:lang w:eastAsia="en-US"/>
              </w:rPr>
              <w:t>03</w:t>
            </w:r>
            <w:r w:rsidRPr="00AB0AB9">
              <w:rPr>
                <w:rFonts w:ascii="Arial" w:hAnsi="Arial" w:cs="Arial"/>
                <w:b/>
                <w:bCs/>
                <w:color w:val="000000"/>
                <w:sz w:val="18"/>
                <w:szCs w:val="18"/>
                <w:lang w:eastAsia="en-US"/>
              </w:rPr>
              <w:t>/2025</w:t>
            </w:r>
          </w:p>
        </w:tc>
        <w:tc>
          <w:tcPr>
            <w:tcW w:w="941" w:type="pct"/>
            <w:vAlign w:val="center"/>
            <w:hideMark/>
          </w:tcPr>
          <w:p w14:paraId="143C6794" w14:textId="77777777" w:rsidR="00175ED7" w:rsidRPr="00AB0AB9" w:rsidRDefault="00175ED7" w:rsidP="00175ED7">
            <w:pPr>
              <w:jc w:val="center"/>
              <w:rPr>
                <w:rFonts w:ascii="Arial" w:hAnsi="Arial" w:cs="Arial"/>
                <w:b/>
                <w:bCs/>
                <w:color w:val="000000"/>
                <w:sz w:val="18"/>
                <w:szCs w:val="18"/>
              </w:rPr>
            </w:pPr>
            <w:r w:rsidRPr="00AB0AB9">
              <w:rPr>
                <w:rFonts w:ascii="Arial" w:hAnsi="Arial" w:cs="Arial"/>
                <w:b/>
                <w:bCs/>
                <w:color w:val="000000"/>
                <w:sz w:val="18"/>
                <w:szCs w:val="18"/>
                <w:lang w:eastAsia="en-US"/>
              </w:rPr>
              <w:t>31/12/2025</w:t>
            </w:r>
          </w:p>
        </w:tc>
      </w:tr>
      <w:tr w:rsidR="00175ED7" w:rsidRPr="00AB0AB9" w14:paraId="601F3EC3" w14:textId="77777777" w:rsidTr="00175ED7">
        <w:trPr>
          <w:trHeight w:val="232"/>
        </w:trPr>
        <w:tc>
          <w:tcPr>
            <w:tcW w:w="3117" w:type="pct"/>
            <w:vAlign w:val="center"/>
            <w:hideMark/>
          </w:tcPr>
          <w:p w14:paraId="7B71433C" w14:textId="77777777" w:rsidR="00175ED7" w:rsidRPr="00AB0AB9" w:rsidRDefault="00175ED7" w:rsidP="00175ED7">
            <w:pPr>
              <w:rPr>
                <w:rFonts w:ascii="Arial" w:hAnsi="Arial" w:cs="Arial"/>
                <w:color w:val="000000"/>
                <w:sz w:val="18"/>
                <w:szCs w:val="18"/>
              </w:rPr>
            </w:pPr>
            <w:r w:rsidRPr="00AB0AB9">
              <w:rPr>
                <w:rFonts w:ascii="Arial" w:hAnsi="Arial" w:cs="Arial"/>
                <w:color w:val="000000"/>
                <w:sz w:val="18"/>
                <w:szCs w:val="18"/>
              </w:rPr>
              <w:t>Serviço de Comunicação e Multimídia / Aluguéis e Locações e Outros</w:t>
            </w:r>
          </w:p>
        </w:tc>
        <w:tc>
          <w:tcPr>
            <w:tcW w:w="942" w:type="pct"/>
            <w:vAlign w:val="center"/>
            <w:hideMark/>
          </w:tcPr>
          <w:p w14:paraId="432D3E5F" w14:textId="77777777" w:rsidR="00175ED7" w:rsidRPr="00AB0AB9" w:rsidRDefault="00175ED7" w:rsidP="00175ED7">
            <w:pPr>
              <w:jc w:val="right"/>
              <w:rPr>
                <w:rFonts w:ascii="Arial" w:hAnsi="Arial" w:cs="Arial"/>
                <w:color w:val="000000"/>
                <w:sz w:val="18"/>
                <w:szCs w:val="18"/>
              </w:rPr>
            </w:pPr>
            <w:r w:rsidRPr="00AB0AB9">
              <w:rPr>
                <w:rFonts w:ascii="Arial" w:hAnsi="Arial" w:cs="Arial"/>
                <w:color w:val="000000"/>
                <w:sz w:val="18"/>
                <w:szCs w:val="18"/>
              </w:rPr>
              <w:t xml:space="preserve">      518.349 </w:t>
            </w:r>
          </w:p>
        </w:tc>
        <w:tc>
          <w:tcPr>
            <w:tcW w:w="941" w:type="pct"/>
            <w:vAlign w:val="center"/>
            <w:hideMark/>
          </w:tcPr>
          <w:p w14:paraId="39BE99CE" w14:textId="77777777" w:rsidR="00175ED7" w:rsidRPr="00AB0AB9" w:rsidRDefault="00175ED7" w:rsidP="00175ED7">
            <w:pPr>
              <w:jc w:val="right"/>
              <w:rPr>
                <w:rFonts w:ascii="Arial" w:hAnsi="Arial" w:cs="Arial"/>
                <w:color w:val="000000"/>
                <w:sz w:val="18"/>
                <w:szCs w:val="18"/>
              </w:rPr>
            </w:pPr>
            <w:r w:rsidRPr="00AB0AB9">
              <w:rPr>
                <w:rFonts w:ascii="Arial" w:hAnsi="Arial" w:cs="Arial"/>
                <w:color w:val="000000"/>
                <w:sz w:val="18"/>
                <w:szCs w:val="18"/>
              </w:rPr>
              <w:t xml:space="preserve">      454.430 </w:t>
            </w:r>
          </w:p>
        </w:tc>
      </w:tr>
      <w:tr w:rsidR="00175ED7" w:rsidRPr="00AB0AB9" w14:paraId="4F3BE981" w14:textId="77777777" w:rsidTr="00175ED7">
        <w:trPr>
          <w:trHeight w:val="232"/>
        </w:trPr>
        <w:tc>
          <w:tcPr>
            <w:tcW w:w="3117" w:type="pct"/>
            <w:vAlign w:val="center"/>
            <w:hideMark/>
          </w:tcPr>
          <w:p w14:paraId="29B7B142" w14:textId="77777777" w:rsidR="00175ED7" w:rsidRPr="00AB0AB9" w:rsidRDefault="00175ED7" w:rsidP="00175ED7">
            <w:pPr>
              <w:rPr>
                <w:rFonts w:ascii="Arial" w:hAnsi="Arial" w:cs="Arial"/>
                <w:b/>
                <w:bCs/>
                <w:color w:val="000000"/>
                <w:sz w:val="18"/>
                <w:szCs w:val="18"/>
              </w:rPr>
            </w:pPr>
            <w:r w:rsidRPr="00AB0AB9">
              <w:rPr>
                <w:rFonts w:ascii="Arial" w:hAnsi="Arial" w:cs="Arial"/>
                <w:b/>
                <w:bCs/>
                <w:color w:val="000000"/>
                <w:sz w:val="18"/>
                <w:szCs w:val="18"/>
              </w:rPr>
              <w:t>Total a Receber Bruto</w:t>
            </w:r>
          </w:p>
        </w:tc>
        <w:tc>
          <w:tcPr>
            <w:tcW w:w="942" w:type="pct"/>
            <w:vAlign w:val="center"/>
            <w:hideMark/>
          </w:tcPr>
          <w:p w14:paraId="0717F278" w14:textId="77777777" w:rsidR="00175ED7" w:rsidRPr="00AB0AB9" w:rsidRDefault="00175ED7" w:rsidP="00175ED7">
            <w:pPr>
              <w:jc w:val="right"/>
              <w:rPr>
                <w:rFonts w:ascii="Arial" w:hAnsi="Arial" w:cs="Arial"/>
                <w:b/>
                <w:bCs/>
                <w:color w:val="000000"/>
                <w:sz w:val="18"/>
                <w:szCs w:val="18"/>
              </w:rPr>
            </w:pPr>
            <w:r w:rsidRPr="00AB0AB9">
              <w:rPr>
                <w:rFonts w:ascii="Arial" w:hAnsi="Arial" w:cs="Arial"/>
                <w:b/>
                <w:bCs/>
                <w:color w:val="000000"/>
                <w:sz w:val="18"/>
                <w:szCs w:val="18"/>
              </w:rPr>
              <w:t xml:space="preserve">      518.349 </w:t>
            </w:r>
          </w:p>
        </w:tc>
        <w:tc>
          <w:tcPr>
            <w:tcW w:w="941" w:type="pct"/>
            <w:vAlign w:val="center"/>
            <w:hideMark/>
          </w:tcPr>
          <w:p w14:paraId="3CBD8FA1" w14:textId="77777777" w:rsidR="00175ED7" w:rsidRPr="00AB0AB9" w:rsidRDefault="00175ED7" w:rsidP="00175ED7">
            <w:pPr>
              <w:jc w:val="right"/>
              <w:rPr>
                <w:rFonts w:ascii="Arial" w:hAnsi="Arial" w:cs="Arial"/>
                <w:b/>
                <w:bCs/>
                <w:color w:val="000000"/>
                <w:sz w:val="18"/>
                <w:szCs w:val="18"/>
              </w:rPr>
            </w:pPr>
            <w:r w:rsidRPr="00AB0AB9">
              <w:rPr>
                <w:rFonts w:ascii="Arial" w:hAnsi="Arial" w:cs="Arial"/>
                <w:b/>
                <w:bCs/>
                <w:color w:val="000000"/>
                <w:sz w:val="18"/>
                <w:szCs w:val="18"/>
              </w:rPr>
              <w:t xml:space="preserve">      454.430 </w:t>
            </w:r>
          </w:p>
        </w:tc>
      </w:tr>
      <w:tr w:rsidR="00175ED7" w:rsidRPr="00AB0AB9" w14:paraId="4F32F475" w14:textId="77777777" w:rsidTr="00175ED7">
        <w:trPr>
          <w:trHeight w:val="232"/>
        </w:trPr>
        <w:tc>
          <w:tcPr>
            <w:tcW w:w="3117" w:type="pct"/>
            <w:vAlign w:val="center"/>
            <w:hideMark/>
          </w:tcPr>
          <w:p w14:paraId="4879E7C8" w14:textId="77777777" w:rsidR="00175ED7" w:rsidRPr="00AB0AB9" w:rsidRDefault="00175ED7" w:rsidP="00175ED7">
            <w:pPr>
              <w:rPr>
                <w:rFonts w:ascii="Arial" w:hAnsi="Arial" w:cs="Arial"/>
                <w:color w:val="000000"/>
                <w:sz w:val="18"/>
                <w:szCs w:val="18"/>
              </w:rPr>
            </w:pPr>
            <w:r w:rsidRPr="00AB0AB9">
              <w:rPr>
                <w:rFonts w:ascii="Arial" w:hAnsi="Arial" w:cs="Arial"/>
                <w:color w:val="000000"/>
                <w:sz w:val="18"/>
                <w:szCs w:val="18"/>
              </w:rPr>
              <w:t>Perdas Estimadas com Créditos de Liquidação Duvidosa</w:t>
            </w:r>
          </w:p>
        </w:tc>
        <w:tc>
          <w:tcPr>
            <w:tcW w:w="942" w:type="pct"/>
            <w:vAlign w:val="center"/>
            <w:hideMark/>
          </w:tcPr>
          <w:p w14:paraId="07BDCF68" w14:textId="77777777" w:rsidR="00175ED7" w:rsidRPr="00AB0AB9" w:rsidRDefault="00175ED7" w:rsidP="00175ED7">
            <w:pPr>
              <w:jc w:val="right"/>
              <w:rPr>
                <w:rFonts w:ascii="Arial" w:hAnsi="Arial" w:cs="Arial"/>
                <w:color w:val="000000"/>
                <w:sz w:val="18"/>
                <w:szCs w:val="18"/>
              </w:rPr>
            </w:pPr>
            <w:r w:rsidRPr="00AB0AB9">
              <w:rPr>
                <w:rFonts w:ascii="Arial" w:hAnsi="Arial" w:cs="Arial"/>
                <w:color w:val="000000"/>
                <w:sz w:val="18"/>
                <w:szCs w:val="18"/>
              </w:rPr>
              <w:t xml:space="preserve">        (5.947)</w:t>
            </w:r>
          </w:p>
        </w:tc>
        <w:tc>
          <w:tcPr>
            <w:tcW w:w="941" w:type="pct"/>
            <w:vAlign w:val="center"/>
            <w:hideMark/>
          </w:tcPr>
          <w:p w14:paraId="17CA83E7" w14:textId="77777777" w:rsidR="00175ED7" w:rsidRPr="00AB0AB9" w:rsidRDefault="00175ED7" w:rsidP="00175ED7">
            <w:pPr>
              <w:jc w:val="right"/>
              <w:rPr>
                <w:rFonts w:ascii="Arial" w:hAnsi="Arial" w:cs="Arial"/>
                <w:color w:val="000000"/>
                <w:sz w:val="18"/>
                <w:szCs w:val="18"/>
              </w:rPr>
            </w:pPr>
            <w:r w:rsidRPr="00AB0AB9">
              <w:rPr>
                <w:rFonts w:ascii="Arial" w:hAnsi="Arial" w:cs="Arial"/>
                <w:color w:val="000000"/>
                <w:sz w:val="18"/>
                <w:szCs w:val="18"/>
              </w:rPr>
              <w:t xml:space="preserve">        (6.088)</w:t>
            </w:r>
          </w:p>
        </w:tc>
      </w:tr>
      <w:tr w:rsidR="00175ED7" w14:paraId="26B1DE4E" w14:textId="77777777" w:rsidTr="00175ED7">
        <w:trPr>
          <w:trHeight w:val="232"/>
        </w:trPr>
        <w:tc>
          <w:tcPr>
            <w:tcW w:w="3117" w:type="pct"/>
            <w:vAlign w:val="center"/>
            <w:hideMark/>
          </w:tcPr>
          <w:p w14:paraId="70D9078A" w14:textId="77777777" w:rsidR="00175ED7" w:rsidRPr="00AB0AB9" w:rsidRDefault="00175ED7" w:rsidP="00175ED7">
            <w:pPr>
              <w:rPr>
                <w:rFonts w:ascii="Arial" w:hAnsi="Arial" w:cs="Arial"/>
                <w:b/>
                <w:bCs/>
                <w:color w:val="000000"/>
                <w:sz w:val="18"/>
                <w:szCs w:val="18"/>
              </w:rPr>
            </w:pPr>
            <w:r w:rsidRPr="00AB0AB9">
              <w:rPr>
                <w:rFonts w:ascii="Arial" w:hAnsi="Arial" w:cs="Arial"/>
                <w:b/>
                <w:bCs/>
                <w:color w:val="000000"/>
                <w:sz w:val="18"/>
                <w:szCs w:val="18"/>
              </w:rPr>
              <w:t>Total a Receber Líquido</w:t>
            </w:r>
          </w:p>
        </w:tc>
        <w:tc>
          <w:tcPr>
            <w:tcW w:w="942" w:type="pct"/>
            <w:vAlign w:val="center"/>
            <w:hideMark/>
          </w:tcPr>
          <w:p w14:paraId="51032D92" w14:textId="77777777" w:rsidR="00175ED7" w:rsidRPr="00AB0AB9" w:rsidRDefault="00175ED7" w:rsidP="00175ED7">
            <w:pPr>
              <w:jc w:val="right"/>
              <w:rPr>
                <w:rFonts w:ascii="Arial" w:hAnsi="Arial" w:cs="Arial"/>
                <w:b/>
                <w:bCs/>
                <w:color w:val="000000"/>
                <w:sz w:val="18"/>
                <w:szCs w:val="18"/>
              </w:rPr>
            </w:pPr>
            <w:r w:rsidRPr="00AB0AB9">
              <w:rPr>
                <w:rFonts w:ascii="Arial" w:hAnsi="Arial" w:cs="Arial"/>
                <w:b/>
                <w:bCs/>
                <w:color w:val="000000"/>
                <w:sz w:val="18"/>
                <w:szCs w:val="18"/>
              </w:rPr>
              <w:t xml:space="preserve">      512.402 </w:t>
            </w:r>
          </w:p>
        </w:tc>
        <w:tc>
          <w:tcPr>
            <w:tcW w:w="941" w:type="pct"/>
            <w:vAlign w:val="center"/>
            <w:hideMark/>
          </w:tcPr>
          <w:p w14:paraId="01F81E5F" w14:textId="77777777" w:rsidR="00175ED7" w:rsidRDefault="00175ED7" w:rsidP="00175ED7">
            <w:pPr>
              <w:jc w:val="right"/>
              <w:rPr>
                <w:rFonts w:ascii="Arial" w:hAnsi="Arial" w:cs="Arial"/>
                <w:b/>
                <w:bCs/>
                <w:color w:val="000000"/>
                <w:sz w:val="18"/>
                <w:szCs w:val="18"/>
              </w:rPr>
            </w:pPr>
            <w:r w:rsidRPr="00AB0AB9">
              <w:rPr>
                <w:rFonts w:ascii="Arial" w:hAnsi="Arial" w:cs="Arial"/>
                <w:b/>
                <w:bCs/>
                <w:color w:val="000000"/>
                <w:sz w:val="18"/>
                <w:szCs w:val="18"/>
              </w:rPr>
              <w:t xml:space="preserve">      448.342</w:t>
            </w:r>
            <w:r>
              <w:rPr>
                <w:rFonts w:ascii="Arial" w:hAnsi="Arial" w:cs="Arial"/>
                <w:b/>
                <w:bCs/>
                <w:color w:val="000000"/>
                <w:sz w:val="18"/>
                <w:szCs w:val="18"/>
              </w:rPr>
              <w:t xml:space="preserve"> </w:t>
            </w:r>
          </w:p>
        </w:tc>
      </w:tr>
    </w:tbl>
    <w:p w14:paraId="5FD8F682" w14:textId="085E9F72" w:rsidR="00F830A5" w:rsidRDefault="00F830A5" w:rsidP="00197AAA">
      <w:pPr>
        <w:rPr>
          <w:sz w:val="18"/>
          <w:szCs w:val="18"/>
        </w:rPr>
      </w:pPr>
    </w:p>
    <w:p w14:paraId="0A2B47D2" w14:textId="7DDF08E9" w:rsidR="00C2775F" w:rsidRPr="005A5B23" w:rsidRDefault="00C2775F" w:rsidP="00197AAA">
      <w:pPr>
        <w:rPr>
          <w:sz w:val="10"/>
          <w:szCs w:val="10"/>
        </w:rPr>
      </w:pPr>
    </w:p>
    <w:p w14:paraId="3419B778" w14:textId="77777777" w:rsidR="00F20E3E" w:rsidRPr="002A36CE" w:rsidRDefault="00F20E3E" w:rsidP="009541E1">
      <w:pPr>
        <w:pStyle w:val="Ttulo2"/>
        <w:numPr>
          <w:ilvl w:val="1"/>
          <w:numId w:val="5"/>
        </w:numPr>
        <w:tabs>
          <w:tab w:val="clear" w:pos="284"/>
          <w:tab w:val="clear" w:pos="340"/>
        </w:tabs>
        <w:spacing w:before="0" w:after="0"/>
        <w:ind w:left="851" w:hanging="862"/>
        <w:jc w:val="both"/>
        <w:rPr>
          <w:rFonts w:ascii="Arial" w:hAnsi="Arial" w:cs="Arial"/>
        </w:rPr>
      </w:pPr>
      <w:bookmarkStart w:id="12" w:name="_Toc491337709"/>
      <w:r w:rsidRPr="002A36CE">
        <w:rPr>
          <w:rFonts w:ascii="Arial" w:hAnsi="Arial" w:cs="Arial"/>
        </w:rPr>
        <w:t>Valores a receber por idade de vencimento</w:t>
      </w:r>
      <w:bookmarkEnd w:id="12"/>
    </w:p>
    <w:p w14:paraId="59A0499D" w14:textId="77777777" w:rsidR="00F20E3E" w:rsidRPr="002A36CE" w:rsidRDefault="00F20E3E" w:rsidP="00597FE5">
      <w:pPr>
        <w:spacing w:line="276" w:lineRule="auto"/>
        <w:rPr>
          <w:sz w:val="12"/>
          <w:szCs w:val="12"/>
        </w:rPr>
      </w:pPr>
    </w:p>
    <w:p w14:paraId="3A968399" w14:textId="58EE0E51" w:rsidR="00F41D97" w:rsidRPr="00304B88" w:rsidRDefault="00A75996" w:rsidP="00EE50EB">
      <w:pPr>
        <w:spacing w:line="276" w:lineRule="auto"/>
        <w:jc w:val="both"/>
        <w:rPr>
          <w:rFonts w:ascii="Arial" w:hAnsi="Arial" w:cs="Arial"/>
          <w:sz w:val="22"/>
          <w:szCs w:val="22"/>
        </w:rPr>
      </w:pPr>
      <w:r w:rsidRPr="002A36CE">
        <w:rPr>
          <w:rFonts w:ascii="Arial" w:hAnsi="Arial" w:cs="Arial"/>
          <w:sz w:val="22"/>
          <w:szCs w:val="22"/>
        </w:rPr>
        <w:t>A composição d</w:t>
      </w:r>
      <w:r w:rsidR="003A340A" w:rsidRPr="002A36CE">
        <w:rPr>
          <w:rFonts w:ascii="Arial" w:hAnsi="Arial" w:cs="Arial"/>
          <w:sz w:val="22"/>
          <w:szCs w:val="22"/>
        </w:rPr>
        <w:t>as</w:t>
      </w:r>
      <w:r w:rsidRPr="002A36CE">
        <w:rPr>
          <w:rFonts w:ascii="Arial" w:hAnsi="Arial" w:cs="Arial"/>
          <w:sz w:val="22"/>
          <w:szCs w:val="22"/>
        </w:rPr>
        <w:t xml:space="preserve"> contas a receber por idade de vencimento é apresentada conforme quadro a seguir:</w:t>
      </w:r>
    </w:p>
    <w:p w14:paraId="2444D2FE" w14:textId="6A209024" w:rsidR="00F41D97" w:rsidRDefault="00F41D97" w:rsidP="00EE50EB">
      <w:pPr>
        <w:spacing w:line="276" w:lineRule="auto"/>
        <w:jc w:val="both"/>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6853"/>
        <w:gridCol w:w="1454"/>
        <w:gridCol w:w="1454"/>
      </w:tblGrid>
      <w:tr w:rsidR="00D7114B" w:rsidRPr="00374C5C" w14:paraId="1D509560" w14:textId="77777777" w:rsidTr="000258DF">
        <w:trPr>
          <w:trHeight w:val="232"/>
        </w:trPr>
        <w:tc>
          <w:tcPr>
            <w:tcW w:w="351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AD2CEF" w14:textId="77777777" w:rsidR="00D7114B" w:rsidRPr="00374C5C" w:rsidRDefault="00D7114B">
            <w:pPr>
              <w:rPr>
                <w:rFonts w:ascii="Arial" w:hAnsi="Arial" w:cs="Arial"/>
                <w:b/>
                <w:bCs/>
                <w:color w:val="000000"/>
                <w:sz w:val="18"/>
                <w:szCs w:val="18"/>
              </w:rPr>
            </w:pPr>
            <w:r w:rsidRPr="00374C5C">
              <w:rPr>
                <w:rFonts w:ascii="Arial" w:hAnsi="Arial" w:cs="Arial"/>
                <w:b/>
                <w:bCs/>
                <w:color w:val="000000"/>
                <w:sz w:val="18"/>
                <w:szCs w:val="18"/>
              </w:rPr>
              <w:t>Composição:</w:t>
            </w:r>
          </w:p>
        </w:tc>
        <w:tc>
          <w:tcPr>
            <w:tcW w:w="745" w:type="pct"/>
            <w:tcBorders>
              <w:top w:val="single" w:sz="8" w:space="0" w:color="auto"/>
              <w:left w:val="nil"/>
              <w:bottom w:val="single" w:sz="8" w:space="0" w:color="auto"/>
              <w:right w:val="single" w:sz="8" w:space="0" w:color="auto"/>
            </w:tcBorders>
            <w:vAlign w:val="center"/>
            <w:hideMark/>
          </w:tcPr>
          <w:p w14:paraId="32A1B0EE" w14:textId="319CAC1C" w:rsidR="00D7114B" w:rsidRPr="00374C5C" w:rsidRDefault="00D7114B">
            <w:pPr>
              <w:jc w:val="center"/>
              <w:rPr>
                <w:rFonts w:ascii="Arial" w:hAnsi="Arial" w:cs="Arial"/>
                <w:b/>
                <w:bCs/>
                <w:color w:val="000000"/>
                <w:sz w:val="18"/>
                <w:szCs w:val="18"/>
              </w:rPr>
            </w:pPr>
            <w:r w:rsidRPr="00374C5C">
              <w:rPr>
                <w:rFonts w:ascii="Arial" w:hAnsi="Arial" w:cs="Arial"/>
                <w:b/>
                <w:bCs/>
                <w:color w:val="000000"/>
                <w:sz w:val="18"/>
                <w:szCs w:val="18"/>
                <w:lang w:eastAsia="en-US"/>
              </w:rPr>
              <w:t>31/</w:t>
            </w:r>
            <w:r w:rsidR="002B638A" w:rsidRPr="00374C5C">
              <w:rPr>
                <w:rFonts w:ascii="Arial" w:hAnsi="Arial" w:cs="Arial"/>
                <w:b/>
                <w:bCs/>
                <w:color w:val="000000"/>
                <w:sz w:val="18"/>
                <w:szCs w:val="18"/>
                <w:lang w:eastAsia="en-US"/>
              </w:rPr>
              <w:t>03/</w:t>
            </w:r>
            <w:r w:rsidRPr="00374C5C">
              <w:rPr>
                <w:rFonts w:ascii="Arial" w:hAnsi="Arial" w:cs="Arial"/>
                <w:b/>
                <w:bCs/>
                <w:color w:val="000000"/>
                <w:sz w:val="18"/>
                <w:szCs w:val="18"/>
                <w:lang w:eastAsia="en-US"/>
              </w:rPr>
              <w:t>2026</w:t>
            </w:r>
          </w:p>
        </w:tc>
        <w:tc>
          <w:tcPr>
            <w:tcW w:w="745" w:type="pct"/>
            <w:tcBorders>
              <w:top w:val="single" w:sz="8" w:space="0" w:color="auto"/>
              <w:left w:val="nil"/>
              <w:bottom w:val="single" w:sz="8" w:space="0" w:color="auto"/>
              <w:right w:val="single" w:sz="8" w:space="0" w:color="auto"/>
            </w:tcBorders>
            <w:vAlign w:val="center"/>
            <w:hideMark/>
          </w:tcPr>
          <w:p w14:paraId="000D67B7" w14:textId="77777777" w:rsidR="00D7114B" w:rsidRPr="00374C5C" w:rsidRDefault="00D7114B">
            <w:pPr>
              <w:jc w:val="center"/>
              <w:rPr>
                <w:rFonts w:ascii="Arial" w:hAnsi="Arial" w:cs="Arial"/>
                <w:b/>
                <w:bCs/>
                <w:color w:val="000000"/>
                <w:sz w:val="18"/>
                <w:szCs w:val="18"/>
              </w:rPr>
            </w:pPr>
            <w:r w:rsidRPr="00374C5C">
              <w:rPr>
                <w:rFonts w:ascii="Arial" w:hAnsi="Arial" w:cs="Arial"/>
                <w:b/>
                <w:bCs/>
                <w:color w:val="000000"/>
                <w:sz w:val="18"/>
                <w:szCs w:val="18"/>
                <w:lang w:eastAsia="en-US"/>
              </w:rPr>
              <w:t>31/12/2025</w:t>
            </w:r>
          </w:p>
        </w:tc>
      </w:tr>
      <w:tr w:rsidR="00D7114B" w:rsidRPr="00374C5C" w14:paraId="47828C1C"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377F38B4" w14:textId="77777777" w:rsidR="00D7114B" w:rsidRPr="00374C5C" w:rsidRDefault="00D7114B">
            <w:pPr>
              <w:rPr>
                <w:rFonts w:ascii="Arial" w:hAnsi="Arial" w:cs="Arial"/>
                <w:b/>
                <w:bCs/>
                <w:color w:val="000000"/>
                <w:sz w:val="18"/>
                <w:szCs w:val="18"/>
              </w:rPr>
            </w:pPr>
            <w:r w:rsidRPr="00374C5C">
              <w:rPr>
                <w:rFonts w:ascii="Arial" w:hAnsi="Arial" w:cs="Arial"/>
                <w:b/>
                <w:bCs/>
                <w:color w:val="000000"/>
                <w:sz w:val="18"/>
                <w:szCs w:val="18"/>
              </w:rPr>
              <w:t>A vencer (Faturados e Não Faturados)</w:t>
            </w:r>
          </w:p>
        </w:tc>
        <w:tc>
          <w:tcPr>
            <w:tcW w:w="745" w:type="pct"/>
            <w:tcBorders>
              <w:top w:val="nil"/>
              <w:left w:val="nil"/>
              <w:bottom w:val="single" w:sz="8" w:space="0" w:color="auto"/>
              <w:right w:val="single" w:sz="8" w:space="0" w:color="auto"/>
            </w:tcBorders>
            <w:noWrap/>
            <w:vAlign w:val="center"/>
            <w:hideMark/>
          </w:tcPr>
          <w:p w14:paraId="26AF14AE"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102.454 </w:t>
            </w:r>
          </w:p>
        </w:tc>
        <w:tc>
          <w:tcPr>
            <w:tcW w:w="745" w:type="pct"/>
            <w:tcBorders>
              <w:top w:val="nil"/>
              <w:left w:val="nil"/>
              <w:bottom w:val="single" w:sz="8" w:space="0" w:color="auto"/>
              <w:right w:val="single" w:sz="8" w:space="0" w:color="auto"/>
            </w:tcBorders>
            <w:noWrap/>
            <w:vAlign w:val="center"/>
            <w:hideMark/>
          </w:tcPr>
          <w:p w14:paraId="25B90F09"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117.333 </w:t>
            </w:r>
          </w:p>
        </w:tc>
      </w:tr>
      <w:tr w:rsidR="00D7114B" w:rsidRPr="00374C5C" w14:paraId="08550256"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7645DEB8" w14:textId="77777777" w:rsidR="00D7114B" w:rsidRPr="00374C5C" w:rsidRDefault="00D7114B">
            <w:pPr>
              <w:rPr>
                <w:rFonts w:ascii="Arial" w:hAnsi="Arial" w:cs="Arial"/>
                <w:b/>
                <w:bCs/>
                <w:color w:val="000000"/>
                <w:sz w:val="18"/>
                <w:szCs w:val="18"/>
              </w:rPr>
            </w:pPr>
            <w:r w:rsidRPr="00374C5C">
              <w:rPr>
                <w:rFonts w:ascii="Arial" w:hAnsi="Arial" w:cs="Arial"/>
                <w:b/>
                <w:bCs/>
                <w:color w:val="000000"/>
                <w:sz w:val="18"/>
                <w:szCs w:val="18"/>
              </w:rPr>
              <w:t>Vencidos</w:t>
            </w:r>
          </w:p>
        </w:tc>
        <w:tc>
          <w:tcPr>
            <w:tcW w:w="745" w:type="pct"/>
            <w:tcBorders>
              <w:top w:val="nil"/>
              <w:left w:val="nil"/>
              <w:bottom w:val="single" w:sz="8" w:space="0" w:color="auto"/>
              <w:right w:val="single" w:sz="8" w:space="0" w:color="auto"/>
            </w:tcBorders>
            <w:noWrap/>
            <w:vAlign w:val="center"/>
            <w:hideMark/>
          </w:tcPr>
          <w:p w14:paraId="717E1CCC"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415.895 </w:t>
            </w:r>
          </w:p>
        </w:tc>
        <w:tc>
          <w:tcPr>
            <w:tcW w:w="745" w:type="pct"/>
            <w:tcBorders>
              <w:top w:val="nil"/>
              <w:left w:val="nil"/>
              <w:bottom w:val="single" w:sz="8" w:space="0" w:color="auto"/>
              <w:right w:val="single" w:sz="8" w:space="0" w:color="auto"/>
            </w:tcBorders>
            <w:noWrap/>
            <w:vAlign w:val="center"/>
            <w:hideMark/>
          </w:tcPr>
          <w:p w14:paraId="0E23A3F1"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337.097 </w:t>
            </w:r>
          </w:p>
        </w:tc>
      </w:tr>
      <w:tr w:rsidR="00D7114B" w:rsidRPr="00374C5C" w14:paraId="589ABD5E"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4047500B" w14:textId="77777777" w:rsidR="00D7114B" w:rsidRPr="00374C5C" w:rsidRDefault="00D7114B">
            <w:pPr>
              <w:rPr>
                <w:rFonts w:ascii="Arial" w:hAnsi="Arial" w:cs="Arial"/>
                <w:color w:val="000000"/>
                <w:sz w:val="18"/>
                <w:szCs w:val="18"/>
              </w:rPr>
            </w:pPr>
            <w:r w:rsidRPr="00374C5C">
              <w:rPr>
                <w:rFonts w:ascii="Arial" w:hAnsi="Arial" w:cs="Arial"/>
                <w:color w:val="000000"/>
                <w:sz w:val="18"/>
                <w:szCs w:val="18"/>
              </w:rPr>
              <w:t>Até 30 dias</w:t>
            </w:r>
          </w:p>
        </w:tc>
        <w:tc>
          <w:tcPr>
            <w:tcW w:w="745" w:type="pct"/>
            <w:tcBorders>
              <w:top w:val="nil"/>
              <w:left w:val="nil"/>
              <w:bottom w:val="single" w:sz="8" w:space="0" w:color="auto"/>
              <w:right w:val="single" w:sz="8" w:space="0" w:color="auto"/>
            </w:tcBorders>
            <w:noWrap/>
            <w:vAlign w:val="center"/>
            <w:hideMark/>
          </w:tcPr>
          <w:p w14:paraId="0AD695AF"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211.443 </w:t>
            </w:r>
          </w:p>
        </w:tc>
        <w:tc>
          <w:tcPr>
            <w:tcW w:w="745" w:type="pct"/>
            <w:tcBorders>
              <w:top w:val="nil"/>
              <w:left w:val="nil"/>
              <w:bottom w:val="single" w:sz="8" w:space="0" w:color="auto"/>
              <w:right w:val="single" w:sz="8" w:space="0" w:color="auto"/>
            </w:tcBorders>
            <w:noWrap/>
            <w:vAlign w:val="center"/>
            <w:hideMark/>
          </w:tcPr>
          <w:p w14:paraId="65390C53"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190.135 </w:t>
            </w:r>
          </w:p>
        </w:tc>
      </w:tr>
      <w:tr w:rsidR="00D7114B" w:rsidRPr="00374C5C" w14:paraId="52258031"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435FAA99" w14:textId="77777777" w:rsidR="00D7114B" w:rsidRPr="00374C5C" w:rsidRDefault="00D7114B">
            <w:pPr>
              <w:rPr>
                <w:rFonts w:ascii="Arial" w:hAnsi="Arial" w:cs="Arial"/>
                <w:color w:val="000000"/>
                <w:sz w:val="18"/>
                <w:szCs w:val="18"/>
              </w:rPr>
            </w:pPr>
            <w:r w:rsidRPr="00374C5C">
              <w:rPr>
                <w:rFonts w:ascii="Arial" w:hAnsi="Arial" w:cs="Arial"/>
                <w:color w:val="000000"/>
                <w:sz w:val="18"/>
                <w:szCs w:val="18"/>
              </w:rPr>
              <w:t>31 a 60 dias</w:t>
            </w:r>
          </w:p>
        </w:tc>
        <w:tc>
          <w:tcPr>
            <w:tcW w:w="745" w:type="pct"/>
            <w:tcBorders>
              <w:top w:val="nil"/>
              <w:left w:val="nil"/>
              <w:bottom w:val="single" w:sz="8" w:space="0" w:color="auto"/>
              <w:right w:val="single" w:sz="8" w:space="0" w:color="auto"/>
            </w:tcBorders>
            <w:noWrap/>
            <w:vAlign w:val="center"/>
            <w:hideMark/>
          </w:tcPr>
          <w:p w14:paraId="48207531"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67.374 </w:t>
            </w:r>
          </w:p>
        </w:tc>
        <w:tc>
          <w:tcPr>
            <w:tcW w:w="745" w:type="pct"/>
            <w:tcBorders>
              <w:top w:val="nil"/>
              <w:left w:val="nil"/>
              <w:bottom w:val="single" w:sz="8" w:space="0" w:color="auto"/>
              <w:right w:val="single" w:sz="8" w:space="0" w:color="auto"/>
            </w:tcBorders>
            <w:noWrap/>
            <w:vAlign w:val="center"/>
            <w:hideMark/>
          </w:tcPr>
          <w:p w14:paraId="203CA8D4"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8.386 </w:t>
            </w:r>
          </w:p>
        </w:tc>
      </w:tr>
      <w:tr w:rsidR="00D7114B" w:rsidRPr="00374C5C" w14:paraId="4BE18A17"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03B3B3F7" w14:textId="77777777" w:rsidR="00D7114B" w:rsidRPr="00374C5C" w:rsidRDefault="00D7114B">
            <w:pPr>
              <w:rPr>
                <w:rFonts w:ascii="Arial" w:hAnsi="Arial" w:cs="Arial"/>
                <w:color w:val="000000"/>
                <w:sz w:val="18"/>
                <w:szCs w:val="18"/>
              </w:rPr>
            </w:pPr>
            <w:r w:rsidRPr="00374C5C">
              <w:rPr>
                <w:rFonts w:ascii="Arial" w:hAnsi="Arial" w:cs="Arial"/>
                <w:color w:val="000000"/>
                <w:sz w:val="18"/>
                <w:szCs w:val="18"/>
              </w:rPr>
              <w:t>61 a 90 dias</w:t>
            </w:r>
          </w:p>
        </w:tc>
        <w:tc>
          <w:tcPr>
            <w:tcW w:w="745" w:type="pct"/>
            <w:tcBorders>
              <w:top w:val="nil"/>
              <w:left w:val="nil"/>
              <w:bottom w:val="single" w:sz="8" w:space="0" w:color="auto"/>
              <w:right w:val="single" w:sz="8" w:space="0" w:color="auto"/>
            </w:tcBorders>
            <w:noWrap/>
            <w:vAlign w:val="center"/>
            <w:hideMark/>
          </w:tcPr>
          <w:p w14:paraId="200BCE3E"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990 </w:t>
            </w:r>
          </w:p>
        </w:tc>
        <w:tc>
          <w:tcPr>
            <w:tcW w:w="745" w:type="pct"/>
            <w:tcBorders>
              <w:top w:val="nil"/>
              <w:left w:val="nil"/>
              <w:bottom w:val="single" w:sz="8" w:space="0" w:color="auto"/>
              <w:right w:val="single" w:sz="8" w:space="0" w:color="auto"/>
            </w:tcBorders>
            <w:noWrap/>
            <w:vAlign w:val="center"/>
            <w:hideMark/>
          </w:tcPr>
          <w:p w14:paraId="7FF3ED3F"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37.048 </w:t>
            </w:r>
          </w:p>
        </w:tc>
      </w:tr>
      <w:tr w:rsidR="00D7114B" w:rsidRPr="00374C5C" w14:paraId="4BB19CAD"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267B661B" w14:textId="77777777" w:rsidR="00D7114B" w:rsidRPr="00374C5C" w:rsidRDefault="00D7114B">
            <w:pPr>
              <w:rPr>
                <w:rFonts w:ascii="Arial" w:hAnsi="Arial" w:cs="Arial"/>
                <w:color w:val="000000"/>
                <w:sz w:val="18"/>
                <w:szCs w:val="18"/>
              </w:rPr>
            </w:pPr>
            <w:r w:rsidRPr="00374C5C">
              <w:rPr>
                <w:rFonts w:ascii="Arial" w:hAnsi="Arial" w:cs="Arial"/>
                <w:color w:val="000000"/>
                <w:sz w:val="18"/>
                <w:szCs w:val="18"/>
              </w:rPr>
              <w:t>91 a 120 dias</w:t>
            </w:r>
          </w:p>
        </w:tc>
        <w:tc>
          <w:tcPr>
            <w:tcW w:w="745" w:type="pct"/>
            <w:tcBorders>
              <w:top w:val="nil"/>
              <w:left w:val="nil"/>
              <w:bottom w:val="single" w:sz="8" w:space="0" w:color="auto"/>
              <w:right w:val="single" w:sz="8" w:space="0" w:color="auto"/>
            </w:tcBorders>
            <w:noWrap/>
            <w:vAlign w:val="center"/>
            <w:hideMark/>
          </w:tcPr>
          <w:p w14:paraId="6708D3CD"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46.711 </w:t>
            </w:r>
          </w:p>
        </w:tc>
        <w:tc>
          <w:tcPr>
            <w:tcW w:w="745" w:type="pct"/>
            <w:tcBorders>
              <w:top w:val="nil"/>
              <w:left w:val="nil"/>
              <w:bottom w:val="single" w:sz="8" w:space="0" w:color="auto"/>
              <w:right w:val="single" w:sz="8" w:space="0" w:color="auto"/>
            </w:tcBorders>
            <w:noWrap/>
            <w:vAlign w:val="center"/>
            <w:hideMark/>
          </w:tcPr>
          <w:p w14:paraId="58B24FF0"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6.742 </w:t>
            </w:r>
          </w:p>
        </w:tc>
      </w:tr>
      <w:tr w:rsidR="00D7114B" w:rsidRPr="00374C5C" w14:paraId="097A718F"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77D487AA" w14:textId="77777777" w:rsidR="00D7114B" w:rsidRPr="00374C5C" w:rsidRDefault="00D7114B">
            <w:pPr>
              <w:rPr>
                <w:rFonts w:ascii="Arial" w:hAnsi="Arial" w:cs="Arial"/>
                <w:color w:val="000000"/>
                <w:sz w:val="18"/>
                <w:szCs w:val="18"/>
              </w:rPr>
            </w:pPr>
            <w:r w:rsidRPr="00374C5C">
              <w:rPr>
                <w:rFonts w:ascii="Arial" w:hAnsi="Arial" w:cs="Arial"/>
                <w:color w:val="000000"/>
                <w:sz w:val="18"/>
                <w:szCs w:val="18"/>
              </w:rPr>
              <w:t>121 a 150 dias</w:t>
            </w:r>
          </w:p>
        </w:tc>
        <w:tc>
          <w:tcPr>
            <w:tcW w:w="745" w:type="pct"/>
            <w:tcBorders>
              <w:top w:val="nil"/>
              <w:left w:val="nil"/>
              <w:bottom w:val="single" w:sz="8" w:space="0" w:color="auto"/>
              <w:right w:val="single" w:sz="8" w:space="0" w:color="auto"/>
            </w:tcBorders>
            <w:noWrap/>
            <w:vAlign w:val="center"/>
            <w:hideMark/>
          </w:tcPr>
          <w:p w14:paraId="2F657766"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3.154 </w:t>
            </w:r>
          </w:p>
        </w:tc>
        <w:tc>
          <w:tcPr>
            <w:tcW w:w="745" w:type="pct"/>
            <w:tcBorders>
              <w:top w:val="nil"/>
              <w:left w:val="nil"/>
              <w:bottom w:val="single" w:sz="8" w:space="0" w:color="auto"/>
              <w:right w:val="single" w:sz="8" w:space="0" w:color="auto"/>
            </w:tcBorders>
            <w:noWrap/>
            <w:vAlign w:val="center"/>
            <w:hideMark/>
          </w:tcPr>
          <w:p w14:paraId="62A25A98"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23.608 </w:t>
            </w:r>
          </w:p>
        </w:tc>
      </w:tr>
      <w:tr w:rsidR="00D7114B" w:rsidRPr="00374C5C" w14:paraId="6FB38E1F"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3963237C" w14:textId="77777777" w:rsidR="00D7114B" w:rsidRPr="00374C5C" w:rsidRDefault="00D7114B">
            <w:pPr>
              <w:rPr>
                <w:rFonts w:ascii="Arial" w:hAnsi="Arial" w:cs="Arial"/>
                <w:color w:val="000000"/>
                <w:sz w:val="18"/>
                <w:szCs w:val="18"/>
              </w:rPr>
            </w:pPr>
            <w:r w:rsidRPr="00374C5C">
              <w:rPr>
                <w:rFonts w:ascii="Arial" w:hAnsi="Arial" w:cs="Arial"/>
                <w:color w:val="000000"/>
                <w:sz w:val="18"/>
                <w:szCs w:val="18"/>
              </w:rPr>
              <w:t>151 a 180 dias</w:t>
            </w:r>
          </w:p>
        </w:tc>
        <w:tc>
          <w:tcPr>
            <w:tcW w:w="745" w:type="pct"/>
            <w:tcBorders>
              <w:top w:val="nil"/>
              <w:left w:val="nil"/>
              <w:bottom w:val="single" w:sz="8" w:space="0" w:color="auto"/>
              <w:right w:val="single" w:sz="8" w:space="0" w:color="auto"/>
            </w:tcBorders>
            <w:noWrap/>
            <w:vAlign w:val="center"/>
            <w:hideMark/>
          </w:tcPr>
          <w:p w14:paraId="2B553027"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24.478 </w:t>
            </w:r>
          </w:p>
        </w:tc>
        <w:tc>
          <w:tcPr>
            <w:tcW w:w="745" w:type="pct"/>
            <w:tcBorders>
              <w:top w:val="nil"/>
              <w:left w:val="nil"/>
              <w:bottom w:val="single" w:sz="8" w:space="0" w:color="auto"/>
              <w:right w:val="single" w:sz="8" w:space="0" w:color="auto"/>
            </w:tcBorders>
            <w:noWrap/>
            <w:vAlign w:val="center"/>
            <w:hideMark/>
          </w:tcPr>
          <w:p w14:paraId="7E25156A"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7.310 </w:t>
            </w:r>
          </w:p>
        </w:tc>
      </w:tr>
      <w:tr w:rsidR="00D7114B" w:rsidRPr="00374C5C" w14:paraId="7BD50ADE"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56603CF6" w14:textId="77777777" w:rsidR="00D7114B" w:rsidRPr="00374C5C" w:rsidRDefault="00D7114B">
            <w:pPr>
              <w:rPr>
                <w:rFonts w:ascii="Arial" w:hAnsi="Arial" w:cs="Arial"/>
                <w:color w:val="000000"/>
                <w:sz w:val="18"/>
                <w:szCs w:val="18"/>
              </w:rPr>
            </w:pPr>
            <w:r w:rsidRPr="00374C5C">
              <w:rPr>
                <w:rFonts w:ascii="Arial" w:hAnsi="Arial" w:cs="Arial"/>
                <w:color w:val="000000"/>
                <w:sz w:val="18"/>
                <w:szCs w:val="18"/>
              </w:rPr>
              <w:t xml:space="preserve">Acima de 180 dias </w:t>
            </w:r>
          </w:p>
        </w:tc>
        <w:tc>
          <w:tcPr>
            <w:tcW w:w="745" w:type="pct"/>
            <w:tcBorders>
              <w:top w:val="nil"/>
              <w:left w:val="nil"/>
              <w:bottom w:val="single" w:sz="8" w:space="0" w:color="auto"/>
              <w:right w:val="single" w:sz="8" w:space="0" w:color="auto"/>
            </w:tcBorders>
            <w:noWrap/>
            <w:vAlign w:val="center"/>
            <w:hideMark/>
          </w:tcPr>
          <w:p w14:paraId="450F9364"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61.745 </w:t>
            </w:r>
          </w:p>
        </w:tc>
        <w:tc>
          <w:tcPr>
            <w:tcW w:w="745" w:type="pct"/>
            <w:tcBorders>
              <w:top w:val="nil"/>
              <w:left w:val="nil"/>
              <w:bottom w:val="single" w:sz="8" w:space="0" w:color="auto"/>
              <w:right w:val="single" w:sz="8" w:space="0" w:color="auto"/>
            </w:tcBorders>
            <w:noWrap/>
            <w:vAlign w:val="center"/>
            <w:hideMark/>
          </w:tcPr>
          <w:p w14:paraId="01963DFF" w14:textId="77777777" w:rsidR="00D7114B" w:rsidRPr="00374C5C" w:rsidRDefault="00D7114B">
            <w:pPr>
              <w:jc w:val="right"/>
              <w:rPr>
                <w:rFonts w:ascii="Arial" w:hAnsi="Arial" w:cs="Arial"/>
                <w:color w:val="000000"/>
                <w:sz w:val="18"/>
                <w:szCs w:val="18"/>
              </w:rPr>
            </w:pPr>
            <w:r w:rsidRPr="00374C5C">
              <w:rPr>
                <w:rFonts w:ascii="Arial" w:hAnsi="Arial" w:cs="Arial"/>
                <w:color w:val="000000"/>
                <w:sz w:val="18"/>
                <w:szCs w:val="18"/>
              </w:rPr>
              <w:t xml:space="preserve">        63.868 </w:t>
            </w:r>
          </w:p>
        </w:tc>
      </w:tr>
      <w:tr w:rsidR="00D7114B" w:rsidRPr="00374C5C" w14:paraId="1B58BCF3"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370EDF6F" w14:textId="77777777" w:rsidR="00D7114B" w:rsidRPr="00374C5C" w:rsidRDefault="00D7114B">
            <w:pPr>
              <w:rPr>
                <w:rFonts w:ascii="Arial" w:hAnsi="Arial" w:cs="Arial"/>
                <w:b/>
                <w:bCs/>
                <w:color w:val="000000"/>
                <w:sz w:val="18"/>
                <w:szCs w:val="18"/>
              </w:rPr>
            </w:pPr>
            <w:r w:rsidRPr="00374C5C">
              <w:rPr>
                <w:rFonts w:ascii="Arial" w:hAnsi="Arial" w:cs="Arial"/>
                <w:b/>
                <w:bCs/>
                <w:color w:val="000000"/>
                <w:sz w:val="18"/>
                <w:szCs w:val="18"/>
              </w:rPr>
              <w:t>Contas a Receber – Bruto</w:t>
            </w:r>
          </w:p>
        </w:tc>
        <w:tc>
          <w:tcPr>
            <w:tcW w:w="745" w:type="pct"/>
            <w:tcBorders>
              <w:top w:val="nil"/>
              <w:left w:val="nil"/>
              <w:bottom w:val="single" w:sz="8" w:space="0" w:color="auto"/>
              <w:right w:val="single" w:sz="8" w:space="0" w:color="auto"/>
            </w:tcBorders>
            <w:noWrap/>
            <w:vAlign w:val="center"/>
            <w:hideMark/>
          </w:tcPr>
          <w:p w14:paraId="509E8335" w14:textId="77777777" w:rsidR="00D7114B" w:rsidRPr="00A950C6" w:rsidRDefault="00D7114B">
            <w:pPr>
              <w:jc w:val="right"/>
              <w:rPr>
                <w:rFonts w:ascii="Arial" w:hAnsi="Arial" w:cs="Arial"/>
                <w:b/>
                <w:bCs/>
                <w:color w:val="000000"/>
                <w:sz w:val="18"/>
                <w:szCs w:val="18"/>
              </w:rPr>
            </w:pPr>
            <w:r w:rsidRPr="00A950C6">
              <w:rPr>
                <w:rFonts w:ascii="Arial" w:hAnsi="Arial" w:cs="Arial"/>
                <w:b/>
                <w:bCs/>
                <w:color w:val="000000"/>
                <w:sz w:val="18"/>
                <w:szCs w:val="18"/>
              </w:rPr>
              <w:t xml:space="preserve">      518.349 </w:t>
            </w:r>
          </w:p>
        </w:tc>
        <w:tc>
          <w:tcPr>
            <w:tcW w:w="745" w:type="pct"/>
            <w:tcBorders>
              <w:top w:val="nil"/>
              <w:left w:val="nil"/>
              <w:bottom w:val="single" w:sz="8" w:space="0" w:color="auto"/>
              <w:right w:val="single" w:sz="8" w:space="0" w:color="auto"/>
            </w:tcBorders>
            <w:noWrap/>
            <w:vAlign w:val="center"/>
            <w:hideMark/>
          </w:tcPr>
          <w:p w14:paraId="6C1C78F2" w14:textId="77777777" w:rsidR="00D7114B" w:rsidRPr="00A950C6" w:rsidRDefault="00D7114B">
            <w:pPr>
              <w:jc w:val="right"/>
              <w:rPr>
                <w:rFonts w:ascii="Arial" w:hAnsi="Arial" w:cs="Arial"/>
                <w:b/>
                <w:bCs/>
                <w:color w:val="000000"/>
                <w:sz w:val="18"/>
                <w:szCs w:val="18"/>
              </w:rPr>
            </w:pPr>
            <w:r w:rsidRPr="00A950C6">
              <w:rPr>
                <w:rFonts w:ascii="Arial" w:hAnsi="Arial" w:cs="Arial"/>
                <w:b/>
                <w:bCs/>
                <w:color w:val="000000"/>
                <w:sz w:val="18"/>
                <w:szCs w:val="18"/>
              </w:rPr>
              <w:t xml:space="preserve">      454.430 </w:t>
            </w:r>
          </w:p>
        </w:tc>
      </w:tr>
      <w:tr w:rsidR="00D7114B" w:rsidRPr="00374C5C" w14:paraId="551E6BE4"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36557272" w14:textId="77777777" w:rsidR="00D7114B" w:rsidRPr="00374C5C" w:rsidRDefault="00D7114B">
            <w:pPr>
              <w:rPr>
                <w:rFonts w:ascii="Arial" w:hAnsi="Arial" w:cs="Arial"/>
                <w:b/>
                <w:bCs/>
                <w:color w:val="000000"/>
                <w:sz w:val="18"/>
                <w:szCs w:val="18"/>
              </w:rPr>
            </w:pPr>
            <w:r w:rsidRPr="00374C5C">
              <w:rPr>
                <w:rFonts w:ascii="Arial" w:hAnsi="Arial" w:cs="Arial"/>
                <w:b/>
                <w:bCs/>
                <w:color w:val="000000"/>
                <w:sz w:val="18"/>
                <w:szCs w:val="18"/>
              </w:rPr>
              <w:t>Perdas Estimadas com Créditos de Liquidação Duvidosa</w:t>
            </w:r>
          </w:p>
        </w:tc>
        <w:tc>
          <w:tcPr>
            <w:tcW w:w="745" w:type="pct"/>
            <w:tcBorders>
              <w:top w:val="nil"/>
              <w:left w:val="nil"/>
              <w:bottom w:val="single" w:sz="8" w:space="0" w:color="auto"/>
              <w:right w:val="single" w:sz="8" w:space="0" w:color="auto"/>
            </w:tcBorders>
            <w:noWrap/>
            <w:vAlign w:val="center"/>
            <w:hideMark/>
          </w:tcPr>
          <w:p w14:paraId="071453CA" w14:textId="77777777" w:rsidR="00D7114B" w:rsidRPr="00A950C6" w:rsidRDefault="00D7114B">
            <w:pPr>
              <w:jc w:val="right"/>
              <w:rPr>
                <w:rFonts w:ascii="Arial" w:hAnsi="Arial" w:cs="Arial"/>
                <w:b/>
                <w:bCs/>
                <w:color w:val="000000"/>
                <w:sz w:val="18"/>
                <w:szCs w:val="18"/>
              </w:rPr>
            </w:pPr>
            <w:r w:rsidRPr="00A950C6">
              <w:rPr>
                <w:rFonts w:ascii="Arial" w:hAnsi="Arial" w:cs="Arial"/>
                <w:b/>
                <w:bCs/>
                <w:color w:val="000000"/>
                <w:sz w:val="18"/>
                <w:szCs w:val="18"/>
              </w:rPr>
              <w:t xml:space="preserve">        (5.947)</w:t>
            </w:r>
          </w:p>
        </w:tc>
        <w:tc>
          <w:tcPr>
            <w:tcW w:w="745" w:type="pct"/>
            <w:tcBorders>
              <w:top w:val="nil"/>
              <w:left w:val="nil"/>
              <w:bottom w:val="single" w:sz="8" w:space="0" w:color="auto"/>
              <w:right w:val="single" w:sz="8" w:space="0" w:color="auto"/>
            </w:tcBorders>
            <w:noWrap/>
            <w:vAlign w:val="center"/>
            <w:hideMark/>
          </w:tcPr>
          <w:p w14:paraId="31DF0DBA" w14:textId="77777777" w:rsidR="00D7114B" w:rsidRPr="00A950C6" w:rsidRDefault="00D7114B">
            <w:pPr>
              <w:jc w:val="right"/>
              <w:rPr>
                <w:rFonts w:ascii="Arial" w:hAnsi="Arial" w:cs="Arial"/>
                <w:b/>
                <w:bCs/>
                <w:color w:val="000000"/>
                <w:sz w:val="18"/>
                <w:szCs w:val="18"/>
              </w:rPr>
            </w:pPr>
            <w:r w:rsidRPr="00A950C6">
              <w:rPr>
                <w:rFonts w:ascii="Arial" w:hAnsi="Arial" w:cs="Arial"/>
                <w:b/>
                <w:bCs/>
                <w:color w:val="000000"/>
                <w:sz w:val="18"/>
                <w:szCs w:val="18"/>
              </w:rPr>
              <w:t xml:space="preserve">        (6.088)</w:t>
            </w:r>
          </w:p>
        </w:tc>
      </w:tr>
      <w:tr w:rsidR="00D7114B" w14:paraId="772EC451" w14:textId="77777777" w:rsidTr="000258DF">
        <w:trPr>
          <w:trHeight w:val="232"/>
        </w:trPr>
        <w:tc>
          <w:tcPr>
            <w:tcW w:w="3510" w:type="pct"/>
            <w:tcBorders>
              <w:top w:val="nil"/>
              <w:left w:val="single" w:sz="8" w:space="0" w:color="auto"/>
              <w:bottom w:val="single" w:sz="8" w:space="0" w:color="auto"/>
              <w:right w:val="single" w:sz="8" w:space="0" w:color="auto"/>
            </w:tcBorders>
            <w:noWrap/>
            <w:vAlign w:val="center"/>
            <w:hideMark/>
          </w:tcPr>
          <w:p w14:paraId="0B1DE312" w14:textId="77777777" w:rsidR="00D7114B" w:rsidRPr="00374C5C" w:rsidRDefault="00D7114B">
            <w:pPr>
              <w:rPr>
                <w:rFonts w:ascii="Arial" w:hAnsi="Arial" w:cs="Arial"/>
                <w:b/>
                <w:bCs/>
                <w:color w:val="000000"/>
                <w:sz w:val="18"/>
                <w:szCs w:val="18"/>
              </w:rPr>
            </w:pPr>
            <w:r w:rsidRPr="00374C5C">
              <w:rPr>
                <w:rFonts w:ascii="Arial" w:hAnsi="Arial" w:cs="Arial"/>
                <w:b/>
                <w:bCs/>
                <w:color w:val="000000"/>
                <w:sz w:val="18"/>
                <w:szCs w:val="18"/>
              </w:rPr>
              <w:t>Contas a Receber – Líquido</w:t>
            </w:r>
          </w:p>
        </w:tc>
        <w:tc>
          <w:tcPr>
            <w:tcW w:w="745" w:type="pct"/>
            <w:tcBorders>
              <w:top w:val="nil"/>
              <w:left w:val="nil"/>
              <w:bottom w:val="single" w:sz="8" w:space="0" w:color="auto"/>
              <w:right w:val="single" w:sz="8" w:space="0" w:color="auto"/>
            </w:tcBorders>
            <w:noWrap/>
            <w:vAlign w:val="center"/>
            <w:hideMark/>
          </w:tcPr>
          <w:p w14:paraId="149CE9D5" w14:textId="77777777" w:rsidR="00D7114B" w:rsidRPr="00A950C6" w:rsidRDefault="00D7114B">
            <w:pPr>
              <w:jc w:val="right"/>
              <w:rPr>
                <w:rFonts w:ascii="Arial" w:hAnsi="Arial" w:cs="Arial"/>
                <w:b/>
                <w:bCs/>
                <w:color w:val="000000"/>
                <w:sz w:val="18"/>
                <w:szCs w:val="18"/>
              </w:rPr>
            </w:pPr>
            <w:r w:rsidRPr="00A950C6">
              <w:rPr>
                <w:rFonts w:ascii="Arial" w:hAnsi="Arial" w:cs="Arial"/>
                <w:b/>
                <w:bCs/>
                <w:color w:val="000000"/>
                <w:sz w:val="18"/>
                <w:szCs w:val="18"/>
              </w:rPr>
              <w:t xml:space="preserve">      512.402 </w:t>
            </w:r>
          </w:p>
        </w:tc>
        <w:tc>
          <w:tcPr>
            <w:tcW w:w="745" w:type="pct"/>
            <w:tcBorders>
              <w:top w:val="nil"/>
              <w:left w:val="nil"/>
              <w:bottom w:val="single" w:sz="8" w:space="0" w:color="auto"/>
              <w:right w:val="single" w:sz="8" w:space="0" w:color="auto"/>
            </w:tcBorders>
            <w:noWrap/>
            <w:vAlign w:val="center"/>
            <w:hideMark/>
          </w:tcPr>
          <w:p w14:paraId="62C33E02" w14:textId="77777777" w:rsidR="00D7114B" w:rsidRPr="00A950C6" w:rsidRDefault="00D7114B">
            <w:pPr>
              <w:jc w:val="right"/>
              <w:rPr>
                <w:rFonts w:ascii="Arial" w:hAnsi="Arial" w:cs="Arial"/>
                <w:b/>
                <w:bCs/>
                <w:color w:val="000000"/>
                <w:sz w:val="18"/>
                <w:szCs w:val="18"/>
              </w:rPr>
            </w:pPr>
            <w:r w:rsidRPr="00A950C6">
              <w:rPr>
                <w:rFonts w:ascii="Arial" w:hAnsi="Arial" w:cs="Arial"/>
                <w:b/>
                <w:bCs/>
                <w:color w:val="000000"/>
                <w:sz w:val="18"/>
                <w:szCs w:val="18"/>
              </w:rPr>
              <w:t xml:space="preserve">      448.342 </w:t>
            </w:r>
          </w:p>
        </w:tc>
      </w:tr>
    </w:tbl>
    <w:p w14:paraId="10665F58" w14:textId="77777777" w:rsidR="00D7114B" w:rsidRDefault="00D7114B" w:rsidP="00EE50EB">
      <w:pPr>
        <w:spacing w:line="276" w:lineRule="auto"/>
        <w:jc w:val="both"/>
        <w:rPr>
          <w:rFonts w:ascii="Arial" w:hAnsi="Arial" w:cs="Arial"/>
          <w:sz w:val="16"/>
          <w:szCs w:val="16"/>
        </w:rPr>
      </w:pPr>
    </w:p>
    <w:p w14:paraId="78317A1C" w14:textId="4A685801" w:rsidR="00B47645" w:rsidRDefault="0095699C" w:rsidP="00597FE5">
      <w:pPr>
        <w:autoSpaceDE w:val="0"/>
        <w:autoSpaceDN w:val="0"/>
        <w:adjustRightInd w:val="0"/>
        <w:spacing w:line="276" w:lineRule="auto"/>
        <w:jc w:val="both"/>
        <w:rPr>
          <w:rFonts w:ascii="Arial" w:hAnsi="Arial" w:cs="Arial"/>
          <w:sz w:val="22"/>
          <w:szCs w:val="22"/>
          <w:lang w:eastAsia="en-US"/>
        </w:rPr>
      </w:pPr>
      <w:r w:rsidRPr="002A36CE">
        <w:rPr>
          <w:rFonts w:ascii="Arial" w:hAnsi="Arial" w:cs="Arial"/>
          <w:sz w:val="22"/>
          <w:szCs w:val="22"/>
          <w:lang w:eastAsia="en-US"/>
        </w:rPr>
        <w:t xml:space="preserve">Em </w:t>
      </w:r>
      <w:r w:rsidR="00595828">
        <w:rPr>
          <w:rFonts w:ascii="Arial" w:hAnsi="Arial" w:cs="Arial"/>
          <w:sz w:val="22"/>
          <w:szCs w:val="22"/>
          <w:lang w:eastAsia="en-US"/>
        </w:rPr>
        <w:t>3</w:t>
      </w:r>
      <w:r w:rsidR="000104CA">
        <w:rPr>
          <w:rFonts w:ascii="Arial" w:hAnsi="Arial" w:cs="Arial"/>
          <w:sz w:val="22"/>
          <w:szCs w:val="22"/>
          <w:lang w:eastAsia="en-US"/>
        </w:rPr>
        <w:t>1</w:t>
      </w:r>
      <w:r w:rsidR="00595828">
        <w:rPr>
          <w:rFonts w:ascii="Arial" w:hAnsi="Arial" w:cs="Arial"/>
          <w:sz w:val="22"/>
          <w:szCs w:val="22"/>
          <w:lang w:eastAsia="en-US"/>
        </w:rPr>
        <w:t xml:space="preserve"> de </w:t>
      </w:r>
      <w:r w:rsidR="00374C5C">
        <w:rPr>
          <w:rFonts w:ascii="Arial" w:hAnsi="Arial" w:cs="Arial"/>
          <w:sz w:val="22"/>
          <w:szCs w:val="22"/>
          <w:lang w:eastAsia="en-US"/>
        </w:rPr>
        <w:t>março</w:t>
      </w:r>
      <w:r w:rsidRPr="002A36CE">
        <w:rPr>
          <w:rFonts w:ascii="Arial" w:hAnsi="Arial" w:cs="Arial"/>
          <w:sz w:val="22"/>
          <w:szCs w:val="22"/>
          <w:lang w:eastAsia="en-US"/>
        </w:rPr>
        <w:t xml:space="preserve"> de 20</w:t>
      </w:r>
      <w:r w:rsidR="001D5279" w:rsidRPr="002A36CE">
        <w:rPr>
          <w:rFonts w:ascii="Arial" w:hAnsi="Arial" w:cs="Arial"/>
          <w:sz w:val="22"/>
          <w:szCs w:val="22"/>
          <w:lang w:eastAsia="en-US"/>
        </w:rPr>
        <w:t>2</w:t>
      </w:r>
      <w:r w:rsidR="00374C5C">
        <w:rPr>
          <w:rFonts w:ascii="Arial" w:hAnsi="Arial" w:cs="Arial"/>
          <w:sz w:val="22"/>
          <w:szCs w:val="22"/>
          <w:lang w:eastAsia="en-US"/>
        </w:rPr>
        <w:t>6</w:t>
      </w:r>
      <w:r w:rsidRPr="002A36CE">
        <w:rPr>
          <w:rFonts w:ascii="Arial" w:hAnsi="Arial" w:cs="Arial"/>
          <w:sz w:val="22"/>
          <w:szCs w:val="22"/>
          <w:lang w:eastAsia="en-US"/>
        </w:rPr>
        <w:t xml:space="preserve"> e </w:t>
      </w:r>
      <w:r w:rsidR="00CB228B" w:rsidRPr="002A36CE">
        <w:rPr>
          <w:rFonts w:ascii="Arial" w:hAnsi="Arial" w:cs="Arial"/>
          <w:sz w:val="22"/>
          <w:szCs w:val="22"/>
          <w:lang w:eastAsia="en-US"/>
        </w:rPr>
        <w:t xml:space="preserve">31 de dezembro de </w:t>
      </w:r>
      <w:r w:rsidRPr="002A36CE">
        <w:rPr>
          <w:rFonts w:ascii="Arial" w:hAnsi="Arial" w:cs="Arial"/>
          <w:sz w:val="22"/>
          <w:szCs w:val="22"/>
          <w:lang w:eastAsia="en-US"/>
        </w:rPr>
        <w:t>20</w:t>
      </w:r>
      <w:r w:rsidR="00775E81">
        <w:rPr>
          <w:rFonts w:ascii="Arial" w:hAnsi="Arial" w:cs="Arial"/>
          <w:sz w:val="22"/>
          <w:szCs w:val="22"/>
          <w:lang w:eastAsia="en-US"/>
        </w:rPr>
        <w:t>2</w:t>
      </w:r>
      <w:r w:rsidR="00374C5C">
        <w:rPr>
          <w:rFonts w:ascii="Arial" w:hAnsi="Arial" w:cs="Arial"/>
          <w:sz w:val="22"/>
          <w:szCs w:val="22"/>
          <w:lang w:eastAsia="en-US"/>
        </w:rPr>
        <w:t>5</w:t>
      </w:r>
      <w:r w:rsidRPr="002A36CE">
        <w:rPr>
          <w:rFonts w:ascii="Arial" w:hAnsi="Arial" w:cs="Arial"/>
          <w:sz w:val="22"/>
          <w:szCs w:val="22"/>
          <w:lang w:eastAsia="en-US"/>
        </w:rPr>
        <w:t xml:space="preserve">, </w:t>
      </w:r>
      <w:r w:rsidR="00C77C9C" w:rsidRPr="002A36CE">
        <w:rPr>
          <w:rFonts w:ascii="Arial" w:hAnsi="Arial" w:cs="Arial"/>
          <w:sz w:val="22"/>
          <w:szCs w:val="22"/>
          <w:lang w:eastAsia="en-US"/>
        </w:rPr>
        <w:t>a Companhia</w:t>
      </w:r>
      <w:r w:rsidRPr="002A36CE">
        <w:rPr>
          <w:rFonts w:ascii="Arial" w:hAnsi="Arial" w:cs="Arial"/>
          <w:sz w:val="22"/>
          <w:szCs w:val="22"/>
          <w:lang w:eastAsia="en-US"/>
        </w:rPr>
        <w:t xml:space="preserve"> possuía valores a receber de Entidades do Governo Federal que representavam mais de 10% </w:t>
      </w:r>
      <w:r w:rsidR="00B47645" w:rsidRPr="002A36CE">
        <w:rPr>
          <w:rFonts w:ascii="Arial" w:hAnsi="Arial" w:cs="Arial"/>
          <w:sz w:val="22"/>
          <w:szCs w:val="22"/>
          <w:lang w:eastAsia="en-US"/>
        </w:rPr>
        <w:t>das contas a receber líquidas</w:t>
      </w:r>
      <w:r w:rsidRPr="002A36CE">
        <w:rPr>
          <w:rFonts w:ascii="Arial" w:hAnsi="Arial" w:cs="Arial"/>
          <w:sz w:val="22"/>
          <w:szCs w:val="22"/>
          <w:lang w:eastAsia="en-US"/>
        </w:rPr>
        <w:t>.</w:t>
      </w:r>
    </w:p>
    <w:p w14:paraId="6FF7F16B" w14:textId="77777777" w:rsidR="00830364" w:rsidRPr="002A36CE" w:rsidRDefault="00830364" w:rsidP="00597FE5">
      <w:pPr>
        <w:autoSpaceDE w:val="0"/>
        <w:autoSpaceDN w:val="0"/>
        <w:adjustRightInd w:val="0"/>
        <w:spacing w:line="276" w:lineRule="auto"/>
        <w:jc w:val="both"/>
        <w:rPr>
          <w:sz w:val="22"/>
          <w:szCs w:val="22"/>
        </w:rPr>
      </w:pPr>
    </w:p>
    <w:p w14:paraId="67330554" w14:textId="47E08616" w:rsidR="00F20E3E" w:rsidRPr="002A36CE" w:rsidRDefault="00F20E3E" w:rsidP="009541E1">
      <w:pPr>
        <w:pStyle w:val="Ttulo2"/>
        <w:numPr>
          <w:ilvl w:val="1"/>
          <w:numId w:val="5"/>
        </w:numPr>
        <w:tabs>
          <w:tab w:val="clear" w:pos="284"/>
          <w:tab w:val="clear" w:pos="340"/>
        </w:tabs>
        <w:spacing w:before="0" w:after="0" w:line="276" w:lineRule="auto"/>
        <w:ind w:left="851" w:hanging="851"/>
        <w:jc w:val="both"/>
        <w:rPr>
          <w:rFonts w:ascii="Arial" w:hAnsi="Arial" w:cs="Arial"/>
        </w:rPr>
      </w:pPr>
      <w:bookmarkStart w:id="13" w:name="_Toc491337710"/>
      <w:r w:rsidRPr="002A36CE">
        <w:rPr>
          <w:rFonts w:ascii="Arial" w:hAnsi="Arial" w:cs="Arial"/>
        </w:rPr>
        <w:t>Perda</w:t>
      </w:r>
      <w:r w:rsidR="00FD543F" w:rsidRPr="002A36CE">
        <w:rPr>
          <w:rFonts w:ascii="Arial" w:hAnsi="Arial" w:cs="Arial"/>
        </w:rPr>
        <w:t>s</w:t>
      </w:r>
      <w:r w:rsidRPr="002A36CE">
        <w:rPr>
          <w:rFonts w:ascii="Arial" w:hAnsi="Arial" w:cs="Arial"/>
        </w:rPr>
        <w:t xml:space="preserve"> estimada</w:t>
      </w:r>
      <w:r w:rsidR="00FD543F" w:rsidRPr="002A36CE">
        <w:rPr>
          <w:rFonts w:ascii="Arial" w:hAnsi="Arial" w:cs="Arial"/>
        </w:rPr>
        <w:t>s</w:t>
      </w:r>
      <w:r w:rsidRPr="002A36CE">
        <w:rPr>
          <w:rFonts w:ascii="Arial" w:hAnsi="Arial" w:cs="Arial"/>
        </w:rPr>
        <w:t xml:space="preserve"> com crédito</w:t>
      </w:r>
      <w:r w:rsidR="00FD543F" w:rsidRPr="002A36CE">
        <w:rPr>
          <w:rFonts w:ascii="Arial" w:hAnsi="Arial" w:cs="Arial"/>
        </w:rPr>
        <w:t>s</w:t>
      </w:r>
      <w:r w:rsidRPr="002A36CE">
        <w:rPr>
          <w:rFonts w:ascii="Arial" w:hAnsi="Arial" w:cs="Arial"/>
        </w:rPr>
        <w:t xml:space="preserve"> de liquidação duvidosa</w:t>
      </w:r>
      <w:bookmarkEnd w:id="13"/>
    </w:p>
    <w:p w14:paraId="6FD50575" w14:textId="77777777" w:rsidR="001555DE" w:rsidRPr="002A36CE" w:rsidRDefault="001555DE" w:rsidP="00597FE5">
      <w:pPr>
        <w:spacing w:line="276" w:lineRule="auto"/>
        <w:jc w:val="both"/>
        <w:rPr>
          <w:rFonts w:ascii="Arial" w:hAnsi="Arial" w:cs="Arial"/>
          <w:bCs/>
          <w:sz w:val="14"/>
          <w:szCs w:val="14"/>
        </w:rPr>
      </w:pPr>
    </w:p>
    <w:p w14:paraId="2904C1D1" w14:textId="0799B079" w:rsidR="00B94367" w:rsidRPr="002A36CE" w:rsidRDefault="00D520E6" w:rsidP="00597FE5">
      <w:pPr>
        <w:spacing w:line="276" w:lineRule="auto"/>
        <w:jc w:val="both"/>
        <w:rPr>
          <w:rFonts w:ascii="Arial" w:hAnsi="Arial" w:cs="Arial"/>
          <w:bCs/>
          <w:sz w:val="22"/>
          <w:szCs w:val="22"/>
        </w:rPr>
      </w:pPr>
      <w:r>
        <w:rPr>
          <w:rFonts w:ascii="Arial" w:hAnsi="Arial" w:cs="Arial"/>
          <w:bCs/>
          <w:sz w:val="22"/>
          <w:szCs w:val="22"/>
        </w:rPr>
        <w:t>A</w:t>
      </w:r>
      <w:r w:rsidR="00B94367" w:rsidRPr="002A36CE">
        <w:rPr>
          <w:rFonts w:ascii="Arial" w:hAnsi="Arial" w:cs="Arial"/>
          <w:bCs/>
          <w:sz w:val="22"/>
          <w:szCs w:val="22"/>
        </w:rPr>
        <w:t xml:space="preserve"> Companhia reconhece o valor da estimativa de perdas com base no modelo de perdas esperadas. No cálculo são utilizadas bases históricas de inadimplência, prazos de recebimento e volumes de perdas incorridas, ajustadas conforme o julgamento da </w:t>
      </w:r>
      <w:r w:rsidR="00215825">
        <w:rPr>
          <w:rFonts w:ascii="Arial" w:hAnsi="Arial" w:cs="Arial"/>
          <w:bCs/>
          <w:sz w:val="22"/>
          <w:szCs w:val="22"/>
        </w:rPr>
        <w:t>A</w:t>
      </w:r>
      <w:r w:rsidR="00B94367" w:rsidRPr="002A36CE">
        <w:rPr>
          <w:rFonts w:ascii="Arial" w:hAnsi="Arial" w:cs="Arial"/>
          <w:bCs/>
          <w:sz w:val="22"/>
          <w:szCs w:val="22"/>
        </w:rPr>
        <w:t xml:space="preserve">dministração, quando as condições atuais de economia indiquem que perdas reais sejam superiores ou inferiores àquelas sugeridas pela base histórica. As proporções de inadimplência e de perdas, bem como os prazos estimados para recuperações futuras são regularmente analisados com os resultados reais, a fim de confirmar a sua aderência. As perdas </w:t>
      </w:r>
      <w:r w:rsidR="001555DE" w:rsidRPr="002A36CE">
        <w:rPr>
          <w:rFonts w:ascii="Arial" w:hAnsi="Arial" w:cs="Arial"/>
          <w:bCs/>
          <w:sz w:val="22"/>
          <w:szCs w:val="22"/>
        </w:rPr>
        <w:t xml:space="preserve">estimadas </w:t>
      </w:r>
      <w:r w:rsidR="00B94367" w:rsidRPr="002A36CE">
        <w:rPr>
          <w:rFonts w:ascii="Arial" w:hAnsi="Arial" w:cs="Arial"/>
          <w:bCs/>
          <w:sz w:val="22"/>
          <w:szCs w:val="22"/>
        </w:rPr>
        <w:t>são reconhecidas no resultado</w:t>
      </w:r>
      <w:r w:rsidR="001555DE" w:rsidRPr="002A36CE">
        <w:rPr>
          <w:rFonts w:ascii="Arial" w:hAnsi="Arial" w:cs="Arial"/>
          <w:bCs/>
          <w:sz w:val="22"/>
          <w:szCs w:val="22"/>
        </w:rPr>
        <w:t>.</w:t>
      </w:r>
    </w:p>
    <w:p w14:paraId="716C114A" w14:textId="77777777" w:rsidR="00AA02A1" w:rsidRPr="002A36CE" w:rsidRDefault="00AA02A1" w:rsidP="00597FE5">
      <w:pPr>
        <w:spacing w:line="276" w:lineRule="auto"/>
        <w:jc w:val="both"/>
        <w:rPr>
          <w:rFonts w:ascii="Arial" w:hAnsi="Arial" w:cs="Arial"/>
          <w:bCs/>
          <w:sz w:val="22"/>
          <w:szCs w:val="22"/>
        </w:rPr>
        <w:sectPr w:rsidR="00AA02A1" w:rsidRPr="002A36CE" w:rsidSect="006056D5">
          <w:footerReference w:type="default" r:id="rId35"/>
          <w:type w:val="continuous"/>
          <w:pgSz w:w="11906" w:h="16838" w:code="9"/>
          <w:pgMar w:top="848" w:right="849" w:bottom="993" w:left="1276" w:header="850" w:footer="964" w:gutter="0"/>
          <w:cols w:space="708"/>
          <w:docGrid w:linePitch="360"/>
        </w:sectPr>
      </w:pPr>
    </w:p>
    <w:p w14:paraId="1E3CE343" w14:textId="623DA191" w:rsidR="001555DE" w:rsidRPr="002A36CE" w:rsidRDefault="001555DE" w:rsidP="00597FE5">
      <w:pPr>
        <w:spacing w:line="276" w:lineRule="auto"/>
        <w:jc w:val="both"/>
        <w:rPr>
          <w:rFonts w:ascii="Arial" w:hAnsi="Arial" w:cs="Arial"/>
          <w:bCs/>
          <w:sz w:val="22"/>
          <w:szCs w:val="22"/>
        </w:rPr>
      </w:pPr>
    </w:p>
    <w:p w14:paraId="2702FDC2" w14:textId="61D12C49" w:rsidR="001555DE" w:rsidRDefault="001555DE" w:rsidP="001555DE">
      <w:pPr>
        <w:jc w:val="both"/>
        <w:rPr>
          <w:rFonts w:ascii="Arial" w:hAnsi="Arial" w:cs="Arial"/>
          <w:sz w:val="22"/>
          <w:szCs w:val="22"/>
        </w:rPr>
      </w:pPr>
      <w:r w:rsidRPr="002A36CE">
        <w:rPr>
          <w:rFonts w:ascii="Arial" w:hAnsi="Arial" w:cs="Arial"/>
          <w:sz w:val="22"/>
          <w:szCs w:val="22"/>
        </w:rPr>
        <w:t>A composição da</w:t>
      </w:r>
      <w:r w:rsidR="00BF2B26" w:rsidRPr="002A36CE">
        <w:rPr>
          <w:rFonts w:ascii="Arial" w:hAnsi="Arial" w:cs="Arial"/>
          <w:sz w:val="22"/>
          <w:szCs w:val="22"/>
        </w:rPr>
        <w:t>s</w:t>
      </w:r>
      <w:r w:rsidRPr="002A36CE">
        <w:rPr>
          <w:rFonts w:ascii="Arial" w:hAnsi="Arial" w:cs="Arial"/>
          <w:sz w:val="22"/>
          <w:szCs w:val="22"/>
        </w:rPr>
        <w:t xml:space="preserve"> perda</w:t>
      </w:r>
      <w:r w:rsidR="00FD543F" w:rsidRPr="002A36CE">
        <w:rPr>
          <w:rFonts w:ascii="Arial" w:hAnsi="Arial" w:cs="Arial"/>
          <w:sz w:val="22"/>
          <w:szCs w:val="22"/>
        </w:rPr>
        <w:t>s</w:t>
      </w:r>
      <w:r w:rsidRPr="002A36CE">
        <w:rPr>
          <w:rFonts w:ascii="Arial" w:hAnsi="Arial" w:cs="Arial"/>
          <w:sz w:val="22"/>
          <w:szCs w:val="22"/>
        </w:rPr>
        <w:t xml:space="preserve"> estimada</w:t>
      </w:r>
      <w:r w:rsidR="00FD543F" w:rsidRPr="002A36CE">
        <w:rPr>
          <w:rFonts w:ascii="Arial" w:hAnsi="Arial" w:cs="Arial"/>
          <w:sz w:val="22"/>
          <w:szCs w:val="22"/>
        </w:rPr>
        <w:t>s</w:t>
      </w:r>
      <w:r w:rsidRPr="002A36CE">
        <w:rPr>
          <w:rFonts w:ascii="Arial" w:hAnsi="Arial" w:cs="Arial"/>
          <w:sz w:val="22"/>
          <w:szCs w:val="22"/>
        </w:rPr>
        <w:t xml:space="preserve"> com crédito</w:t>
      </w:r>
      <w:r w:rsidR="00FD543F"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de acordo com o critério de constituição</w:t>
      </w:r>
      <w:r w:rsidR="00260E68">
        <w:rPr>
          <w:rFonts w:ascii="Arial" w:hAnsi="Arial" w:cs="Arial"/>
          <w:sz w:val="22"/>
          <w:szCs w:val="22"/>
        </w:rPr>
        <w:t>,</w:t>
      </w:r>
      <w:r w:rsidRPr="002A36CE">
        <w:rPr>
          <w:rFonts w:ascii="Arial" w:hAnsi="Arial" w:cs="Arial"/>
          <w:sz w:val="22"/>
          <w:szCs w:val="22"/>
        </w:rPr>
        <w:t xml:space="preserve"> é apresentada a seguir:</w:t>
      </w:r>
    </w:p>
    <w:p w14:paraId="21707C98" w14:textId="77777777" w:rsidR="00231362" w:rsidRDefault="00231362" w:rsidP="001555DE">
      <w:pPr>
        <w:jc w:val="both"/>
        <w:rPr>
          <w:rFonts w:ascii="Arial" w:hAnsi="Arial" w:cs="Arial"/>
          <w:sz w:val="22"/>
          <w:szCs w:val="22"/>
        </w:rPr>
      </w:pPr>
    </w:p>
    <w:p w14:paraId="0C84A1C0" w14:textId="549F0AC5" w:rsidR="004B65F4" w:rsidRDefault="004B65F4" w:rsidP="001555DE">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8"/>
        <w:gridCol w:w="1163"/>
        <w:gridCol w:w="1181"/>
        <w:gridCol w:w="1092"/>
        <w:gridCol w:w="1034"/>
        <w:gridCol w:w="1283"/>
        <w:gridCol w:w="1030"/>
      </w:tblGrid>
      <w:tr w:rsidR="00E45948" w:rsidRPr="00231362" w14:paraId="385AA40D" w14:textId="77777777" w:rsidTr="00231362">
        <w:trPr>
          <w:trHeight w:val="232"/>
          <w:tblHeader/>
        </w:trPr>
        <w:tc>
          <w:tcPr>
            <w:tcW w:w="1537" w:type="pct"/>
            <w:vMerge w:val="restart"/>
            <w:shd w:val="clear" w:color="000000" w:fill="D9D9D9"/>
            <w:vAlign w:val="center"/>
            <w:hideMark/>
          </w:tcPr>
          <w:p w14:paraId="178F43AA" w14:textId="77777777" w:rsidR="00E45948" w:rsidRPr="00231362" w:rsidRDefault="00E45948" w:rsidP="00E45948">
            <w:pPr>
              <w:jc w:val="center"/>
              <w:rPr>
                <w:rFonts w:ascii="Arial" w:hAnsi="Arial" w:cs="Arial"/>
                <w:b/>
                <w:bCs/>
                <w:color w:val="000000"/>
                <w:sz w:val="16"/>
                <w:szCs w:val="16"/>
              </w:rPr>
            </w:pPr>
            <w:r w:rsidRPr="00231362">
              <w:rPr>
                <w:rFonts w:ascii="Arial" w:hAnsi="Arial" w:cs="Arial"/>
                <w:b/>
                <w:bCs/>
                <w:color w:val="000000"/>
                <w:sz w:val="16"/>
                <w:szCs w:val="16"/>
              </w:rPr>
              <w:lastRenderedPageBreak/>
              <w:t xml:space="preserve">Faixas de Vencimentos </w:t>
            </w:r>
          </w:p>
        </w:tc>
        <w:tc>
          <w:tcPr>
            <w:tcW w:w="593" w:type="pct"/>
            <w:vMerge w:val="restart"/>
            <w:vAlign w:val="center"/>
            <w:hideMark/>
          </w:tcPr>
          <w:p w14:paraId="6E239CA8" w14:textId="77777777" w:rsidR="00E45948" w:rsidRPr="00231362" w:rsidRDefault="00E45948" w:rsidP="00E45948">
            <w:pPr>
              <w:jc w:val="center"/>
              <w:rPr>
                <w:rFonts w:ascii="Arial" w:hAnsi="Arial" w:cs="Arial"/>
                <w:b/>
                <w:bCs/>
                <w:color w:val="000000"/>
                <w:sz w:val="16"/>
                <w:szCs w:val="16"/>
              </w:rPr>
            </w:pPr>
            <w:r w:rsidRPr="00231362">
              <w:rPr>
                <w:rFonts w:ascii="Arial" w:hAnsi="Arial" w:cs="Arial"/>
                <w:b/>
                <w:bCs/>
                <w:color w:val="000000"/>
                <w:sz w:val="16"/>
                <w:szCs w:val="16"/>
              </w:rPr>
              <w:t xml:space="preserve"> Valor a Receber sem Exclusões </w:t>
            </w:r>
          </w:p>
        </w:tc>
        <w:tc>
          <w:tcPr>
            <w:tcW w:w="1143" w:type="pct"/>
            <w:gridSpan w:val="2"/>
            <w:vAlign w:val="center"/>
            <w:hideMark/>
          </w:tcPr>
          <w:p w14:paraId="673DD94E" w14:textId="77777777" w:rsidR="00E45948" w:rsidRPr="00231362" w:rsidRDefault="00E45948" w:rsidP="00E45948">
            <w:pPr>
              <w:jc w:val="center"/>
              <w:rPr>
                <w:rFonts w:ascii="Arial" w:hAnsi="Arial" w:cs="Arial"/>
                <w:b/>
                <w:bCs/>
                <w:color w:val="000000"/>
                <w:sz w:val="16"/>
                <w:szCs w:val="16"/>
              </w:rPr>
            </w:pPr>
            <w:r w:rsidRPr="00231362">
              <w:rPr>
                <w:rFonts w:ascii="Arial" w:hAnsi="Arial" w:cs="Arial"/>
                <w:b/>
                <w:bCs/>
                <w:color w:val="000000"/>
                <w:sz w:val="16"/>
                <w:szCs w:val="16"/>
              </w:rPr>
              <w:t xml:space="preserve"> Exclusões da Base de Cálculo </w:t>
            </w:r>
          </w:p>
        </w:tc>
        <w:tc>
          <w:tcPr>
            <w:tcW w:w="537" w:type="pct"/>
            <w:vMerge w:val="restart"/>
            <w:vAlign w:val="center"/>
            <w:hideMark/>
          </w:tcPr>
          <w:p w14:paraId="4AC68457" w14:textId="77777777" w:rsidR="00E45948" w:rsidRPr="00231362" w:rsidRDefault="00E45948" w:rsidP="00E45948">
            <w:pPr>
              <w:jc w:val="center"/>
              <w:rPr>
                <w:rFonts w:ascii="Arial" w:hAnsi="Arial" w:cs="Arial"/>
                <w:b/>
                <w:bCs/>
                <w:color w:val="000000"/>
                <w:sz w:val="16"/>
                <w:szCs w:val="16"/>
              </w:rPr>
            </w:pPr>
            <w:r w:rsidRPr="00231362">
              <w:rPr>
                <w:rFonts w:ascii="Arial" w:hAnsi="Arial" w:cs="Arial"/>
                <w:b/>
                <w:bCs/>
                <w:color w:val="000000"/>
                <w:sz w:val="16"/>
                <w:szCs w:val="16"/>
              </w:rPr>
              <w:t xml:space="preserve"> Valor a Receber após Exclusões </w:t>
            </w:r>
          </w:p>
        </w:tc>
        <w:tc>
          <w:tcPr>
            <w:tcW w:w="664" w:type="pct"/>
            <w:vMerge w:val="restart"/>
            <w:vAlign w:val="center"/>
            <w:hideMark/>
          </w:tcPr>
          <w:p w14:paraId="3CCFD2E0" w14:textId="77777777" w:rsidR="00E45948" w:rsidRPr="00231362" w:rsidRDefault="00E45948" w:rsidP="00E45948">
            <w:pPr>
              <w:jc w:val="center"/>
              <w:rPr>
                <w:rFonts w:ascii="Arial" w:hAnsi="Arial" w:cs="Arial"/>
                <w:b/>
                <w:bCs/>
                <w:color w:val="000000"/>
                <w:sz w:val="16"/>
                <w:szCs w:val="16"/>
              </w:rPr>
            </w:pPr>
            <w:r w:rsidRPr="00231362">
              <w:rPr>
                <w:rFonts w:ascii="Arial" w:hAnsi="Arial" w:cs="Arial"/>
                <w:b/>
                <w:bCs/>
                <w:color w:val="000000"/>
                <w:sz w:val="16"/>
                <w:szCs w:val="16"/>
              </w:rPr>
              <w:t xml:space="preserve"> % Inadimplência por Faixa </w:t>
            </w:r>
          </w:p>
        </w:tc>
        <w:tc>
          <w:tcPr>
            <w:tcW w:w="526" w:type="pct"/>
            <w:vMerge w:val="restart"/>
            <w:vAlign w:val="center"/>
            <w:hideMark/>
          </w:tcPr>
          <w:p w14:paraId="0BD9A9FA" w14:textId="77777777" w:rsidR="00E45948" w:rsidRPr="00231362" w:rsidRDefault="00E45948" w:rsidP="00E45948">
            <w:pPr>
              <w:jc w:val="center"/>
              <w:rPr>
                <w:rFonts w:ascii="Arial" w:hAnsi="Arial" w:cs="Arial"/>
                <w:b/>
                <w:bCs/>
                <w:color w:val="000000"/>
                <w:sz w:val="16"/>
                <w:szCs w:val="16"/>
              </w:rPr>
            </w:pPr>
            <w:r w:rsidRPr="00231362">
              <w:rPr>
                <w:rFonts w:ascii="Arial" w:hAnsi="Arial" w:cs="Arial"/>
                <w:b/>
                <w:bCs/>
                <w:color w:val="000000"/>
                <w:sz w:val="16"/>
                <w:szCs w:val="16"/>
              </w:rPr>
              <w:t xml:space="preserve"> Valor da PECLD </w:t>
            </w:r>
          </w:p>
        </w:tc>
      </w:tr>
      <w:tr w:rsidR="00E45948" w:rsidRPr="00231362" w14:paraId="181E1343" w14:textId="77777777" w:rsidTr="00231362">
        <w:trPr>
          <w:trHeight w:val="232"/>
          <w:tblHeader/>
        </w:trPr>
        <w:tc>
          <w:tcPr>
            <w:tcW w:w="1537" w:type="pct"/>
            <w:vMerge/>
            <w:vAlign w:val="center"/>
            <w:hideMark/>
          </w:tcPr>
          <w:p w14:paraId="08546476" w14:textId="77777777" w:rsidR="00E45948" w:rsidRPr="00231362" w:rsidRDefault="00E45948" w:rsidP="00E45948">
            <w:pPr>
              <w:rPr>
                <w:rFonts w:ascii="Arial" w:hAnsi="Arial" w:cs="Arial"/>
                <w:b/>
                <w:bCs/>
                <w:color w:val="000000"/>
                <w:sz w:val="16"/>
                <w:szCs w:val="16"/>
              </w:rPr>
            </w:pPr>
          </w:p>
        </w:tc>
        <w:tc>
          <w:tcPr>
            <w:tcW w:w="593" w:type="pct"/>
            <w:vMerge/>
            <w:vAlign w:val="center"/>
            <w:hideMark/>
          </w:tcPr>
          <w:p w14:paraId="289EBF43" w14:textId="77777777" w:rsidR="00E45948" w:rsidRPr="00231362" w:rsidRDefault="00E45948" w:rsidP="00E45948">
            <w:pPr>
              <w:rPr>
                <w:rFonts w:ascii="Arial" w:hAnsi="Arial" w:cs="Arial"/>
                <w:b/>
                <w:bCs/>
                <w:color w:val="000000"/>
                <w:sz w:val="16"/>
                <w:szCs w:val="16"/>
              </w:rPr>
            </w:pPr>
          </w:p>
        </w:tc>
        <w:tc>
          <w:tcPr>
            <w:tcW w:w="594" w:type="pct"/>
            <w:vAlign w:val="center"/>
            <w:hideMark/>
          </w:tcPr>
          <w:p w14:paraId="6D1C3040" w14:textId="77777777" w:rsidR="00E45948" w:rsidRPr="00231362" w:rsidRDefault="00E45948" w:rsidP="00E45948">
            <w:pPr>
              <w:jc w:val="center"/>
              <w:rPr>
                <w:rFonts w:ascii="Arial" w:hAnsi="Arial" w:cs="Arial"/>
                <w:b/>
                <w:bCs/>
                <w:color w:val="000000"/>
                <w:sz w:val="16"/>
                <w:szCs w:val="16"/>
              </w:rPr>
            </w:pPr>
            <w:r w:rsidRPr="00231362">
              <w:rPr>
                <w:rFonts w:ascii="Arial" w:hAnsi="Arial" w:cs="Arial"/>
                <w:b/>
                <w:bCs/>
                <w:color w:val="000000"/>
                <w:sz w:val="16"/>
                <w:szCs w:val="16"/>
              </w:rPr>
              <w:t xml:space="preserve"> Parceiros (i) </w:t>
            </w:r>
          </w:p>
        </w:tc>
        <w:tc>
          <w:tcPr>
            <w:tcW w:w="550" w:type="pct"/>
            <w:vAlign w:val="center"/>
            <w:hideMark/>
          </w:tcPr>
          <w:p w14:paraId="6D73E8F4" w14:textId="77777777" w:rsidR="00E45948" w:rsidRPr="00231362" w:rsidRDefault="00E45948" w:rsidP="00E45948">
            <w:pPr>
              <w:jc w:val="center"/>
              <w:rPr>
                <w:rFonts w:ascii="Arial" w:hAnsi="Arial" w:cs="Arial"/>
                <w:b/>
                <w:bCs/>
                <w:color w:val="000000"/>
                <w:sz w:val="16"/>
                <w:szCs w:val="16"/>
              </w:rPr>
            </w:pPr>
            <w:r w:rsidRPr="00231362">
              <w:rPr>
                <w:rFonts w:ascii="Arial" w:hAnsi="Arial" w:cs="Arial"/>
                <w:b/>
                <w:bCs/>
                <w:color w:val="000000"/>
                <w:sz w:val="16"/>
                <w:szCs w:val="16"/>
              </w:rPr>
              <w:t xml:space="preserve"> Exclusão de Clientes da Base de Cálculo (ii) </w:t>
            </w:r>
          </w:p>
        </w:tc>
        <w:tc>
          <w:tcPr>
            <w:tcW w:w="537" w:type="pct"/>
            <w:vMerge/>
            <w:vAlign w:val="center"/>
            <w:hideMark/>
          </w:tcPr>
          <w:p w14:paraId="12BCD374" w14:textId="77777777" w:rsidR="00E45948" w:rsidRPr="00231362" w:rsidRDefault="00E45948" w:rsidP="00E45948">
            <w:pPr>
              <w:rPr>
                <w:rFonts w:ascii="Arial" w:hAnsi="Arial" w:cs="Arial"/>
                <w:b/>
                <w:bCs/>
                <w:color w:val="000000"/>
                <w:sz w:val="16"/>
                <w:szCs w:val="16"/>
              </w:rPr>
            </w:pPr>
          </w:p>
        </w:tc>
        <w:tc>
          <w:tcPr>
            <w:tcW w:w="664" w:type="pct"/>
            <w:vMerge/>
            <w:vAlign w:val="center"/>
            <w:hideMark/>
          </w:tcPr>
          <w:p w14:paraId="7108B186" w14:textId="77777777" w:rsidR="00E45948" w:rsidRPr="00231362" w:rsidRDefault="00E45948" w:rsidP="00E45948">
            <w:pPr>
              <w:rPr>
                <w:rFonts w:ascii="Arial" w:hAnsi="Arial" w:cs="Arial"/>
                <w:b/>
                <w:bCs/>
                <w:color w:val="000000"/>
                <w:sz w:val="16"/>
                <w:szCs w:val="16"/>
              </w:rPr>
            </w:pPr>
          </w:p>
        </w:tc>
        <w:tc>
          <w:tcPr>
            <w:tcW w:w="526" w:type="pct"/>
            <w:vMerge/>
            <w:vAlign w:val="center"/>
            <w:hideMark/>
          </w:tcPr>
          <w:p w14:paraId="758F5E35" w14:textId="77777777" w:rsidR="00E45948" w:rsidRPr="00231362" w:rsidRDefault="00E45948" w:rsidP="00E45948">
            <w:pPr>
              <w:rPr>
                <w:rFonts w:ascii="Arial" w:hAnsi="Arial" w:cs="Arial"/>
                <w:b/>
                <w:bCs/>
                <w:color w:val="000000"/>
                <w:sz w:val="16"/>
                <w:szCs w:val="16"/>
              </w:rPr>
            </w:pPr>
          </w:p>
        </w:tc>
      </w:tr>
      <w:tr w:rsidR="00E45948" w:rsidRPr="00231362" w14:paraId="462CA540" w14:textId="77777777" w:rsidTr="00E45948">
        <w:trPr>
          <w:trHeight w:val="232"/>
        </w:trPr>
        <w:tc>
          <w:tcPr>
            <w:tcW w:w="1537" w:type="pct"/>
            <w:noWrap/>
            <w:vAlign w:val="center"/>
            <w:hideMark/>
          </w:tcPr>
          <w:p w14:paraId="54D5BC7E" w14:textId="77777777" w:rsidR="00E45948" w:rsidRPr="00231362" w:rsidRDefault="00E45948" w:rsidP="00E45948">
            <w:pPr>
              <w:rPr>
                <w:rFonts w:ascii="Arial" w:hAnsi="Arial" w:cs="Arial"/>
                <w:b/>
                <w:bCs/>
                <w:color w:val="000000"/>
                <w:sz w:val="16"/>
                <w:szCs w:val="16"/>
              </w:rPr>
            </w:pPr>
            <w:r w:rsidRPr="00231362">
              <w:rPr>
                <w:rFonts w:ascii="Arial" w:hAnsi="Arial" w:cs="Arial"/>
                <w:b/>
                <w:bCs/>
                <w:color w:val="000000"/>
                <w:sz w:val="16"/>
                <w:szCs w:val="16"/>
              </w:rPr>
              <w:t xml:space="preserve"> Não Faturado </w:t>
            </w:r>
          </w:p>
        </w:tc>
        <w:tc>
          <w:tcPr>
            <w:tcW w:w="593" w:type="pct"/>
            <w:noWrap/>
            <w:vAlign w:val="center"/>
            <w:hideMark/>
          </w:tcPr>
          <w:p w14:paraId="26AD0EBC"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54.962 </w:t>
            </w:r>
          </w:p>
        </w:tc>
        <w:tc>
          <w:tcPr>
            <w:tcW w:w="594" w:type="pct"/>
            <w:noWrap/>
            <w:vAlign w:val="center"/>
            <w:hideMark/>
          </w:tcPr>
          <w:p w14:paraId="581AF76B"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(1.232)</w:t>
            </w:r>
          </w:p>
        </w:tc>
        <w:tc>
          <w:tcPr>
            <w:tcW w:w="550" w:type="pct"/>
            <w:noWrap/>
            <w:vAlign w:val="center"/>
            <w:hideMark/>
          </w:tcPr>
          <w:p w14:paraId="1D92BBC2"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(50.315)</w:t>
            </w:r>
          </w:p>
        </w:tc>
        <w:tc>
          <w:tcPr>
            <w:tcW w:w="537" w:type="pct"/>
            <w:noWrap/>
            <w:vAlign w:val="center"/>
            <w:hideMark/>
          </w:tcPr>
          <w:p w14:paraId="2139CCEE"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3.415 </w:t>
            </w:r>
          </w:p>
        </w:tc>
        <w:tc>
          <w:tcPr>
            <w:tcW w:w="664" w:type="pct"/>
            <w:noWrap/>
            <w:vAlign w:val="center"/>
            <w:hideMark/>
          </w:tcPr>
          <w:p w14:paraId="41779CEE"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1,65%</w:t>
            </w:r>
          </w:p>
        </w:tc>
        <w:tc>
          <w:tcPr>
            <w:tcW w:w="526" w:type="pct"/>
            <w:noWrap/>
            <w:vAlign w:val="center"/>
            <w:hideMark/>
          </w:tcPr>
          <w:p w14:paraId="24CC2177"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56 </w:t>
            </w:r>
          </w:p>
        </w:tc>
      </w:tr>
      <w:tr w:rsidR="00E45948" w:rsidRPr="00231362" w14:paraId="1F323362" w14:textId="77777777" w:rsidTr="00E45948">
        <w:trPr>
          <w:trHeight w:val="232"/>
        </w:trPr>
        <w:tc>
          <w:tcPr>
            <w:tcW w:w="1537" w:type="pct"/>
            <w:noWrap/>
            <w:vAlign w:val="center"/>
            <w:hideMark/>
          </w:tcPr>
          <w:p w14:paraId="39CC6BFB" w14:textId="77777777" w:rsidR="00E45948" w:rsidRPr="00231362" w:rsidRDefault="00E45948" w:rsidP="00E45948">
            <w:pPr>
              <w:rPr>
                <w:rFonts w:ascii="Arial" w:hAnsi="Arial" w:cs="Arial"/>
                <w:b/>
                <w:bCs/>
                <w:color w:val="000000"/>
                <w:sz w:val="16"/>
                <w:szCs w:val="16"/>
              </w:rPr>
            </w:pPr>
            <w:r w:rsidRPr="00231362">
              <w:rPr>
                <w:rFonts w:ascii="Arial" w:hAnsi="Arial" w:cs="Arial"/>
                <w:b/>
                <w:bCs/>
                <w:color w:val="000000"/>
                <w:sz w:val="16"/>
                <w:szCs w:val="16"/>
              </w:rPr>
              <w:t xml:space="preserve"> A Vencer </w:t>
            </w:r>
          </w:p>
        </w:tc>
        <w:tc>
          <w:tcPr>
            <w:tcW w:w="593" w:type="pct"/>
            <w:noWrap/>
            <w:vAlign w:val="center"/>
            <w:hideMark/>
          </w:tcPr>
          <w:p w14:paraId="72574CF4"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47.492 </w:t>
            </w:r>
          </w:p>
        </w:tc>
        <w:tc>
          <w:tcPr>
            <w:tcW w:w="594" w:type="pct"/>
            <w:noWrap/>
            <w:vAlign w:val="center"/>
            <w:hideMark/>
          </w:tcPr>
          <w:p w14:paraId="1A302581"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   </w:t>
            </w:r>
          </w:p>
        </w:tc>
        <w:tc>
          <w:tcPr>
            <w:tcW w:w="550" w:type="pct"/>
            <w:noWrap/>
            <w:vAlign w:val="center"/>
            <w:hideMark/>
          </w:tcPr>
          <w:p w14:paraId="441B78E4"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(39.766)</w:t>
            </w:r>
          </w:p>
        </w:tc>
        <w:tc>
          <w:tcPr>
            <w:tcW w:w="537" w:type="pct"/>
            <w:noWrap/>
            <w:vAlign w:val="center"/>
            <w:hideMark/>
          </w:tcPr>
          <w:p w14:paraId="6CF9910D"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7.726 </w:t>
            </w:r>
          </w:p>
        </w:tc>
        <w:tc>
          <w:tcPr>
            <w:tcW w:w="664" w:type="pct"/>
            <w:noWrap/>
            <w:vAlign w:val="center"/>
            <w:hideMark/>
          </w:tcPr>
          <w:p w14:paraId="3D3E91D7"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1,65%</w:t>
            </w:r>
          </w:p>
        </w:tc>
        <w:tc>
          <w:tcPr>
            <w:tcW w:w="526" w:type="pct"/>
            <w:noWrap/>
            <w:vAlign w:val="center"/>
            <w:hideMark/>
          </w:tcPr>
          <w:p w14:paraId="246DB129"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127 </w:t>
            </w:r>
          </w:p>
        </w:tc>
      </w:tr>
      <w:tr w:rsidR="00E45948" w:rsidRPr="00231362" w14:paraId="26FF4971" w14:textId="77777777" w:rsidTr="00E45948">
        <w:trPr>
          <w:trHeight w:val="232"/>
        </w:trPr>
        <w:tc>
          <w:tcPr>
            <w:tcW w:w="1537" w:type="pct"/>
            <w:noWrap/>
            <w:vAlign w:val="center"/>
            <w:hideMark/>
          </w:tcPr>
          <w:p w14:paraId="63EA06FF" w14:textId="77777777" w:rsidR="00E45948" w:rsidRPr="00231362" w:rsidRDefault="00E45948" w:rsidP="00E45948">
            <w:pPr>
              <w:rPr>
                <w:rFonts w:ascii="Arial" w:hAnsi="Arial" w:cs="Arial"/>
                <w:b/>
                <w:bCs/>
                <w:color w:val="000000"/>
                <w:sz w:val="16"/>
                <w:szCs w:val="16"/>
              </w:rPr>
            </w:pPr>
            <w:r w:rsidRPr="00231362">
              <w:rPr>
                <w:rFonts w:ascii="Arial" w:hAnsi="Arial" w:cs="Arial"/>
                <w:b/>
                <w:bCs/>
                <w:color w:val="000000"/>
                <w:sz w:val="16"/>
                <w:szCs w:val="16"/>
              </w:rPr>
              <w:t xml:space="preserve"> Vencidos:  </w:t>
            </w:r>
          </w:p>
        </w:tc>
        <w:tc>
          <w:tcPr>
            <w:tcW w:w="593" w:type="pct"/>
            <w:noWrap/>
            <w:vAlign w:val="center"/>
            <w:hideMark/>
          </w:tcPr>
          <w:p w14:paraId="241B6105"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415.895 </w:t>
            </w:r>
          </w:p>
        </w:tc>
        <w:tc>
          <w:tcPr>
            <w:tcW w:w="594" w:type="pct"/>
            <w:noWrap/>
            <w:vAlign w:val="center"/>
            <w:hideMark/>
          </w:tcPr>
          <w:p w14:paraId="4965C45F"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(17.509)</w:t>
            </w:r>
          </w:p>
        </w:tc>
        <w:tc>
          <w:tcPr>
            <w:tcW w:w="550" w:type="pct"/>
            <w:noWrap/>
            <w:vAlign w:val="center"/>
            <w:hideMark/>
          </w:tcPr>
          <w:p w14:paraId="602B5C42"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(387.934)</w:t>
            </w:r>
          </w:p>
        </w:tc>
        <w:tc>
          <w:tcPr>
            <w:tcW w:w="537" w:type="pct"/>
            <w:noWrap/>
            <w:vAlign w:val="center"/>
            <w:hideMark/>
          </w:tcPr>
          <w:p w14:paraId="7A7F3174"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10.452 </w:t>
            </w:r>
          </w:p>
        </w:tc>
        <w:tc>
          <w:tcPr>
            <w:tcW w:w="664" w:type="pct"/>
            <w:shd w:val="clear" w:color="000000" w:fill="D9D9D9"/>
            <w:noWrap/>
            <w:vAlign w:val="center"/>
            <w:hideMark/>
          </w:tcPr>
          <w:p w14:paraId="7C993B67"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w:t>
            </w:r>
          </w:p>
        </w:tc>
        <w:tc>
          <w:tcPr>
            <w:tcW w:w="526" w:type="pct"/>
            <w:noWrap/>
            <w:vAlign w:val="center"/>
            <w:hideMark/>
          </w:tcPr>
          <w:p w14:paraId="1D88DFD2"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5.764 </w:t>
            </w:r>
          </w:p>
        </w:tc>
      </w:tr>
      <w:tr w:rsidR="00E45948" w:rsidRPr="00231362" w14:paraId="7FDCF1A5" w14:textId="77777777" w:rsidTr="00E45948">
        <w:trPr>
          <w:trHeight w:val="232"/>
        </w:trPr>
        <w:tc>
          <w:tcPr>
            <w:tcW w:w="1537" w:type="pct"/>
            <w:vAlign w:val="center"/>
            <w:hideMark/>
          </w:tcPr>
          <w:p w14:paraId="2AB138D6" w14:textId="77777777" w:rsidR="00E45948" w:rsidRPr="00231362" w:rsidRDefault="00E45948" w:rsidP="00E45948">
            <w:pPr>
              <w:ind w:firstLineChars="100" w:firstLine="161"/>
              <w:rPr>
                <w:rFonts w:ascii="Arial" w:hAnsi="Arial" w:cs="Arial"/>
                <w:b/>
                <w:bCs/>
                <w:color w:val="000000"/>
                <w:sz w:val="16"/>
                <w:szCs w:val="16"/>
              </w:rPr>
            </w:pPr>
            <w:r w:rsidRPr="00231362">
              <w:rPr>
                <w:rFonts w:ascii="Arial" w:hAnsi="Arial" w:cs="Arial"/>
                <w:b/>
                <w:bCs/>
                <w:color w:val="000000"/>
                <w:sz w:val="16"/>
                <w:szCs w:val="16"/>
              </w:rPr>
              <w:t xml:space="preserve"> Até 30 dias </w:t>
            </w:r>
          </w:p>
        </w:tc>
        <w:tc>
          <w:tcPr>
            <w:tcW w:w="593" w:type="pct"/>
            <w:noWrap/>
            <w:vAlign w:val="center"/>
            <w:hideMark/>
          </w:tcPr>
          <w:p w14:paraId="6BDE39D7"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211.443 </w:t>
            </w:r>
          </w:p>
        </w:tc>
        <w:tc>
          <w:tcPr>
            <w:tcW w:w="594" w:type="pct"/>
            <w:noWrap/>
            <w:vAlign w:val="center"/>
            <w:hideMark/>
          </w:tcPr>
          <w:p w14:paraId="475DCD9D"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(2.355)</w:t>
            </w:r>
          </w:p>
        </w:tc>
        <w:tc>
          <w:tcPr>
            <w:tcW w:w="550" w:type="pct"/>
            <w:noWrap/>
            <w:vAlign w:val="center"/>
            <w:hideMark/>
          </w:tcPr>
          <w:p w14:paraId="74A5D813"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(207.986)</w:t>
            </w:r>
          </w:p>
        </w:tc>
        <w:tc>
          <w:tcPr>
            <w:tcW w:w="537" w:type="pct"/>
            <w:noWrap/>
            <w:vAlign w:val="center"/>
            <w:hideMark/>
          </w:tcPr>
          <w:p w14:paraId="195F3B27"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1.102 </w:t>
            </w:r>
          </w:p>
        </w:tc>
        <w:tc>
          <w:tcPr>
            <w:tcW w:w="664" w:type="pct"/>
            <w:noWrap/>
            <w:vAlign w:val="center"/>
            <w:hideMark/>
          </w:tcPr>
          <w:p w14:paraId="756D1085"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1,65%</w:t>
            </w:r>
          </w:p>
        </w:tc>
        <w:tc>
          <w:tcPr>
            <w:tcW w:w="526" w:type="pct"/>
            <w:noWrap/>
            <w:vAlign w:val="center"/>
            <w:hideMark/>
          </w:tcPr>
          <w:p w14:paraId="741FB7D9"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18 </w:t>
            </w:r>
          </w:p>
        </w:tc>
      </w:tr>
      <w:tr w:rsidR="00E45948" w:rsidRPr="00231362" w14:paraId="6AA875FA" w14:textId="77777777" w:rsidTr="00E45948">
        <w:trPr>
          <w:trHeight w:val="232"/>
        </w:trPr>
        <w:tc>
          <w:tcPr>
            <w:tcW w:w="1537" w:type="pct"/>
            <w:vAlign w:val="center"/>
            <w:hideMark/>
          </w:tcPr>
          <w:p w14:paraId="5A2F43D8" w14:textId="77777777" w:rsidR="00E45948" w:rsidRPr="00231362" w:rsidRDefault="00E45948" w:rsidP="00E45948">
            <w:pPr>
              <w:ind w:firstLineChars="100" w:firstLine="161"/>
              <w:rPr>
                <w:rFonts w:ascii="Arial" w:hAnsi="Arial" w:cs="Arial"/>
                <w:b/>
                <w:bCs/>
                <w:color w:val="000000"/>
                <w:sz w:val="16"/>
                <w:szCs w:val="16"/>
              </w:rPr>
            </w:pPr>
            <w:r w:rsidRPr="00231362">
              <w:rPr>
                <w:rFonts w:ascii="Arial" w:hAnsi="Arial" w:cs="Arial"/>
                <w:b/>
                <w:bCs/>
                <w:color w:val="000000"/>
                <w:sz w:val="16"/>
                <w:szCs w:val="16"/>
              </w:rPr>
              <w:t xml:space="preserve"> De 31 a 60 dias </w:t>
            </w:r>
          </w:p>
        </w:tc>
        <w:tc>
          <w:tcPr>
            <w:tcW w:w="593" w:type="pct"/>
            <w:noWrap/>
            <w:vAlign w:val="center"/>
            <w:hideMark/>
          </w:tcPr>
          <w:p w14:paraId="624AADE0"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67.374 </w:t>
            </w:r>
          </w:p>
        </w:tc>
        <w:tc>
          <w:tcPr>
            <w:tcW w:w="594" w:type="pct"/>
            <w:noWrap/>
            <w:vAlign w:val="center"/>
            <w:hideMark/>
          </w:tcPr>
          <w:p w14:paraId="65FD669B"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(450)</w:t>
            </w:r>
          </w:p>
        </w:tc>
        <w:tc>
          <w:tcPr>
            <w:tcW w:w="550" w:type="pct"/>
            <w:noWrap/>
            <w:vAlign w:val="center"/>
            <w:hideMark/>
          </w:tcPr>
          <w:p w14:paraId="4556284B"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(66.462)</w:t>
            </w:r>
          </w:p>
        </w:tc>
        <w:tc>
          <w:tcPr>
            <w:tcW w:w="537" w:type="pct"/>
            <w:noWrap/>
            <w:vAlign w:val="center"/>
            <w:hideMark/>
          </w:tcPr>
          <w:p w14:paraId="155492E0"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462 </w:t>
            </w:r>
          </w:p>
        </w:tc>
        <w:tc>
          <w:tcPr>
            <w:tcW w:w="664" w:type="pct"/>
            <w:noWrap/>
            <w:vAlign w:val="center"/>
            <w:hideMark/>
          </w:tcPr>
          <w:p w14:paraId="689355BE"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9,97%</w:t>
            </w:r>
          </w:p>
        </w:tc>
        <w:tc>
          <w:tcPr>
            <w:tcW w:w="526" w:type="pct"/>
            <w:noWrap/>
            <w:vAlign w:val="center"/>
            <w:hideMark/>
          </w:tcPr>
          <w:p w14:paraId="774D46F7"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46 </w:t>
            </w:r>
          </w:p>
        </w:tc>
      </w:tr>
      <w:tr w:rsidR="00E45948" w:rsidRPr="00231362" w14:paraId="200320E9" w14:textId="77777777" w:rsidTr="00E45948">
        <w:trPr>
          <w:trHeight w:val="232"/>
        </w:trPr>
        <w:tc>
          <w:tcPr>
            <w:tcW w:w="1537" w:type="pct"/>
            <w:vAlign w:val="center"/>
            <w:hideMark/>
          </w:tcPr>
          <w:p w14:paraId="5BC2E896" w14:textId="77777777" w:rsidR="00E45948" w:rsidRPr="00231362" w:rsidRDefault="00E45948" w:rsidP="00E45948">
            <w:pPr>
              <w:ind w:firstLineChars="100" w:firstLine="161"/>
              <w:rPr>
                <w:rFonts w:ascii="Arial" w:hAnsi="Arial" w:cs="Arial"/>
                <w:b/>
                <w:bCs/>
                <w:color w:val="000000"/>
                <w:sz w:val="16"/>
                <w:szCs w:val="16"/>
              </w:rPr>
            </w:pPr>
            <w:r w:rsidRPr="00231362">
              <w:rPr>
                <w:rFonts w:ascii="Arial" w:hAnsi="Arial" w:cs="Arial"/>
                <w:b/>
                <w:bCs/>
                <w:color w:val="000000"/>
                <w:sz w:val="16"/>
                <w:szCs w:val="16"/>
              </w:rPr>
              <w:t xml:space="preserve"> De 61 a 90 dias </w:t>
            </w:r>
          </w:p>
        </w:tc>
        <w:tc>
          <w:tcPr>
            <w:tcW w:w="593" w:type="pct"/>
            <w:noWrap/>
            <w:vAlign w:val="center"/>
            <w:hideMark/>
          </w:tcPr>
          <w:p w14:paraId="5F61AA7E"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990 </w:t>
            </w:r>
          </w:p>
        </w:tc>
        <w:tc>
          <w:tcPr>
            <w:tcW w:w="594" w:type="pct"/>
            <w:noWrap/>
            <w:vAlign w:val="center"/>
            <w:hideMark/>
          </w:tcPr>
          <w:p w14:paraId="40D6821C"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(778)</w:t>
            </w:r>
          </w:p>
        </w:tc>
        <w:tc>
          <w:tcPr>
            <w:tcW w:w="550" w:type="pct"/>
            <w:noWrap/>
            <w:vAlign w:val="center"/>
            <w:hideMark/>
          </w:tcPr>
          <w:p w14:paraId="004A39F4"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   </w:t>
            </w:r>
          </w:p>
        </w:tc>
        <w:tc>
          <w:tcPr>
            <w:tcW w:w="537" w:type="pct"/>
            <w:noWrap/>
            <w:vAlign w:val="center"/>
            <w:hideMark/>
          </w:tcPr>
          <w:p w14:paraId="3A9DE795"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212 </w:t>
            </w:r>
          </w:p>
        </w:tc>
        <w:tc>
          <w:tcPr>
            <w:tcW w:w="664" w:type="pct"/>
            <w:noWrap/>
            <w:vAlign w:val="center"/>
            <w:hideMark/>
          </w:tcPr>
          <w:p w14:paraId="56CA23D5"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19,87%</w:t>
            </w:r>
          </w:p>
        </w:tc>
        <w:tc>
          <w:tcPr>
            <w:tcW w:w="526" w:type="pct"/>
            <w:noWrap/>
            <w:vAlign w:val="center"/>
            <w:hideMark/>
          </w:tcPr>
          <w:p w14:paraId="23CD8F67"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42 </w:t>
            </w:r>
          </w:p>
        </w:tc>
      </w:tr>
      <w:tr w:rsidR="00E45948" w:rsidRPr="00231362" w14:paraId="6DB01F9D" w14:textId="77777777" w:rsidTr="00E45948">
        <w:trPr>
          <w:trHeight w:val="232"/>
        </w:trPr>
        <w:tc>
          <w:tcPr>
            <w:tcW w:w="1537" w:type="pct"/>
            <w:vAlign w:val="center"/>
            <w:hideMark/>
          </w:tcPr>
          <w:p w14:paraId="331250DA" w14:textId="77777777" w:rsidR="00E45948" w:rsidRPr="00231362" w:rsidRDefault="00E45948" w:rsidP="00E45948">
            <w:pPr>
              <w:ind w:firstLineChars="100" w:firstLine="161"/>
              <w:rPr>
                <w:rFonts w:ascii="Arial" w:hAnsi="Arial" w:cs="Arial"/>
                <w:b/>
                <w:bCs/>
                <w:color w:val="000000"/>
                <w:sz w:val="16"/>
                <w:szCs w:val="16"/>
              </w:rPr>
            </w:pPr>
            <w:r w:rsidRPr="00231362">
              <w:rPr>
                <w:rFonts w:ascii="Arial" w:hAnsi="Arial" w:cs="Arial"/>
                <w:b/>
                <w:bCs/>
                <w:color w:val="000000"/>
                <w:sz w:val="16"/>
                <w:szCs w:val="16"/>
              </w:rPr>
              <w:t xml:space="preserve"> De 91 a 120 dias </w:t>
            </w:r>
          </w:p>
        </w:tc>
        <w:tc>
          <w:tcPr>
            <w:tcW w:w="593" w:type="pct"/>
            <w:noWrap/>
            <w:vAlign w:val="center"/>
            <w:hideMark/>
          </w:tcPr>
          <w:p w14:paraId="60B49C9A"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46.711 </w:t>
            </w:r>
          </w:p>
        </w:tc>
        <w:tc>
          <w:tcPr>
            <w:tcW w:w="594" w:type="pct"/>
            <w:noWrap/>
            <w:vAlign w:val="center"/>
            <w:hideMark/>
          </w:tcPr>
          <w:p w14:paraId="0BE89EE2"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(866)</w:t>
            </w:r>
          </w:p>
        </w:tc>
        <w:tc>
          <w:tcPr>
            <w:tcW w:w="550" w:type="pct"/>
            <w:noWrap/>
            <w:vAlign w:val="center"/>
            <w:hideMark/>
          </w:tcPr>
          <w:p w14:paraId="7623FCE5"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(45.147)</w:t>
            </w:r>
          </w:p>
        </w:tc>
        <w:tc>
          <w:tcPr>
            <w:tcW w:w="537" w:type="pct"/>
            <w:noWrap/>
            <w:vAlign w:val="center"/>
            <w:hideMark/>
          </w:tcPr>
          <w:p w14:paraId="5DA9D141"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698 </w:t>
            </w:r>
          </w:p>
        </w:tc>
        <w:tc>
          <w:tcPr>
            <w:tcW w:w="664" w:type="pct"/>
            <w:noWrap/>
            <w:vAlign w:val="center"/>
            <w:hideMark/>
          </w:tcPr>
          <w:p w14:paraId="56CD9263"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30,28%</w:t>
            </w:r>
          </w:p>
        </w:tc>
        <w:tc>
          <w:tcPr>
            <w:tcW w:w="526" w:type="pct"/>
            <w:noWrap/>
            <w:vAlign w:val="center"/>
            <w:hideMark/>
          </w:tcPr>
          <w:p w14:paraId="2775CFC2"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211 </w:t>
            </w:r>
          </w:p>
        </w:tc>
      </w:tr>
      <w:tr w:rsidR="00E45948" w:rsidRPr="00231362" w14:paraId="0E00E5DF" w14:textId="77777777" w:rsidTr="00E45948">
        <w:trPr>
          <w:trHeight w:val="232"/>
        </w:trPr>
        <w:tc>
          <w:tcPr>
            <w:tcW w:w="1537" w:type="pct"/>
            <w:vAlign w:val="center"/>
            <w:hideMark/>
          </w:tcPr>
          <w:p w14:paraId="18B9B795" w14:textId="77777777" w:rsidR="00E45948" w:rsidRPr="00231362" w:rsidRDefault="00E45948" w:rsidP="00E45948">
            <w:pPr>
              <w:ind w:firstLineChars="100" w:firstLine="161"/>
              <w:rPr>
                <w:rFonts w:ascii="Arial" w:hAnsi="Arial" w:cs="Arial"/>
                <w:b/>
                <w:bCs/>
                <w:color w:val="000000"/>
                <w:sz w:val="16"/>
                <w:szCs w:val="16"/>
              </w:rPr>
            </w:pPr>
            <w:r w:rsidRPr="00231362">
              <w:rPr>
                <w:rFonts w:ascii="Arial" w:hAnsi="Arial" w:cs="Arial"/>
                <w:b/>
                <w:bCs/>
                <w:color w:val="000000"/>
                <w:sz w:val="16"/>
                <w:szCs w:val="16"/>
              </w:rPr>
              <w:t xml:space="preserve"> De 121 a 150 dias </w:t>
            </w:r>
          </w:p>
        </w:tc>
        <w:tc>
          <w:tcPr>
            <w:tcW w:w="593" w:type="pct"/>
            <w:noWrap/>
            <w:vAlign w:val="center"/>
            <w:hideMark/>
          </w:tcPr>
          <w:p w14:paraId="27C49830"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3.154 </w:t>
            </w:r>
          </w:p>
        </w:tc>
        <w:tc>
          <w:tcPr>
            <w:tcW w:w="594" w:type="pct"/>
            <w:noWrap/>
            <w:vAlign w:val="center"/>
            <w:hideMark/>
          </w:tcPr>
          <w:p w14:paraId="3C0F20BC"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(777)</w:t>
            </w:r>
          </w:p>
        </w:tc>
        <w:tc>
          <w:tcPr>
            <w:tcW w:w="550" w:type="pct"/>
            <w:noWrap/>
            <w:vAlign w:val="center"/>
            <w:hideMark/>
          </w:tcPr>
          <w:p w14:paraId="2B67A816"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(1.868)</w:t>
            </w:r>
          </w:p>
        </w:tc>
        <w:tc>
          <w:tcPr>
            <w:tcW w:w="537" w:type="pct"/>
            <w:noWrap/>
            <w:vAlign w:val="center"/>
            <w:hideMark/>
          </w:tcPr>
          <w:p w14:paraId="42A81B06"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509 </w:t>
            </w:r>
          </w:p>
        </w:tc>
        <w:tc>
          <w:tcPr>
            <w:tcW w:w="664" w:type="pct"/>
            <w:noWrap/>
            <w:vAlign w:val="center"/>
            <w:hideMark/>
          </w:tcPr>
          <w:p w14:paraId="46219683"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45,92%</w:t>
            </w:r>
          </w:p>
        </w:tc>
        <w:tc>
          <w:tcPr>
            <w:tcW w:w="526" w:type="pct"/>
            <w:noWrap/>
            <w:vAlign w:val="center"/>
            <w:hideMark/>
          </w:tcPr>
          <w:p w14:paraId="1197F78F"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234 </w:t>
            </w:r>
          </w:p>
        </w:tc>
      </w:tr>
      <w:tr w:rsidR="00E45948" w:rsidRPr="00231362" w14:paraId="492F7780" w14:textId="77777777" w:rsidTr="00E45948">
        <w:trPr>
          <w:trHeight w:val="232"/>
        </w:trPr>
        <w:tc>
          <w:tcPr>
            <w:tcW w:w="1537" w:type="pct"/>
            <w:vAlign w:val="center"/>
            <w:hideMark/>
          </w:tcPr>
          <w:p w14:paraId="537F42F9" w14:textId="77777777" w:rsidR="00E45948" w:rsidRPr="00231362" w:rsidRDefault="00E45948" w:rsidP="00E45948">
            <w:pPr>
              <w:ind w:firstLineChars="100" w:firstLine="161"/>
              <w:rPr>
                <w:rFonts w:ascii="Arial" w:hAnsi="Arial" w:cs="Arial"/>
                <w:b/>
                <w:bCs/>
                <w:color w:val="000000"/>
                <w:sz w:val="16"/>
                <w:szCs w:val="16"/>
              </w:rPr>
            </w:pPr>
            <w:r w:rsidRPr="00231362">
              <w:rPr>
                <w:rFonts w:ascii="Arial" w:hAnsi="Arial" w:cs="Arial"/>
                <w:b/>
                <w:bCs/>
                <w:color w:val="000000"/>
                <w:sz w:val="16"/>
                <w:szCs w:val="16"/>
              </w:rPr>
              <w:t xml:space="preserve"> De 151 a 180 dias </w:t>
            </w:r>
          </w:p>
        </w:tc>
        <w:tc>
          <w:tcPr>
            <w:tcW w:w="593" w:type="pct"/>
            <w:noWrap/>
            <w:vAlign w:val="center"/>
            <w:hideMark/>
          </w:tcPr>
          <w:p w14:paraId="543935AE"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24.478 </w:t>
            </w:r>
          </w:p>
        </w:tc>
        <w:tc>
          <w:tcPr>
            <w:tcW w:w="594" w:type="pct"/>
            <w:noWrap/>
            <w:vAlign w:val="center"/>
            <w:hideMark/>
          </w:tcPr>
          <w:p w14:paraId="31CD2B47"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(538)</w:t>
            </w:r>
          </w:p>
        </w:tc>
        <w:tc>
          <w:tcPr>
            <w:tcW w:w="550" w:type="pct"/>
            <w:noWrap/>
            <w:vAlign w:val="center"/>
            <w:hideMark/>
          </w:tcPr>
          <w:p w14:paraId="27021F2E"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(23.192)</w:t>
            </w:r>
          </w:p>
        </w:tc>
        <w:tc>
          <w:tcPr>
            <w:tcW w:w="537" w:type="pct"/>
            <w:noWrap/>
            <w:vAlign w:val="center"/>
            <w:hideMark/>
          </w:tcPr>
          <w:p w14:paraId="17730021"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748 </w:t>
            </w:r>
          </w:p>
        </w:tc>
        <w:tc>
          <w:tcPr>
            <w:tcW w:w="664" w:type="pct"/>
            <w:noWrap/>
            <w:vAlign w:val="center"/>
            <w:hideMark/>
          </w:tcPr>
          <w:p w14:paraId="31D8B25A"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57,56%</w:t>
            </w:r>
          </w:p>
        </w:tc>
        <w:tc>
          <w:tcPr>
            <w:tcW w:w="526" w:type="pct"/>
            <w:noWrap/>
            <w:vAlign w:val="center"/>
            <w:hideMark/>
          </w:tcPr>
          <w:p w14:paraId="613F01A8"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431 </w:t>
            </w:r>
          </w:p>
        </w:tc>
      </w:tr>
      <w:tr w:rsidR="00E45948" w:rsidRPr="00231362" w14:paraId="0E3B18F4" w14:textId="77777777" w:rsidTr="00E45948">
        <w:trPr>
          <w:trHeight w:val="232"/>
        </w:trPr>
        <w:tc>
          <w:tcPr>
            <w:tcW w:w="1537" w:type="pct"/>
            <w:vAlign w:val="center"/>
            <w:hideMark/>
          </w:tcPr>
          <w:p w14:paraId="3D0851CD" w14:textId="77777777" w:rsidR="00E45948" w:rsidRPr="00231362" w:rsidRDefault="00E45948" w:rsidP="00E45948">
            <w:pPr>
              <w:ind w:firstLineChars="100" w:firstLine="161"/>
              <w:rPr>
                <w:rFonts w:ascii="Arial" w:hAnsi="Arial" w:cs="Arial"/>
                <w:b/>
                <w:bCs/>
                <w:color w:val="000000"/>
                <w:sz w:val="16"/>
                <w:szCs w:val="16"/>
              </w:rPr>
            </w:pPr>
            <w:r w:rsidRPr="00231362">
              <w:rPr>
                <w:rFonts w:ascii="Arial" w:hAnsi="Arial" w:cs="Arial"/>
                <w:b/>
                <w:bCs/>
                <w:color w:val="000000"/>
                <w:sz w:val="16"/>
                <w:szCs w:val="16"/>
              </w:rPr>
              <w:t xml:space="preserve"> + de 180 dias</w:t>
            </w:r>
          </w:p>
        </w:tc>
        <w:tc>
          <w:tcPr>
            <w:tcW w:w="593" w:type="pct"/>
            <w:noWrap/>
            <w:vAlign w:val="center"/>
            <w:hideMark/>
          </w:tcPr>
          <w:p w14:paraId="0336F952"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61.745 </w:t>
            </w:r>
          </w:p>
        </w:tc>
        <w:tc>
          <w:tcPr>
            <w:tcW w:w="594" w:type="pct"/>
            <w:noWrap/>
            <w:vAlign w:val="center"/>
            <w:hideMark/>
          </w:tcPr>
          <w:p w14:paraId="6F077C14"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(11.745)</w:t>
            </w:r>
          </w:p>
        </w:tc>
        <w:tc>
          <w:tcPr>
            <w:tcW w:w="550" w:type="pct"/>
            <w:noWrap/>
            <w:vAlign w:val="center"/>
            <w:hideMark/>
          </w:tcPr>
          <w:p w14:paraId="0D2FFB70"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(43.279)</w:t>
            </w:r>
          </w:p>
        </w:tc>
        <w:tc>
          <w:tcPr>
            <w:tcW w:w="537" w:type="pct"/>
            <w:noWrap/>
            <w:vAlign w:val="center"/>
            <w:hideMark/>
          </w:tcPr>
          <w:p w14:paraId="04CDBEF3"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6.721 </w:t>
            </w:r>
          </w:p>
        </w:tc>
        <w:tc>
          <w:tcPr>
            <w:tcW w:w="664" w:type="pct"/>
            <w:noWrap/>
            <w:vAlign w:val="center"/>
            <w:hideMark/>
          </w:tcPr>
          <w:p w14:paraId="642319C9"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71,14%</w:t>
            </w:r>
          </w:p>
        </w:tc>
        <w:tc>
          <w:tcPr>
            <w:tcW w:w="526" w:type="pct"/>
            <w:noWrap/>
            <w:vAlign w:val="center"/>
            <w:hideMark/>
          </w:tcPr>
          <w:p w14:paraId="31A125FD" w14:textId="77777777" w:rsidR="00E45948" w:rsidRPr="00231362" w:rsidRDefault="00E45948" w:rsidP="00E45948">
            <w:pPr>
              <w:jc w:val="right"/>
              <w:rPr>
                <w:rFonts w:ascii="Arial" w:hAnsi="Arial" w:cs="Arial"/>
                <w:color w:val="000000"/>
                <w:sz w:val="16"/>
                <w:szCs w:val="16"/>
              </w:rPr>
            </w:pPr>
            <w:r w:rsidRPr="00231362">
              <w:rPr>
                <w:rFonts w:ascii="Arial" w:hAnsi="Arial" w:cs="Arial"/>
                <w:color w:val="000000"/>
                <w:sz w:val="16"/>
                <w:szCs w:val="16"/>
              </w:rPr>
              <w:t xml:space="preserve">           4.782 </w:t>
            </w:r>
          </w:p>
        </w:tc>
      </w:tr>
      <w:tr w:rsidR="00E45948" w14:paraId="0C2E5413" w14:textId="77777777" w:rsidTr="00E45948">
        <w:trPr>
          <w:trHeight w:val="232"/>
        </w:trPr>
        <w:tc>
          <w:tcPr>
            <w:tcW w:w="1537" w:type="pct"/>
            <w:vAlign w:val="center"/>
            <w:hideMark/>
          </w:tcPr>
          <w:p w14:paraId="0C390B68" w14:textId="77777777" w:rsidR="00E45948" w:rsidRPr="00231362" w:rsidRDefault="00E45948" w:rsidP="00E45948">
            <w:pPr>
              <w:rPr>
                <w:rFonts w:ascii="Arial" w:hAnsi="Arial" w:cs="Arial"/>
                <w:b/>
                <w:bCs/>
                <w:color w:val="000000"/>
                <w:sz w:val="16"/>
                <w:szCs w:val="16"/>
              </w:rPr>
            </w:pPr>
            <w:r w:rsidRPr="00231362">
              <w:rPr>
                <w:rFonts w:ascii="Arial" w:hAnsi="Arial" w:cs="Arial"/>
                <w:b/>
                <w:bCs/>
                <w:color w:val="000000"/>
                <w:sz w:val="16"/>
                <w:szCs w:val="16"/>
              </w:rPr>
              <w:t xml:space="preserve"> Totais </w:t>
            </w:r>
          </w:p>
        </w:tc>
        <w:tc>
          <w:tcPr>
            <w:tcW w:w="593" w:type="pct"/>
            <w:noWrap/>
            <w:vAlign w:val="center"/>
            <w:hideMark/>
          </w:tcPr>
          <w:p w14:paraId="03774231"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518.349 </w:t>
            </w:r>
          </w:p>
        </w:tc>
        <w:tc>
          <w:tcPr>
            <w:tcW w:w="594" w:type="pct"/>
            <w:noWrap/>
            <w:vAlign w:val="center"/>
            <w:hideMark/>
          </w:tcPr>
          <w:p w14:paraId="11330821"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(18.741)</w:t>
            </w:r>
          </w:p>
        </w:tc>
        <w:tc>
          <w:tcPr>
            <w:tcW w:w="550" w:type="pct"/>
            <w:noWrap/>
            <w:vAlign w:val="center"/>
            <w:hideMark/>
          </w:tcPr>
          <w:p w14:paraId="6DCB818C"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(478.015)</w:t>
            </w:r>
          </w:p>
        </w:tc>
        <w:tc>
          <w:tcPr>
            <w:tcW w:w="537" w:type="pct"/>
            <w:noWrap/>
            <w:vAlign w:val="center"/>
            <w:hideMark/>
          </w:tcPr>
          <w:p w14:paraId="3335D477"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21.593 </w:t>
            </w:r>
          </w:p>
        </w:tc>
        <w:tc>
          <w:tcPr>
            <w:tcW w:w="664" w:type="pct"/>
            <w:shd w:val="clear" w:color="000000" w:fill="D9D9D9"/>
            <w:noWrap/>
            <w:vAlign w:val="center"/>
            <w:hideMark/>
          </w:tcPr>
          <w:p w14:paraId="3324B5C5" w14:textId="77777777" w:rsidR="00E45948" w:rsidRPr="00231362"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w:t>
            </w:r>
          </w:p>
        </w:tc>
        <w:tc>
          <w:tcPr>
            <w:tcW w:w="526" w:type="pct"/>
            <w:noWrap/>
            <w:vAlign w:val="center"/>
            <w:hideMark/>
          </w:tcPr>
          <w:p w14:paraId="225E068F" w14:textId="77777777" w:rsidR="00E45948" w:rsidRDefault="00E45948" w:rsidP="00E45948">
            <w:pPr>
              <w:jc w:val="right"/>
              <w:rPr>
                <w:rFonts w:ascii="Arial" w:hAnsi="Arial" w:cs="Arial"/>
                <w:b/>
                <w:bCs/>
                <w:color w:val="000000"/>
                <w:sz w:val="16"/>
                <w:szCs w:val="16"/>
              </w:rPr>
            </w:pPr>
            <w:r w:rsidRPr="00231362">
              <w:rPr>
                <w:rFonts w:ascii="Arial" w:hAnsi="Arial" w:cs="Arial"/>
                <w:b/>
                <w:bCs/>
                <w:color w:val="000000"/>
                <w:sz w:val="16"/>
                <w:szCs w:val="16"/>
              </w:rPr>
              <w:t xml:space="preserve">           5.947</w:t>
            </w:r>
            <w:r>
              <w:rPr>
                <w:rFonts w:ascii="Arial" w:hAnsi="Arial" w:cs="Arial"/>
                <w:b/>
                <w:bCs/>
                <w:color w:val="000000"/>
                <w:sz w:val="16"/>
                <w:szCs w:val="16"/>
              </w:rPr>
              <w:t xml:space="preserve"> </w:t>
            </w:r>
          </w:p>
        </w:tc>
      </w:tr>
    </w:tbl>
    <w:p w14:paraId="1A3DD9EC" w14:textId="77777777" w:rsidR="005763A9" w:rsidRPr="00352F14" w:rsidRDefault="005763A9" w:rsidP="001555DE">
      <w:pPr>
        <w:jc w:val="both"/>
        <w:rPr>
          <w:rFonts w:ascii="Arial" w:hAnsi="Arial" w:cs="Arial"/>
          <w:sz w:val="10"/>
          <w:szCs w:val="10"/>
        </w:rPr>
      </w:pPr>
    </w:p>
    <w:p w14:paraId="3DE6EECD" w14:textId="14FA5E61" w:rsidR="008C359E" w:rsidRDefault="008C359E" w:rsidP="00ED7FE5">
      <w:pPr>
        <w:spacing w:line="276" w:lineRule="auto"/>
        <w:jc w:val="both"/>
        <w:rPr>
          <w:rFonts w:ascii="Arial" w:hAnsi="Arial" w:cs="Arial"/>
          <w:sz w:val="22"/>
          <w:szCs w:val="22"/>
        </w:rPr>
      </w:pPr>
      <w:r w:rsidRPr="002A36CE">
        <w:rPr>
          <w:rFonts w:ascii="Arial" w:hAnsi="Arial" w:cs="Arial"/>
          <w:sz w:val="22"/>
          <w:szCs w:val="22"/>
        </w:rPr>
        <w:t>(i) Valor excluído da base de cálculo está relacionado a</w:t>
      </w:r>
      <w:r w:rsidR="008535BB">
        <w:rPr>
          <w:rFonts w:ascii="Arial" w:hAnsi="Arial" w:cs="Arial"/>
          <w:sz w:val="22"/>
          <w:szCs w:val="22"/>
        </w:rPr>
        <w:t>s</w:t>
      </w:r>
      <w:r w:rsidRPr="002A36CE">
        <w:rPr>
          <w:rFonts w:ascii="Arial" w:hAnsi="Arial" w:cs="Arial"/>
          <w:sz w:val="22"/>
          <w:szCs w:val="22"/>
        </w:rPr>
        <w:t xml:space="preserve"> operações de permutas não monetárias </w:t>
      </w:r>
      <w:r w:rsidRPr="00E05CD4">
        <w:rPr>
          <w:rFonts w:ascii="Arial" w:hAnsi="Arial" w:cs="Arial"/>
          <w:sz w:val="22"/>
          <w:szCs w:val="22"/>
        </w:rPr>
        <w:t>realizadas entre a Telebras e seu</w:t>
      </w:r>
      <w:r w:rsidR="00203674" w:rsidRPr="00E05CD4">
        <w:rPr>
          <w:rFonts w:ascii="Arial" w:hAnsi="Arial" w:cs="Arial"/>
          <w:sz w:val="22"/>
          <w:szCs w:val="22"/>
        </w:rPr>
        <w:t>s</w:t>
      </w:r>
      <w:r w:rsidRPr="00E05CD4">
        <w:rPr>
          <w:rFonts w:ascii="Arial" w:hAnsi="Arial" w:cs="Arial"/>
          <w:sz w:val="22"/>
          <w:szCs w:val="22"/>
        </w:rPr>
        <w:t xml:space="preserve"> parceiros</w:t>
      </w:r>
      <w:r w:rsidR="00D200B9" w:rsidRPr="00E05CD4">
        <w:rPr>
          <w:rFonts w:ascii="Arial" w:hAnsi="Arial" w:cs="Arial"/>
          <w:sz w:val="22"/>
          <w:szCs w:val="22"/>
        </w:rPr>
        <w:t>.</w:t>
      </w:r>
    </w:p>
    <w:p w14:paraId="409419A2" w14:textId="77777777" w:rsidR="00E05CD4" w:rsidRPr="00304B88" w:rsidRDefault="00E05CD4" w:rsidP="00ED7FE5">
      <w:pPr>
        <w:spacing w:line="276" w:lineRule="auto"/>
        <w:jc w:val="both"/>
        <w:rPr>
          <w:rFonts w:ascii="Arial" w:hAnsi="Arial" w:cs="Arial"/>
          <w:sz w:val="14"/>
          <w:szCs w:val="14"/>
        </w:rPr>
      </w:pPr>
    </w:p>
    <w:p w14:paraId="2FAA9EB5" w14:textId="77777777" w:rsidR="00BF44A4" w:rsidRPr="00BF44A4" w:rsidRDefault="008C359E" w:rsidP="00BF44A4">
      <w:pPr>
        <w:spacing w:line="276" w:lineRule="auto"/>
        <w:jc w:val="both"/>
        <w:rPr>
          <w:rFonts w:ascii="Arial" w:hAnsi="Arial" w:cs="Arial"/>
          <w:sz w:val="22"/>
          <w:szCs w:val="22"/>
        </w:rPr>
      </w:pPr>
      <w:r w:rsidRPr="00475D38">
        <w:rPr>
          <w:rFonts w:ascii="Arial" w:hAnsi="Arial" w:cs="Arial"/>
          <w:sz w:val="22"/>
          <w:szCs w:val="22"/>
        </w:rPr>
        <w:t>(ii</w:t>
      </w:r>
      <w:r w:rsidRPr="00660F89">
        <w:rPr>
          <w:rFonts w:ascii="Arial" w:hAnsi="Arial" w:cs="Arial"/>
          <w:sz w:val="22"/>
          <w:szCs w:val="22"/>
        </w:rPr>
        <w:t xml:space="preserve">) </w:t>
      </w:r>
      <w:r w:rsidR="00BF44A4" w:rsidRPr="00660F89">
        <w:rPr>
          <w:rFonts w:ascii="Arial" w:hAnsi="Arial" w:cs="Arial"/>
          <w:sz w:val="22"/>
          <w:szCs w:val="22"/>
        </w:rPr>
        <w:t>Os valores referem-se aos contratos firmados com o Governo Federal e com a empresa Viasat. Esses clientes foram excluídos da base de cálculo da Provisão para Perdas Esperadas de Crédito de Liquidação Duvidosa (PECLD), uma vez que não apresentam histórico de inadimplência junto à Telebras e são considerados de baixo risco de crédito, conforme evidenciado pelo comportamento de pagamento observado ao longo da vigência dos contratos.</w:t>
      </w:r>
    </w:p>
    <w:p w14:paraId="55C6084F" w14:textId="3F9750D5" w:rsidR="00E05CD4" w:rsidRPr="00352F14" w:rsidRDefault="00E05CD4" w:rsidP="00597FE5">
      <w:pPr>
        <w:spacing w:line="276" w:lineRule="auto"/>
        <w:jc w:val="both"/>
        <w:rPr>
          <w:rFonts w:ascii="Arial" w:hAnsi="Arial" w:cs="Arial"/>
          <w:sz w:val="8"/>
          <w:szCs w:val="8"/>
        </w:rPr>
      </w:pPr>
    </w:p>
    <w:p w14:paraId="3321DED2" w14:textId="293996E4" w:rsidR="00E443C1" w:rsidRPr="002A36CE" w:rsidRDefault="009C1540" w:rsidP="00597FE5">
      <w:pPr>
        <w:spacing w:line="276" w:lineRule="auto"/>
        <w:jc w:val="both"/>
        <w:rPr>
          <w:rFonts w:ascii="Arial" w:hAnsi="Arial" w:cs="Arial"/>
          <w:sz w:val="22"/>
          <w:szCs w:val="22"/>
        </w:rPr>
      </w:pPr>
      <w:r w:rsidRPr="002A36CE">
        <w:rPr>
          <w:rFonts w:ascii="Arial" w:hAnsi="Arial" w:cs="Arial"/>
          <w:sz w:val="22"/>
          <w:szCs w:val="22"/>
        </w:rPr>
        <w:t xml:space="preserve">A </w:t>
      </w:r>
      <w:r w:rsidR="00260E68">
        <w:rPr>
          <w:rFonts w:ascii="Arial" w:hAnsi="Arial" w:cs="Arial"/>
          <w:sz w:val="22"/>
          <w:szCs w:val="22"/>
        </w:rPr>
        <w:t>A</w:t>
      </w:r>
      <w:r w:rsidRPr="002A36CE">
        <w:rPr>
          <w:rFonts w:ascii="Arial" w:hAnsi="Arial" w:cs="Arial"/>
          <w:sz w:val="22"/>
          <w:szCs w:val="22"/>
        </w:rPr>
        <w:t xml:space="preserve">dministração entende que o valor constituído é suficiente para cobrir possíveis perdas no recebimento dos créditos decorrentes da </w:t>
      </w:r>
      <w:r w:rsidR="00C047A7" w:rsidRPr="002A36CE">
        <w:rPr>
          <w:rFonts w:ascii="Arial" w:hAnsi="Arial" w:cs="Arial"/>
          <w:sz w:val="22"/>
          <w:szCs w:val="22"/>
        </w:rPr>
        <w:t>exploração das atividades</w:t>
      </w:r>
      <w:r w:rsidRPr="002A36CE">
        <w:rPr>
          <w:rFonts w:ascii="Arial" w:hAnsi="Arial" w:cs="Arial"/>
          <w:sz w:val="22"/>
          <w:szCs w:val="22"/>
        </w:rPr>
        <w:t xml:space="preserve">. </w:t>
      </w:r>
    </w:p>
    <w:p w14:paraId="356DF25C" w14:textId="77777777" w:rsidR="009C1540" w:rsidRPr="00304B88" w:rsidRDefault="009C1540" w:rsidP="00597FE5">
      <w:pPr>
        <w:spacing w:line="276" w:lineRule="auto"/>
        <w:jc w:val="both"/>
        <w:rPr>
          <w:rFonts w:ascii="Arial" w:hAnsi="Arial" w:cs="Arial"/>
          <w:sz w:val="12"/>
          <w:szCs w:val="12"/>
        </w:rPr>
      </w:pPr>
    </w:p>
    <w:p w14:paraId="35157BC7" w14:textId="26A22FA6" w:rsidR="006E1CFD" w:rsidRDefault="009C1540" w:rsidP="00597FE5">
      <w:pPr>
        <w:spacing w:line="276" w:lineRule="auto"/>
        <w:jc w:val="both"/>
        <w:rPr>
          <w:rFonts w:ascii="Arial" w:hAnsi="Arial" w:cs="Arial"/>
          <w:sz w:val="22"/>
          <w:szCs w:val="22"/>
        </w:rPr>
      </w:pPr>
      <w:r w:rsidRPr="002A36CE">
        <w:rPr>
          <w:rFonts w:ascii="Arial" w:hAnsi="Arial" w:cs="Arial"/>
          <w:sz w:val="22"/>
          <w:szCs w:val="22"/>
        </w:rPr>
        <w:t>A movimentação da</w:t>
      </w:r>
      <w:r w:rsidR="00400425" w:rsidRPr="002A36CE">
        <w:rPr>
          <w:rFonts w:ascii="Arial" w:hAnsi="Arial" w:cs="Arial"/>
          <w:sz w:val="22"/>
          <w:szCs w:val="22"/>
        </w:rPr>
        <w:t>s</w:t>
      </w:r>
      <w:r w:rsidRPr="002A36CE">
        <w:rPr>
          <w:rFonts w:ascii="Arial" w:hAnsi="Arial" w:cs="Arial"/>
          <w:sz w:val="22"/>
          <w:szCs w:val="22"/>
        </w:rPr>
        <w:t xml:space="preserve"> perda</w:t>
      </w:r>
      <w:r w:rsidR="00400425" w:rsidRPr="002A36CE">
        <w:rPr>
          <w:rFonts w:ascii="Arial" w:hAnsi="Arial" w:cs="Arial"/>
          <w:sz w:val="22"/>
          <w:szCs w:val="22"/>
        </w:rPr>
        <w:t>s</w:t>
      </w:r>
      <w:r w:rsidRPr="002A36CE">
        <w:rPr>
          <w:rFonts w:ascii="Arial" w:hAnsi="Arial" w:cs="Arial"/>
          <w:sz w:val="22"/>
          <w:szCs w:val="22"/>
        </w:rPr>
        <w:t xml:space="preserve"> estimada</w:t>
      </w:r>
      <w:r w:rsidR="00400425" w:rsidRPr="002A36CE">
        <w:rPr>
          <w:rFonts w:ascii="Arial" w:hAnsi="Arial" w:cs="Arial"/>
          <w:sz w:val="22"/>
          <w:szCs w:val="22"/>
        </w:rPr>
        <w:t>s</w:t>
      </w:r>
      <w:r w:rsidRPr="002A36CE">
        <w:rPr>
          <w:rFonts w:ascii="Arial" w:hAnsi="Arial" w:cs="Arial"/>
          <w:sz w:val="22"/>
          <w:szCs w:val="22"/>
        </w:rPr>
        <w:t xml:space="preserve"> com crédito</w:t>
      </w:r>
      <w:r w:rsidR="00400425" w:rsidRPr="002A36CE">
        <w:rPr>
          <w:rFonts w:ascii="Arial" w:hAnsi="Arial" w:cs="Arial"/>
          <w:sz w:val="22"/>
          <w:szCs w:val="22"/>
        </w:rPr>
        <w:t>s</w:t>
      </w:r>
      <w:r w:rsidRPr="002A36CE">
        <w:rPr>
          <w:rFonts w:ascii="Arial" w:hAnsi="Arial" w:cs="Arial"/>
          <w:sz w:val="22"/>
          <w:szCs w:val="22"/>
        </w:rPr>
        <w:t xml:space="preserve"> de liquidação duvidosa</w:t>
      </w:r>
      <w:r w:rsidR="00FE4289">
        <w:rPr>
          <w:rFonts w:ascii="Arial" w:hAnsi="Arial" w:cs="Arial"/>
          <w:sz w:val="22"/>
          <w:szCs w:val="22"/>
        </w:rPr>
        <w:t>,</w:t>
      </w:r>
      <w:r w:rsidRPr="002A36CE">
        <w:rPr>
          <w:rFonts w:ascii="Arial" w:hAnsi="Arial" w:cs="Arial"/>
          <w:sz w:val="22"/>
          <w:szCs w:val="22"/>
        </w:rPr>
        <w:t xml:space="preserve"> </w:t>
      </w:r>
      <w:r w:rsidR="00BA751F">
        <w:rPr>
          <w:rFonts w:ascii="Arial" w:hAnsi="Arial" w:cs="Arial"/>
          <w:sz w:val="22"/>
          <w:szCs w:val="22"/>
        </w:rPr>
        <w:t>no exercício</w:t>
      </w:r>
      <w:r w:rsidR="00B43E7C">
        <w:rPr>
          <w:rFonts w:ascii="Arial" w:hAnsi="Arial" w:cs="Arial"/>
          <w:sz w:val="22"/>
          <w:szCs w:val="22"/>
        </w:rPr>
        <w:t xml:space="preserve"> </w:t>
      </w:r>
      <w:r w:rsidR="00063902">
        <w:rPr>
          <w:rFonts w:ascii="Arial" w:hAnsi="Arial" w:cs="Arial"/>
          <w:sz w:val="22"/>
          <w:szCs w:val="22"/>
        </w:rPr>
        <w:t>de 2025</w:t>
      </w:r>
      <w:r w:rsidR="00FE4289">
        <w:rPr>
          <w:rFonts w:ascii="Arial" w:hAnsi="Arial" w:cs="Arial"/>
          <w:sz w:val="22"/>
          <w:szCs w:val="22"/>
        </w:rPr>
        <w:t>,</w:t>
      </w:r>
      <w:r w:rsidRPr="002A36CE">
        <w:rPr>
          <w:rFonts w:ascii="Arial" w:hAnsi="Arial" w:cs="Arial"/>
          <w:sz w:val="22"/>
          <w:szCs w:val="22"/>
        </w:rPr>
        <w:t xml:space="preserve"> é apresentada no quadro a seguir: </w:t>
      </w:r>
    </w:p>
    <w:p w14:paraId="10856AB6" w14:textId="77777777" w:rsidR="00CF73B0" w:rsidRPr="00352F14" w:rsidRDefault="00CF73B0" w:rsidP="00597FE5">
      <w:pPr>
        <w:spacing w:line="276" w:lineRule="auto"/>
        <w:jc w:val="both"/>
        <w:rPr>
          <w:rFonts w:ascii="Arial" w:hAnsi="Arial" w:cs="Arial"/>
          <w:sz w:val="8"/>
          <w:szCs w:val="8"/>
        </w:rPr>
      </w:pPr>
    </w:p>
    <w:tbl>
      <w:tblPr>
        <w:tblW w:w="5000" w:type="pct"/>
        <w:tblCellMar>
          <w:left w:w="70" w:type="dxa"/>
          <w:right w:w="70" w:type="dxa"/>
        </w:tblCellMar>
        <w:tblLook w:val="04A0" w:firstRow="1" w:lastRow="0" w:firstColumn="1" w:lastColumn="0" w:noHBand="0" w:noVBand="1"/>
      </w:tblPr>
      <w:tblGrid>
        <w:gridCol w:w="7133"/>
        <w:gridCol w:w="2638"/>
      </w:tblGrid>
      <w:tr w:rsidR="00424DEA" w:rsidRPr="00231362" w14:paraId="4F33EB6D" w14:textId="77777777" w:rsidTr="00424DEA">
        <w:trPr>
          <w:trHeight w:val="232"/>
        </w:trPr>
        <w:tc>
          <w:tcPr>
            <w:tcW w:w="3650" w:type="pct"/>
            <w:tcBorders>
              <w:top w:val="single" w:sz="4" w:space="0" w:color="auto"/>
              <w:left w:val="single" w:sz="4" w:space="0" w:color="auto"/>
              <w:bottom w:val="single" w:sz="4" w:space="0" w:color="auto"/>
              <w:right w:val="single" w:sz="4" w:space="0" w:color="auto"/>
            </w:tcBorders>
            <w:noWrap/>
            <w:vAlign w:val="center"/>
            <w:hideMark/>
          </w:tcPr>
          <w:p w14:paraId="36CFC75C" w14:textId="77777777" w:rsidR="00424DEA" w:rsidRPr="00231362" w:rsidRDefault="00424DEA">
            <w:pPr>
              <w:rPr>
                <w:rFonts w:ascii="Arial" w:hAnsi="Arial" w:cs="Arial"/>
                <w:b/>
                <w:bCs/>
                <w:color w:val="000000"/>
                <w:sz w:val="18"/>
                <w:szCs w:val="18"/>
              </w:rPr>
            </w:pPr>
            <w:r w:rsidRPr="00231362">
              <w:rPr>
                <w:rFonts w:ascii="Arial" w:hAnsi="Arial" w:cs="Arial"/>
                <w:b/>
                <w:bCs/>
                <w:color w:val="000000"/>
                <w:sz w:val="18"/>
                <w:szCs w:val="18"/>
              </w:rPr>
              <w:t>Saldo em 31 de dezembro de 2025</w:t>
            </w:r>
          </w:p>
        </w:tc>
        <w:tc>
          <w:tcPr>
            <w:tcW w:w="1350" w:type="pct"/>
            <w:tcBorders>
              <w:top w:val="single" w:sz="4" w:space="0" w:color="auto"/>
              <w:left w:val="nil"/>
              <w:bottom w:val="single" w:sz="4" w:space="0" w:color="auto"/>
              <w:right w:val="single" w:sz="4" w:space="0" w:color="auto"/>
            </w:tcBorders>
            <w:noWrap/>
            <w:vAlign w:val="center"/>
            <w:hideMark/>
          </w:tcPr>
          <w:p w14:paraId="5C1FE8D4" w14:textId="77777777" w:rsidR="00424DEA" w:rsidRPr="00231362" w:rsidRDefault="00424DEA">
            <w:pPr>
              <w:jc w:val="right"/>
              <w:rPr>
                <w:rFonts w:ascii="Arial" w:hAnsi="Arial" w:cs="Arial"/>
                <w:b/>
                <w:bCs/>
                <w:color w:val="000000"/>
                <w:sz w:val="18"/>
                <w:szCs w:val="18"/>
              </w:rPr>
            </w:pPr>
            <w:r w:rsidRPr="00231362">
              <w:rPr>
                <w:rFonts w:ascii="Arial" w:hAnsi="Arial" w:cs="Arial"/>
                <w:b/>
                <w:bCs/>
                <w:color w:val="000000"/>
                <w:sz w:val="18"/>
                <w:szCs w:val="18"/>
              </w:rPr>
              <w:t xml:space="preserve">          6.088 </w:t>
            </w:r>
          </w:p>
        </w:tc>
      </w:tr>
      <w:tr w:rsidR="00424DEA" w:rsidRPr="00231362" w14:paraId="423BF23F" w14:textId="77777777" w:rsidTr="00424DEA">
        <w:trPr>
          <w:trHeight w:val="232"/>
        </w:trPr>
        <w:tc>
          <w:tcPr>
            <w:tcW w:w="3650" w:type="pct"/>
            <w:tcBorders>
              <w:top w:val="nil"/>
              <w:left w:val="single" w:sz="4" w:space="0" w:color="auto"/>
              <w:bottom w:val="single" w:sz="4" w:space="0" w:color="auto"/>
              <w:right w:val="single" w:sz="4" w:space="0" w:color="auto"/>
            </w:tcBorders>
            <w:noWrap/>
            <w:vAlign w:val="center"/>
            <w:hideMark/>
          </w:tcPr>
          <w:p w14:paraId="15DB8958" w14:textId="77777777" w:rsidR="00424DEA" w:rsidRPr="00231362" w:rsidRDefault="00424DEA">
            <w:pPr>
              <w:rPr>
                <w:rFonts w:ascii="Arial" w:hAnsi="Arial" w:cs="Arial"/>
                <w:color w:val="000000"/>
                <w:sz w:val="18"/>
                <w:szCs w:val="18"/>
              </w:rPr>
            </w:pPr>
            <w:r w:rsidRPr="00231362">
              <w:rPr>
                <w:rFonts w:ascii="Arial" w:hAnsi="Arial" w:cs="Arial"/>
                <w:color w:val="000000"/>
                <w:sz w:val="18"/>
                <w:szCs w:val="18"/>
              </w:rPr>
              <w:t>Constituição de PECLD no período</w:t>
            </w:r>
          </w:p>
        </w:tc>
        <w:tc>
          <w:tcPr>
            <w:tcW w:w="1350" w:type="pct"/>
            <w:tcBorders>
              <w:top w:val="nil"/>
              <w:left w:val="nil"/>
              <w:bottom w:val="single" w:sz="4" w:space="0" w:color="auto"/>
              <w:right w:val="single" w:sz="4" w:space="0" w:color="auto"/>
            </w:tcBorders>
            <w:noWrap/>
            <w:vAlign w:val="center"/>
            <w:hideMark/>
          </w:tcPr>
          <w:p w14:paraId="2230B928" w14:textId="77777777" w:rsidR="00424DEA" w:rsidRPr="00231362" w:rsidRDefault="00424DEA">
            <w:pPr>
              <w:jc w:val="right"/>
              <w:rPr>
                <w:rFonts w:ascii="Arial" w:hAnsi="Arial" w:cs="Arial"/>
                <w:color w:val="000000"/>
                <w:sz w:val="18"/>
                <w:szCs w:val="18"/>
              </w:rPr>
            </w:pPr>
            <w:r w:rsidRPr="00231362">
              <w:rPr>
                <w:rFonts w:ascii="Arial" w:hAnsi="Arial" w:cs="Arial"/>
                <w:color w:val="000000"/>
                <w:sz w:val="18"/>
                <w:szCs w:val="18"/>
              </w:rPr>
              <w:t xml:space="preserve">             289 </w:t>
            </w:r>
          </w:p>
        </w:tc>
      </w:tr>
      <w:tr w:rsidR="00424DEA" w:rsidRPr="00231362" w14:paraId="5B2F4D0E" w14:textId="77777777" w:rsidTr="00424DEA">
        <w:trPr>
          <w:trHeight w:val="232"/>
        </w:trPr>
        <w:tc>
          <w:tcPr>
            <w:tcW w:w="3650" w:type="pct"/>
            <w:tcBorders>
              <w:top w:val="nil"/>
              <w:left w:val="single" w:sz="4" w:space="0" w:color="auto"/>
              <w:bottom w:val="single" w:sz="4" w:space="0" w:color="auto"/>
              <w:right w:val="single" w:sz="4" w:space="0" w:color="auto"/>
            </w:tcBorders>
            <w:noWrap/>
            <w:vAlign w:val="center"/>
            <w:hideMark/>
          </w:tcPr>
          <w:p w14:paraId="10C93601" w14:textId="77777777" w:rsidR="00424DEA" w:rsidRPr="00231362" w:rsidRDefault="00424DEA">
            <w:pPr>
              <w:rPr>
                <w:rFonts w:ascii="Arial" w:hAnsi="Arial" w:cs="Arial"/>
                <w:color w:val="000000"/>
                <w:sz w:val="18"/>
                <w:szCs w:val="18"/>
              </w:rPr>
            </w:pPr>
            <w:r w:rsidRPr="00231362">
              <w:rPr>
                <w:rFonts w:ascii="Arial" w:hAnsi="Arial" w:cs="Arial"/>
                <w:color w:val="000000"/>
                <w:sz w:val="18"/>
                <w:szCs w:val="18"/>
              </w:rPr>
              <w:t>Reversões de perdas no período</w:t>
            </w:r>
          </w:p>
        </w:tc>
        <w:tc>
          <w:tcPr>
            <w:tcW w:w="1350" w:type="pct"/>
            <w:tcBorders>
              <w:top w:val="nil"/>
              <w:left w:val="nil"/>
              <w:bottom w:val="single" w:sz="4" w:space="0" w:color="auto"/>
              <w:right w:val="single" w:sz="4" w:space="0" w:color="auto"/>
            </w:tcBorders>
            <w:noWrap/>
            <w:vAlign w:val="center"/>
            <w:hideMark/>
          </w:tcPr>
          <w:p w14:paraId="1229730C" w14:textId="77777777" w:rsidR="00424DEA" w:rsidRPr="00231362" w:rsidRDefault="00424DEA">
            <w:pPr>
              <w:jc w:val="right"/>
              <w:rPr>
                <w:rFonts w:ascii="Arial" w:hAnsi="Arial" w:cs="Arial"/>
                <w:color w:val="000000"/>
                <w:sz w:val="18"/>
                <w:szCs w:val="18"/>
              </w:rPr>
            </w:pPr>
            <w:r w:rsidRPr="00231362">
              <w:rPr>
                <w:rFonts w:ascii="Arial" w:hAnsi="Arial" w:cs="Arial"/>
                <w:color w:val="000000"/>
                <w:sz w:val="18"/>
                <w:szCs w:val="18"/>
              </w:rPr>
              <w:t xml:space="preserve">           (430)</w:t>
            </w:r>
          </w:p>
        </w:tc>
      </w:tr>
      <w:tr w:rsidR="00424DEA" w14:paraId="0990CE9D" w14:textId="77777777" w:rsidTr="00424DEA">
        <w:trPr>
          <w:trHeight w:val="232"/>
        </w:trPr>
        <w:tc>
          <w:tcPr>
            <w:tcW w:w="3650" w:type="pct"/>
            <w:tcBorders>
              <w:top w:val="nil"/>
              <w:left w:val="single" w:sz="4" w:space="0" w:color="auto"/>
              <w:bottom w:val="single" w:sz="4" w:space="0" w:color="auto"/>
              <w:right w:val="single" w:sz="4" w:space="0" w:color="auto"/>
            </w:tcBorders>
            <w:noWrap/>
            <w:vAlign w:val="center"/>
            <w:hideMark/>
          </w:tcPr>
          <w:p w14:paraId="40ABE6AE" w14:textId="77777777" w:rsidR="00424DEA" w:rsidRPr="00231362" w:rsidRDefault="00424DEA">
            <w:pPr>
              <w:rPr>
                <w:rFonts w:ascii="Arial" w:hAnsi="Arial" w:cs="Arial"/>
                <w:b/>
                <w:bCs/>
                <w:color w:val="000000"/>
                <w:sz w:val="18"/>
                <w:szCs w:val="18"/>
              </w:rPr>
            </w:pPr>
            <w:r w:rsidRPr="00231362">
              <w:rPr>
                <w:rFonts w:ascii="Arial" w:hAnsi="Arial" w:cs="Arial"/>
                <w:b/>
                <w:bCs/>
                <w:color w:val="000000"/>
                <w:sz w:val="18"/>
                <w:szCs w:val="18"/>
              </w:rPr>
              <w:t>Saldo em 31 de março de 2026</w:t>
            </w:r>
          </w:p>
        </w:tc>
        <w:tc>
          <w:tcPr>
            <w:tcW w:w="1350" w:type="pct"/>
            <w:tcBorders>
              <w:top w:val="nil"/>
              <w:left w:val="nil"/>
              <w:bottom w:val="single" w:sz="4" w:space="0" w:color="auto"/>
              <w:right w:val="single" w:sz="4" w:space="0" w:color="auto"/>
            </w:tcBorders>
            <w:noWrap/>
            <w:vAlign w:val="center"/>
            <w:hideMark/>
          </w:tcPr>
          <w:p w14:paraId="1DBD7DD3" w14:textId="77777777" w:rsidR="00424DEA" w:rsidRDefault="00424DEA">
            <w:pPr>
              <w:jc w:val="right"/>
              <w:rPr>
                <w:rFonts w:ascii="Arial" w:hAnsi="Arial" w:cs="Arial"/>
                <w:b/>
                <w:bCs/>
                <w:color w:val="000000"/>
                <w:sz w:val="18"/>
                <w:szCs w:val="18"/>
              </w:rPr>
            </w:pPr>
            <w:r w:rsidRPr="00231362">
              <w:rPr>
                <w:rFonts w:ascii="Arial" w:hAnsi="Arial" w:cs="Arial"/>
                <w:b/>
                <w:bCs/>
                <w:color w:val="000000"/>
                <w:sz w:val="18"/>
                <w:szCs w:val="18"/>
              </w:rPr>
              <w:t xml:space="preserve">          5.947</w:t>
            </w:r>
            <w:r>
              <w:rPr>
                <w:rFonts w:ascii="Arial" w:hAnsi="Arial" w:cs="Arial"/>
                <w:b/>
                <w:bCs/>
                <w:color w:val="000000"/>
                <w:sz w:val="18"/>
                <w:szCs w:val="18"/>
              </w:rPr>
              <w:t xml:space="preserve"> </w:t>
            </w:r>
          </w:p>
        </w:tc>
      </w:tr>
    </w:tbl>
    <w:p w14:paraId="4D7E619E" w14:textId="77777777" w:rsidR="005763A9" w:rsidRDefault="005763A9" w:rsidP="00597FE5">
      <w:pPr>
        <w:spacing w:line="276" w:lineRule="auto"/>
        <w:jc w:val="both"/>
        <w:rPr>
          <w:rFonts w:ascii="Arial" w:hAnsi="Arial" w:cs="Arial"/>
          <w:sz w:val="22"/>
          <w:szCs w:val="22"/>
        </w:rPr>
      </w:pPr>
    </w:p>
    <w:p w14:paraId="0287024B" w14:textId="673AAE99" w:rsidR="00101AC1" w:rsidRDefault="00101AC1" w:rsidP="009541E1">
      <w:pPr>
        <w:pStyle w:val="Ttulo2"/>
        <w:numPr>
          <w:ilvl w:val="0"/>
          <w:numId w:val="5"/>
        </w:numPr>
        <w:tabs>
          <w:tab w:val="clear" w:pos="284"/>
          <w:tab w:val="clear" w:pos="340"/>
        </w:tabs>
        <w:spacing w:before="0" w:after="0"/>
        <w:ind w:left="851" w:hanging="851"/>
        <w:jc w:val="both"/>
        <w:rPr>
          <w:rFonts w:ascii="Arial" w:hAnsi="Arial" w:cs="Arial"/>
        </w:rPr>
      </w:pPr>
      <w:bookmarkStart w:id="14" w:name="_Toc3858787"/>
      <w:bookmarkStart w:id="15" w:name="_Toc491337711"/>
      <w:r w:rsidRPr="002A36CE">
        <w:rPr>
          <w:rFonts w:ascii="Arial" w:hAnsi="Arial" w:cs="Arial"/>
        </w:rPr>
        <w:t xml:space="preserve">TRIBUTOS A </w:t>
      </w:r>
      <w:r w:rsidR="005A18C8">
        <w:rPr>
          <w:rFonts w:ascii="Arial" w:hAnsi="Arial" w:cs="Arial"/>
        </w:rPr>
        <w:t>COMPENSAR/</w:t>
      </w:r>
      <w:r w:rsidRPr="002A36CE">
        <w:rPr>
          <w:rFonts w:ascii="Arial" w:hAnsi="Arial" w:cs="Arial"/>
        </w:rPr>
        <w:t>RECUPERAR</w:t>
      </w:r>
    </w:p>
    <w:p w14:paraId="2B4225D3" w14:textId="77777777" w:rsidR="00F84135" w:rsidRPr="00352F14" w:rsidRDefault="00F84135" w:rsidP="00F84135">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17"/>
        <w:gridCol w:w="1227"/>
        <w:gridCol w:w="1227"/>
      </w:tblGrid>
      <w:tr w:rsidR="00EE5F04" w:rsidRPr="0050249B" w14:paraId="30FD61AD" w14:textId="77777777" w:rsidTr="00B71529">
        <w:trPr>
          <w:trHeight w:val="232"/>
          <w:tblHeader/>
        </w:trPr>
        <w:tc>
          <w:tcPr>
            <w:tcW w:w="3744" w:type="pct"/>
            <w:shd w:val="clear" w:color="000000" w:fill="D9D9D9"/>
            <w:noWrap/>
            <w:vAlign w:val="center"/>
            <w:hideMark/>
          </w:tcPr>
          <w:p w14:paraId="5429FB76" w14:textId="77777777" w:rsidR="00EE5F04" w:rsidRPr="0050249B" w:rsidRDefault="00EE5F04">
            <w:pPr>
              <w:rPr>
                <w:rFonts w:ascii="Arial" w:hAnsi="Arial" w:cs="Arial"/>
                <w:b/>
                <w:bCs/>
                <w:color w:val="000000"/>
                <w:sz w:val="18"/>
                <w:szCs w:val="18"/>
              </w:rPr>
            </w:pPr>
            <w:r w:rsidRPr="0050249B">
              <w:rPr>
                <w:rFonts w:ascii="Arial" w:hAnsi="Arial" w:cs="Arial"/>
                <w:b/>
                <w:bCs/>
                <w:color w:val="000000"/>
                <w:sz w:val="18"/>
                <w:szCs w:val="18"/>
              </w:rPr>
              <w:t>Composição: </w:t>
            </w:r>
          </w:p>
        </w:tc>
        <w:tc>
          <w:tcPr>
            <w:tcW w:w="628" w:type="pct"/>
            <w:vAlign w:val="center"/>
            <w:hideMark/>
          </w:tcPr>
          <w:p w14:paraId="69A0B89A" w14:textId="09106D15" w:rsidR="00EE5F04" w:rsidRPr="0050249B" w:rsidRDefault="00EE5F04">
            <w:pPr>
              <w:jc w:val="center"/>
              <w:rPr>
                <w:rFonts w:ascii="Arial" w:hAnsi="Arial" w:cs="Arial"/>
                <w:b/>
                <w:bCs/>
                <w:color w:val="000000"/>
                <w:sz w:val="18"/>
                <w:szCs w:val="18"/>
              </w:rPr>
            </w:pPr>
            <w:r w:rsidRPr="0050249B">
              <w:rPr>
                <w:rFonts w:ascii="Arial" w:hAnsi="Arial" w:cs="Arial"/>
                <w:b/>
                <w:bCs/>
                <w:color w:val="000000"/>
                <w:sz w:val="18"/>
                <w:szCs w:val="18"/>
                <w:lang w:eastAsia="en-US"/>
              </w:rPr>
              <w:t>31/</w:t>
            </w:r>
            <w:r w:rsidR="00DB2407" w:rsidRPr="0050249B">
              <w:rPr>
                <w:rFonts w:ascii="Arial" w:hAnsi="Arial" w:cs="Arial"/>
                <w:b/>
                <w:bCs/>
                <w:color w:val="000000"/>
                <w:sz w:val="18"/>
                <w:szCs w:val="18"/>
                <w:lang w:eastAsia="en-US"/>
              </w:rPr>
              <w:t>03/</w:t>
            </w:r>
            <w:r w:rsidRPr="0050249B">
              <w:rPr>
                <w:rFonts w:ascii="Arial" w:hAnsi="Arial" w:cs="Arial"/>
                <w:b/>
                <w:bCs/>
                <w:color w:val="000000"/>
                <w:sz w:val="18"/>
                <w:szCs w:val="18"/>
                <w:lang w:eastAsia="en-US"/>
              </w:rPr>
              <w:t>2026</w:t>
            </w:r>
          </w:p>
        </w:tc>
        <w:tc>
          <w:tcPr>
            <w:tcW w:w="628" w:type="pct"/>
            <w:vAlign w:val="center"/>
            <w:hideMark/>
          </w:tcPr>
          <w:p w14:paraId="55D6EADF" w14:textId="77777777" w:rsidR="00EE5F04" w:rsidRPr="0050249B" w:rsidRDefault="00EE5F04">
            <w:pPr>
              <w:jc w:val="center"/>
              <w:rPr>
                <w:rFonts w:ascii="Arial" w:hAnsi="Arial" w:cs="Arial"/>
                <w:b/>
                <w:bCs/>
                <w:color w:val="000000"/>
                <w:sz w:val="18"/>
                <w:szCs w:val="18"/>
              </w:rPr>
            </w:pPr>
            <w:r w:rsidRPr="0050249B">
              <w:rPr>
                <w:rFonts w:ascii="Arial" w:hAnsi="Arial" w:cs="Arial"/>
                <w:b/>
                <w:bCs/>
                <w:color w:val="000000"/>
                <w:sz w:val="18"/>
                <w:szCs w:val="18"/>
                <w:lang w:eastAsia="en-US"/>
              </w:rPr>
              <w:t>31/12/2025</w:t>
            </w:r>
          </w:p>
        </w:tc>
      </w:tr>
      <w:tr w:rsidR="00F84135" w:rsidRPr="0050249B" w14:paraId="03CA0AC7" w14:textId="77777777" w:rsidTr="0050249B">
        <w:trPr>
          <w:trHeight w:val="232"/>
        </w:trPr>
        <w:tc>
          <w:tcPr>
            <w:tcW w:w="3744" w:type="pct"/>
            <w:vAlign w:val="center"/>
            <w:hideMark/>
          </w:tcPr>
          <w:p w14:paraId="0398FC93" w14:textId="77777777" w:rsidR="00F84135" w:rsidRPr="0050249B" w:rsidRDefault="00F84135" w:rsidP="00F84135">
            <w:pPr>
              <w:rPr>
                <w:rFonts w:ascii="Arial" w:hAnsi="Arial" w:cs="Arial"/>
                <w:color w:val="000000"/>
                <w:sz w:val="18"/>
                <w:szCs w:val="18"/>
              </w:rPr>
            </w:pPr>
            <w:r w:rsidRPr="0050249B">
              <w:rPr>
                <w:rFonts w:ascii="Arial" w:hAnsi="Arial" w:cs="Arial"/>
                <w:color w:val="000000"/>
                <w:sz w:val="18"/>
                <w:szCs w:val="18"/>
              </w:rPr>
              <w:t xml:space="preserve">Imposto de Renda Pessoa Jurídica - IRPJ </w:t>
            </w:r>
          </w:p>
        </w:tc>
        <w:tc>
          <w:tcPr>
            <w:tcW w:w="628" w:type="pct"/>
            <w:noWrap/>
            <w:vAlign w:val="center"/>
            <w:hideMark/>
          </w:tcPr>
          <w:p w14:paraId="1F1E34E6" w14:textId="0E9F5FBD"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62.764</w:t>
            </w:r>
          </w:p>
        </w:tc>
        <w:tc>
          <w:tcPr>
            <w:tcW w:w="628" w:type="pct"/>
            <w:noWrap/>
            <w:vAlign w:val="center"/>
            <w:hideMark/>
          </w:tcPr>
          <w:p w14:paraId="64E01672" w14:textId="7777777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 xml:space="preserve">        98.999 </w:t>
            </w:r>
          </w:p>
        </w:tc>
      </w:tr>
      <w:tr w:rsidR="00F84135" w:rsidRPr="0050249B" w14:paraId="0AD27F06" w14:textId="77777777" w:rsidTr="0050249B">
        <w:trPr>
          <w:trHeight w:val="232"/>
        </w:trPr>
        <w:tc>
          <w:tcPr>
            <w:tcW w:w="3744" w:type="pct"/>
            <w:noWrap/>
            <w:vAlign w:val="center"/>
            <w:hideMark/>
          </w:tcPr>
          <w:p w14:paraId="790C3554" w14:textId="77777777" w:rsidR="00F84135" w:rsidRPr="0050249B" w:rsidRDefault="00F84135" w:rsidP="00F84135">
            <w:pPr>
              <w:rPr>
                <w:rFonts w:ascii="Arial" w:hAnsi="Arial" w:cs="Arial"/>
                <w:color w:val="000000"/>
                <w:sz w:val="18"/>
                <w:szCs w:val="18"/>
              </w:rPr>
            </w:pPr>
            <w:r w:rsidRPr="0050249B">
              <w:rPr>
                <w:rFonts w:ascii="Arial" w:hAnsi="Arial" w:cs="Arial"/>
                <w:color w:val="000000"/>
                <w:sz w:val="18"/>
                <w:szCs w:val="18"/>
              </w:rPr>
              <w:t>Contribuição para o Financiamento da Seguridade Social – Cofins</w:t>
            </w:r>
          </w:p>
        </w:tc>
        <w:tc>
          <w:tcPr>
            <w:tcW w:w="628" w:type="pct"/>
            <w:noWrap/>
            <w:vAlign w:val="center"/>
            <w:hideMark/>
          </w:tcPr>
          <w:p w14:paraId="6466CAD4" w14:textId="144A3F1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48.059</w:t>
            </w:r>
          </w:p>
        </w:tc>
        <w:tc>
          <w:tcPr>
            <w:tcW w:w="628" w:type="pct"/>
            <w:noWrap/>
            <w:vAlign w:val="center"/>
            <w:hideMark/>
          </w:tcPr>
          <w:p w14:paraId="568015D5" w14:textId="7777777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 xml:space="preserve">        46.593 </w:t>
            </w:r>
          </w:p>
        </w:tc>
      </w:tr>
      <w:tr w:rsidR="00F84135" w:rsidRPr="0050249B" w14:paraId="5230C18E" w14:textId="77777777" w:rsidTr="0050249B">
        <w:trPr>
          <w:trHeight w:val="232"/>
        </w:trPr>
        <w:tc>
          <w:tcPr>
            <w:tcW w:w="3744" w:type="pct"/>
            <w:vAlign w:val="center"/>
            <w:hideMark/>
          </w:tcPr>
          <w:p w14:paraId="485FB935" w14:textId="77777777" w:rsidR="00F84135" w:rsidRPr="0050249B" w:rsidRDefault="00F84135" w:rsidP="00F84135">
            <w:pPr>
              <w:rPr>
                <w:rFonts w:ascii="Arial" w:hAnsi="Arial" w:cs="Arial"/>
                <w:color w:val="000000"/>
                <w:sz w:val="18"/>
                <w:szCs w:val="18"/>
              </w:rPr>
            </w:pPr>
            <w:r w:rsidRPr="0050249B">
              <w:rPr>
                <w:rFonts w:ascii="Arial" w:hAnsi="Arial" w:cs="Arial"/>
                <w:color w:val="000000"/>
                <w:sz w:val="18"/>
                <w:szCs w:val="18"/>
              </w:rPr>
              <w:t xml:space="preserve">Programa de Integração Social - PIS </w:t>
            </w:r>
          </w:p>
        </w:tc>
        <w:tc>
          <w:tcPr>
            <w:tcW w:w="628" w:type="pct"/>
            <w:noWrap/>
            <w:vAlign w:val="center"/>
            <w:hideMark/>
          </w:tcPr>
          <w:p w14:paraId="1B5110A8" w14:textId="1598C214"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10.409</w:t>
            </w:r>
          </w:p>
        </w:tc>
        <w:tc>
          <w:tcPr>
            <w:tcW w:w="628" w:type="pct"/>
            <w:noWrap/>
            <w:vAlign w:val="center"/>
            <w:hideMark/>
          </w:tcPr>
          <w:p w14:paraId="0FF8ADD0" w14:textId="7777777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 xml:space="preserve">        10.091 </w:t>
            </w:r>
          </w:p>
        </w:tc>
      </w:tr>
      <w:tr w:rsidR="00F84135" w:rsidRPr="0050249B" w14:paraId="14316CBA" w14:textId="77777777" w:rsidTr="0050249B">
        <w:trPr>
          <w:trHeight w:val="232"/>
        </w:trPr>
        <w:tc>
          <w:tcPr>
            <w:tcW w:w="3744" w:type="pct"/>
            <w:vAlign w:val="center"/>
            <w:hideMark/>
          </w:tcPr>
          <w:p w14:paraId="337E38E2" w14:textId="77777777" w:rsidR="00F84135" w:rsidRPr="0050249B" w:rsidRDefault="00F84135" w:rsidP="00F84135">
            <w:pPr>
              <w:rPr>
                <w:rFonts w:ascii="Arial" w:hAnsi="Arial" w:cs="Arial"/>
                <w:color w:val="000000"/>
                <w:sz w:val="18"/>
                <w:szCs w:val="18"/>
              </w:rPr>
            </w:pPr>
            <w:r w:rsidRPr="0050249B">
              <w:rPr>
                <w:rFonts w:ascii="Arial" w:hAnsi="Arial" w:cs="Arial"/>
                <w:color w:val="000000"/>
                <w:sz w:val="18"/>
                <w:szCs w:val="18"/>
              </w:rPr>
              <w:t>Contribuição Social sobre Lucro Líquido</w:t>
            </w:r>
          </w:p>
        </w:tc>
        <w:tc>
          <w:tcPr>
            <w:tcW w:w="628" w:type="pct"/>
            <w:noWrap/>
            <w:vAlign w:val="center"/>
            <w:hideMark/>
          </w:tcPr>
          <w:p w14:paraId="0C58F6D8" w14:textId="416FE44B"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3.771</w:t>
            </w:r>
          </w:p>
        </w:tc>
        <w:tc>
          <w:tcPr>
            <w:tcW w:w="628" w:type="pct"/>
            <w:noWrap/>
            <w:vAlign w:val="center"/>
            <w:hideMark/>
          </w:tcPr>
          <w:p w14:paraId="4C026D8C" w14:textId="7777777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 xml:space="preserve">          9.246 </w:t>
            </w:r>
          </w:p>
        </w:tc>
      </w:tr>
      <w:tr w:rsidR="00F84135" w:rsidRPr="0050249B" w14:paraId="0186F31E" w14:textId="77777777" w:rsidTr="0050249B">
        <w:trPr>
          <w:trHeight w:val="232"/>
        </w:trPr>
        <w:tc>
          <w:tcPr>
            <w:tcW w:w="3744" w:type="pct"/>
            <w:vAlign w:val="center"/>
            <w:hideMark/>
          </w:tcPr>
          <w:p w14:paraId="4724DF61" w14:textId="77777777" w:rsidR="00F84135" w:rsidRPr="0050249B" w:rsidRDefault="00F84135" w:rsidP="00F84135">
            <w:pPr>
              <w:rPr>
                <w:rFonts w:ascii="Arial" w:hAnsi="Arial" w:cs="Arial"/>
                <w:color w:val="000000"/>
                <w:sz w:val="18"/>
                <w:szCs w:val="18"/>
              </w:rPr>
            </w:pPr>
            <w:r w:rsidRPr="0050249B">
              <w:rPr>
                <w:rFonts w:ascii="Arial" w:hAnsi="Arial" w:cs="Arial"/>
                <w:color w:val="000000"/>
                <w:sz w:val="18"/>
                <w:szCs w:val="18"/>
              </w:rPr>
              <w:t>Retenções Tributos Federais - COSIRF</w:t>
            </w:r>
          </w:p>
        </w:tc>
        <w:tc>
          <w:tcPr>
            <w:tcW w:w="628" w:type="pct"/>
            <w:noWrap/>
            <w:vAlign w:val="center"/>
            <w:hideMark/>
          </w:tcPr>
          <w:p w14:paraId="6C9A74D6" w14:textId="20C9E140"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247</w:t>
            </w:r>
          </w:p>
        </w:tc>
        <w:tc>
          <w:tcPr>
            <w:tcW w:w="628" w:type="pct"/>
            <w:noWrap/>
            <w:vAlign w:val="center"/>
            <w:hideMark/>
          </w:tcPr>
          <w:p w14:paraId="7C812575" w14:textId="2271292A"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w:t>
            </w:r>
          </w:p>
        </w:tc>
      </w:tr>
      <w:tr w:rsidR="00F84135" w:rsidRPr="0050249B" w14:paraId="74D98258" w14:textId="77777777" w:rsidTr="0050249B">
        <w:trPr>
          <w:trHeight w:val="232"/>
        </w:trPr>
        <w:tc>
          <w:tcPr>
            <w:tcW w:w="3744" w:type="pct"/>
            <w:vAlign w:val="center"/>
            <w:hideMark/>
          </w:tcPr>
          <w:p w14:paraId="312971E2" w14:textId="77777777" w:rsidR="00F84135" w:rsidRPr="0050249B" w:rsidRDefault="00F84135" w:rsidP="00F84135">
            <w:pPr>
              <w:rPr>
                <w:rFonts w:ascii="Arial" w:hAnsi="Arial" w:cs="Arial"/>
                <w:color w:val="000000"/>
                <w:sz w:val="18"/>
                <w:szCs w:val="18"/>
              </w:rPr>
            </w:pPr>
            <w:r w:rsidRPr="0050249B">
              <w:rPr>
                <w:rFonts w:ascii="Arial" w:hAnsi="Arial" w:cs="Arial"/>
                <w:color w:val="000000"/>
                <w:sz w:val="18"/>
                <w:szCs w:val="18"/>
              </w:rPr>
              <w:t>Instituto Nacional de Previdência Social – INSS</w:t>
            </w:r>
          </w:p>
        </w:tc>
        <w:tc>
          <w:tcPr>
            <w:tcW w:w="628" w:type="pct"/>
            <w:noWrap/>
            <w:vAlign w:val="center"/>
            <w:hideMark/>
          </w:tcPr>
          <w:p w14:paraId="1E02B67C" w14:textId="6B1E2DC1"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32</w:t>
            </w:r>
          </w:p>
        </w:tc>
        <w:tc>
          <w:tcPr>
            <w:tcW w:w="628" w:type="pct"/>
            <w:noWrap/>
            <w:vAlign w:val="center"/>
            <w:hideMark/>
          </w:tcPr>
          <w:p w14:paraId="691F67AF" w14:textId="7777777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 xml:space="preserve">               28 </w:t>
            </w:r>
          </w:p>
        </w:tc>
      </w:tr>
      <w:tr w:rsidR="00F84135" w:rsidRPr="0050249B" w14:paraId="14572C03" w14:textId="77777777" w:rsidTr="0050249B">
        <w:trPr>
          <w:trHeight w:val="232"/>
        </w:trPr>
        <w:tc>
          <w:tcPr>
            <w:tcW w:w="3744" w:type="pct"/>
            <w:noWrap/>
            <w:vAlign w:val="center"/>
            <w:hideMark/>
          </w:tcPr>
          <w:p w14:paraId="576A635A" w14:textId="77777777" w:rsidR="00F84135" w:rsidRPr="0050249B" w:rsidRDefault="00F84135" w:rsidP="00F84135">
            <w:pPr>
              <w:rPr>
                <w:rFonts w:ascii="Arial" w:hAnsi="Arial" w:cs="Arial"/>
                <w:b/>
                <w:bCs/>
                <w:color w:val="000000"/>
                <w:sz w:val="18"/>
                <w:szCs w:val="18"/>
              </w:rPr>
            </w:pPr>
            <w:r w:rsidRPr="0050249B">
              <w:rPr>
                <w:rFonts w:ascii="Arial" w:hAnsi="Arial" w:cs="Arial"/>
                <w:b/>
                <w:bCs/>
                <w:color w:val="000000"/>
                <w:sz w:val="18"/>
                <w:szCs w:val="18"/>
              </w:rPr>
              <w:t>Tributos Federais:</w:t>
            </w:r>
          </w:p>
        </w:tc>
        <w:tc>
          <w:tcPr>
            <w:tcW w:w="628" w:type="pct"/>
            <w:noWrap/>
            <w:vAlign w:val="center"/>
            <w:hideMark/>
          </w:tcPr>
          <w:p w14:paraId="2772576D" w14:textId="270C88C3"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125.282</w:t>
            </w:r>
          </w:p>
        </w:tc>
        <w:tc>
          <w:tcPr>
            <w:tcW w:w="628" w:type="pct"/>
            <w:noWrap/>
            <w:vAlign w:val="center"/>
            <w:hideMark/>
          </w:tcPr>
          <w:p w14:paraId="6890C15E" w14:textId="3EB6429D"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 xml:space="preserve">      164.9</w:t>
            </w:r>
            <w:r w:rsidR="00E247F8">
              <w:rPr>
                <w:rFonts w:ascii="Arial" w:hAnsi="Arial" w:cs="Arial"/>
                <w:b/>
                <w:bCs/>
                <w:color w:val="000000"/>
                <w:sz w:val="18"/>
                <w:szCs w:val="18"/>
              </w:rPr>
              <w:t>57</w:t>
            </w:r>
            <w:r w:rsidRPr="0050249B">
              <w:rPr>
                <w:rFonts w:ascii="Arial" w:hAnsi="Arial" w:cs="Arial"/>
                <w:b/>
                <w:bCs/>
                <w:color w:val="000000"/>
                <w:sz w:val="18"/>
                <w:szCs w:val="18"/>
              </w:rPr>
              <w:t xml:space="preserve"> </w:t>
            </w:r>
          </w:p>
        </w:tc>
      </w:tr>
      <w:tr w:rsidR="00F84135" w:rsidRPr="0050249B" w14:paraId="4FDEDEE2" w14:textId="77777777" w:rsidTr="0050249B">
        <w:trPr>
          <w:trHeight w:val="232"/>
        </w:trPr>
        <w:tc>
          <w:tcPr>
            <w:tcW w:w="3744" w:type="pct"/>
            <w:vAlign w:val="center"/>
            <w:hideMark/>
          </w:tcPr>
          <w:p w14:paraId="6F40220A" w14:textId="77777777" w:rsidR="00F84135" w:rsidRPr="0050249B" w:rsidRDefault="00F84135" w:rsidP="00F84135">
            <w:pPr>
              <w:rPr>
                <w:rFonts w:ascii="Arial" w:hAnsi="Arial" w:cs="Arial"/>
                <w:color w:val="000000"/>
                <w:sz w:val="18"/>
                <w:szCs w:val="18"/>
              </w:rPr>
            </w:pPr>
            <w:r w:rsidRPr="0050249B">
              <w:rPr>
                <w:rFonts w:ascii="Arial" w:hAnsi="Arial" w:cs="Arial"/>
                <w:color w:val="000000"/>
                <w:sz w:val="18"/>
                <w:szCs w:val="18"/>
              </w:rPr>
              <w:t>Imposto sobre Circulação de Mercadorias e Prestação de Serviços – ICMS</w:t>
            </w:r>
          </w:p>
        </w:tc>
        <w:tc>
          <w:tcPr>
            <w:tcW w:w="628" w:type="pct"/>
            <w:noWrap/>
            <w:vAlign w:val="center"/>
            <w:hideMark/>
          </w:tcPr>
          <w:p w14:paraId="0A66C742" w14:textId="1571E3E4"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41.634</w:t>
            </w:r>
          </w:p>
        </w:tc>
        <w:tc>
          <w:tcPr>
            <w:tcW w:w="628" w:type="pct"/>
            <w:noWrap/>
            <w:vAlign w:val="center"/>
            <w:hideMark/>
          </w:tcPr>
          <w:p w14:paraId="23F6D890" w14:textId="7777777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 xml:space="preserve">        43.255 </w:t>
            </w:r>
          </w:p>
        </w:tc>
      </w:tr>
      <w:tr w:rsidR="00F84135" w:rsidRPr="0050249B" w14:paraId="01564AC0" w14:textId="77777777" w:rsidTr="0050249B">
        <w:trPr>
          <w:trHeight w:val="232"/>
        </w:trPr>
        <w:tc>
          <w:tcPr>
            <w:tcW w:w="3744" w:type="pct"/>
            <w:noWrap/>
            <w:vAlign w:val="center"/>
            <w:hideMark/>
          </w:tcPr>
          <w:p w14:paraId="34196463" w14:textId="77777777" w:rsidR="00F84135" w:rsidRPr="0050249B" w:rsidRDefault="00F84135" w:rsidP="00F84135">
            <w:pPr>
              <w:rPr>
                <w:rFonts w:ascii="Arial" w:hAnsi="Arial" w:cs="Arial"/>
                <w:b/>
                <w:bCs/>
                <w:color w:val="000000"/>
                <w:sz w:val="18"/>
                <w:szCs w:val="18"/>
              </w:rPr>
            </w:pPr>
            <w:r w:rsidRPr="0050249B">
              <w:rPr>
                <w:rFonts w:ascii="Arial" w:hAnsi="Arial" w:cs="Arial"/>
                <w:b/>
                <w:bCs/>
                <w:color w:val="000000"/>
                <w:sz w:val="18"/>
                <w:szCs w:val="18"/>
              </w:rPr>
              <w:t>Tributos Estaduais:</w:t>
            </w:r>
          </w:p>
        </w:tc>
        <w:tc>
          <w:tcPr>
            <w:tcW w:w="628" w:type="pct"/>
            <w:noWrap/>
            <w:vAlign w:val="center"/>
            <w:hideMark/>
          </w:tcPr>
          <w:p w14:paraId="4D2CED1A" w14:textId="3A378A70"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41.634</w:t>
            </w:r>
          </w:p>
        </w:tc>
        <w:tc>
          <w:tcPr>
            <w:tcW w:w="628" w:type="pct"/>
            <w:noWrap/>
            <w:vAlign w:val="center"/>
            <w:hideMark/>
          </w:tcPr>
          <w:p w14:paraId="4F90CEB1" w14:textId="77777777"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 xml:space="preserve">        43.255 </w:t>
            </w:r>
          </w:p>
        </w:tc>
      </w:tr>
      <w:tr w:rsidR="00F84135" w:rsidRPr="0050249B" w14:paraId="3E7E24C7" w14:textId="77777777" w:rsidTr="0050249B">
        <w:trPr>
          <w:trHeight w:val="232"/>
        </w:trPr>
        <w:tc>
          <w:tcPr>
            <w:tcW w:w="3744" w:type="pct"/>
            <w:noWrap/>
            <w:vAlign w:val="center"/>
            <w:hideMark/>
          </w:tcPr>
          <w:p w14:paraId="667E512F" w14:textId="77777777" w:rsidR="00F84135" w:rsidRPr="0050249B" w:rsidRDefault="00F84135" w:rsidP="00F84135">
            <w:pPr>
              <w:rPr>
                <w:rFonts w:ascii="Arial" w:hAnsi="Arial" w:cs="Arial"/>
                <w:color w:val="000000"/>
                <w:sz w:val="18"/>
                <w:szCs w:val="18"/>
              </w:rPr>
            </w:pPr>
            <w:r w:rsidRPr="0050249B">
              <w:rPr>
                <w:rFonts w:ascii="Arial" w:hAnsi="Arial" w:cs="Arial"/>
                <w:color w:val="000000"/>
                <w:sz w:val="18"/>
                <w:szCs w:val="18"/>
              </w:rPr>
              <w:t>Imposto sobre Serviços de Qualquer Natureza – ISS</w:t>
            </w:r>
          </w:p>
        </w:tc>
        <w:tc>
          <w:tcPr>
            <w:tcW w:w="628" w:type="pct"/>
            <w:noWrap/>
            <w:vAlign w:val="center"/>
            <w:hideMark/>
          </w:tcPr>
          <w:p w14:paraId="16FD6313" w14:textId="05015CA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280</w:t>
            </w:r>
          </w:p>
        </w:tc>
        <w:tc>
          <w:tcPr>
            <w:tcW w:w="628" w:type="pct"/>
            <w:noWrap/>
            <w:vAlign w:val="center"/>
            <w:hideMark/>
          </w:tcPr>
          <w:p w14:paraId="11CE9D88" w14:textId="77777777" w:rsidR="00F84135" w:rsidRPr="0050249B" w:rsidRDefault="00F84135" w:rsidP="00F84135">
            <w:pPr>
              <w:jc w:val="right"/>
              <w:rPr>
                <w:rFonts w:ascii="Arial" w:hAnsi="Arial" w:cs="Arial"/>
                <w:color w:val="000000"/>
                <w:sz w:val="18"/>
                <w:szCs w:val="18"/>
              </w:rPr>
            </w:pPr>
            <w:r w:rsidRPr="0050249B">
              <w:rPr>
                <w:rFonts w:ascii="Arial" w:hAnsi="Arial" w:cs="Arial"/>
                <w:color w:val="000000"/>
                <w:sz w:val="18"/>
                <w:szCs w:val="18"/>
              </w:rPr>
              <w:t xml:space="preserve">               99 </w:t>
            </w:r>
          </w:p>
        </w:tc>
      </w:tr>
      <w:tr w:rsidR="00F84135" w:rsidRPr="0050249B" w14:paraId="225E0828" w14:textId="77777777" w:rsidTr="0050249B">
        <w:trPr>
          <w:trHeight w:val="232"/>
        </w:trPr>
        <w:tc>
          <w:tcPr>
            <w:tcW w:w="3744" w:type="pct"/>
            <w:noWrap/>
            <w:vAlign w:val="center"/>
            <w:hideMark/>
          </w:tcPr>
          <w:p w14:paraId="0855ACE1" w14:textId="77777777" w:rsidR="00F84135" w:rsidRPr="0050249B" w:rsidRDefault="00F84135" w:rsidP="00F84135">
            <w:pPr>
              <w:rPr>
                <w:rFonts w:ascii="Arial" w:hAnsi="Arial" w:cs="Arial"/>
                <w:b/>
                <w:bCs/>
                <w:color w:val="000000"/>
                <w:sz w:val="18"/>
                <w:szCs w:val="18"/>
              </w:rPr>
            </w:pPr>
            <w:r w:rsidRPr="0050249B">
              <w:rPr>
                <w:rFonts w:ascii="Arial" w:hAnsi="Arial" w:cs="Arial"/>
                <w:b/>
                <w:bCs/>
                <w:color w:val="000000"/>
                <w:sz w:val="18"/>
                <w:szCs w:val="18"/>
              </w:rPr>
              <w:t>Tributos Municipais</w:t>
            </w:r>
          </w:p>
        </w:tc>
        <w:tc>
          <w:tcPr>
            <w:tcW w:w="628" w:type="pct"/>
            <w:noWrap/>
            <w:vAlign w:val="center"/>
            <w:hideMark/>
          </w:tcPr>
          <w:p w14:paraId="59D5EB42" w14:textId="257F9E2F"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280</w:t>
            </w:r>
          </w:p>
        </w:tc>
        <w:tc>
          <w:tcPr>
            <w:tcW w:w="628" w:type="pct"/>
            <w:noWrap/>
            <w:vAlign w:val="center"/>
            <w:hideMark/>
          </w:tcPr>
          <w:p w14:paraId="7EAF33AA" w14:textId="77777777"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 xml:space="preserve">               99 </w:t>
            </w:r>
          </w:p>
        </w:tc>
      </w:tr>
      <w:tr w:rsidR="00F84135" w:rsidRPr="0050249B" w14:paraId="2AD32529" w14:textId="77777777" w:rsidTr="0050249B">
        <w:trPr>
          <w:trHeight w:val="232"/>
        </w:trPr>
        <w:tc>
          <w:tcPr>
            <w:tcW w:w="3744" w:type="pct"/>
            <w:vAlign w:val="center"/>
            <w:hideMark/>
          </w:tcPr>
          <w:p w14:paraId="0C6BA2B4" w14:textId="77777777" w:rsidR="00F84135" w:rsidRPr="0050249B" w:rsidRDefault="00F84135" w:rsidP="00F84135">
            <w:pPr>
              <w:rPr>
                <w:rFonts w:ascii="Arial" w:hAnsi="Arial" w:cs="Arial"/>
                <w:b/>
                <w:bCs/>
                <w:color w:val="000000"/>
                <w:sz w:val="18"/>
                <w:szCs w:val="18"/>
              </w:rPr>
            </w:pPr>
            <w:r w:rsidRPr="0050249B">
              <w:rPr>
                <w:rFonts w:ascii="Arial" w:hAnsi="Arial" w:cs="Arial"/>
                <w:b/>
                <w:bCs/>
                <w:color w:val="000000"/>
                <w:sz w:val="18"/>
                <w:szCs w:val="18"/>
              </w:rPr>
              <w:t>Total</w:t>
            </w:r>
          </w:p>
        </w:tc>
        <w:tc>
          <w:tcPr>
            <w:tcW w:w="628" w:type="pct"/>
            <w:noWrap/>
            <w:vAlign w:val="center"/>
            <w:hideMark/>
          </w:tcPr>
          <w:p w14:paraId="184D8166" w14:textId="6BC53699"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167.196</w:t>
            </w:r>
          </w:p>
        </w:tc>
        <w:tc>
          <w:tcPr>
            <w:tcW w:w="628" w:type="pct"/>
            <w:noWrap/>
            <w:vAlign w:val="center"/>
            <w:hideMark/>
          </w:tcPr>
          <w:p w14:paraId="7069EDC2" w14:textId="77777777"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 xml:space="preserve">      208.311 </w:t>
            </w:r>
          </w:p>
        </w:tc>
      </w:tr>
      <w:tr w:rsidR="00F84135" w:rsidRPr="0050249B" w14:paraId="6964D41D" w14:textId="77777777" w:rsidTr="0050249B">
        <w:trPr>
          <w:trHeight w:val="232"/>
        </w:trPr>
        <w:tc>
          <w:tcPr>
            <w:tcW w:w="3744" w:type="pct"/>
            <w:vAlign w:val="center"/>
            <w:hideMark/>
          </w:tcPr>
          <w:p w14:paraId="01456F23" w14:textId="77777777" w:rsidR="00F84135" w:rsidRPr="0050249B" w:rsidRDefault="00F84135" w:rsidP="00F84135">
            <w:pPr>
              <w:rPr>
                <w:rFonts w:ascii="Arial" w:hAnsi="Arial" w:cs="Arial"/>
                <w:b/>
                <w:bCs/>
                <w:color w:val="000000"/>
                <w:sz w:val="18"/>
                <w:szCs w:val="18"/>
              </w:rPr>
            </w:pPr>
            <w:r w:rsidRPr="0050249B">
              <w:rPr>
                <w:rFonts w:ascii="Arial" w:hAnsi="Arial" w:cs="Arial"/>
                <w:b/>
                <w:bCs/>
                <w:color w:val="000000"/>
                <w:sz w:val="18"/>
                <w:szCs w:val="18"/>
              </w:rPr>
              <w:t>Circulante</w:t>
            </w:r>
          </w:p>
        </w:tc>
        <w:tc>
          <w:tcPr>
            <w:tcW w:w="628" w:type="pct"/>
            <w:noWrap/>
            <w:vAlign w:val="center"/>
            <w:hideMark/>
          </w:tcPr>
          <w:p w14:paraId="5FC55200" w14:textId="49F693FA"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164.162</w:t>
            </w:r>
          </w:p>
        </w:tc>
        <w:tc>
          <w:tcPr>
            <w:tcW w:w="628" w:type="pct"/>
            <w:noWrap/>
            <w:vAlign w:val="center"/>
            <w:hideMark/>
          </w:tcPr>
          <w:p w14:paraId="2FE7C45C" w14:textId="77777777"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 xml:space="preserve">      204.516 </w:t>
            </w:r>
          </w:p>
        </w:tc>
      </w:tr>
      <w:tr w:rsidR="00F84135" w14:paraId="79C0ABE5" w14:textId="77777777" w:rsidTr="0050249B">
        <w:trPr>
          <w:trHeight w:val="232"/>
        </w:trPr>
        <w:tc>
          <w:tcPr>
            <w:tcW w:w="3744" w:type="pct"/>
            <w:vAlign w:val="center"/>
            <w:hideMark/>
          </w:tcPr>
          <w:p w14:paraId="5C2A3C71" w14:textId="77777777" w:rsidR="00F84135" w:rsidRPr="0050249B" w:rsidRDefault="00F84135" w:rsidP="00F84135">
            <w:pPr>
              <w:rPr>
                <w:rFonts w:ascii="Arial" w:hAnsi="Arial" w:cs="Arial"/>
                <w:b/>
                <w:bCs/>
                <w:color w:val="000000"/>
                <w:sz w:val="18"/>
                <w:szCs w:val="18"/>
              </w:rPr>
            </w:pPr>
            <w:r w:rsidRPr="0050249B">
              <w:rPr>
                <w:rFonts w:ascii="Arial" w:hAnsi="Arial" w:cs="Arial"/>
                <w:b/>
                <w:bCs/>
                <w:color w:val="000000"/>
                <w:sz w:val="18"/>
                <w:szCs w:val="18"/>
              </w:rPr>
              <w:t>Não Circulante</w:t>
            </w:r>
          </w:p>
        </w:tc>
        <w:tc>
          <w:tcPr>
            <w:tcW w:w="628" w:type="pct"/>
            <w:noWrap/>
            <w:vAlign w:val="center"/>
            <w:hideMark/>
          </w:tcPr>
          <w:p w14:paraId="5B5DA812" w14:textId="3FDAAFA4" w:rsidR="00F84135" w:rsidRPr="0050249B"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3.034</w:t>
            </w:r>
          </w:p>
        </w:tc>
        <w:tc>
          <w:tcPr>
            <w:tcW w:w="628" w:type="pct"/>
            <w:noWrap/>
            <w:vAlign w:val="center"/>
            <w:hideMark/>
          </w:tcPr>
          <w:p w14:paraId="33059F65" w14:textId="77777777" w:rsidR="00F84135" w:rsidRDefault="00F84135" w:rsidP="00F84135">
            <w:pPr>
              <w:jc w:val="right"/>
              <w:rPr>
                <w:rFonts w:ascii="Arial" w:hAnsi="Arial" w:cs="Arial"/>
                <w:b/>
                <w:bCs/>
                <w:color w:val="000000"/>
                <w:sz w:val="18"/>
                <w:szCs w:val="18"/>
              </w:rPr>
            </w:pPr>
            <w:r w:rsidRPr="0050249B">
              <w:rPr>
                <w:rFonts w:ascii="Arial" w:hAnsi="Arial" w:cs="Arial"/>
                <w:b/>
                <w:bCs/>
                <w:color w:val="000000"/>
                <w:sz w:val="18"/>
                <w:szCs w:val="18"/>
              </w:rPr>
              <w:t xml:space="preserve">          3.795</w:t>
            </w:r>
            <w:r>
              <w:rPr>
                <w:rFonts w:ascii="Arial" w:hAnsi="Arial" w:cs="Arial"/>
                <w:b/>
                <w:bCs/>
                <w:color w:val="000000"/>
                <w:sz w:val="18"/>
                <w:szCs w:val="18"/>
              </w:rPr>
              <w:t xml:space="preserve"> </w:t>
            </w:r>
          </w:p>
        </w:tc>
      </w:tr>
    </w:tbl>
    <w:p w14:paraId="0F19FD14" w14:textId="1194C879" w:rsidR="00EB63DB" w:rsidRPr="005A5B23" w:rsidRDefault="00EB63DB" w:rsidP="006D3DBC">
      <w:pPr>
        <w:spacing w:after="240"/>
        <w:rPr>
          <w:sz w:val="12"/>
          <w:szCs w:val="12"/>
        </w:rPr>
      </w:pPr>
    </w:p>
    <w:bookmarkEnd w:id="14"/>
    <w:bookmarkEnd w:id="15"/>
    <w:p w14:paraId="2C154BCA" w14:textId="77777777" w:rsidR="007F4A4E" w:rsidRPr="007F4A4E" w:rsidRDefault="007F4A4E" w:rsidP="006D3DBC">
      <w:pPr>
        <w:pStyle w:val="PargrafodaLista"/>
        <w:keepNext/>
        <w:numPr>
          <w:ilvl w:val="0"/>
          <w:numId w:val="6"/>
        </w:numPr>
        <w:suppressAutoHyphens w:val="0"/>
        <w:spacing w:after="240" w:line="240" w:lineRule="auto"/>
        <w:outlineLvl w:val="1"/>
        <w:rPr>
          <w:rFonts w:ascii="Arial" w:hAnsi="Arial" w:cs="Arial"/>
          <w:b/>
          <w:bCs/>
          <w:vanish/>
          <w:sz w:val="22"/>
          <w:szCs w:val="22"/>
          <w:lang w:val="pt-BR" w:eastAsia="pt-BR"/>
        </w:rPr>
      </w:pPr>
    </w:p>
    <w:p w14:paraId="74E35FDA" w14:textId="5878C473" w:rsidR="00B524EE" w:rsidRPr="00BA7857" w:rsidRDefault="00B524EE" w:rsidP="006D3DBC">
      <w:pPr>
        <w:pStyle w:val="Ttulo2"/>
        <w:numPr>
          <w:ilvl w:val="1"/>
          <w:numId w:val="6"/>
        </w:numPr>
        <w:tabs>
          <w:tab w:val="clear" w:pos="284"/>
          <w:tab w:val="clear" w:pos="340"/>
        </w:tabs>
        <w:spacing w:before="0"/>
        <w:jc w:val="both"/>
        <w:rPr>
          <w:rFonts w:ascii="Arial" w:hAnsi="Arial" w:cs="Arial"/>
        </w:rPr>
      </w:pPr>
      <w:r w:rsidRPr="00BA7857">
        <w:rPr>
          <w:rFonts w:ascii="Arial" w:hAnsi="Arial" w:cs="Arial"/>
        </w:rPr>
        <w:t>Moviment</w:t>
      </w:r>
      <w:r w:rsidR="001F14E9">
        <w:rPr>
          <w:rFonts w:ascii="Arial" w:hAnsi="Arial" w:cs="Arial"/>
        </w:rPr>
        <w:t>ação</w:t>
      </w:r>
      <w:r w:rsidRPr="00BA7857">
        <w:rPr>
          <w:rFonts w:ascii="Arial" w:hAnsi="Arial" w:cs="Arial"/>
        </w:rPr>
        <w:t xml:space="preserve"> do período</w:t>
      </w:r>
    </w:p>
    <w:p w14:paraId="171B744C" w14:textId="27051F53" w:rsidR="00480E77" w:rsidRDefault="00B33DA8" w:rsidP="00CF2347">
      <w:pPr>
        <w:jc w:val="both"/>
        <w:rPr>
          <w:rFonts w:ascii="Arial" w:hAnsi="Arial" w:cs="Arial"/>
          <w:sz w:val="22"/>
          <w:szCs w:val="22"/>
        </w:rPr>
      </w:pPr>
      <w:r w:rsidRPr="00BA7857">
        <w:rPr>
          <w:rFonts w:ascii="Arial" w:hAnsi="Arial" w:cs="Arial"/>
          <w:sz w:val="22"/>
          <w:szCs w:val="22"/>
        </w:rPr>
        <w:t>O quadro a seguir apresenta a movimentação dos tributos a compensar</w:t>
      </w:r>
      <w:r w:rsidR="00CF2347" w:rsidRPr="00BA7857">
        <w:rPr>
          <w:rFonts w:ascii="Arial" w:hAnsi="Arial" w:cs="Arial"/>
          <w:sz w:val="22"/>
          <w:szCs w:val="22"/>
        </w:rPr>
        <w:t xml:space="preserve"> e</w:t>
      </w:r>
      <w:r w:rsidRPr="00BA7857">
        <w:rPr>
          <w:rFonts w:ascii="Arial" w:hAnsi="Arial" w:cs="Arial"/>
          <w:sz w:val="22"/>
          <w:szCs w:val="22"/>
        </w:rPr>
        <w:t>/</w:t>
      </w:r>
      <w:r w:rsidR="00CF2347" w:rsidRPr="00BA7857">
        <w:rPr>
          <w:rFonts w:ascii="Arial" w:hAnsi="Arial" w:cs="Arial"/>
          <w:sz w:val="22"/>
          <w:szCs w:val="22"/>
        </w:rPr>
        <w:t xml:space="preserve">ou a </w:t>
      </w:r>
      <w:r w:rsidRPr="00BA7857">
        <w:rPr>
          <w:rFonts w:ascii="Arial" w:hAnsi="Arial" w:cs="Arial"/>
          <w:sz w:val="22"/>
          <w:szCs w:val="22"/>
        </w:rPr>
        <w:t xml:space="preserve">recuperar no </w:t>
      </w:r>
      <w:r w:rsidR="001E1043">
        <w:rPr>
          <w:rFonts w:ascii="Arial" w:hAnsi="Arial" w:cs="Arial"/>
          <w:sz w:val="22"/>
          <w:szCs w:val="22"/>
        </w:rPr>
        <w:t>primeiro trimestre de 2026</w:t>
      </w:r>
      <w:r w:rsidR="00D93F0A">
        <w:rPr>
          <w:rFonts w:ascii="Arial" w:hAnsi="Arial" w:cs="Arial"/>
          <w:sz w:val="22"/>
          <w:szCs w:val="22"/>
        </w:rPr>
        <w:t>.</w:t>
      </w:r>
    </w:p>
    <w:p w14:paraId="2C51D7E5" w14:textId="77777777" w:rsidR="001237F5" w:rsidRDefault="001237F5" w:rsidP="00CF2347">
      <w:pPr>
        <w:jc w:val="both"/>
        <w:rPr>
          <w:rFonts w:ascii="Arial" w:hAnsi="Arial" w:cs="Arial"/>
          <w:sz w:val="22"/>
          <w:szCs w:val="22"/>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659"/>
        <w:gridCol w:w="865"/>
        <w:gridCol w:w="994"/>
        <w:gridCol w:w="992"/>
        <w:gridCol w:w="817"/>
        <w:gridCol w:w="740"/>
        <w:gridCol w:w="829"/>
      </w:tblGrid>
      <w:tr w:rsidR="00E33802" w:rsidRPr="00B71529" w14:paraId="749862AA" w14:textId="77777777" w:rsidTr="00C91980">
        <w:trPr>
          <w:trHeight w:val="232"/>
          <w:tblHeader/>
        </w:trPr>
        <w:tc>
          <w:tcPr>
            <w:tcW w:w="2021" w:type="pct"/>
            <w:vMerge w:val="restart"/>
            <w:shd w:val="clear" w:color="000000" w:fill="D9D9D9"/>
            <w:vAlign w:val="center"/>
            <w:hideMark/>
          </w:tcPr>
          <w:p w14:paraId="41406AC5" w14:textId="77777777" w:rsidR="00E33802" w:rsidRPr="00B71529" w:rsidRDefault="00E33802" w:rsidP="00E33802">
            <w:pPr>
              <w:rPr>
                <w:rFonts w:ascii="Arial" w:hAnsi="Arial" w:cs="Arial"/>
                <w:b/>
                <w:bCs/>
                <w:color w:val="000000"/>
                <w:sz w:val="11"/>
                <w:szCs w:val="11"/>
              </w:rPr>
            </w:pPr>
            <w:r w:rsidRPr="00B71529">
              <w:rPr>
                <w:rFonts w:ascii="Arial" w:hAnsi="Arial" w:cs="Arial"/>
                <w:b/>
                <w:bCs/>
                <w:color w:val="000000"/>
                <w:sz w:val="11"/>
                <w:szCs w:val="11"/>
              </w:rPr>
              <w:t>Natureza/Tributo</w:t>
            </w:r>
          </w:p>
        </w:tc>
        <w:tc>
          <w:tcPr>
            <w:tcW w:w="333" w:type="pct"/>
            <w:vMerge w:val="restart"/>
            <w:vAlign w:val="center"/>
            <w:hideMark/>
          </w:tcPr>
          <w:p w14:paraId="5F4CED3E" w14:textId="5D2A6A3C" w:rsidR="00E33802" w:rsidRPr="00B71529" w:rsidRDefault="00E33802" w:rsidP="00E33802">
            <w:pPr>
              <w:jc w:val="center"/>
              <w:rPr>
                <w:rFonts w:ascii="Arial" w:hAnsi="Arial" w:cs="Arial"/>
                <w:b/>
                <w:bCs/>
                <w:color w:val="000000"/>
                <w:sz w:val="11"/>
                <w:szCs w:val="11"/>
              </w:rPr>
            </w:pPr>
            <w:r w:rsidRPr="00B71529">
              <w:rPr>
                <w:rFonts w:ascii="Arial" w:hAnsi="Arial" w:cs="Arial"/>
                <w:b/>
                <w:bCs/>
                <w:color w:val="000000"/>
                <w:sz w:val="11"/>
                <w:szCs w:val="11"/>
              </w:rPr>
              <w:t>Saldo em 31 de dezembro de 202</w:t>
            </w:r>
            <w:r w:rsidR="00F9496B" w:rsidRPr="00B71529">
              <w:rPr>
                <w:rFonts w:ascii="Arial" w:hAnsi="Arial" w:cs="Arial"/>
                <w:b/>
                <w:bCs/>
                <w:color w:val="000000"/>
                <w:sz w:val="11"/>
                <w:szCs w:val="11"/>
              </w:rPr>
              <w:t>5</w:t>
            </w:r>
          </w:p>
        </w:tc>
        <w:tc>
          <w:tcPr>
            <w:tcW w:w="2227" w:type="pct"/>
            <w:gridSpan w:val="5"/>
            <w:noWrap/>
            <w:vAlign w:val="center"/>
            <w:hideMark/>
          </w:tcPr>
          <w:p w14:paraId="25365006" w14:textId="77777777" w:rsidR="00E33802" w:rsidRPr="00B71529" w:rsidRDefault="00E33802" w:rsidP="00E33802">
            <w:pPr>
              <w:jc w:val="center"/>
              <w:rPr>
                <w:rFonts w:ascii="Arial" w:hAnsi="Arial" w:cs="Arial"/>
                <w:b/>
                <w:bCs/>
                <w:color w:val="000000"/>
                <w:sz w:val="11"/>
                <w:szCs w:val="11"/>
              </w:rPr>
            </w:pPr>
            <w:r w:rsidRPr="00B71529">
              <w:rPr>
                <w:rFonts w:ascii="Arial" w:hAnsi="Arial" w:cs="Arial"/>
                <w:b/>
                <w:bCs/>
                <w:color w:val="000000"/>
                <w:sz w:val="11"/>
                <w:szCs w:val="11"/>
              </w:rPr>
              <w:t>Movimentações </w:t>
            </w:r>
          </w:p>
        </w:tc>
        <w:tc>
          <w:tcPr>
            <w:tcW w:w="419" w:type="pct"/>
            <w:vMerge w:val="restart"/>
            <w:vAlign w:val="center"/>
            <w:hideMark/>
          </w:tcPr>
          <w:p w14:paraId="2FA8AA42" w14:textId="357034C8" w:rsidR="00E33802" w:rsidRPr="00B71529" w:rsidRDefault="00E33802" w:rsidP="008E764E">
            <w:pPr>
              <w:jc w:val="center"/>
              <w:rPr>
                <w:rFonts w:ascii="Arial" w:hAnsi="Arial" w:cs="Arial"/>
                <w:b/>
                <w:bCs/>
                <w:color w:val="000000"/>
                <w:sz w:val="11"/>
                <w:szCs w:val="11"/>
              </w:rPr>
            </w:pPr>
            <w:r w:rsidRPr="00B71529">
              <w:rPr>
                <w:rFonts w:ascii="Arial" w:hAnsi="Arial" w:cs="Arial"/>
                <w:b/>
                <w:bCs/>
                <w:color w:val="000000"/>
                <w:sz w:val="11"/>
                <w:szCs w:val="11"/>
              </w:rPr>
              <w:t>Saldo em 3</w:t>
            </w:r>
            <w:r w:rsidR="008E764E" w:rsidRPr="00B71529">
              <w:rPr>
                <w:rFonts w:ascii="Arial" w:hAnsi="Arial" w:cs="Arial"/>
                <w:b/>
                <w:bCs/>
                <w:color w:val="000000"/>
                <w:sz w:val="11"/>
                <w:szCs w:val="11"/>
              </w:rPr>
              <w:t>0</w:t>
            </w:r>
            <w:r w:rsidRPr="00B71529">
              <w:rPr>
                <w:rFonts w:ascii="Arial" w:hAnsi="Arial" w:cs="Arial"/>
                <w:b/>
                <w:bCs/>
                <w:color w:val="000000"/>
                <w:sz w:val="11"/>
                <w:szCs w:val="11"/>
              </w:rPr>
              <w:t xml:space="preserve"> de </w:t>
            </w:r>
            <w:r w:rsidR="00F9496B" w:rsidRPr="00B71529">
              <w:rPr>
                <w:rFonts w:ascii="Arial" w:hAnsi="Arial" w:cs="Arial"/>
                <w:b/>
                <w:bCs/>
                <w:color w:val="000000"/>
                <w:sz w:val="11"/>
                <w:szCs w:val="11"/>
              </w:rPr>
              <w:t>março</w:t>
            </w:r>
            <w:r w:rsidRPr="00B71529">
              <w:rPr>
                <w:rFonts w:ascii="Arial" w:hAnsi="Arial" w:cs="Arial"/>
                <w:b/>
                <w:bCs/>
                <w:color w:val="000000"/>
                <w:sz w:val="11"/>
                <w:szCs w:val="11"/>
              </w:rPr>
              <w:t xml:space="preserve"> de 202</w:t>
            </w:r>
            <w:r w:rsidR="00F9496B" w:rsidRPr="00B71529">
              <w:rPr>
                <w:rFonts w:ascii="Arial" w:hAnsi="Arial" w:cs="Arial"/>
                <w:b/>
                <w:bCs/>
                <w:color w:val="000000"/>
                <w:sz w:val="11"/>
                <w:szCs w:val="11"/>
              </w:rPr>
              <w:t>6</w:t>
            </w:r>
          </w:p>
        </w:tc>
      </w:tr>
      <w:tr w:rsidR="005A5B23" w:rsidRPr="00B71529" w14:paraId="18B6CA27" w14:textId="77777777" w:rsidTr="00C91980">
        <w:trPr>
          <w:trHeight w:val="517"/>
          <w:tblHeader/>
        </w:trPr>
        <w:tc>
          <w:tcPr>
            <w:tcW w:w="2021" w:type="pct"/>
            <w:vMerge/>
            <w:vAlign w:val="center"/>
            <w:hideMark/>
          </w:tcPr>
          <w:p w14:paraId="150E18E9" w14:textId="77777777" w:rsidR="00E33802" w:rsidRPr="00B71529" w:rsidRDefault="00E33802" w:rsidP="00E33802">
            <w:pPr>
              <w:rPr>
                <w:rFonts w:ascii="Arial" w:hAnsi="Arial" w:cs="Arial"/>
                <w:b/>
                <w:bCs/>
                <w:color w:val="000000"/>
                <w:sz w:val="11"/>
                <w:szCs w:val="11"/>
              </w:rPr>
            </w:pPr>
          </w:p>
        </w:tc>
        <w:tc>
          <w:tcPr>
            <w:tcW w:w="333" w:type="pct"/>
            <w:vMerge/>
            <w:vAlign w:val="center"/>
            <w:hideMark/>
          </w:tcPr>
          <w:p w14:paraId="58DE4D94" w14:textId="77777777" w:rsidR="00E33802" w:rsidRPr="00B71529" w:rsidRDefault="00E33802" w:rsidP="00E33802">
            <w:pPr>
              <w:rPr>
                <w:rFonts w:ascii="Arial" w:hAnsi="Arial" w:cs="Arial"/>
                <w:b/>
                <w:bCs/>
                <w:color w:val="000000"/>
                <w:sz w:val="11"/>
                <w:szCs w:val="11"/>
              </w:rPr>
            </w:pPr>
          </w:p>
        </w:tc>
        <w:tc>
          <w:tcPr>
            <w:tcW w:w="437" w:type="pct"/>
            <w:vMerge w:val="restart"/>
            <w:vAlign w:val="center"/>
            <w:hideMark/>
          </w:tcPr>
          <w:p w14:paraId="635303AD" w14:textId="77777777" w:rsidR="00E33802" w:rsidRPr="00B71529" w:rsidRDefault="00E33802" w:rsidP="00E33802">
            <w:pPr>
              <w:jc w:val="center"/>
              <w:rPr>
                <w:rFonts w:ascii="Arial" w:hAnsi="Arial" w:cs="Arial"/>
                <w:b/>
                <w:bCs/>
                <w:color w:val="000000"/>
                <w:sz w:val="11"/>
                <w:szCs w:val="11"/>
              </w:rPr>
            </w:pPr>
            <w:r w:rsidRPr="00B71529">
              <w:rPr>
                <w:rFonts w:ascii="Arial" w:hAnsi="Arial" w:cs="Arial"/>
                <w:b/>
                <w:bCs/>
                <w:color w:val="000000"/>
                <w:sz w:val="11"/>
                <w:szCs w:val="11"/>
              </w:rPr>
              <w:t xml:space="preserve">Adições </w:t>
            </w:r>
          </w:p>
        </w:tc>
        <w:tc>
          <w:tcPr>
            <w:tcW w:w="502" w:type="pct"/>
            <w:vMerge w:val="restart"/>
            <w:vAlign w:val="center"/>
            <w:hideMark/>
          </w:tcPr>
          <w:p w14:paraId="02C0E6AF" w14:textId="77777777" w:rsidR="00E33802" w:rsidRPr="00B71529" w:rsidRDefault="00E33802" w:rsidP="00E33802">
            <w:pPr>
              <w:jc w:val="center"/>
              <w:rPr>
                <w:rFonts w:ascii="Arial" w:hAnsi="Arial" w:cs="Arial"/>
                <w:b/>
                <w:bCs/>
                <w:color w:val="000000"/>
                <w:sz w:val="11"/>
                <w:szCs w:val="11"/>
              </w:rPr>
            </w:pPr>
            <w:r w:rsidRPr="00B71529">
              <w:rPr>
                <w:rFonts w:ascii="Arial" w:hAnsi="Arial" w:cs="Arial"/>
                <w:b/>
                <w:bCs/>
                <w:color w:val="000000"/>
                <w:sz w:val="11"/>
                <w:szCs w:val="11"/>
              </w:rPr>
              <w:t>Transferências</w:t>
            </w:r>
          </w:p>
        </w:tc>
        <w:tc>
          <w:tcPr>
            <w:tcW w:w="501" w:type="pct"/>
            <w:vMerge w:val="restart"/>
            <w:vAlign w:val="center"/>
            <w:hideMark/>
          </w:tcPr>
          <w:p w14:paraId="3D5E6B17" w14:textId="77777777" w:rsidR="00E33802" w:rsidRPr="00B71529" w:rsidRDefault="00E33802" w:rsidP="00E33802">
            <w:pPr>
              <w:jc w:val="center"/>
              <w:rPr>
                <w:rFonts w:ascii="Arial" w:hAnsi="Arial" w:cs="Arial"/>
                <w:b/>
                <w:bCs/>
                <w:color w:val="000000"/>
                <w:sz w:val="11"/>
                <w:szCs w:val="11"/>
              </w:rPr>
            </w:pPr>
            <w:r w:rsidRPr="00B71529">
              <w:rPr>
                <w:rFonts w:ascii="Arial" w:hAnsi="Arial" w:cs="Arial"/>
                <w:b/>
                <w:bCs/>
                <w:color w:val="000000"/>
                <w:sz w:val="11"/>
                <w:szCs w:val="11"/>
              </w:rPr>
              <w:t xml:space="preserve">Compensações </w:t>
            </w:r>
          </w:p>
        </w:tc>
        <w:tc>
          <w:tcPr>
            <w:tcW w:w="413" w:type="pct"/>
            <w:vMerge w:val="restart"/>
            <w:vAlign w:val="center"/>
            <w:hideMark/>
          </w:tcPr>
          <w:p w14:paraId="6A3F2EF1" w14:textId="77777777" w:rsidR="00E33802" w:rsidRPr="00B71529" w:rsidRDefault="00E33802" w:rsidP="00E33802">
            <w:pPr>
              <w:jc w:val="center"/>
              <w:rPr>
                <w:rFonts w:ascii="Arial" w:hAnsi="Arial" w:cs="Arial"/>
                <w:b/>
                <w:bCs/>
                <w:color w:val="000000"/>
                <w:sz w:val="11"/>
                <w:szCs w:val="11"/>
              </w:rPr>
            </w:pPr>
            <w:r w:rsidRPr="00B71529">
              <w:rPr>
                <w:rFonts w:ascii="Arial" w:hAnsi="Arial" w:cs="Arial"/>
                <w:b/>
                <w:bCs/>
                <w:color w:val="000000"/>
                <w:sz w:val="11"/>
                <w:szCs w:val="11"/>
              </w:rPr>
              <w:t>Atualização Monetária</w:t>
            </w:r>
          </w:p>
        </w:tc>
        <w:tc>
          <w:tcPr>
            <w:tcW w:w="374" w:type="pct"/>
            <w:vMerge w:val="restart"/>
            <w:vAlign w:val="center"/>
            <w:hideMark/>
          </w:tcPr>
          <w:p w14:paraId="14F8BF60" w14:textId="77777777" w:rsidR="00E33802" w:rsidRPr="00B71529" w:rsidRDefault="00E33802" w:rsidP="00E33802">
            <w:pPr>
              <w:jc w:val="center"/>
              <w:rPr>
                <w:rFonts w:ascii="Arial" w:hAnsi="Arial" w:cs="Arial"/>
                <w:b/>
                <w:bCs/>
                <w:color w:val="000000"/>
                <w:sz w:val="11"/>
                <w:szCs w:val="11"/>
              </w:rPr>
            </w:pPr>
            <w:r w:rsidRPr="00B71529">
              <w:rPr>
                <w:rFonts w:ascii="Arial" w:hAnsi="Arial" w:cs="Arial"/>
                <w:b/>
                <w:bCs/>
                <w:color w:val="000000"/>
                <w:sz w:val="11"/>
                <w:szCs w:val="11"/>
              </w:rPr>
              <w:t>Baixa para Resultado</w:t>
            </w:r>
          </w:p>
        </w:tc>
        <w:tc>
          <w:tcPr>
            <w:tcW w:w="419" w:type="pct"/>
            <w:vMerge/>
            <w:vAlign w:val="center"/>
            <w:hideMark/>
          </w:tcPr>
          <w:p w14:paraId="25D287F7" w14:textId="77777777" w:rsidR="00E33802" w:rsidRPr="00B71529" w:rsidRDefault="00E33802" w:rsidP="00E33802">
            <w:pPr>
              <w:rPr>
                <w:rFonts w:ascii="Arial" w:hAnsi="Arial" w:cs="Arial"/>
                <w:b/>
                <w:bCs/>
                <w:color w:val="000000"/>
                <w:sz w:val="11"/>
                <w:szCs w:val="11"/>
              </w:rPr>
            </w:pPr>
          </w:p>
        </w:tc>
      </w:tr>
      <w:tr w:rsidR="005A5B23" w:rsidRPr="00B71529" w14:paraId="68B44B05" w14:textId="77777777" w:rsidTr="00C91980">
        <w:trPr>
          <w:trHeight w:val="517"/>
          <w:tblHeader/>
        </w:trPr>
        <w:tc>
          <w:tcPr>
            <w:tcW w:w="2021" w:type="pct"/>
            <w:vMerge/>
            <w:vAlign w:val="center"/>
            <w:hideMark/>
          </w:tcPr>
          <w:p w14:paraId="3775EF38" w14:textId="77777777" w:rsidR="00E33802" w:rsidRPr="00B71529" w:rsidRDefault="00E33802" w:rsidP="00E33802">
            <w:pPr>
              <w:rPr>
                <w:rFonts w:ascii="Arial" w:hAnsi="Arial" w:cs="Arial"/>
                <w:b/>
                <w:bCs/>
                <w:color w:val="000000"/>
                <w:sz w:val="11"/>
                <w:szCs w:val="11"/>
              </w:rPr>
            </w:pPr>
          </w:p>
        </w:tc>
        <w:tc>
          <w:tcPr>
            <w:tcW w:w="333" w:type="pct"/>
            <w:vMerge/>
            <w:vAlign w:val="center"/>
            <w:hideMark/>
          </w:tcPr>
          <w:p w14:paraId="426701E6" w14:textId="77777777" w:rsidR="00E33802" w:rsidRPr="00B71529" w:rsidRDefault="00E33802" w:rsidP="00E33802">
            <w:pPr>
              <w:rPr>
                <w:rFonts w:ascii="Arial" w:hAnsi="Arial" w:cs="Arial"/>
                <w:b/>
                <w:bCs/>
                <w:color w:val="000000"/>
                <w:sz w:val="11"/>
                <w:szCs w:val="11"/>
              </w:rPr>
            </w:pPr>
          </w:p>
        </w:tc>
        <w:tc>
          <w:tcPr>
            <w:tcW w:w="437" w:type="pct"/>
            <w:vMerge/>
            <w:vAlign w:val="center"/>
            <w:hideMark/>
          </w:tcPr>
          <w:p w14:paraId="04C0A422" w14:textId="77777777" w:rsidR="00E33802" w:rsidRPr="00B71529" w:rsidRDefault="00E33802" w:rsidP="00E33802">
            <w:pPr>
              <w:rPr>
                <w:rFonts w:ascii="Arial" w:hAnsi="Arial" w:cs="Arial"/>
                <w:b/>
                <w:bCs/>
                <w:color w:val="000000"/>
                <w:sz w:val="11"/>
                <w:szCs w:val="11"/>
              </w:rPr>
            </w:pPr>
          </w:p>
        </w:tc>
        <w:tc>
          <w:tcPr>
            <w:tcW w:w="502" w:type="pct"/>
            <w:vMerge/>
            <w:vAlign w:val="center"/>
            <w:hideMark/>
          </w:tcPr>
          <w:p w14:paraId="6D655C14" w14:textId="77777777" w:rsidR="00E33802" w:rsidRPr="00B71529" w:rsidRDefault="00E33802" w:rsidP="00E33802">
            <w:pPr>
              <w:rPr>
                <w:rFonts w:ascii="Arial" w:hAnsi="Arial" w:cs="Arial"/>
                <w:b/>
                <w:bCs/>
                <w:color w:val="000000"/>
                <w:sz w:val="11"/>
                <w:szCs w:val="11"/>
              </w:rPr>
            </w:pPr>
          </w:p>
        </w:tc>
        <w:tc>
          <w:tcPr>
            <w:tcW w:w="501" w:type="pct"/>
            <w:vMerge/>
            <w:vAlign w:val="center"/>
            <w:hideMark/>
          </w:tcPr>
          <w:p w14:paraId="648A6027" w14:textId="77777777" w:rsidR="00E33802" w:rsidRPr="00B71529" w:rsidRDefault="00E33802" w:rsidP="00E33802">
            <w:pPr>
              <w:rPr>
                <w:rFonts w:ascii="Arial" w:hAnsi="Arial" w:cs="Arial"/>
                <w:b/>
                <w:bCs/>
                <w:color w:val="000000"/>
                <w:sz w:val="11"/>
                <w:szCs w:val="11"/>
              </w:rPr>
            </w:pPr>
          </w:p>
        </w:tc>
        <w:tc>
          <w:tcPr>
            <w:tcW w:w="413" w:type="pct"/>
            <w:vMerge/>
            <w:vAlign w:val="center"/>
            <w:hideMark/>
          </w:tcPr>
          <w:p w14:paraId="2B979FCC" w14:textId="77777777" w:rsidR="00E33802" w:rsidRPr="00B71529" w:rsidRDefault="00E33802" w:rsidP="00E33802">
            <w:pPr>
              <w:rPr>
                <w:rFonts w:ascii="Arial" w:hAnsi="Arial" w:cs="Arial"/>
                <w:b/>
                <w:bCs/>
                <w:color w:val="000000"/>
                <w:sz w:val="11"/>
                <w:szCs w:val="11"/>
              </w:rPr>
            </w:pPr>
          </w:p>
        </w:tc>
        <w:tc>
          <w:tcPr>
            <w:tcW w:w="374" w:type="pct"/>
            <w:vMerge/>
            <w:vAlign w:val="center"/>
            <w:hideMark/>
          </w:tcPr>
          <w:p w14:paraId="72DA109A" w14:textId="77777777" w:rsidR="00E33802" w:rsidRPr="00B71529" w:rsidRDefault="00E33802" w:rsidP="00E33802">
            <w:pPr>
              <w:rPr>
                <w:rFonts w:ascii="Arial" w:hAnsi="Arial" w:cs="Arial"/>
                <w:b/>
                <w:bCs/>
                <w:color w:val="000000"/>
                <w:sz w:val="11"/>
                <w:szCs w:val="11"/>
              </w:rPr>
            </w:pPr>
          </w:p>
        </w:tc>
        <w:tc>
          <w:tcPr>
            <w:tcW w:w="419" w:type="pct"/>
            <w:vMerge/>
            <w:vAlign w:val="center"/>
            <w:hideMark/>
          </w:tcPr>
          <w:p w14:paraId="32BBC654" w14:textId="77777777" w:rsidR="00E33802" w:rsidRPr="00B71529" w:rsidRDefault="00E33802" w:rsidP="00E33802">
            <w:pPr>
              <w:rPr>
                <w:rFonts w:ascii="Arial" w:hAnsi="Arial" w:cs="Arial"/>
                <w:b/>
                <w:bCs/>
                <w:color w:val="000000"/>
                <w:sz w:val="11"/>
                <w:szCs w:val="11"/>
              </w:rPr>
            </w:pPr>
          </w:p>
        </w:tc>
      </w:tr>
      <w:tr w:rsidR="00F9496B" w:rsidRPr="00B71529" w14:paraId="694643CE" w14:textId="77777777" w:rsidTr="00C91980">
        <w:trPr>
          <w:trHeight w:val="232"/>
        </w:trPr>
        <w:tc>
          <w:tcPr>
            <w:tcW w:w="2021" w:type="pct"/>
            <w:noWrap/>
            <w:vAlign w:val="center"/>
            <w:hideMark/>
          </w:tcPr>
          <w:p w14:paraId="67AEFC18" w14:textId="7EE1D1EB"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Imposto de Renda Pessoa Jurídica - IRPJ</w:t>
            </w:r>
          </w:p>
        </w:tc>
        <w:tc>
          <w:tcPr>
            <w:tcW w:w="333" w:type="pct"/>
            <w:noWrap/>
            <w:vAlign w:val="center"/>
            <w:hideMark/>
          </w:tcPr>
          <w:p w14:paraId="3F0A1988" w14:textId="68D573DF"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98.999</w:t>
            </w:r>
          </w:p>
        </w:tc>
        <w:tc>
          <w:tcPr>
            <w:tcW w:w="437" w:type="pct"/>
            <w:noWrap/>
            <w:vAlign w:val="center"/>
            <w:hideMark/>
          </w:tcPr>
          <w:p w14:paraId="01825711" w14:textId="0FEAE9D2"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12.947</w:t>
            </w:r>
          </w:p>
        </w:tc>
        <w:tc>
          <w:tcPr>
            <w:tcW w:w="502" w:type="pct"/>
            <w:noWrap/>
            <w:vAlign w:val="center"/>
            <w:hideMark/>
          </w:tcPr>
          <w:p w14:paraId="0052E6CB" w14:textId="4F720554"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501" w:type="pct"/>
            <w:noWrap/>
            <w:vAlign w:val="center"/>
            <w:hideMark/>
          </w:tcPr>
          <w:p w14:paraId="076CB565" w14:textId="03CD2A9F"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(49.864)</w:t>
            </w:r>
          </w:p>
        </w:tc>
        <w:tc>
          <w:tcPr>
            <w:tcW w:w="413" w:type="pct"/>
            <w:noWrap/>
            <w:vAlign w:val="center"/>
            <w:hideMark/>
          </w:tcPr>
          <w:p w14:paraId="707792C7" w14:textId="2DF2D588"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682</w:t>
            </w:r>
          </w:p>
        </w:tc>
        <w:tc>
          <w:tcPr>
            <w:tcW w:w="374" w:type="pct"/>
            <w:noWrap/>
            <w:vAlign w:val="center"/>
            <w:hideMark/>
          </w:tcPr>
          <w:p w14:paraId="3646E1BE" w14:textId="287389FA"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9" w:type="pct"/>
            <w:noWrap/>
            <w:vAlign w:val="center"/>
            <w:hideMark/>
          </w:tcPr>
          <w:p w14:paraId="584EFCD4" w14:textId="38CA15D8"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62.764</w:t>
            </w:r>
          </w:p>
        </w:tc>
      </w:tr>
      <w:tr w:rsidR="00F9496B" w:rsidRPr="00B71529" w14:paraId="6ACB86D3" w14:textId="77777777" w:rsidTr="00C91980">
        <w:trPr>
          <w:trHeight w:val="232"/>
        </w:trPr>
        <w:tc>
          <w:tcPr>
            <w:tcW w:w="2021" w:type="pct"/>
            <w:noWrap/>
            <w:vAlign w:val="center"/>
            <w:hideMark/>
          </w:tcPr>
          <w:p w14:paraId="47A41A2A" w14:textId="248B772A"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Contribuição para o Financiamento da Seguridade Social – Cofins</w:t>
            </w:r>
          </w:p>
        </w:tc>
        <w:tc>
          <w:tcPr>
            <w:tcW w:w="333" w:type="pct"/>
            <w:noWrap/>
            <w:vAlign w:val="center"/>
            <w:hideMark/>
          </w:tcPr>
          <w:p w14:paraId="7D8C9F69" w14:textId="38E73BE0"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46.593</w:t>
            </w:r>
          </w:p>
        </w:tc>
        <w:tc>
          <w:tcPr>
            <w:tcW w:w="437" w:type="pct"/>
            <w:noWrap/>
            <w:vAlign w:val="center"/>
            <w:hideMark/>
          </w:tcPr>
          <w:p w14:paraId="16CC7D67" w14:textId="493DB2A6"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3.181</w:t>
            </w:r>
          </w:p>
        </w:tc>
        <w:tc>
          <w:tcPr>
            <w:tcW w:w="502" w:type="pct"/>
            <w:noWrap/>
            <w:vAlign w:val="center"/>
            <w:hideMark/>
          </w:tcPr>
          <w:p w14:paraId="3DF38E71" w14:textId="7045CE31"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501" w:type="pct"/>
            <w:noWrap/>
            <w:vAlign w:val="center"/>
            <w:hideMark/>
          </w:tcPr>
          <w:p w14:paraId="43AC5D77" w14:textId="584EAF25"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(2.842)</w:t>
            </w:r>
          </w:p>
        </w:tc>
        <w:tc>
          <w:tcPr>
            <w:tcW w:w="413" w:type="pct"/>
            <w:noWrap/>
            <w:vAlign w:val="center"/>
            <w:hideMark/>
          </w:tcPr>
          <w:p w14:paraId="468A84F5" w14:textId="29E9D1E4"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1.127</w:t>
            </w:r>
          </w:p>
        </w:tc>
        <w:tc>
          <w:tcPr>
            <w:tcW w:w="374" w:type="pct"/>
            <w:noWrap/>
            <w:vAlign w:val="center"/>
            <w:hideMark/>
          </w:tcPr>
          <w:p w14:paraId="4B1B85F7" w14:textId="6920080C"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9" w:type="pct"/>
            <w:noWrap/>
            <w:vAlign w:val="center"/>
            <w:hideMark/>
          </w:tcPr>
          <w:p w14:paraId="79EF4233" w14:textId="45919B42"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48.059</w:t>
            </w:r>
          </w:p>
        </w:tc>
      </w:tr>
      <w:tr w:rsidR="00F9496B" w:rsidRPr="00B71529" w14:paraId="5DDF96C5" w14:textId="77777777" w:rsidTr="00C91980">
        <w:trPr>
          <w:trHeight w:val="232"/>
        </w:trPr>
        <w:tc>
          <w:tcPr>
            <w:tcW w:w="2021" w:type="pct"/>
            <w:noWrap/>
            <w:vAlign w:val="center"/>
            <w:hideMark/>
          </w:tcPr>
          <w:p w14:paraId="1D0046DD" w14:textId="15C2E529"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Imposto sobre Circulação de Mercadorias e Prestação de Serviços - ICMS</w:t>
            </w:r>
          </w:p>
        </w:tc>
        <w:tc>
          <w:tcPr>
            <w:tcW w:w="333" w:type="pct"/>
            <w:noWrap/>
            <w:vAlign w:val="center"/>
            <w:hideMark/>
          </w:tcPr>
          <w:p w14:paraId="2EAB49A7" w14:textId="149B2AD6"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43.255</w:t>
            </w:r>
          </w:p>
        </w:tc>
        <w:tc>
          <w:tcPr>
            <w:tcW w:w="437" w:type="pct"/>
            <w:noWrap/>
            <w:vAlign w:val="center"/>
            <w:hideMark/>
          </w:tcPr>
          <w:p w14:paraId="7C355C70" w14:textId="342A2176"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2.694</w:t>
            </w:r>
          </w:p>
        </w:tc>
        <w:tc>
          <w:tcPr>
            <w:tcW w:w="502" w:type="pct"/>
            <w:noWrap/>
            <w:vAlign w:val="center"/>
            <w:hideMark/>
          </w:tcPr>
          <w:p w14:paraId="26282D8C" w14:textId="2A98912C"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(222)</w:t>
            </w:r>
          </w:p>
        </w:tc>
        <w:tc>
          <w:tcPr>
            <w:tcW w:w="501" w:type="pct"/>
            <w:noWrap/>
            <w:vAlign w:val="center"/>
            <w:hideMark/>
          </w:tcPr>
          <w:p w14:paraId="6E682D3F" w14:textId="13728906"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(3.416)</w:t>
            </w:r>
          </w:p>
        </w:tc>
        <w:tc>
          <w:tcPr>
            <w:tcW w:w="413" w:type="pct"/>
            <w:noWrap/>
            <w:vAlign w:val="center"/>
            <w:hideMark/>
          </w:tcPr>
          <w:p w14:paraId="2D9CBE7A" w14:textId="7F6EDE3C"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374" w:type="pct"/>
            <w:noWrap/>
            <w:vAlign w:val="center"/>
            <w:hideMark/>
          </w:tcPr>
          <w:p w14:paraId="71441A12" w14:textId="3D7CFF18"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(677)</w:t>
            </w:r>
          </w:p>
        </w:tc>
        <w:tc>
          <w:tcPr>
            <w:tcW w:w="419" w:type="pct"/>
            <w:noWrap/>
            <w:vAlign w:val="center"/>
            <w:hideMark/>
          </w:tcPr>
          <w:p w14:paraId="5CA916E1" w14:textId="32B971C0"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41.634</w:t>
            </w:r>
          </w:p>
        </w:tc>
      </w:tr>
      <w:tr w:rsidR="00F9496B" w:rsidRPr="00B71529" w14:paraId="024FFD96" w14:textId="77777777" w:rsidTr="00C91980">
        <w:trPr>
          <w:trHeight w:val="232"/>
        </w:trPr>
        <w:tc>
          <w:tcPr>
            <w:tcW w:w="2021" w:type="pct"/>
            <w:noWrap/>
            <w:vAlign w:val="center"/>
            <w:hideMark/>
          </w:tcPr>
          <w:p w14:paraId="65A7E605" w14:textId="2FCC4695"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 xml:space="preserve">Programa de Integração Social - PIS </w:t>
            </w:r>
          </w:p>
        </w:tc>
        <w:tc>
          <w:tcPr>
            <w:tcW w:w="333" w:type="pct"/>
            <w:noWrap/>
            <w:vAlign w:val="center"/>
            <w:hideMark/>
          </w:tcPr>
          <w:p w14:paraId="75304194" w14:textId="408A4CD6"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10.091</w:t>
            </w:r>
          </w:p>
        </w:tc>
        <w:tc>
          <w:tcPr>
            <w:tcW w:w="437" w:type="pct"/>
            <w:noWrap/>
            <w:vAlign w:val="center"/>
            <w:hideMark/>
          </w:tcPr>
          <w:p w14:paraId="5750BCF5" w14:textId="1E590434" w:rsidR="00F9496B" w:rsidRPr="00B71529" w:rsidRDefault="00F9496B" w:rsidP="00F9496B">
            <w:pPr>
              <w:jc w:val="right"/>
              <w:rPr>
                <w:rFonts w:ascii="Arial" w:hAnsi="Arial" w:cs="Arial"/>
                <w:sz w:val="11"/>
                <w:szCs w:val="11"/>
              </w:rPr>
            </w:pPr>
            <w:r w:rsidRPr="00B71529">
              <w:rPr>
                <w:rFonts w:ascii="Arial" w:hAnsi="Arial" w:cs="Arial"/>
                <w:color w:val="000000"/>
                <w:sz w:val="11"/>
                <w:szCs w:val="11"/>
              </w:rPr>
              <w:t>74</w:t>
            </w:r>
          </w:p>
        </w:tc>
        <w:tc>
          <w:tcPr>
            <w:tcW w:w="502" w:type="pct"/>
            <w:noWrap/>
            <w:vAlign w:val="center"/>
            <w:hideMark/>
          </w:tcPr>
          <w:p w14:paraId="4F6DD5F3" w14:textId="04AE4B19"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501" w:type="pct"/>
            <w:noWrap/>
            <w:vAlign w:val="center"/>
            <w:hideMark/>
          </w:tcPr>
          <w:p w14:paraId="43B5A80A" w14:textId="328FB1FB"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3" w:type="pct"/>
            <w:noWrap/>
            <w:vAlign w:val="center"/>
            <w:hideMark/>
          </w:tcPr>
          <w:p w14:paraId="2AFC5C87" w14:textId="50BCF52A"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244</w:t>
            </w:r>
          </w:p>
        </w:tc>
        <w:tc>
          <w:tcPr>
            <w:tcW w:w="374" w:type="pct"/>
            <w:noWrap/>
            <w:vAlign w:val="center"/>
            <w:hideMark/>
          </w:tcPr>
          <w:p w14:paraId="2E76792A" w14:textId="7728311D"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9" w:type="pct"/>
            <w:noWrap/>
            <w:vAlign w:val="center"/>
            <w:hideMark/>
          </w:tcPr>
          <w:p w14:paraId="12131D19" w14:textId="4EA6055F"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10.409</w:t>
            </w:r>
          </w:p>
        </w:tc>
      </w:tr>
      <w:tr w:rsidR="00F9496B" w:rsidRPr="00B71529" w14:paraId="1CA8B0B6" w14:textId="77777777" w:rsidTr="00C91980">
        <w:trPr>
          <w:trHeight w:val="232"/>
        </w:trPr>
        <w:tc>
          <w:tcPr>
            <w:tcW w:w="2021" w:type="pct"/>
            <w:noWrap/>
            <w:vAlign w:val="center"/>
          </w:tcPr>
          <w:p w14:paraId="04737E66" w14:textId="5228E195"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Contribuição Social sobre Lucro Líquido - CSLL</w:t>
            </w:r>
          </w:p>
        </w:tc>
        <w:tc>
          <w:tcPr>
            <w:tcW w:w="333" w:type="pct"/>
            <w:noWrap/>
            <w:vAlign w:val="center"/>
          </w:tcPr>
          <w:p w14:paraId="5DC4B0D9" w14:textId="0562E354"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9.246</w:t>
            </w:r>
          </w:p>
        </w:tc>
        <w:tc>
          <w:tcPr>
            <w:tcW w:w="437" w:type="pct"/>
            <w:noWrap/>
            <w:vAlign w:val="center"/>
          </w:tcPr>
          <w:p w14:paraId="5DC14B99" w14:textId="3DB7CAF5"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578</w:t>
            </w:r>
          </w:p>
        </w:tc>
        <w:tc>
          <w:tcPr>
            <w:tcW w:w="502" w:type="pct"/>
            <w:noWrap/>
            <w:vAlign w:val="center"/>
          </w:tcPr>
          <w:p w14:paraId="5B7E1375" w14:textId="4EF1F0BF"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501" w:type="pct"/>
            <w:noWrap/>
            <w:vAlign w:val="center"/>
          </w:tcPr>
          <w:p w14:paraId="0EBD5868" w14:textId="32AD9DC3"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(6.199)</w:t>
            </w:r>
          </w:p>
        </w:tc>
        <w:tc>
          <w:tcPr>
            <w:tcW w:w="413" w:type="pct"/>
            <w:noWrap/>
            <w:vAlign w:val="center"/>
          </w:tcPr>
          <w:p w14:paraId="10F54CA6" w14:textId="498A1B87"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146</w:t>
            </w:r>
          </w:p>
        </w:tc>
        <w:tc>
          <w:tcPr>
            <w:tcW w:w="374" w:type="pct"/>
            <w:noWrap/>
            <w:vAlign w:val="center"/>
          </w:tcPr>
          <w:p w14:paraId="2D8A3EFE" w14:textId="524EF424"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9" w:type="pct"/>
            <w:noWrap/>
            <w:vAlign w:val="center"/>
          </w:tcPr>
          <w:p w14:paraId="2B9F6314" w14:textId="39F8EAB6"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3.771</w:t>
            </w:r>
          </w:p>
        </w:tc>
      </w:tr>
      <w:tr w:rsidR="00F9496B" w:rsidRPr="00B71529" w14:paraId="0004D180" w14:textId="77777777" w:rsidTr="00C91980">
        <w:trPr>
          <w:trHeight w:val="232"/>
        </w:trPr>
        <w:tc>
          <w:tcPr>
            <w:tcW w:w="2021" w:type="pct"/>
            <w:noWrap/>
            <w:vAlign w:val="center"/>
            <w:hideMark/>
          </w:tcPr>
          <w:p w14:paraId="51C00B21" w14:textId="4AB63B04"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Imposto sobre Serviços de Qualquer Natureza - ISS</w:t>
            </w:r>
          </w:p>
        </w:tc>
        <w:tc>
          <w:tcPr>
            <w:tcW w:w="333" w:type="pct"/>
            <w:noWrap/>
            <w:vAlign w:val="center"/>
            <w:hideMark/>
          </w:tcPr>
          <w:p w14:paraId="4F77CE33" w14:textId="24099BEE"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99</w:t>
            </w:r>
          </w:p>
        </w:tc>
        <w:tc>
          <w:tcPr>
            <w:tcW w:w="437" w:type="pct"/>
            <w:noWrap/>
            <w:vAlign w:val="center"/>
            <w:hideMark/>
          </w:tcPr>
          <w:p w14:paraId="422E69DF" w14:textId="36053142"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280</w:t>
            </w:r>
          </w:p>
        </w:tc>
        <w:tc>
          <w:tcPr>
            <w:tcW w:w="502" w:type="pct"/>
            <w:noWrap/>
            <w:vAlign w:val="center"/>
            <w:hideMark/>
          </w:tcPr>
          <w:p w14:paraId="09A066B5" w14:textId="21781D32"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501" w:type="pct"/>
            <w:noWrap/>
            <w:vAlign w:val="center"/>
            <w:hideMark/>
          </w:tcPr>
          <w:p w14:paraId="6990E74C" w14:textId="0881A540"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(99)</w:t>
            </w:r>
          </w:p>
        </w:tc>
        <w:tc>
          <w:tcPr>
            <w:tcW w:w="413" w:type="pct"/>
            <w:noWrap/>
            <w:vAlign w:val="center"/>
            <w:hideMark/>
          </w:tcPr>
          <w:p w14:paraId="77063BA1" w14:textId="43F55C6B"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374" w:type="pct"/>
            <w:noWrap/>
            <w:vAlign w:val="center"/>
            <w:hideMark/>
          </w:tcPr>
          <w:p w14:paraId="452A7457" w14:textId="641C5E45"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9" w:type="pct"/>
            <w:noWrap/>
            <w:vAlign w:val="center"/>
            <w:hideMark/>
          </w:tcPr>
          <w:p w14:paraId="08BE1A55" w14:textId="11F78D7D"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280</w:t>
            </w:r>
          </w:p>
        </w:tc>
      </w:tr>
      <w:tr w:rsidR="00F9496B" w:rsidRPr="00B71529" w14:paraId="3429528E" w14:textId="77777777" w:rsidTr="00C91980">
        <w:trPr>
          <w:trHeight w:val="232"/>
        </w:trPr>
        <w:tc>
          <w:tcPr>
            <w:tcW w:w="2021" w:type="pct"/>
            <w:noWrap/>
            <w:vAlign w:val="center"/>
            <w:hideMark/>
          </w:tcPr>
          <w:p w14:paraId="53E5CBD4" w14:textId="34F0D845"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Retenções Tributos Federais - COSIRF</w:t>
            </w:r>
          </w:p>
        </w:tc>
        <w:tc>
          <w:tcPr>
            <w:tcW w:w="333" w:type="pct"/>
            <w:noWrap/>
            <w:vAlign w:val="center"/>
            <w:hideMark/>
          </w:tcPr>
          <w:p w14:paraId="31C963ED" w14:textId="6C8CDB1B"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37" w:type="pct"/>
            <w:noWrap/>
            <w:vAlign w:val="center"/>
            <w:hideMark/>
          </w:tcPr>
          <w:p w14:paraId="160B4F9F" w14:textId="1325ACAC"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247</w:t>
            </w:r>
          </w:p>
        </w:tc>
        <w:tc>
          <w:tcPr>
            <w:tcW w:w="502" w:type="pct"/>
            <w:noWrap/>
            <w:vAlign w:val="center"/>
            <w:hideMark/>
          </w:tcPr>
          <w:p w14:paraId="4AFA360B" w14:textId="5986BD7D"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501" w:type="pct"/>
            <w:noWrap/>
            <w:vAlign w:val="center"/>
            <w:hideMark/>
          </w:tcPr>
          <w:p w14:paraId="7BF80F12" w14:textId="6DECA451"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3" w:type="pct"/>
            <w:noWrap/>
            <w:vAlign w:val="center"/>
            <w:hideMark/>
          </w:tcPr>
          <w:p w14:paraId="766725E3" w14:textId="09A2238E"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374" w:type="pct"/>
            <w:noWrap/>
            <w:vAlign w:val="center"/>
            <w:hideMark/>
          </w:tcPr>
          <w:p w14:paraId="6E257B82" w14:textId="64746E79"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9" w:type="pct"/>
            <w:noWrap/>
            <w:vAlign w:val="center"/>
            <w:hideMark/>
          </w:tcPr>
          <w:p w14:paraId="2F0028C8" w14:textId="767143B7"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247</w:t>
            </w:r>
          </w:p>
        </w:tc>
      </w:tr>
      <w:tr w:rsidR="00F9496B" w:rsidRPr="00B71529" w14:paraId="64BD424B" w14:textId="77777777" w:rsidTr="00C91980">
        <w:trPr>
          <w:trHeight w:val="232"/>
        </w:trPr>
        <w:tc>
          <w:tcPr>
            <w:tcW w:w="2021" w:type="pct"/>
            <w:noWrap/>
            <w:vAlign w:val="center"/>
            <w:hideMark/>
          </w:tcPr>
          <w:p w14:paraId="3050D985" w14:textId="140EF937"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Instituto Nacional de Previdência Social – INSS</w:t>
            </w:r>
          </w:p>
        </w:tc>
        <w:tc>
          <w:tcPr>
            <w:tcW w:w="333" w:type="pct"/>
            <w:noWrap/>
            <w:vAlign w:val="center"/>
            <w:hideMark/>
          </w:tcPr>
          <w:p w14:paraId="28B5852E" w14:textId="2643B812"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28</w:t>
            </w:r>
          </w:p>
        </w:tc>
        <w:tc>
          <w:tcPr>
            <w:tcW w:w="437" w:type="pct"/>
            <w:noWrap/>
            <w:vAlign w:val="center"/>
            <w:hideMark/>
          </w:tcPr>
          <w:p w14:paraId="56C30296" w14:textId="0AF52F51"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4</w:t>
            </w:r>
          </w:p>
        </w:tc>
        <w:tc>
          <w:tcPr>
            <w:tcW w:w="502" w:type="pct"/>
            <w:noWrap/>
            <w:vAlign w:val="center"/>
            <w:hideMark/>
          </w:tcPr>
          <w:p w14:paraId="12471C45" w14:textId="54F6F484"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501" w:type="pct"/>
            <w:noWrap/>
            <w:vAlign w:val="center"/>
            <w:hideMark/>
          </w:tcPr>
          <w:p w14:paraId="4D144C7F" w14:textId="63FAB723"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3" w:type="pct"/>
            <w:noWrap/>
            <w:vAlign w:val="center"/>
            <w:hideMark/>
          </w:tcPr>
          <w:p w14:paraId="1EC77E47" w14:textId="45F99510"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374" w:type="pct"/>
            <w:noWrap/>
            <w:vAlign w:val="center"/>
            <w:hideMark/>
          </w:tcPr>
          <w:p w14:paraId="664430F9" w14:textId="12A1B11A"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 xml:space="preserve">                        - </w:t>
            </w:r>
          </w:p>
        </w:tc>
        <w:tc>
          <w:tcPr>
            <w:tcW w:w="419" w:type="pct"/>
            <w:noWrap/>
            <w:vAlign w:val="center"/>
            <w:hideMark/>
          </w:tcPr>
          <w:p w14:paraId="6117AFB9" w14:textId="76402237" w:rsidR="00F9496B" w:rsidRPr="00B71529" w:rsidRDefault="00F9496B" w:rsidP="00F9496B">
            <w:pPr>
              <w:jc w:val="right"/>
              <w:rPr>
                <w:rFonts w:ascii="Arial" w:hAnsi="Arial" w:cs="Arial"/>
                <w:color w:val="000000"/>
                <w:sz w:val="11"/>
                <w:szCs w:val="11"/>
              </w:rPr>
            </w:pPr>
            <w:r w:rsidRPr="00B71529">
              <w:rPr>
                <w:rFonts w:ascii="Arial" w:hAnsi="Arial" w:cs="Arial"/>
                <w:color w:val="000000"/>
                <w:sz w:val="11"/>
                <w:szCs w:val="11"/>
              </w:rPr>
              <w:t>32</w:t>
            </w:r>
          </w:p>
        </w:tc>
      </w:tr>
      <w:tr w:rsidR="00F9496B" w:rsidRPr="00E33802" w14:paraId="534527C4" w14:textId="77777777" w:rsidTr="00C91980">
        <w:trPr>
          <w:trHeight w:val="232"/>
        </w:trPr>
        <w:tc>
          <w:tcPr>
            <w:tcW w:w="2021" w:type="pct"/>
            <w:noWrap/>
            <w:vAlign w:val="center"/>
            <w:hideMark/>
          </w:tcPr>
          <w:p w14:paraId="4BA51B46" w14:textId="2588B673" w:rsidR="00F9496B" w:rsidRPr="00B71529" w:rsidRDefault="00F9496B" w:rsidP="00F9496B">
            <w:pPr>
              <w:rPr>
                <w:rFonts w:ascii="Arial" w:hAnsi="Arial" w:cs="Arial"/>
                <w:b/>
                <w:bCs/>
                <w:color w:val="000000"/>
                <w:sz w:val="11"/>
                <w:szCs w:val="11"/>
              </w:rPr>
            </w:pPr>
            <w:r w:rsidRPr="00B71529">
              <w:rPr>
                <w:rFonts w:ascii="Arial" w:hAnsi="Arial" w:cs="Arial"/>
                <w:b/>
                <w:bCs/>
                <w:color w:val="000000"/>
                <w:sz w:val="11"/>
                <w:szCs w:val="11"/>
              </w:rPr>
              <w:t>TOTAL</w:t>
            </w:r>
          </w:p>
        </w:tc>
        <w:tc>
          <w:tcPr>
            <w:tcW w:w="333" w:type="pct"/>
            <w:noWrap/>
            <w:vAlign w:val="center"/>
            <w:hideMark/>
          </w:tcPr>
          <w:p w14:paraId="18143914" w14:textId="17B7E1B1" w:rsidR="00F9496B" w:rsidRPr="00B71529" w:rsidRDefault="00F9496B" w:rsidP="00F9496B">
            <w:pPr>
              <w:jc w:val="right"/>
              <w:rPr>
                <w:rFonts w:ascii="Arial" w:hAnsi="Arial" w:cs="Arial"/>
                <w:b/>
                <w:bCs/>
                <w:color w:val="000000"/>
                <w:sz w:val="11"/>
                <w:szCs w:val="11"/>
              </w:rPr>
            </w:pPr>
            <w:r w:rsidRPr="00B71529">
              <w:rPr>
                <w:rFonts w:ascii="Arial" w:hAnsi="Arial" w:cs="Arial"/>
                <w:b/>
                <w:bCs/>
                <w:color w:val="000000"/>
                <w:sz w:val="11"/>
                <w:szCs w:val="11"/>
              </w:rPr>
              <w:t>208.311</w:t>
            </w:r>
          </w:p>
        </w:tc>
        <w:tc>
          <w:tcPr>
            <w:tcW w:w="437" w:type="pct"/>
            <w:noWrap/>
            <w:vAlign w:val="center"/>
            <w:hideMark/>
          </w:tcPr>
          <w:p w14:paraId="5ADE7647" w14:textId="0D4B4037" w:rsidR="00F9496B" w:rsidRPr="00B71529" w:rsidRDefault="00F9496B" w:rsidP="00F9496B">
            <w:pPr>
              <w:jc w:val="right"/>
              <w:rPr>
                <w:rFonts w:ascii="Arial" w:hAnsi="Arial" w:cs="Arial"/>
                <w:b/>
                <w:bCs/>
                <w:color w:val="000000"/>
                <w:sz w:val="11"/>
                <w:szCs w:val="11"/>
              </w:rPr>
            </w:pPr>
            <w:r w:rsidRPr="00B71529">
              <w:rPr>
                <w:rFonts w:ascii="Arial" w:hAnsi="Arial" w:cs="Arial"/>
                <w:b/>
                <w:bCs/>
                <w:color w:val="000000"/>
                <w:sz w:val="11"/>
                <w:szCs w:val="11"/>
              </w:rPr>
              <w:t>20.005</w:t>
            </w:r>
          </w:p>
        </w:tc>
        <w:tc>
          <w:tcPr>
            <w:tcW w:w="502" w:type="pct"/>
            <w:noWrap/>
            <w:vAlign w:val="center"/>
            <w:hideMark/>
          </w:tcPr>
          <w:p w14:paraId="236C5C9C" w14:textId="4B8D4A69" w:rsidR="00F9496B" w:rsidRPr="00B71529" w:rsidRDefault="00F9496B" w:rsidP="00F9496B">
            <w:pPr>
              <w:jc w:val="right"/>
              <w:rPr>
                <w:rFonts w:ascii="Arial" w:hAnsi="Arial" w:cs="Arial"/>
                <w:b/>
                <w:bCs/>
                <w:color w:val="000000"/>
                <w:sz w:val="11"/>
                <w:szCs w:val="11"/>
              </w:rPr>
            </w:pPr>
            <w:r w:rsidRPr="00B71529">
              <w:rPr>
                <w:rFonts w:ascii="Arial" w:hAnsi="Arial" w:cs="Arial"/>
                <w:b/>
                <w:bCs/>
                <w:color w:val="000000"/>
                <w:sz w:val="11"/>
                <w:szCs w:val="11"/>
              </w:rPr>
              <w:t>(222)</w:t>
            </w:r>
          </w:p>
        </w:tc>
        <w:tc>
          <w:tcPr>
            <w:tcW w:w="501" w:type="pct"/>
            <w:noWrap/>
            <w:vAlign w:val="center"/>
            <w:hideMark/>
          </w:tcPr>
          <w:p w14:paraId="0F2985D8" w14:textId="0863C5D2" w:rsidR="00F9496B" w:rsidRPr="00B71529" w:rsidRDefault="00F9496B" w:rsidP="00F9496B">
            <w:pPr>
              <w:jc w:val="right"/>
              <w:rPr>
                <w:rFonts w:ascii="Arial" w:hAnsi="Arial" w:cs="Arial"/>
                <w:b/>
                <w:bCs/>
                <w:color w:val="000000"/>
                <w:sz w:val="11"/>
                <w:szCs w:val="11"/>
              </w:rPr>
            </w:pPr>
            <w:r w:rsidRPr="00B71529">
              <w:rPr>
                <w:rFonts w:ascii="Arial" w:hAnsi="Arial" w:cs="Arial"/>
                <w:b/>
                <w:bCs/>
                <w:color w:val="000000"/>
                <w:sz w:val="11"/>
                <w:szCs w:val="11"/>
              </w:rPr>
              <w:t>(62.420)</w:t>
            </w:r>
          </w:p>
        </w:tc>
        <w:tc>
          <w:tcPr>
            <w:tcW w:w="413" w:type="pct"/>
            <w:noWrap/>
            <w:vAlign w:val="center"/>
            <w:hideMark/>
          </w:tcPr>
          <w:p w14:paraId="470079A6" w14:textId="41F421A9" w:rsidR="00F9496B" w:rsidRPr="00B71529" w:rsidRDefault="00F9496B" w:rsidP="00F9496B">
            <w:pPr>
              <w:jc w:val="right"/>
              <w:rPr>
                <w:rFonts w:ascii="Arial" w:hAnsi="Arial" w:cs="Arial"/>
                <w:b/>
                <w:bCs/>
                <w:color w:val="000000"/>
                <w:sz w:val="11"/>
                <w:szCs w:val="11"/>
              </w:rPr>
            </w:pPr>
            <w:r w:rsidRPr="00B71529">
              <w:rPr>
                <w:rFonts w:ascii="Arial" w:hAnsi="Arial" w:cs="Arial"/>
                <w:b/>
                <w:bCs/>
                <w:color w:val="000000"/>
                <w:sz w:val="11"/>
                <w:szCs w:val="11"/>
              </w:rPr>
              <w:t>2.199</w:t>
            </w:r>
          </w:p>
        </w:tc>
        <w:tc>
          <w:tcPr>
            <w:tcW w:w="374" w:type="pct"/>
            <w:noWrap/>
            <w:vAlign w:val="center"/>
            <w:hideMark/>
          </w:tcPr>
          <w:p w14:paraId="7847A866" w14:textId="467953CC" w:rsidR="00F9496B" w:rsidRPr="00B71529" w:rsidRDefault="00F9496B" w:rsidP="00F9496B">
            <w:pPr>
              <w:jc w:val="right"/>
              <w:rPr>
                <w:rFonts w:ascii="Arial" w:hAnsi="Arial" w:cs="Arial"/>
                <w:b/>
                <w:bCs/>
                <w:color w:val="000000"/>
                <w:sz w:val="11"/>
                <w:szCs w:val="11"/>
              </w:rPr>
            </w:pPr>
            <w:r w:rsidRPr="00B71529">
              <w:rPr>
                <w:rFonts w:ascii="Arial" w:hAnsi="Arial" w:cs="Arial"/>
                <w:b/>
                <w:bCs/>
                <w:color w:val="000000"/>
                <w:sz w:val="11"/>
                <w:szCs w:val="11"/>
              </w:rPr>
              <w:t>(677)</w:t>
            </w:r>
          </w:p>
        </w:tc>
        <w:tc>
          <w:tcPr>
            <w:tcW w:w="419" w:type="pct"/>
            <w:noWrap/>
            <w:vAlign w:val="center"/>
            <w:hideMark/>
          </w:tcPr>
          <w:p w14:paraId="70143BC0" w14:textId="3FEF4B1F" w:rsidR="00F9496B" w:rsidRPr="00E33802" w:rsidRDefault="00F9496B" w:rsidP="00F9496B">
            <w:pPr>
              <w:jc w:val="right"/>
              <w:rPr>
                <w:rFonts w:ascii="Arial" w:hAnsi="Arial" w:cs="Arial"/>
                <w:b/>
                <w:bCs/>
                <w:color w:val="000000"/>
                <w:sz w:val="11"/>
                <w:szCs w:val="11"/>
              </w:rPr>
            </w:pPr>
            <w:r w:rsidRPr="00B71529">
              <w:rPr>
                <w:rFonts w:ascii="Arial" w:hAnsi="Arial" w:cs="Arial"/>
                <w:b/>
                <w:bCs/>
                <w:color w:val="000000"/>
                <w:sz w:val="11"/>
                <w:szCs w:val="11"/>
              </w:rPr>
              <w:t>167.196</w:t>
            </w:r>
          </w:p>
        </w:tc>
      </w:tr>
    </w:tbl>
    <w:p w14:paraId="0C23BCB4" w14:textId="77777777" w:rsidR="00BD13B2" w:rsidRPr="002A36CE" w:rsidRDefault="00BD13B2" w:rsidP="009541E1">
      <w:pPr>
        <w:pStyle w:val="Ttulo2"/>
        <w:numPr>
          <w:ilvl w:val="1"/>
          <w:numId w:val="6"/>
        </w:numPr>
        <w:tabs>
          <w:tab w:val="clear" w:pos="284"/>
          <w:tab w:val="clear" w:pos="340"/>
        </w:tabs>
        <w:spacing w:line="276" w:lineRule="auto"/>
        <w:ind w:left="567" w:hanging="567"/>
        <w:jc w:val="both"/>
        <w:rPr>
          <w:rFonts w:ascii="Arial" w:hAnsi="Arial" w:cs="Arial"/>
        </w:rPr>
      </w:pPr>
      <w:r w:rsidRPr="002A36CE">
        <w:rPr>
          <w:rFonts w:ascii="Arial" w:hAnsi="Arial" w:cs="Arial"/>
        </w:rPr>
        <w:t xml:space="preserve">Imposto de </w:t>
      </w:r>
      <w:r>
        <w:rPr>
          <w:rFonts w:ascii="Arial" w:hAnsi="Arial" w:cs="Arial"/>
        </w:rPr>
        <w:t>R</w:t>
      </w:r>
      <w:r w:rsidRPr="002A36CE">
        <w:rPr>
          <w:rFonts w:ascii="Arial" w:hAnsi="Arial" w:cs="Arial"/>
        </w:rPr>
        <w:t xml:space="preserve">enda e Contribuição </w:t>
      </w:r>
      <w:r>
        <w:rPr>
          <w:rFonts w:ascii="Arial" w:hAnsi="Arial" w:cs="Arial"/>
        </w:rPr>
        <w:t>S</w:t>
      </w:r>
      <w:r w:rsidRPr="002A36CE">
        <w:rPr>
          <w:rFonts w:ascii="Arial" w:hAnsi="Arial" w:cs="Arial"/>
        </w:rPr>
        <w:t xml:space="preserve">ocial </w:t>
      </w:r>
      <w:r>
        <w:rPr>
          <w:rFonts w:ascii="Arial" w:hAnsi="Arial" w:cs="Arial"/>
        </w:rPr>
        <w:t>S</w:t>
      </w:r>
      <w:r w:rsidRPr="002A36CE">
        <w:rPr>
          <w:rFonts w:ascii="Arial" w:hAnsi="Arial" w:cs="Arial"/>
        </w:rPr>
        <w:t xml:space="preserve">obre o </w:t>
      </w:r>
      <w:r>
        <w:rPr>
          <w:rFonts w:ascii="Arial" w:hAnsi="Arial" w:cs="Arial"/>
        </w:rPr>
        <w:t>L</w:t>
      </w:r>
      <w:r w:rsidRPr="002A36CE">
        <w:rPr>
          <w:rFonts w:ascii="Arial" w:hAnsi="Arial" w:cs="Arial"/>
        </w:rPr>
        <w:t xml:space="preserve">ucro </w:t>
      </w:r>
      <w:r>
        <w:rPr>
          <w:rFonts w:ascii="Arial" w:hAnsi="Arial" w:cs="Arial"/>
        </w:rPr>
        <w:t>L</w:t>
      </w:r>
      <w:r w:rsidRPr="002A36CE">
        <w:rPr>
          <w:rFonts w:ascii="Arial" w:hAnsi="Arial" w:cs="Arial"/>
        </w:rPr>
        <w:t>íquido</w:t>
      </w:r>
    </w:p>
    <w:p w14:paraId="376C00F4" w14:textId="660DCDCB" w:rsidR="00B35801" w:rsidRDefault="00B35801" w:rsidP="00597FE5">
      <w:pPr>
        <w:pStyle w:val="Corpodetexto"/>
        <w:tabs>
          <w:tab w:val="clear" w:pos="851"/>
        </w:tabs>
        <w:spacing w:before="0" w:after="0" w:line="276" w:lineRule="auto"/>
        <w:rPr>
          <w:rFonts w:ascii="Arial" w:hAnsi="Arial" w:cs="Arial"/>
        </w:rPr>
      </w:pPr>
      <w:r w:rsidRPr="002A36CE">
        <w:rPr>
          <w:rFonts w:ascii="Arial" w:hAnsi="Arial" w:cs="Arial"/>
        </w:rPr>
        <w:t xml:space="preserve">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do exercício corrente são calculados com base nas alíquotas de 15%, acrescida de 10% sobre o lucro tributável que exceder a R$ 240</w:t>
      </w:r>
      <w:r w:rsidR="00D8257D">
        <w:rPr>
          <w:rFonts w:ascii="Arial" w:hAnsi="Arial" w:cs="Arial"/>
        </w:rPr>
        <w:t xml:space="preserve"> </w:t>
      </w:r>
      <w:r w:rsidRPr="002A36CE">
        <w:rPr>
          <w:rFonts w:ascii="Arial" w:hAnsi="Arial" w:cs="Arial"/>
        </w:rPr>
        <w:t xml:space="preserve">para o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de 9% sobre o lucro tributável para a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e consideram a compensação de prejuízos fiscais e base negativa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ocial limitada a 30% do lucro real. A opção de tributação da Companhia é o lucro real anual com antecipações mensais.</w:t>
      </w:r>
    </w:p>
    <w:p w14:paraId="0FFE4203" w14:textId="77777777" w:rsidR="00D10AFF" w:rsidRPr="005A5B23" w:rsidRDefault="00D10AFF" w:rsidP="00D10AFF">
      <w:pPr>
        <w:pStyle w:val="Corpodetexto"/>
        <w:tabs>
          <w:tab w:val="clear" w:pos="851"/>
        </w:tabs>
        <w:spacing w:before="0" w:after="0" w:line="276" w:lineRule="auto"/>
        <w:rPr>
          <w:rFonts w:ascii="Arial" w:hAnsi="Arial" w:cs="Arial"/>
          <w:sz w:val="12"/>
          <w:szCs w:val="12"/>
        </w:rPr>
      </w:pPr>
    </w:p>
    <w:p w14:paraId="5682A209" w14:textId="77777777" w:rsidR="00C82644" w:rsidRDefault="00C82644" w:rsidP="00597FE5">
      <w:pPr>
        <w:pStyle w:val="Corpodetexto"/>
        <w:tabs>
          <w:tab w:val="clear" w:pos="851"/>
        </w:tabs>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408"/>
        <w:gridCol w:w="1026"/>
        <w:gridCol w:w="1176"/>
        <w:gridCol w:w="987"/>
        <w:gridCol w:w="1174"/>
      </w:tblGrid>
      <w:tr w:rsidR="00C82644" w:rsidRPr="00B71529" w14:paraId="7CA1CF39" w14:textId="77777777" w:rsidTr="00B71529">
        <w:trPr>
          <w:trHeight w:val="232"/>
          <w:tblHeader/>
        </w:trPr>
        <w:tc>
          <w:tcPr>
            <w:tcW w:w="276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7D6B28A"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t>Composição:</w:t>
            </w:r>
          </w:p>
        </w:tc>
        <w:tc>
          <w:tcPr>
            <w:tcW w:w="1127" w:type="pct"/>
            <w:gridSpan w:val="2"/>
            <w:tcBorders>
              <w:top w:val="single" w:sz="4" w:space="0" w:color="auto"/>
              <w:left w:val="nil"/>
              <w:bottom w:val="single" w:sz="4" w:space="0" w:color="auto"/>
              <w:right w:val="single" w:sz="4" w:space="0" w:color="auto"/>
            </w:tcBorders>
            <w:vAlign w:val="center"/>
            <w:hideMark/>
          </w:tcPr>
          <w:p w14:paraId="128C399E" w14:textId="6C14701E" w:rsidR="00C82644" w:rsidRPr="00B71529" w:rsidRDefault="00C82644">
            <w:pPr>
              <w:jc w:val="center"/>
              <w:rPr>
                <w:rFonts w:ascii="Arial" w:hAnsi="Arial" w:cs="Arial"/>
                <w:b/>
                <w:bCs/>
                <w:color w:val="000000"/>
                <w:sz w:val="16"/>
                <w:szCs w:val="16"/>
              </w:rPr>
            </w:pPr>
            <w:r w:rsidRPr="00B71529">
              <w:rPr>
                <w:rFonts w:ascii="Arial" w:hAnsi="Arial" w:cs="Arial"/>
                <w:b/>
                <w:bCs/>
                <w:color w:val="000000"/>
                <w:sz w:val="16"/>
                <w:szCs w:val="16"/>
              </w:rPr>
              <w:t>31/</w:t>
            </w:r>
            <w:r w:rsidR="003F0B02" w:rsidRPr="00B71529">
              <w:rPr>
                <w:rFonts w:ascii="Arial" w:hAnsi="Arial" w:cs="Arial"/>
                <w:b/>
                <w:bCs/>
                <w:color w:val="000000"/>
                <w:sz w:val="16"/>
                <w:szCs w:val="16"/>
              </w:rPr>
              <w:t>03</w:t>
            </w:r>
            <w:r w:rsidRPr="00B71529">
              <w:rPr>
                <w:rFonts w:ascii="Arial" w:hAnsi="Arial" w:cs="Arial"/>
                <w:b/>
                <w:bCs/>
                <w:color w:val="000000"/>
                <w:sz w:val="16"/>
                <w:szCs w:val="16"/>
              </w:rPr>
              <w:t>/2026</w:t>
            </w:r>
          </w:p>
        </w:tc>
        <w:tc>
          <w:tcPr>
            <w:tcW w:w="1107" w:type="pct"/>
            <w:gridSpan w:val="2"/>
            <w:tcBorders>
              <w:top w:val="single" w:sz="4" w:space="0" w:color="auto"/>
              <w:left w:val="nil"/>
              <w:bottom w:val="single" w:sz="4" w:space="0" w:color="auto"/>
              <w:right w:val="single" w:sz="4" w:space="0" w:color="auto"/>
            </w:tcBorders>
            <w:vAlign w:val="center"/>
            <w:hideMark/>
          </w:tcPr>
          <w:p w14:paraId="288B21F0" w14:textId="77777777" w:rsidR="00C82644" w:rsidRPr="00B71529" w:rsidRDefault="00C82644">
            <w:pPr>
              <w:jc w:val="center"/>
              <w:rPr>
                <w:rFonts w:ascii="Arial" w:hAnsi="Arial" w:cs="Arial"/>
                <w:b/>
                <w:bCs/>
                <w:color w:val="000000"/>
                <w:sz w:val="16"/>
                <w:szCs w:val="16"/>
              </w:rPr>
            </w:pPr>
            <w:r w:rsidRPr="00B71529">
              <w:rPr>
                <w:rFonts w:ascii="Arial" w:hAnsi="Arial" w:cs="Arial"/>
                <w:b/>
                <w:bCs/>
                <w:color w:val="000000"/>
                <w:sz w:val="16"/>
                <w:szCs w:val="16"/>
              </w:rPr>
              <w:t>31/03/2025</w:t>
            </w:r>
          </w:p>
        </w:tc>
      </w:tr>
      <w:tr w:rsidR="00C82644" w:rsidRPr="00B71529" w14:paraId="2B368824" w14:textId="77777777" w:rsidTr="00B71529">
        <w:trPr>
          <w:trHeight w:val="232"/>
          <w:tblHeader/>
        </w:trPr>
        <w:tc>
          <w:tcPr>
            <w:tcW w:w="2767" w:type="pct"/>
            <w:vMerge/>
            <w:tcBorders>
              <w:top w:val="single" w:sz="4" w:space="0" w:color="auto"/>
              <w:left w:val="single" w:sz="4" w:space="0" w:color="auto"/>
              <w:bottom w:val="single" w:sz="4" w:space="0" w:color="auto"/>
              <w:right w:val="single" w:sz="4" w:space="0" w:color="auto"/>
            </w:tcBorders>
            <w:vAlign w:val="center"/>
            <w:hideMark/>
          </w:tcPr>
          <w:p w14:paraId="6697B225" w14:textId="77777777" w:rsidR="00C82644" w:rsidRPr="00B71529" w:rsidRDefault="00C82644">
            <w:pPr>
              <w:rPr>
                <w:rFonts w:ascii="Arial" w:hAnsi="Arial" w:cs="Arial"/>
                <w:b/>
                <w:bCs/>
                <w:color w:val="000000"/>
                <w:sz w:val="16"/>
                <w:szCs w:val="16"/>
              </w:rPr>
            </w:pPr>
          </w:p>
        </w:tc>
        <w:tc>
          <w:tcPr>
            <w:tcW w:w="525" w:type="pct"/>
            <w:tcBorders>
              <w:top w:val="nil"/>
              <w:left w:val="nil"/>
              <w:bottom w:val="single" w:sz="4" w:space="0" w:color="auto"/>
              <w:right w:val="single" w:sz="4" w:space="0" w:color="auto"/>
            </w:tcBorders>
            <w:vAlign w:val="center"/>
            <w:hideMark/>
          </w:tcPr>
          <w:p w14:paraId="649A19C5" w14:textId="77777777" w:rsidR="00C82644" w:rsidRPr="00B71529" w:rsidRDefault="00C82644">
            <w:pPr>
              <w:jc w:val="center"/>
              <w:rPr>
                <w:rFonts w:ascii="Arial" w:hAnsi="Arial" w:cs="Arial"/>
                <w:b/>
                <w:bCs/>
                <w:color w:val="000000"/>
                <w:sz w:val="16"/>
                <w:szCs w:val="16"/>
              </w:rPr>
            </w:pPr>
            <w:r w:rsidRPr="00B71529">
              <w:rPr>
                <w:rFonts w:ascii="Arial" w:hAnsi="Arial" w:cs="Arial"/>
                <w:b/>
                <w:bCs/>
                <w:color w:val="000000"/>
                <w:sz w:val="16"/>
                <w:szCs w:val="16"/>
              </w:rPr>
              <w:t>Imposto de Renda</w:t>
            </w:r>
          </w:p>
        </w:tc>
        <w:tc>
          <w:tcPr>
            <w:tcW w:w="602" w:type="pct"/>
            <w:tcBorders>
              <w:top w:val="nil"/>
              <w:left w:val="nil"/>
              <w:bottom w:val="single" w:sz="4" w:space="0" w:color="auto"/>
              <w:right w:val="single" w:sz="4" w:space="0" w:color="auto"/>
            </w:tcBorders>
            <w:vAlign w:val="center"/>
            <w:hideMark/>
          </w:tcPr>
          <w:p w14:paraId="06DB7CBA" w14:textId="77777777" w:rsidR="00C82644" w:rsidRPr="00B71529" w:rsidRDefault="00C82644">
            <w:pPr>
              <w:jc w:val="center"/>
              <w:rPr>
                <w:rFonts w:ascii="Arial" w:hAnsi="Arial" w:cs="Arial"/>
                <w:b/>
                <w:bCs/>
                <w:color w:val="000000"/>
                <w:sz w:val="16"/>
                <w:szCs w:val="16"/>
              </w:rPr>
            </w:pPr>
            <w:r w:rsidRPr="00B71529">
              <w:rPr>
                <w:rFonts w:ascii="Arial" w:hAnsi="Arial" w:cs="Arial"/>
                <w:b/>
                <w:bCs/>
                <w:color w:val="000000"/>
                <w:sz w:val="16"/>
                <w:szCs w:val="16"/>
              </w:rPr>
              <w:t>Contribuição Social</w:t>
            </w:r>
          </w:p>
        </w:tc>
        <w:tc>
          <w:tcPr>
            <w:tcW w:w="505" w:type="pct"/>
            <w:tcBorders>
              <w:top w:val="nil"/>
              <w:left w:val="nil"/>
              <w:bottom w:val="single" w:sz="4" w:space="0" w:color="auto"/>
              <w:right w:val="single" w:sz="4" w:space="0" w:color="auto"/>
            </w:tcBorders>
            <w:vAlign w:val="center"/>
            <w:hideMark/>
          </w:tcPr>
          <w:p w14:paraId="2D4C9D19" w14:textId="77777777" w:rsidR="00C82644" w:rsidRPr="00B71529" w:rsidRDefault="00C82644">
            <w:pPr>
              <w:jc w:val="center"/>
              <w:rPr>
                <w:rFonts w:ascii="Arial" w:hAnsi="Arial" w:cs="Arial"/>
                <w:b/>
                <w:bCs/>
                <w:color w:val="000000"/>
                <w:sz w:val="16"/>
                <w:szCs w:val="16"/>
              </w:rPr>
            </w:pPr>
            <w:r w:rsidRPr="00B71529">
              <w:rPr>
                <w:rFonts w:ascii="Arial" w:hAnsi="Arial" w:cs="Arial"/>
                <w:b/>
                <w:bCs/>
                <w:color w:val="000000"/>
                <w:sz w:val="16"/>
                <w:szCs w:val="16"/>
              </w:rPr>
              <w:t>Imposto de Renda</w:t>
            </w:r>
          </w:p>
        </w:tc>
        <w:tc>
          <w:tcPr>
            <w:tcW w:w="602" w:type="pct"/>
            <w:tcBorders>
              <w:top w:val="nil"/>
              <w:left w:val="nil"/>
              <w:bottom w:val="single" w:sz="4" w:space="0" w:color="auto"/>
              <w:right w:val="single" w:sz="4" w:space="0" w:color="auto"/>
            </w:tcBorders>
            <w:vAlign w:val="center"/>
            <w:hideMark/>
          </w:tcPr>
          <w:p w14:paraId="6F33A464" w14:textId="77777777" w:rsidR="00C82644" w:rsidRPr="00B71529" w:rsidRDefault="00C82644">
            <w:pPr>
              <w:jc w:val="center"/>
              <w:rPr>
                <w:rFonts w:ascii="Arial" w:hAnsi="Arial" w:cs="Arial"/>
                <w:b/>
                <w:bCs/>
                <w:color w:val="000000"/>
                <w:sz w:val="16"/>
                <w:szCs w:val="16"/>
              </w:rPr>
            </w:pPr>
            <w:r w:rsidRPr="00B71529">
              <w:rPr>
                <w:rFonts w:ascii="Arial" w:hAnsi="Arial" w:cs="Arial"/>
                <w:b/>
                <w:bCs/>
                <w:color w:val="000000"/>
                <w:sz w:val="16"/>
                <w:szCs w:val="16"/>
              </w:rPr>
              <w:t>Contribuição Social</w:t>
            </w:r>
          </w:p>
        </w:tc>
      </w:tr>
      <w:tr w:rsidR="00C82644" w:rsidRPr="00B71529" w14:paraId="1F8FD723"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661191A3"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t>Resultado contábil antes do IRPJ e da CSLL</w:t>
            </w:r>
          </w:p>
        </w:tc>
        <w:tc>
          <w:tcPr>
            <w:tcW w:w="525" w:type="pct"/>
            <w:tcBorders>
              <w:top w:val="nil"/>
              <w:left w:val="nil"/>
              <w:bottom w:val="single" w:sz="4" w:space="0" w:color="auto"/>
              <w:right w:val="single" w:sz="4" w:space="0" w:color="auto"/>
            </w:tcBorders>
            <w:vAlign w:val="center"/>
            <w:hideMark/>
          </w:tcPr>
          <w:p w14:paraId="4B0CFBC5" w14:textId="578D6C54" w:rsidR="00C82644" w:rsidRPr="00B71529" w:rsidRDefault="00C82644" w:rsidP="00C82644">
            <w:pPr>
              <w:rPr>
                <w:rFonts w:ascii="Arial" w:hAnsi="Arial" w:cs="Arial"/>
                <w:b/>
                <w:bCs/>
                <w:color w:val="000000"/>
                <w:sz w:val="16"/>
                <w:szCs w:val="16"/>
              </w:rPr>
            </w:pPr>
            <w:r w:rsidRPr="00B71529">
              <w:rPr>
                <w:rFonts w:ascii="Arial" w:hAnsi="Arial" w:cs="Arial"/>
                <w:b/>
                <w:bCs/>
                <w:color w:val="000000"/>
                <w:sz w:val="16"/>
                <w:szCs w:val="16"/>
              </w:rPr>
              <w:t xml:space="preserve">      (89.543)</w:t>
            </w:r>
          </w:p>
        </w:tc>
        <w:tc>
          <w:tcPr>
            <w:tcW w:w="602" w:type="pct"/>
            <w:tcBorders>
              <w:top w:val="nil"/>
              <w:left w:val="nil"/>
              <w:bottom w:val="single" w:sz="4" w:space="0" w:color="auto"/>
              <w:right w:val="single" w:sz="4" w:space="0" w:color="auto"/>
            </w:tcBorders>
            <w:vAlign w:val="center"/>
            <w:hideMark/>
          </w:tcPr>
          <w:p w14:paraId="4C23A170"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(89.543)</w:t>
            </w:r>
          </w:p>
        </w:tc>
        <w:tc>
          <w:tcPr>
            <w:tcW w:w="505" w:type="pct"/>
            <w:tcBorders>
              <w:top w:val="nil"/>
              <w:left w:val="nil"/>
              <w:bottom w:val="single" w:sz="4" w:space="0" w:color="auto"/>
              <w:right w:val="single" w:sz="4" w:space="0" w:color="auto"/>
            </w:tcBorders>
            <w:vAlign w:val="center"/>
            <w:hideMark/>
          </w:tcPr>
          <w:p w14:paraId="0DF51C9C" w14:textId="74819372" w:rsidR="00C82644" w:rsidRPr="00B71529" w:rsidRDefault="00C82644" w:rsidP="00C82644">
            <w:pPr>
              <w:rPr>
                <w:rFonts w:ascii="Arial" w:hAnsi="Arial" w:cs="Arial"/>
                <w:b/>
                <w:bCs/>
                <w:color w:val="000000"/>
                <w:sz w:val="16"/>
                <w:szCs w:val="16"/>
              </w:rPr>
            </w:pPr>
            <w:r w:rsidRPr="00B71529">
              <w:rPr>
                <w:rFonts w:ascii="Arial" w:hAnsi="Arial" w:cs="Arial"/>
                <w:b/>
                <w:bCs/>
                <w:color w:val="000000"/>
                <w:sz w:val="16"/>
                <w:szCs w:val="16"/>
              </w:rPr>
              <w:t xml:space="preserve">       (6.624)</w:t>
            </w:r>
          </w:p>
        </w:tc>
        <w:tc>
          <w:tcPr>
            <w:tcW w:w="602" w:type="pct"/>
            <w:tcBorders>
              <w:top w:val="nil"/>
              <w:left w:val="nil"/>
              <w:bottom w:val="single" w:sz="4" w:space="0" w:color="auto"/>
              <w:right w:val="single" w:sz="4" w:space="0" w:color="auto"/>
            </w:tcBorders>
            <w:vAlign w:val="center"/>
            <w:hideMark/>
          </w:tcPr>
          <w:p w14:paraId="0F5734C3"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(6.624)</w:t>
            </w:r>
          </w:p>
        </w:tc>
      </w:tr>
      <w:tr w:rsidR="00C82644" w:rsidRPr="00B71529" w14:paraId="0EDEC7FA"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6C3D1954"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t>Adições/(Exclusões) Permanentes:</w:t>
            </w:r>
          </w:p>
        </w:tc>
        <w:tc>
          <w:tcPr>
            <w:tcW w:w="525" w:type="pct"/>
            <w:tcBorders>
              <w:top w:val="nil"/>
              <w:left w:val="nil"/>
              <w:bottom w:val="single" w:sz="4" w:space="0" w:color="auto"/>
              <w:right w:val="single" w:sz="4" w:space="0" w:color="auto"/>
            </w:tcBorders>
            <w:vAlign w:val="center"/>
            <w:hideMark/>
          </w:tcPr>
          <w:p w14:paraId="7F018D85" w14:textId="0338F73F"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113 </w:t>
            </w:r>
          </w:p>
        </w:tc>
        <w:tc>
          <w:tcPr>
            <w:tcW w:w="602" w:type="pct"/>
            <w:tcBorders>
              <w:top w:val="nil"/>
              <w:left w:val="nil"/>
              <w:bottom w:val="single" w:sz="4" w:space="0" w:color="auto"/>
              <w:right w:val="single" w:sz="4" w:space="0" w:color="auto"/>
            </w:tcBorders>
            <w:vAlign w:val="center"/>
            <w:hideMark/>
          </w:tcPr>
          <w:p w14:paraId="799F17A1"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113 </w:t>
            </w:r>
          </w:p>
        </w:tc>
        <w:tc>
          <w:tcPr>
            <w:tcW w:w="505" w:type="pct"/>
            <w:tcBorders>
              <w:top w:val="nil"/>
              <w:left w:val="nil"/>
              <w:bottom w:val="single" w:sz="4" w:space="0" w:color="auto"/>
              <w:right w:val="single" w:sz="4" w:space="0" w:color="auto"/>
            </w:tcBorders>
            <w:vAlign w:val="center"/>
            <w:hideMark/>
          </w:tcPr>
          <w:p w14:paraId="675A867A" w14:textId="3B71DC3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588 </w:t>
            </w:r>
          </w:p>
        </w:tc>
        <w:tc>
          <w:tcPr>
            <w:tcW w:w="602" w:type="pct"/>
            <w:tcBorders>
              <w:top w:val="nil"/>
              <w:left w:val="nil"/>
              <w:bottom w:val="single" w:sz="4" w:space="0" w:color="auto"/>
              <w:right w:val="single" w:sz="4" w:space="0" w:color="auto"/>
            </w:tcBorders>
            <w:vAlign w:val="center"/>
            <w:hideMark/>
          </w:tcPr>
          <w:p w14:paraId="16E5F46D"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588 </w:t>
            </w:r>
          </w:p>
        </w:tc>
      </w:tr>
      <w:tr w:rsidR="00C82644" w:rsidRPr="00B71529" w14:paraId="3529D68D"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13AA7526"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t>Adições permanentes</w:t>
            </w:r>
          </w:p>
        </w:tc>
        <w:tc>
          <w:tcPr>
            <w:tcW w:w="525" w:type="pct"/>
            <w:tcBorders>
              <w:top w:val="nil"/>
              <w:left w:val="nil"/>
              <w:bottom w:val="single" w:sz="4" w:space="0" w:color="auto"/>
              <w:right w:val="single" w:sz="4" w:space="0" w:color="auto"/>
            </w:tcBorders>
            <w:vAlign w:val="center"/>
            <w:hideMark/>
          </w:tcPr>
          <w:p w14:paraId="0D5CF68B" w14:textId="73FA4D7C"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2.011 </w:t>
            </w:r>
          </w:p>
        </w:tc>
        <w:tc>
          <w:tcPr>
            <w:tcW w:w="602" w:type="pct"/>
            <w:tcBorders>
              <w:top w:val="nil"/>
              <w:left w:val="nil"/>
              <w:bottom w:val="single" w:sz="4" w:space="0" w:color="auto"/>
              <w:right w:val="single" w:sz="4" w:space="0" w:color="auto"/>
            </w:tcBorders>
            <w:vAlign w:val="center"/>
            <w:hideMark/>
          </w:tcPr>
          <w:p w14:paraId="426AEDC4"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2.011 </w:t>
            </w:r>
          </w:p>
        </w:tc>
        <w:tc>
          <w:tcPr>
            <w:tcW w:w="505" w:type="pct"/>
            <w:tcBorders>
              <w:top w:val="nil"/>
              <w:left w:val="nil"/>
              <w:bottom w:val="single" w:sz="4" w:space="0" w:color="auto"/>
              <w:right w:val="single" w:sz="4" w:space="0" w:color="auto"/>
            </w:tcBorders>
            <w:vAlign w:val="center"/>
            <w:hideMark/>
          </w:tcPr>
          <w:p w14:paraId="1B3045AE" w14:textId="77A20D7E"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2.665 </w:t>
            </w:r>
          </w:p>
        </w:tc>
        <w:tc>
          <w:tcPr>
            <w:tcW w:w="602" w:type="pct"/>
            <w:tcBorders>
              <w:top w:val="nil"/>
              <w:left w:val="nil"/>
              <w:bottom w:val="single" w:sz="4" w:space="0" w:color="auto"/>
              <w:right w:val="single" w:sz="4" w:space="0" w:color="auto"/>
            </w:tcBorders>
            <w:vAlign w:val="center"/>
            <w:hideMark/>
          </w:tcPr>
          <w:p w14:paraId="25EDF702"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2.665 </w:t>
            </w:r>
          </w:p>
        </w:tc>
      </w:tr>
      <w:tr w:rsidR="00C82644" w:rsidRPr="00B71529" w14:paraId="739A88B3"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2118BC5C"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Resultado Negativo de Equivalência Patrimonial</w:t>
            </w:r>
          </w:p>
        </w:tc>
        <w:tc>
          <w:tcPr>
            <w:tcW w:w="525" w:type="pct"/>
            <w:tcBorders>
              <w:top w:val="nil"/>
              <w:left w:val="nil"/>
              <w:bottom w:val="single" w:sz="4" w:space="0" w:color="auto"/>
              <w:right w:val="single" w:sz="4" w:space="0" w:color="auto"/>
            </w:tcBorders>
            <w:vAlign w:val="center"/>
            <w:hideMark/>
          </w:tcPr>
          <w:p w14:paraId="4CFEE6CB" w14:textId="7357BBA2"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82 </w:t>
            </w:r>
          </w:p>
        </w:tc>
        <w:tc>
          <w:tcPr>
            <w:tcW w:w="602" w:type="pct"/>
            <w:tcBorders>
              <w:top w:val="nil"/>
              <w:left w:val="nil"/>
              <w:bottom w:val="single" w:sz="4" w:space="0" w:color="auto"/>
              <w:right w:val="single" w:sz="4" w:space="0" w:color="auto"/>
            </w:tcBorders>
            <w:vAlign w:val="center"/>
            <w:hideMark/>
          </w:tcPr>
          <w:p w14:paraId="69E8DDA0"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82 </w:t>
            </w:r>
          </w:p>
        </w:tc>
        <w:tc>
          <w:tcPr>
            <w:tcW w:w="505" w:type="pct"/>
            <w:tcBorders>
              <w:top w:val="nil"/>
              <w:left w:val="nil"/>
              <w:bottom w:val="single" w:sz="4" w:space="0" w:color="auto"/>
              <w:right w:val="single" w:sz="4" w:space="0" w:color="auto"/>
            </w:tcBorders>
            <w:vAlign w:val="center"/>
            <w:hideMark/>
          </w:tcPr>
          <w:p w14:paraId="258B21D6" w14:textId="1EECA47E"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716 </w:t>
            </w:r>
          </w:p>
        </w:tc>
        <w:tc>
          <w:tcPr>
            <w:tcW w:w="602" w:type="pct"/>
            <w:tcBorders>
              <w:top w:val="nil"/>
              <w:left w:val="nil"/>
              <w:bottom w:val="single" w:sz="4" w:space="0" w:color="auto"/>
              <w:right w:val="single" w:sz="4" w:space="0" w:color="auto"/>
            </w:tcBorders>
            <w:vAlign w:val="center"/>
            <w:hideMark/>
          </w:tcPr>
          <w:p w14:paraId="659DD8FF"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716 </w:t>
            </w:r>
          </w:p>
        </w:tc>
      </w:tr>
      <w:tr w:rsidR="00C82644" w:rsidRPr="00B71529" w14:paraId="1C0E9425"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0A7B219C"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Depreciação - Arrendamento Mercantil (Direito de Uso)</w:t>
            </w:r>
          </w:p>
        </w:tc>
        <w:tc>
          <w:tcPr>
            <w:tcW w:w="525" w:type="pct"/>
            <w:tcBorders>
              <w:top w:val="nil"/>
              <w:left w:val="nil"/>
              <w:bottom w:val="single" w:sz="4" w:space="0" w:color="auto"/>
              <w:right w:val="single" w:sz="4" w:space="0" w:color="auto"/>
            </w:tcBorders>
            <w:vAlign w:val="center"/>
            <w:hideMark/>
          </w:tcPr>
          <w:p w14:paraId="30C50469" w14:textId="567F9203"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1.544 </w:t>
            </w:r>
          </w:p>
        </w:tc>
        <w:tc>
          <w:tcPr>
            <w:tcW w:w="602" w:type="pct"/>
            <w:tcBorders>
              <w:top w:val="nil"/>
              <w:left w:val="nil"/>
              <w:bottom w:val="single" w:sz="4" w:space="0" w:color="auto"/>
              <w:right w:val="single" w:sz="4" w:space="0" w:color="auto"/>
            </w:tcBorders>
            <w:vAlign w:val="center"/>
            <w:hideMark/>
          </w:tcPr>
          <w:p w14:paraId="11470677"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1.544 </w:t>
            </w:r>
          </w:p>
        </w:tc>
        <w:tc>
          <w:tcPr>
            <w:tcW w:w="505" w:type="pct"/>
            <w:tcBorders>
              <w:top w:val="nil"/>
              <w:left w:val="nil"/>
              <w:bottom w:val="single" w:sz="4" w:space="0" w:color="auto"/>
              <w:right w:val="single" w:sz="4" w:space="0" w:color="auto"/>
            </w:tcBorders>
            <w:vAlign w:val="center"/>
            <w:hideMark/>
          </w:tcPr>
          <w:p w14:paraId="6CCFC04B" w14:textId="776F4A3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1.623 </w:t>
            </w:r>
          </w:p>
        </w:tc>
        <w:tc>
          <w:tcPr>
            <w:tcW w:w="602" w:type="pct"/>
            <w:tcBorders>
              <w:top w:val="nil"/>
              <w:left w:val="nil"/>
              <w:bottom w:val="single" w:sz="4" w:space="0" w:color="auto"/>
              <w:right w:val="single" w:sz="4" w:space="0" w:color="auto"/>
            </w:tcBorders>
            <w:vAlign w:val="center"/>
            <w:hideMark/>
          </w:tcPr>
          <w:p w14:paraId="7910FEDE"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1.623 </w:t>
            </w:r>
          </w:p>
        </w:tc>
      </w:tr>
      <w:tr w:rsidR="00C82644" w:rsidRPr="00B71529" w14:paraId="02636DBF"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76560EE7"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Despesas Financeiras Arrend. Mercantil (Direito de Uso)</w:t>
            </w:r>
          </w:p>
        </w:tc>
        <w:tc>
          <w:tcPr>
            <w:tcW w:w="525" w:type="pct"/>
            <w:tcBorders>
              <w:top w:val="nil"/>
              <w:left w:val="nil"/>
              <w:bottom w:val="single" w:sz="4" w:space="0" w:color="auto"/>
              <w:right w:val="single" w:sz="4" w:space="0" w:color="auto"/>
            </w:tcBorders>
            <w:vAlign w:val="center"/>
            <w:hideMark/>
          </w:tcPr>
          <w:p w14:paraId="5E86AE59" w14:textId="70B94930"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347 </w:t>
            </w:r>
          </w:p>
        </w:tc>
        <w:tc>
          <w:tcPr>
            <w:tcW w:w="602" w:type="pct"/>
            <w:tcBorders>
              <w:top w:val="nil"/>
              <w:left w:val="nil"/>
              <w:bottom w:val="single" w:sz="4" w:space="0" w:color="auto"/>
              <w:right w:val="single" w:sz="4" w:space="0" w:color="auto"/>
            </w:tcBorders>
            <w:vAlign w:val="center"/>
            <w:hideMark/>
          </w:tcPr>
          <w:p w14:paraId="6FDB850A"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347 </w:t>
            </w:r>
          </w:p>
        </w:tc>
        <w:tc>
          <w:tcPr>
            <w:tcW w:w="505" w:type="pct"/>
            <w:tcBorders>
              <w:top w:val="nil"/>
              <w:left w:val="nil"/>
              <w:bottom w:val="single" w:sz="4" w:space="0" w:color="auto"/>
              <w:right w:val="single" w:sz="4" w:space="0" w:color="auto"/>
            </w:tcBorders>
            <w:vAlign w:val="center"/>
            <w:hideMark/>
          </w:tcPr>
          <w:p w14:paraId="538BC260" w14:textId="037F1506"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303 </w:t>
            </w:r>
          </w:p>
        </w:tc>
        <w:tc>
          <w:tcPr>
            <w:tcW w:w="602" w:type="pct"/>
            <w:tcBorders>
              <w:top w:val="nil"/>
              <w:left w:val="nil"/>
              <w:bottom w:val="single" w:sz="4" w:space="0" w:color="auto"/>
              <w:right w:val="single" w:sz="4" w:space="0" w:color="auto"/>
            </w:tcBorders>
            <w:vAlign w:val="center"/>
            <w:hideMark/>
          </w:tcPr>
          <w:p w14:paraId="33ACAC86"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303 </w:t>
            </w:r>
          </w:p>
        </w:tc>
      </w:tr>
      <w:tr w:rsidR="00C82644" w:rsidRPr="00B71529" w14:paraId="222DF420"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3B75DC6E"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Outras Adições</w:t>
            </w:r>
          </w:p>
        </w:tc>
        <w:tc>
          <w:tcPr>
            <w:tcW w:w="525" w:type="pct"/>
            <w:tcBorders>
              <w:top w:val="nil"/>
              <w:left w:val="nil"/>
              <w:bottom w:val="single" w:sz="4" w:space="0" w:color="auto"/>
              <w:right w:val="single" w:sz="4" w:space="0" w:color="auto"/>
            </w:tcBorders>
            <w:vAlign w:val="center"/>
            <w:hideMark/>
          </w:tcPr>
          <w:p w14:paraId="3396299A" w14:textId="33A7C8C2"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38 </w:t>
            </w:r>
          </w:p>
        </w:tc>
        <w:tc>
          <w:tcPr>
            <w:tcW w:w="602" w:type="pct"/>
            <w:tcBorders>
              <w:top w:val="nil"/>
              <w:left w:val="nil"/>
              <w:bottom w:val="single" w:sz="4" w:space="0" w:color="auto"/>
              <w:right w:val="single" w:sz="4" w:space="0" w:color="auto"/>
            </w:tcBorders>
            <w:vAlign w:val="center"/>
            <w:hideMark/>
          </w:tcPr>
          <w:p w14:paraId="22C6C7EC"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38 </w:t>
            </w:r>
          </w:p>
        </w:tc>
        <w:tc>
          <w:tcPr>
            <w:tcW w:w="505" w:type="pct"/>
            <w:tcBorders>
              <w:top w:val="nil"/>
              <w:left w:val="nil"/>
              <w:bottom w:val="single" w:sz="4" w:space="0" w:color="auto"/>
              <w:right w:val="single" w:sz="4" w:space="0" w:color="auto"/>
            </w:tcBorders>
            <w:vAlign w:val="center"/>
            <w:hideMark/>
          </w:tcPr>
          <w:p w14:paraId="3EF06D72" w14:textId="3D56302A"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23 </w:t>
            </w:r>
          </w:p>
        </w:tc>
        <w:tc>
          <w:tcPr>
            <w:tcW w:w="602" w:type="pct"/>
            <w:tcBorders>
              <w:top w:val="nil"/>
              <w:left w:val="nil"/>
              <w:bottom w:val="single" w:sz="4" w:space="0" w:color="auto"/>
              <w:right w:val="single" w:sz="4" w:space="0" w:color="auto"/>
            </w:tcBorders>
            <w:vAlign w:val="center"/>
            <w:hideMark/>
          </w:tcPr>
          <w:p w14:paraId="28A3778C"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23 </w:t>
            </w:r>
          </w:p>
        </w:tc>
      </w:tr>
      <w:tr w:rsidR="00C82644" w:rsidRPr="00B71529" w14:paraId="4D3EC7E3"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57FB474A"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t>Exclusões permanentes</w:t>
            </w:r>
          </w:p>
        </w:tc>
        <w:tc>
          <w:tcPr>
            <w:tcW w:w="525" w:type="pct"/>
            <w:tcBorders>
              <w:top w:val="nil"/>
              <w:left w:val="nil"/>
              <w:bottom w:val="single" w:sz="4" w:space="0" w:color="auto"/>
              <w:right w:val="single" w:sz="4" w:space="0" w:color="auto"/>
            </w:tcBorders>
            <w:vAlign w:val="center"/>
            <w:hideMark/>
          </w:tcPr>
          <w:p w14:paraId="5DEACFA7" w14:textId="55EB2E2D"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(1.898)</w:t>
            </w:r>
          </w:p>
        </w:tc>
        <w:tc>
          <w:tcPr>
            <w:tcW w:w="602" w:type="pct"/>
            <w:tcBorders>
              <w:top w:val="nil"/>
              <w:left w:val="nil"/>
              <w:bottom w:val="single" w:sz="4" w:space="0" w:color="auto"/>
              <w:right w:val="single" w:sz="4" w:space="0" w:color="auto"/>
            </w:tcBorders>
            <w:vAlign w:val="center"/>
            <w:hideMark/>
          </w:tcPr>
          <w:p w14:paraId="142D177B"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(1.898)</w:t>
            </w:r>
          </w:p>
        </w:tc>
        <w:tc>
          <w:tcPr>
            <w:tcW w:w="505" w:type="pct"/>
            <w:tcBorders>
              <w:top w:val="nil"/>
              <w:left w:val="nil"/>
              <w:bottom w:val="single" w:sz="4" w:space="0" w:color="auto"/>
              <w:right w:val="single" w:sz="4" w:space="0" w:color="auto"/>
            </w:tcBorders>
            <w:vAlign w:val="center"/>
            <w:hideMark/>
          </w:tcPr>
          <w:p w14:paraId="20EA8D0C" w14:textId="64ACBA16"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(2.077)</w:t>
            </w:r>
          </w:p>
        </w:tc>
        <w:tc>
          <w:tcPr>
            <w:tcW w:w="602" w:type="pct"/>
            <w:tcBorders>
              <w:top w:val="nil"/>
              <w:left w:val="nil"/>
              <w:bottom w:val="single" w:sz="4" w:space="0" w:color="auto"/>
              <w:right w:val="single" w:sz="4" w:space="0" w:color="auto"/>
            </w:tcBorders>
            <w:vAlign w:val="center"/>
            <w:hideMark/>
          </w:tcPr>
          <w:p w14:paraId="6131C426"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(2.077)</w:t>
            </w:r>
          </w:p>
        </w:tc>
      </w:tr>
      <w:tr w:rsidR="00C82644" w:rsidRPr="00B71529" w14:paraId="259F704C"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7C872062"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Provisão p/ Riscos Trabalhistas, Cíveis e Fiscais</w:t>
            </w:r>
          </w:p>
        </w:tc>
        <w:tc>
          <w:tcPr>
            <w:tcW w:w="525" w:type="pct"/>
            <w:tcBorders>
              <w:top w:val="nil"/>
              <w:left w:val="nil"/>
              <w:bottom w:val="single" w:sz="4" w:space="0" w:color="auto"/>
              <w:right w:val="single" w:sz="4" w:space="0" w:color="auto"/>
            </w:tcBorders>
            <w:vAlign w:val="center"/>
            <w:hideMark/>
          </w:tcPr>
          <w:p w14:paraId="66F25665" w14:textId="453C5822"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(120)</w:t>
            </w:r>
          </w:p>
        </w:tc>
        <w:tc>
          <w:tcPr>
            <w:tcW w:w="602" w:type="pct"/>
            <w:tcBorders>
              <w:top w:val="nil"/>
              <w:left w:val="nil"/>
              <w:bottom w:val="single" w:sz="4" w:space="0" w:color="auto"/>
              <w:right w:val="single" w:sz="4" w:space="0" w:color="auto"/>
            </w:tcBorders>
            <w:vAlign w:val="center"/>
            <w:hideMark/>
          </w:tcPr>
          <w:p w14:paraId="79E95833"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(120)</w:t>
            </w:r>
          </w:p>
        </w:tc>
        <w:tc>
          <w:tcPr>
            <w:tcW w:w="505" w:type="pct"/>
            <w:tcBorders>
              <w:top w:val="nil"/>
              <w:left w:val="nil"/>
              <w:bottom w:val="single" w:sz="4" w:space="0" w:color="auto"/>
              <w:right w:val="single" w:sz="4" w:space="0" w:color="auto"/>
            </w:tcBorders>
            <w:vAlign w:val="center"/>
            <w:hideMark/>
          </w:tcPr>
          <w:p w14:paraId="07E991DE" w14:textId="67870BA2"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(149)</w:t>
            </w:r>
          </w:p>
        </w:tc>
        <w:tc>
          <w:tcPr>
            <w:tcW w:w="602" w:type="pct"/>
            <w:tcBorders>
              <w:top w:val="nil"/>
              <w:left w:val="nil"/>
              <w:bottom w:val="single" w:sz="4" w:space="0" w:color="auto"/>
              <w:right w:val="single" w:sz="4" w:space="0" w:color="auto"/>
            </w:tcBorders>
            <w:vAlign w:val="center"/>
            <w:hideMark/>
          </w:tcPr>
          <w:p w14:paraId="268DB682"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(149)</w:t>
            </w:r>
          </w:p>
        </w:tc>
      </w:tr>
      <w:tr w:rsidR="00C82644" w:rsidRPr="00B71529" w14:paraId="6FB84F30"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70A3C9A1" w14:textId="604499B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Pagamento Contraprestação Arrend. Mercantil (Direito de Uso)</w:t>
            </w:r>
          </w:p>
        </w:tc>
        <w:tc>
          <w:tcPr>
            <w:tcW w:w="525" w:type="pct"/>
            <w:tcBorders>
              <w:top w:val="nil"/>
              <w:left w:val="nil"/>
              <w:bottom w:val="single" w:sz="4" w:space="0" w:color="auto"/>
              <w:right w:val="single" w:sz="4" w:space="0" w:color="auto"/>
            </w:tcBorders>
            <w:vAlign w:val="center"/>
            <w:hideMark/>
          </w:tcPr>
          <w:p w14:paraId="567B2444" w14:textId="298B263F"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(1.759)</w:t>
            </w:r>
          </w:p>
        </w:tc>
        <w:tc>
          <w:tcPr>
            <w:tcW w:w="602" w:type="pct"/>
            <w:tcBorders>
              <w:top w:val="nil"/>
              <w:left w:val="nil"/>
              <w:bottom w:val="single" w:sz="4" w:space="0" w:color="auto"/>
              <w:right w:val="single" w:sz="4" w:space="0" w:color="auto"/>
            </w:tcBorders>
            <w:vAlign w:val="center"/>
            <w:hideMark/>
          </w:tcPr>
          <w:p w14:paraId="4D2B2B6E"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(1.759)</w:t>
            </w:r>
          </w:p>
        </w:tc>
        <w:tc>
          <w:tcPr>
            <w:tcW w:w="505" w:type="pct"/>
            <w:tcBorders>
              <w:top w:val="nil"/>
              <w:left w:val="nil"/>
              <w:bottom w:val="single" w:sz="4" w:space="0" w:color="auto"/>
              <w:right w:val="single" w:sz="4" w:space="0" w:color="auto"/>
            </w:tcBorders>
            <w:vAlign w:val="center"/>
            <w:hideMark/>
          </w:tcPr>
          <w:p w14:paraId="0C2DF5ED" w14:textId="2D8A43F4"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(1.928)</w:t>
            </w:r>
          </w:p>
        </w:tc>
        <w:tc>
          <w:tcPr>
            <w:tcW w:w="602" w:type="pct"/>
            <w:tcBorders>
              <w:top w:val="nil"/>
              <w:left w:val="nil"/>
              <w:bottom w:val="single" w:sz="4" w:space="0" w:color="auto"/>
              <w:right w:val="single" w:sz="4" w:space="0" w:color="auto"/>
            </w:tcBorders>
            <w:vAlign w:val="center"/>
            <w:hideMark/>
          </w:tcPr>
          <w:p w14:paraId="5A404C34"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(1.928)</w:t>
            </w:r>
          </w:p>
        </w:tc>
      </w:tr>
      <w:tr w:rsidR="00C82644" w:rsidRPr="00B71529" w14:paraId="3FD5FFB0"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0CC2DEA6"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Baixa de Provisão para PISP por Pagamento</w:t>
            </w:r>
          </w:p>
        </w:tc>
        <w:tc>
          <w:tcPr>
            <w:tcW w:w="525" w:type="pct"/>
            <w:tcBorders>
              <w:top w:val="nil"/>
              <w:left w:val="nil"/>
              <w:bottom w:val="single" w:sz="4" w:space="0" w:color="auto"/>
              <w:right w:val="single" w:sz="4" w:space="0" w:color="auto"/>
            </w:tcBorders>
            <w:vAlign w:val="center"/>
            <w:hideMark/>
          </w:tcPr>
          <w:p w14:paraId="2AE443AC" w14:textId="467C1252"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(19)</w:t>
            </w:r>
          </w:p>
        </w:tc>
        <w:tc>
          <w:tcPr>
            <w:tcW w:w="602" w:type="pct"/>
            <w:tcBorders>
              <w:top w:val="nil"/>
              <w:left w:val="nil"/>
              <w:bottom w:val="single" w:sz="4" w:space="0" w:color="auto"/>
              <w:right w:val="single" w:sz="4" w:space="0" w:color="auto"/>
            </w:tcBorders>
            <w:vAlign w:val="center"/>
            <w:hideMark/>
          </w:tcPr>
          <w:p w14:paraId="1204EE43"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(19)</w:t>
            </w:r>
          </w:p>
        </w:tc>
        <w:tc>
          <w:tcPr>
            <w:tcW w:w="505" w:type="pct"/>
            <w:tcBorders>
              <w:top w:val="nil"/>
              <w:left w:val="nil"/>
              <w:bottom w:val="single" w:sz="4" w:space="0" w:color="auto"/>
              <w:right w:val="single" w:sz="4" w:space="0" w:color="auto"/>
            </w:tcBorders>
            <w:vAlign w:val="center"/>
            <w:hideMark/>
          </w:tcPr>
          <w:p w14:paraId="62352C79" w14:textId="2C5DBC63"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   </w:t>
            </w:r>
          </w:p>
        </w:tc>
        <w:tc>
          <w:tcPr>
            <w:tcW w:w="602" w:type="pct"/>
            <w:tcBorders>
              <w:top w:val="nil"/>
              <w:left w:val="nil"/>
              <w:bottom w:val="single" w:sz="4" w:space="0" w:color="auto"/>
              <w:right w:val="single" w:sz="4" w:space="0" w:color="auto"/>
            </w:tcBorders>
            <w:vAlign w:val="center"/>
            <w:hideMark/>
          </w:tcPr>
          <w:p w14:paraId="2CF7F746"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   </w:t>
            </w:r>
          </w:p>
        </w:tc>
      </w:tr>
      <w:tr w:rsidR="00C82644" w:rsidRPr="00B71529" w14:paraId="14549A8D"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0FBED2D0"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t>Adições/(Exclusões) Temporárias:</w:t>
            </w:r>
          </w:p>
        </w:tc>
        <w:tc>
          <w:tcPr>
            <w:tcW w:w="525" w:type="pct"/>
            <w:tcBorders>
              <w:top w:val="nil"/>
              <w:left w:val="nil"/>
              <w:bottom w:val="single" w:sz="4" w:space="0" w:color="auto"/>
              <w:right w:val="single" w:sz="4" w:space="0" w:color="auto"/>
            </w:tcBorders>
            <w:vAlign w:val="center"/>
            <w:hideMark/>
          </w:tcPr>
          <w:p w14:paraId="26AA412B" w14:textId="20D7A6BD"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27.746 </w:t>
            </w:r>
          </w:p>
        </w:tc>
        <w:tc>
          <w:tcPr>
            <w:tcW w:w="602" w:type="pct"/>
            <w:tcBorders>
              <w:top w:val="nil"/>
              <w:left w:val="nil"/>
              <w:bottom w:val="single" w:sz="4" w:space="0" w:color="auto"/>
              <w:right w:val="single" w:sz="4" w:space="0" w:color="auto"/>
            </w:tcBorders>
            <w:vAlign w:val="center"/>
            <w:hideMark/>
          </w:tcPr>
          <w:p w14:paraId="6C92CCA9"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27.746 </w:t>
            </w:r>
          </w:p>
        </w:tc>
        <w:tc>
          <w:tcPr>
            <w:tcW w:w="505" w:type="pct"/>
            <w:tcBorders>
              <w:top w:val="nil"/>
              <w:left w:val="nil"/>
              <w:bottom w:val="single" w:sz="4" w:space="0" w:color="auto"/>
              <w:right w:val="single" w:sz="4" w:space="0" w:color="auto"/>
            </w:tcBorders>
            <w:vAlign w:val="center"/>
            <w:hideMark/>
          </w:tcPr>
          <w:p w14:paraId="56C25885" w14:textId="2310E62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24.051 </w:t>
            </w:r>
          </w:p>
        </w:tc>
        <w:tc>
          <w:tcPr>
            <w:tcW w:w="602" w:type="pct"/>
            <w:tcBorders>
              <w:top w:val="nil"/>
              <w:left w:val="nil"/>
              <w:bottom w:val="single" w:sz="4" w:space="0" w:color="auto"/>
              <w:right w:val="single" w:sz="4" w:space="0" w:color="auto"/>
            </w:tcBorders>
            <w:vAlign w:val="center"/>
            <w:hideMark/>
          </w:tcPr>
          <w:p w14:paraId="78CABA28"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24.051 </w:t>
            </w:r>
          </w:p>
        </w:tc>
      </w:tr>
      <w:tr w:rsidR="00C82644" w:rsidRPr="00B71529" w14:paraId="6BC4C4A6"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0CB9DD2E"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t>Adições temporárias:</w:t>
            </w:r>
          </w:p>
        </w:tc>
        <w:tc>
          <w:tcPr>
            <w:tcW w:w="525" w:type="pct"/>
            <w:tcBorders>
              <w:top w:val="nil"/>
              <w:left w:val="nil"/>
              <w:bottom w:val="single" w:sz="4" w:space="0" w:color="auto"/>
              <w:right w:val="single" w:sz="4" w:space="0" w:color="auto"/>
            </w:tcBorders>
            <w:vAlign w:val="center"/>
            <w:hideMark/>
          </w:tcPr>
          <w:p w14:paraId="5166EBE7" w14:textId="0C245710"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29.091 </w:t>
            </w:r>
          </w:p>
        </w:tc>
        <w:tc>
          <w:tcPr>
            <w:tcW w:w="602" w:type="pct"/>
            <w:tcBorders>
              <w:top w:val="nil"/>
              <w:left w:val="nil"/>
              <w:bottom w:val="single" w:sz="4" w:space="0" w:color="auto"/>
              <w:right w:val="single" w:sz="4" w:space="0" w:color="auto"/>
            </w:tcBorders>
            <w:vAlign w:val="center"/>
            <w:hideMark/>
          </w:tcPr>
          <w:p w14:paraId="7474CD9D"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29.091 </w:t>
            </w:r>
          </w:p>
        </w:tc>
        <w:tc>
          <w:tcPr>
            <w:tcW w:w="505" w:type="pct"/>
            <w:tcBorders>
              <w:top w:val="nil"/>
              <w:left w:val="nil"/>
              <w:bottom w:val="single" w:sz="4" w:space="0" w:color="auto"/>
              <w:right w:val="single" w:sz="4" w:space="0" w:color="auto"/>
            </w:tcBorders>
            <w:vAlign w:val="center"/>
            <w:hideMark/>
          </w:tcPr>
          <w:p w14:paraId="4000F1ED" w14:textId="5A5A24E2"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24.892 </w:t>
            </w:r>
          </w:p>
        </w:tc>
        <w:tc>
          <w:tcPr>
            <w:tcW w:w="602" w:type="pct"/>
            <w:tcBorders>
              <w:top w:val="nil"/>
              <w:left w:val="nil"/>
              <w:bottom w:val="single" w:sz="4" w:space="0" w:color="auto"/>
              <w:right w:val="single" w:sz="4" w:space="0" w:color="auto"/>
            </w:tcBorders>
            <w:vAlign w:val="center"/>
            <w:hideMark/>
          </w:tcPr>
          <w:p w14:paraId="7F4DEE88"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24.892 </w:t>
            </w:r>
          </w:p>
        </w:tc>
      </w:tr>
      <w:tr w:rsidR="00C82644" w:rsidRPr="00B71529" w14:paraId="6C7E9CC9"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76B90E36"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Provisão p/ Riscos Trabalhistas, Cíveis e Fiscais</w:t>
            </w:r>
          </w:p>
        </w:tc>
        <w:tc>
          <w:tcPr>
            <w:tcW w:w="525" w:type="pct"/>
            <w:tcBorders>
              <w:top w:val="nil"/>
              <w:left w:val="nil"/>
              <w:bottom w:val="single" w:sz="4" w:space="0" w:color="auto"/>
              <w:right w:val="single" w:sz="4" w:space="0" w:color="auto"/>
            </w:tcBorders>
            <w:vAlign w:val="center"/>
            <w:hideMark/>
          </w:tcPr>
          <w:p w14:paraId="34631BD6" w14:textId="724F9516"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1.771 </w:t>
            </w:r>
          </w:p>
        </w:tc>
        <w:tc>
          <w:tcPr>
            <w:tcW w:w="602" w:type="pct"/>
            <w:tcBorders>
              <w:top w:val="nil"/>
              <w:left w:val="nil"/>
              <w:bottom w:val="single" w:sz="4" w:space="0" w:color="auto"/>
              <w:right w:val="single" w:sz="4" w:space="0" w:color="auto"/>
            </w:tcBorders>
            <w:vAlign w:val="center"/>
            <w:hideMark/>
          </w:tcPr>
          <w:p w14:paraId="592FC213"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1.771 </w:t>
            </w:r>
          </w:p>
        </w:tc>
        <w:tc>
          <w:tcPr>
            <w:tcW w:w="505" w:type="pct"/>
            <w:tcBorders>
              <w:top w:val="nil"/>
              <w:left w:val="nil"/>
              <w:bottom w:val="single" w:sz="4" w:space="0" w:color="auto"/>
              <w:right w:val="single" w:sz="4" w:space="0" w:color="auto"/>
            </w:tcBorders>
            <w:vAlign w:val="center"/>
            <w:hideMark/>
          </w:tcPr>
          <w:p w14:paraId="18352ADF" w14:textId="4F45CD3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2.451 </w:t>
            </w:r>
          </w:p>
        </w:tc>
        <w:tc>
          <w:tcPr>
            <w:tcW w:w="602" w:type="pct"/>
            <w:tcBorders>
              <w:top w:val="nil"/>
              <w:left w:val="nil"/>
              <w:bottom w:val="single" w:sz="4" w:space="0" w:color="auto"/>
              <w:right w:val="single" w:sz="4" w:space="0" w:color="auto"/>
            </w:tcBorders>
            <w:vAlign w:val="center"/>
            <w:hideMark/>
          </w:tcPr>
          <w:p w14:paraId="4ABA69EE"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2.451 </w:t>
            </w:r>
          </w:p>
        </w:tc>
      </w:tr>
      <w:tr w:rsidR="00C82644" w:rsidRPr="00B71529" w14:paraId="3AD89E57"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5051B63E"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Provisão Programa de Indenização por Serviços Prestados</w:t>
            </w:r>
          </w:p>
        </w:tc>
        <w:tc>
          <w:tcPr>
            <w:tcW w:w="525" w:type="pct"/>
            <w:tcBorders>
              <w:top w:val="nil"/>
              <w:left w:val="nil"/>
              <w:bottom w:val="single" w:sz="4" w:space="0" w:color="auto"/>
              <w:right w:val="single" w:sz="4" w:space="0" w:color="auto"/>
            </w:tcBorders>
            <w:vAlign w:val="center"/>
            <w:hideMark/>
          </w:tcPr>
          <w:p w14:paraId="69C93FAA" w14:textId="0837E3BE"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6 </w:t>
            </w:r>
          </w:p>
        </w:tc>
        <w:tc>
          <w:tcPr>
            <w:tcW w:w="602" w:type="pct"/>
            <w:tcBorders>
              <w:top w:val="nil"/>
              <w:left w:val="nil"/>
              <w:bottom w:val="single" w:sz="4" w:space="0" w:color="auto"/>
              <w:right w:val="single" w:sz="4" w:space="0" w:color="auto"/>
            </w:tcBorders>
            <w:vAlign w:val="center"/>
            <w:hideMark/>
          </w:tcPr>
          <w:p w14:paraId="689C401C"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6 </w:t>
            </w:r>
          </w:p>
        </w:tc>
        <w:tc>
          <w:tcPr>
            <w:tcW w:w="505" w:type="pct"/>
            <w:tcBorders>
              <w:top w:val="nil"/>
              <w:left w:val="nil"/>
              <w:bottom w:val="single" w:sz="4" w:space="0" w:color="auto"/>
              <w:right w:val="single" w:sz="4" w:space="0" w:color="auto"/>
            </w:tcBorders>
            <w:vAlign w:val="center"/>
            <w:hideMark/>
          </w:tcPr>
          <w:p w14:paraId="4D546CD4" w14:textId="43DE8C06"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999 </w:t>
            </w:r>
          </w:p>
        </w:tc>
        <w:tc>
          <w:tcPr>
            <w:tcW w:w="602" w:type="pct"/>
            <w:tcBorders>
              <w:top w:val="nil"/>
              <w:left w:val="nil"/>
              <w:bottom w:val="single" w:sz="4" w:space="0" w:color="auto"/>
              <w:right w:val="single" w:sz="4" w:space="0" w:color="auto"/>
            </w:tcBorders>
            <w:vAlign w:val="center"/>
            <w:hideMark/>
          </w:tcPr>
          <w:p w14:paraId="3ADFE81E"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999 </w:t>
            </w:r>
          </w:p>
        </w:tc>
      </w:tr>
      <w:tr w:rsidR="00C82644" w:rsidRPr="00B71529" w14:paraId="292D45C3"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233F4879"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Perda Estimada c/ Crédito de Liquidação Duvidosa</w:t>
            </w:r>
          </w:p>
        </w:tc>
        <w:tc>
          <w:tcPr>
            <w:tcW w:w="525" w:type="pct"/>
            <w:tcBorders>
              <w:top w:val="nil"/>
              <w:left w:val="nil"/>
              <w:bottom w:val="single" w:sz="4" w:space="0" w:color="auto"/>
              <w:right w:val="single" w:sz="4" w:space="0" w:color="auto"/>
            </w:tcBorders>
            <w:vAlign w:val="center"/>
            <w:hideMark/>
          </w:tcPr>
          <w:p w14:paraId="4DCC0DC4" w14:textId="285D3F73"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288 </w:t>
            </w:r>
          </w:p>
        </w:tc>
        <w:tc>
          <w:tcPr>
            <w:tcW w:w="602" w:type="pct"/>
            <w:tcBorders>
              <w:top w:val="nil"/>
              <w:left w:val="nil"/>
              <w:bottom w:val="single" w:sz="4" w:space="0" w:color="auto"/>
              <w:right w:val="single" w:sz="4" w:space="0" w:color="auto"/>
            </w:tcBorders>
            <w:vAlign w:val="center"/>
            <w:hideMark/>
          </w:tcPr>
          <w:p w14:paraId="283900CE"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288 </w:t>
            </w:r>
          </w:p>
        </w:tc>
        <w:tc>
          <w:tcPr>
            <w:tcW w:w="505" w:type="pct"/>
            <w:tcBorders>
              <w:top w:val="nil"/>
              <w:left w:val="nil"/>
              <w:bottom w:val="single" w:sz="4" w:space="0" w:color="auto"/>
              <w:right w:val="single" w:sz="4" w:space="0" w:color="auto"/>
            </w:tcBorders>
            <w:vAlign w:val="center"/>
            <w:hideMark/>
          </w:tcPr>
          <w:p w14:paraId="2DE0A831" w14:textId="4BAEA23D"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173 </w:t>
            </w:r>
          </w:p>
        </w:tc>
        <w:tc>
          <w:tcPr>
            <w:tcW w:w="602" w:type="pct"/>
            <w:tcBorders>
              <w:top w:val="nil"/>
              <w:left w:val="nil"/>
              <w:bottom w:val="single" w:sz="4" w:space="0" w:color="auto"/>
              <w:right w:val="single" w:sz="4" w:space="0" w:color="auto"/>
            </w:tcBorders>
            <w:vAlign w:val="center"/>
            <w:hideMark/>
          </w:tcPr>
          <w:p w14:paraId="1EA132F9"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173 </w:t>
            </w:r>
          </w:p>
        </w:tc>
      </w:tr>
      <w:tr w:rsidR="00C82644" w:rsidRPr="00B71529" w14:paraId="780D397B"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48DA125F"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Provisões – Custeios</w:t>
            </w:r>
          </w:p>
        </w:tc>
        <w:tc>
          <w:tcPr>
            <w:tcW w:w="525" w:type="pct"/>
            <w:tcBorders>
              <w:top w:val="nil"/>
              <w:left w:val="nil"/>
              <w:bottom w:val="single" w:sz="4" w:space="0" w:color="auto"/>
              <w:right w:val="single" w:sz="4" w:space="0" w:color="auto"/>
            </w:tcBorders>
            <w:vAlign w:val="center"/>
            <w:hideMark/>
          </w:tcPr>
          <w:p w14:paraId="70FF99C1" w14:textId="1C57F360"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27.026 </w:t>
            </w:r>
          </w:p>
        </w:tc>
        <w:tc>
          <w:tcPr>
            <w:tcW w:w="602" w:type="pct"/>
            <w:tcBorders>
              <w:top w:val="nil"/>
              <w:left w:val="nil"/>
              <w:bottom w:val="single" w:sz="4" w:space="0" w:color="auto"/>
              <w:right w:val="single" w:sz="4" w:space="0" w:color="auto"/>
            </w:tcBorders>
            <w:vAlign w:val="center"/>
            <w:hideMark/>
          </w:tcPr>
          <w:p w14:paraId="18BA79C0"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27.026 </w:t>
            </w:r>
          </w:p>
        </w:tc>
        <w:tc>
          <w:tcPr>
            <w:tcW w:w="505" w:type="pct"/>
            <w:tcBorders>
              <w:top w:val="nil"/>
              <w:left w:val="nil"/>
              <w:bottom w:val="single" w:sz="4" w:space="0" w:color="auto"/>
              <w:right w:val="single" w:sz="4" w:space="0" w:color="auto"/>
            </w:tcBorders>
            <w:vAlign w:val="center"/>
            <w:hideMark/>
          </w:tcPr>
          <w:p w14:paraId="44DD7F4F" w14:textId="0592D2C2"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21.269 </w:t>
            </w:r>
          </w:p>
        </w:tc>
        <w:tc>
          <w:tcPr>
            <w:tcW w:w="602" w:type="pct"/>
            <w:tcBorders>
              <w:top w:val="nil"/>
              <w:left w:val="nil"/>
              <w:bottom w:val="single" w:sz="4" w:space="0" w:color="auto"/>
              <w:right w:val="single" w:sz="4" w:space="0" w:color="auto"/>
            </w:tcBorders>
            <w:vAlign w:val="center"/>
            <w:hideMark/>
          </w:tcPr>
          <w:p w14:paraId="0069DB43"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21.269 </w:t>
            </w:r>
          </w:p>
        </w:tc>
      </w:tr>
      <w:tr w:rsidR="00C82644" w:rsidRPr="00B71529" w14:paraId="15D637A8"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2E6320F7"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t>Exclusões temporárias:</w:t>
            </w:r>
          </w:p>
        </w:tc>
        <w:tc>
          <w:tcPr>
            <w:tcW w:w="525" w:type="pct"/>
            <w:tcBorders>
              <w:top w:val="nil"/>
              <w:left w:val="nil"/>
              <w:bottom w:val="single" w:sz="4" w:space="0" w:color="auto"/>
              <w:right w:val="single" w:sz="4" w:space="0" w:color="auto"/>
            </w:tcBorders>
            <w:vAlign w:val="center"/>
            <w:hideMark/>
          </w:tcPr>
          <w:p w14:paraId="2BF48091" w14:textId="76147294"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(1.345)</w:t>
            </w:r>
          </w:p>
        </w:tc>
        <w:tc>
          <w:tcPr>
            <w:tcW w:w="602" w:type="pct"/>
            <w:tcBorders>
              <w:top w:val="nil"/>
              <w:left w:val="nil"/>
              <w:bottom w:val="single" w:sz="4" w:space="0" w:color="auto"/>
              <w:right w:val="single" w:sz="4" w:space="0" w:color="auto"/>
            </w:tcBorders>
            <w:vAlign w:val="center"/>
            <w:hideMark/>
          </w:tcPr>
          <w:p w14:paraId="5DF51689"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(1.345)</w:t>
            </w:r>
          </w:p>
        </w:tc>
        <w:tc>
          <w:tcPr>
            <w:tcW w:w="505" w:type="pct"/>
            <w:tcBorders>
              <w:top w:val="nil"/>
              <w:left w:val="nil"/>
              <w:bottom w:val="single" w:sz="4" w:space="0" w:color="auto"/>
              <w:right w:val="single" w:sz="4" w:space="0" w:color="auto"/>
            </w:tcBorders>
            <w:vAlign w:val="center"/>
            <w:hideMark/>
          </w:tcPr>
          <w:p w14:paraId="1E6E7A23" w14:textId="4BED857B"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(841)</w:t>
            </w:r>
          </w:p>
        </w:tc>
        <w:tc>
          <w:tcPr>
            <w:tcW w:w="602" w:type="pct"/>
            <w:tcBorders>
              <w:top w:val="nil"/>
              <w:left w:val="nil"/>
              <w:bottom w:val="single" w:sz="4" w:space="0" w:color="auto"/>
              <w:right w:val="single" w:sz="4" w:space="0" w:color="auto"/>
            </w:tcBorders>
            <w:vAlign w:val="center"/>
            <w:hideMark/>
          </w:tcPr>
          <w:p w14:paraId="0F504791"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(841)</w:t>
            </w:r>
          </w:p>
        </w:tc>
      </w:tr>
      <w:tr w:rsidR="00C82644" w:rsidRPr="00B71529" w14:paraId="03D249F8"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5621E16D"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Reversão de prov. p/ Riscos Trabalhistas, Cíveis e Fiscais</w:t>
            </w:r>
          </w:p>
        </w:tc>
        <w:tc>
          <w:tcPr>
            <w:tcW w:w="525" w:type="pct"/>
            <w:tcBorders>
              <w:top w:val="nil"/>
              <w:left w:val="nil"/>
              <w:bottom w:val="single" w:sz="4" w:space="0" w:color="auto"/>
              <w:right w:val="single" w:sz="4" w:space="0" w:color="auto"/>
            </w:tcBorders>
            <w:vAlign w:val="center"/>
            <w:hideMark/>
          </w:tcPr>
          <w:p w14:paraId="6CD1F1AE" w14:textId="0BF5D5CF"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(915)</w:t>
            </w:r>
          </w:p>
        </w:tc>
        <w:tc>
          <w:tcPr>
            <w:tcW w:w="602" w:type="pct"/>
            <w:tcBorders>
              <w:top w:val="nil"/>
              <w:left w:val="nil"/>
              <w:bottom w:val="single" w:sz="4" w:space="0" w:color="auto"/>
              <w:right w:val="single" w:sz="4" w:space="0" w:color="auto"/>
            </w:tcBorders>
            <w:vAlign w:val="center"/>
            <w:hideMark/>
          </w:tcPr>
          <w:p w14:paraId="4D318D4E"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(915)</w:t>
            </w:r>
          </w:p>
        </w:tc>
        <w:tc>
          <w:tcPr>
            <w:tcW w:w="505" w:type="pct"/>
            <w:tcBorders>
              <w:top w:val="nil"/>
              <w:left w:val="nil"/>
              <w:bottom w:val="single" w:sz="4" w:space="0" w:color="auto"/>
              <w:right w:val="single" w:sz="4" w:space="0" w:color="auto"/>
            </w:tcBorders>
            <w:vAlign w:val="center"/>
            <w:hideMark/>
          </w:tcPr>
          <w:p w14:paraId="0106D529" w14:textId="1A49E5B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(270)</w:t>
            </w:r>
          </w:p>
        </w:tc>
        <w:tc>
          <w:tcPr>
            <w:tcW w:w="602" w:type="pct"/>
            <w:tcBorders>
              <w:top w:val="nil"/>
              <w:left w:val="nil"/>
              <w:bottom w:val="single" w:sz="4" w:space="0" w:color="auto"/>
              <w:right w:val="single" w:sz="4" w:space="0" w:color="auto"/>
            </w:tcBorders>
            <w:vAlign w:val="center"/>
            <w:hideMark/>
          </w:tcPr>
          <w:p w14:paraId="7E2C47FA"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(270)</w:t>
            </w:r>
          </w:p>
        </w:tc>
      </w:tr>
      <w:tr w:rsidR="00C82644" w:rsidRPr="00B71529" w14:paraId="42A084B5"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356C6FC2" w14:textId="77777777" w:rsidR="00C82644" w:rsidRPr="00B71529" w:rsidRDefault="00C82644">
            <w:pPr>
              <w:rPr>
                <w:rFonts w:ascii="Arial" w:hAnsi="Arial" w:cs="Arial"/>
                <w:color w:val="000000"/>
                <w:sz w:val="16"/>
                <w:szCs w:val="16"/>
              </w:rPr>
            </w:pPr>
            <w:r w:rsidRPr="00B71529">
              <w:rPr>
                <w:rFonts w:ascii="Arial" w:hAnsi="Arial" w:cs="Arial"/>
                <w:color w:val="000000"/>
                <w:sz w:val="16"/>
                <w:szCs w:val="16"/>
              </w:rPr>
              <w:t xml:space="preserve">    Reversão de Perda Estimada c/ Crédito de Liquidação Duvidosa</w:t>
            </w:r>
          </w:p>
        </w:tc>
        <w:tc>
          <w:tcPr>
            <w:tcW w:w="525" w:type="pct"/>
            <w:tcBorders>
              <w:top w:val="nil"/>
              <w:left w:val="nil"/>
              <w:bottom w:val="single" w:sz="4" w:space="0" w:color="auto"/>
              <w:right w:val="single" w:sz="4" w:space="0" w:color="auto"/>
            </w:tcBorders>
            <w:vAlign w:val="center"/>
            <w:hideMark/>
          </w:tcPr>
          <w:p w14:paraId="1C0835F4" w14:textId="4666DEF5"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(430)</w:t>
            </w:r>
          </w:p>
        </w:tc>
        <w:tc>
          <w:tcPr>
            <w:tcW w:w="602" w:type="pct"/>
            <w:tcBorders>
              <w:top w:val="nil"/>
              <w:left w:val="nil"/>
              <w:bottom w:val="single" w:sz="4" w:space="0" w:color="auto"/>
              <w:right w:val="single" w:sz="4" w:space="0" w:color="auto"/>
            </w:tcBorders>
            <w:vAlign w:val="center"/>
            <w:hideMark/>
          </w:tcPr>
          <w:p w14:paraId="020A8844"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(430)</w:t>
            </w:r>
          </w:p>
        </w:tc>
        <w:tc>
          <w:tcPr>
            <w:tcW w:w="505" w:type="pct"/>
            <w:tcBorders>
              <w:top w:val="nil"/>
              <w:left w:val="nil"/>
              <w:bottom w:val="single" w:sz="4" w:space="0" w:color="auto"/>
              <w:right w:val="single" w:sz="4" w:space="0" w:color="auto"/>
            </w:tcBorders>
            <w:vAlign w:val="center"/>
            <w:hideMark/>
          </w:tcPr>
          <w:p w14:paraId="691A5C23" w14:textId="0F58F3C2"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(571)</w:t>
            </w:r>
          </w:p>
        </w:tc>
        <w:tc>
          <w:tcPr>
            <w:tcW w:w="602" w:type="pct"/>
            <w:tcBorders>
              <w:top w:val="nil"/>
              <w:left w:val="nil"/>
              <w:bottom w:val="single" w:sz="4" w:space="0" w:color="auto"/>
              <w:right w:val="single" w:sz="4" w:space="0" w:color="auto"/>
            </w:tcBorders>
            <w:vAlign w:val="center"/>
            <w:hideMark/>
          </w:tcPr>
          <w:p w14:paraId="334D96D7" w14:textId="77777777" w:rsidR="00C82644" w:rsidRPr="00B71529" w:rsidRDefault="00C82644">
            <w:pPr>
              <w:jc w:val="right"/>
              <w:rPr>
                <w:rFonts w:ascii="Arial" w:hAnsi="Arial" w:cs="Arial"/>
                <w:color w:val="000000"/>
                <w:sz w:val="16"/>
                <w:szCs w:val="16"/>
              </w:rPr>
            </w:pPr>
            <w:r w:rsidRPr="00B71529">
              <w:rPr>
                <w:rFonts w:ascii="Arial" w:hAnsi="Arial" w:cs="Arial"/>
                <w:color w:val="000000"/>
                <w:sz w:val="16"/>
                <w:szCs w:val="16"/>
              </w:rPr>
              <w:t xml:space="preserve">             (571)</w:t>
            </w:r>
          </w:p>
        </w:tc>
      </w:tr>
      <w:tr w:rsidR="00C82644" w14:paraId="25071FB6" w14:textId="77777777" w:rsidTr="00C82644">
        <w:trPr>
          <w:trHeight w:val="232"/>
        </w:trPr>
        <w:tc>
          <w:tcPr>
            <w:tcW w:w="2767" w:type="pct"/>
            <w:tcBorders>
              <w:top w:val="nil"/>
              <w:left w:val="single" w:sz="4" w:space="0" w:color="auto"/>
              <w:bottom w:val="single" w:sz="4" w:space="0" w:color="auto"/>
              <w:right w:val="single" w:sz="4" w:space="0" w:color="auto"/>
            </w:tcBorders>
            <w:vAlign w:val="center"/>
            <w:hideMark/>
          </w:tcPr>
          <w:p w14:paraId="230FDBFD" w14:textId="77777777" w:rsidR="00C82644" w:rsidRPr="00B71529" w:rsidRDefault="00C82644">
            <w:pPr>
              <w:rPr>
                <w:rFonts w:ascii="Arial" w:hAnsi="Arial" w:cs="Arial"/>
                <w:b/>
                <w:bCs/>
                <w:color w:val="000000"/>
                <w:sz w:val="16"/>
                <w:szCs w:val="16"/>
              </w:rPr>
            </w:pPr>
            <w:r w:rsidRPr="00B71529">
              <w:rPr>
                <w:rFonts w:ascii="Arial" w:hAnsi="Arial" w:cs="Arial"/>
                <w:b/>
                <w:bCs/>
                <w:color w:val="000000"/>
                <w:sz w:val="16"/>
                <w:szCs w:val="16"/>
              </w:rPr>
              <w:lastRenderedPageBreak/>
              <w:t>Prejuízo Fiscal e Base de Cálculo Negativa</w:t>
            </w:r>
          </w:p>
        </w:tc>
        <w:tc>
          <w:tcPr>
            <w:tcW w:w="525" w:type="pct"/>
            <w:tcBorders>
              <w:top w:val="nil"/>
              <w:left w:val="nil"/>
              <w:bottom w:val="single" w:sz="4" w:space="0" w:color="auto"/>
              <w:right w:val="single" w:sz="4" w:space="0" w:color="auto"/>
            </w:tcBorders>
            <w:vAlign w:val="center"/>
            <w:hideMark/>
          </w:tcPr>
          <w:p w14:paraId="32773049" w14:textId="31B4941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(61.684)</w:t>
            </w:r>
          </w:p>
        </w:tc>
        <w:tc>
          <w:tcPr>
            <w:tcW w:w="602" w:type="pct"/>
            <w:tcBorders>
              <w:top w:val="nil"/>
              <w:left w:val="nil"/>
              <w:bottom w:val="single" w:sz="4" w:space="0" w:color="auto"/>
              <w:right w:val="single" w:sz="4" w:space="0" w:color="auto"/>
            </w:tcBorders>
            <w:vAlign w:val="center"/>
            <w:hideMark/>
          </w:tcPr>
          <w:p w14:paraId="21841CEA" w14:textId="77777777"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(61.684)</w:t>
            </w:r>
          </w:p>
        </w:tc>
        <w:tc>
          <w:tcPr>
            <w:tcW w:w="505" w:type="pct"/>
            <w:tcBorders>
              <w:top w:val="nil"/>
              <w:left w:val="nil"/>
              <w:bottom w:val="single" w:sz="4" w:space="0" w:color="auto"/>
              <w:right w:val="single" w:sz="4" w:space="0" w:color="auto"/>
            </w:tcBorders>
            <w:vAlign w:val="center"/>
            <w:hideMark/>
          </w:tcPr>
          <w:p w14:paraId="6455FFEB" w14:textId="628C10D9" w:rsidR="00C82644" w:rsidRPr="00B71529"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18.015 </w:t>
            </w:r>
          </w:p>
        </w:tc>
        <w:tc>
          <w:tcPr>
            <w:tcW w:w="602" w:type="pct"/>
            <w:tcBorders>
              <w:top w:val="nil"/>
              <w:left w:val="nil"/>
              <w:bottom w:val="single" w:sz="4" w:space="0" w:color="auto"/>
              <w:right w:val="single" w:sz="4" w:space="0" w:color="auto"/>
            </w:tcBorders>
            <w:vAlign w:val="center"/>
            <w:hideMark/>
          </w:tcPr>
          <w:p w14:paraId="5247BC14" w14:textId="77777777" w:rsidR="00C82644" w:rsidRDefault="00C82644">
            <w:pPr>
              <w:jc w:val="right"/>
              <w:rPr>
                <w:rFonts w:ascii="Arial" w:hAnsi="Arial" w:cs="Arial"/>
                <w:b/>
                <w:bCs/>
                <w:color w:val="000000"/>
                <w:sz w:val="16"/>
                <w:szCs w:val="16"/>
              </w:rPr>
            </w:pPr>
            <w:r w:rsidRPr="00B71529">
              <w:rPr>
                <w:rFonts w:ascii="Arial" w:hAnsi="Arial" w:cs="Arial"/>
                <w:b/>
                <w:bCs/>
                <w:color w:val="000000"/>
                <w:sz w:val="16"/>
                <w:szCs w:val="16"/>
              </w:rPr>
              <w:t xml:space="preserve">         18.015</w:t>
            </w:r>
            <w:r>
              <w:rPr>
                <w:rFonts w:ascii="Arial" w:hAnsi="Arial" w:cs="Arial"/>
                <w:b/>
                <w:bCs/>
                <w:color w:val="000000"/>
                <w:sz w:val="16"/>
                <w:szCs w:val="16"/>
              </w:rPr>
              <w:t xml:space="preserve"> </w:t>
            </w:r>
          </w:p>
        </w:tc>
      </w:tr>
    </w:tbl>
    <w:p w14:paraId="4A8313FA" w14:textId="77777777" w:rsidR="00C82644" w:rsidRDefault="00C82644" w:rsidP="00597FE5">
      <w:pPr>
        <w:pStyle w:val="Corpodetexto"/>
        <w:tabs>
          <w:tab w:val="clear" w:pos="851"/>
        </w:tabs>
        <w:spacing w:before="0" w:after="0" w:line="276" w:lineRule="auto"/>
        <w:rPr>
          <w:rFonts w:ascii="Arial" w:hAnsi="Arial" w:cs="Arial"/>
        </w:rPr>
      </w:pPr>
    </w:p>
    <w:p w14:paraId="681CF850" w14:textId="193B805E" w:rsidR="00B524EE" w:rsidRPr="00D8415C" w:rsidRDefault="00B524EE" w:rsidP="009541E1">
      <w:pPr>
        <w:pStyle w:val="Ttulo2"/>
        <w:numPr>
          <w:ilvl w:val="1"/>
          <w:numId w:val="6"/>
        </w:numPr>
        <w:tabs>
          <w:tab w:val="clear" w:pos="284"/>
          <w:tab w:val="clear" w:pos="340"/>
        </w:tabs>
        <w:spacing w:before="0" w:after="0" w:line="276" w:lineRule="auto"/>
        <w:ind w:left="567" w:hanging="567"/>
        <w:jc w:val="both"/>
        <w:rPr>
          <w:rFonts w:ascii="Arial" w:hAnsi="Arial" w:cs="Arial"/>
        </w:rPr>
      </w:pPr>
      <w:r w:rsidRPr="00D8415C">
        <w:rPr>
          <w:rFonts w:ascii="Arial" w:hAnsi="Arial" w:cs="Arial"/>
        </w:rPr>
        <w:t>Créditos fiscais diferidos e não registrados</w:t>
      </w:r>
    </w:p>
    <w:p w14:paraId="3A6F10B2" w14:textId="77777777" w:rsidR="00B524EE" w:rsidRPr="002A36CE" w:rsidRDefault="00B524EE" w:rsidP="00597FE5">
      <w:pPr>
        <w:spacing w:line="276" w:lineRule="auto"/>
      </w:pPr>
    </w:p>
    <w:p w14:paraId="51E04B43" w14:textId="15C53795" w:rsidR="006C4A56" w:rsidRDefault="006C4A56" w:rsidP="00597FE5">
      <w:pPr>
        <w:pStyle w:val="corpodotextodf"/>
        <w:tabs>
          <w:tab w:val="clear" w:pos="227"/>
          <w:tab w:val="clear" w:pos="454"/>
          <w:tab w:val="clear" w:pos="680"/>
        </w:tabs>
        <w:spacing w:line="276" w:lineRule="auto"/>
        <w:rPr>
          <w:rFonts w:ascii="Arial" w:hAnsi="Arial" w:cs="Arial"/>
          <w:bCs/>
        </w:rPr>
      </w:pPr>
      <w:r w:rsidRPr="002A36CE">
        <w:rPr>
          <w:rFonts w:ascii="Arial" w:hAnsi="Arial" w:cs="Arial"/>
        </w:rPr>
        <w:t xml:space="preserve">A Companhia não registra os efeitos dos ativos fiscais diferidos de </w:t>
      </w:r>
      <w:r w:rsidR="00D200B9">
        <w:rPr>
          <w:rFonts w:ascii="Arial" w:hAnsi="Arial" w:cs="Arial"/>
        </w:rPr>
        <w:t>I</w:t>
      </w:r>
      <w:r w:rsidRPr="002A36CE">
        <w:rPr>
          <w:rFonts w:ascii="Arial" w:hAnsi="Arial" w:cs="Arial"/>
        </w:rPr>
        <w:t xml:space="preserve">mposto de </w:t>
      </w:r>
      <w:r w:rsidR="00D200B9">
        <w:rPr>
          <w:rFonts w:ascii="Arial" w:hAnsi="Arial" w:cs="Arial"/>
        </w:rPr>
        <w:t>R</w:t>
      </w:r>
      <w:r w:rsidRPr="002A36CE">
        <w:rPr>
          <w:rFonts w:ascii="Arial" w:hAnsi="Arial" w:cs="Arial"/>
        </w:rPr>
        <w:t xml:space="preserve">enda 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395971">
        <w:rPr>
          <w:rFonts w:ascii="Arial" w:hAnsi="Arial" w:cs="Arial"/>
        </w:rPr>
        <w:t>s</w:t>
      </w:r>
      <w:r w:rsidR="00D200B9">
        <w:rPr>
          <w:rFonts w:ascii="Arial" w:hAnsi="Arial" w:cs="Arial"/>
        </w:rPr>
        <w:t>o</w:t>
      </w:r>
      <w:r w:rsidR="00D04899" w:rsidRPr="002A36CE">
        <w:rPr>
          <w:rFonts w:ascii="Arial" w:hAnsi="Arial" w:cs="Arial"/>
        </w:rPr>
        <w:t xml:space="preserve">bre o </w:t>
      </w:r>
      <w:r w:rsidR="00D200B9">
        <w:rPr>
          <w:rFonts w:ascii="Arial" w:hAnsi="Arial" w:cs="Arial"/>
        </w:rPr>
        <w:t>L</w:t>
      </w:r>
      <w:r w:rsidR="00D04899" w:rsidRPr="002A36CE">
        <w:rPr>
          <w:rFonts w:ascii="Arial" w:hAnsi="Arial" w:cs="Arial"/>
        </w:rPr>
        <w:t xml:space="preserve">ucro </w:t>
      </w:r>
      <w:r w:rsidR="00D200B9">
        <w:rPr>
          <w:rFonts w:ascii="Arial" w:hAnsi="Arial" w:cs="Arial"/>
        </w:rPr>
        <w:t>l</w:t>
      </w:r>
      <w:r w:rsidR="00D04899" w:rsidRPr="002A36CE">
        <w:rPr>
          <w:rFonts w:ascii="Arial" w:hAnsi="Arial" w:cs="Arial"/>
        </w:rPr>
        <w:t>íquido</w:t>
      </w:r>
      <w:r w:rsidRPr="002A36CE">
        <w:rPr>
          <w:rFonts w:ascii="Arial" w:hAnsi="Arial" w:cs="Arial"/>
        </w:rPr>
        <w:t xml:space="preserve">, decorrentes de diferenças temporárias, prejuízos fiscais e </w:t>
      </w:r>
      <w:r w:rsidR="00BC0F6C">
        <w:rPr>
          <w:rFonts w:ascii="Arial" w:hAnsi="Arial" w:cs="Arial"/>
        </w:rPr>
        <w:t>resultado ajustado negativo</w:t>
      </w:r>
      <w:r w:rsidRPr="002A36CE">
        <w:rPr>
          <w:rFonts w:ascii="Arial" w:hAnsi="Arial" w:cs="Arial"/>
        </w:rPr>
        <w:t xml:space="preserve"> de </w:t>
      </w:r>
      <w:r w:rsidR="00D200B9">
        <w:rPr>
          <w:rFonts w:ascii="Arial" w:hAnsi="Arial" w:cs="Arial"/>
        </w:rPr>
        <w:t>C</w:t>
      </w:r>
      <w:r w:rsidRPr="002A36CE">
        <w:rPr>
          <w:rFonts w:ascii="Arial" w:hAnsi="Arial" w:cs="Arial"/>
        </w:rPr>
        <w:t xml:space="preserve">ontribuição </w:t>
      </w:r>
      <w:r w:rsidR="00D200B9">
        <w:rPr>
          <w:rFonts w:ascii="Arial" w:hAnsi="Arial" w:cs="Arial"/>
        </w:rPr>
        <w:t>S</w:t>
      </w:r>
      <w:r w:rsidRPr="002A36CE">
        <w:rPr>
          <w:rFonts w:ascii="Arial" w:hAnsi="Arial" w:cs="Arial"/>
        </w:rPr>
        <w:t xml:space="preserve">ocial </w:t>
      </w:r>
      <w:r w:rsidR="00D200B9">
        <w:rPr>
          <w:rFonts w:ascii="Arial" w:hAnsi="Arial" w:cs="Arial"/>
        </w:rPr>
        <w:t>S</w:t>
      </w:r>
      <w:r w:rsidRPr="002A36CE">
        <w:rPr>
          <w:rFonts w:ascii="Arial" w:hAnsi="Arial" w:cs="Arial"/>
        </w:rPr>
        <w:t xml:space="preserve">obre o </w:t>
      </w:r>
      <w:r w:rsidR="00D200B9">
        <w:rPr>
          <w:rFonts w:ascii="Arial" w:hAnsi="Arial" w:cs="Arial"/>
        </w:rPr>
        <w:t>L</w:t>
      </w:r>
      <w:r w:rsidRPr="002A36CE">
        <w:rPr>
          <w:rFonts w:ascii="Arial" w:hAnsi="Arial" w:cs="Arial"/>
        </w:rPr>
        <w:t xml:space="preserve">ucro </w:t>
      </w:r>
      <w:r w:rsidR="00D200B9">
        <w:rPr>
          <w:rFonts w:ascii="Arial" w:hAnsi="Arial" w:cs="Arial"/>
        </w:rPr>
        <w:t>L</w:t>
      </w:r>
      <w:r w:rsidRPr="002A36CE">
        <w:rPr>
          <w:rFonts w:ascii="Arial" w:hAnsi="Arial" w:cs="Arial"/>
        </w:rPr>
        <w:t>íquido</w:t>
      </w:r>
      <w:r w:rsidR="00EB2A49" w:rsidRPr="002A36CE">
        <w:rPr>
          <w:rFonts w:ascii="Arial" w:hAnsi="Arial" w:cs="Arial"/>
        </w:rPr>
        <w:t>,</w:t>
      </w:r>
      <w:r w:rsidRPr="002A36CE">
        <w:rPr>
          <w:rFonts w:ascii="Arial" w:hAnsi="Arial" w:cs="Arial"/>
        </w:rPr>
        <w:t xml:space="preserve"> </w:t>
      </w:r>
      <w:r w:rsidRPr="002A36CE">
        <w:rPr>
          <w:rFonts w:ascii="Arial" w:hAnsi="Arial" w:cs="Arial"/>
          <w:bCs/>
        </w:rPr>
        <w:t xml:space="preserve">até </w:t>
      </w:r>
      <w:r w:rsidR="00710CC0" w:rsidRPr="002A36CE">
        <w:rPr>
          <w:rFonts w:ascii="Arial" w:hAnsi="Arial" w:cs="Arial"/>
          <w:bCs/>
        </w:rPr>
        <w:t xml:space="preserve">que passe a </w:t>
      </w:r>
      <w:r w:rsidR="00795C03" w:rsidRPr="002A36CE">
        <w:rPr>
          <w:rFonts w:ascii="Arial" w:hAnsi="Arial" w:cs="Arial"/>
          <w:bCs/>
        </w:rPr>
        <w:t>apresentar lucro</w:t>
      </w:r>
      <w:r w:rsidRPr="002A36CE">
        <w:rPr>
          <w:rFonts w:ascii="Arial" w:hAnsi="Arial" w:cs="Arial"/>
          <w:bCs/>
        </w:rPr>
        <w:t xml:space="preserve"> tributável sustentável. </w:t>
      </w:r>
      <w:r w:rsidR="0074723D" w:rsidRPr="002A36CE">
        <w:rPr>
          <w:rFonts w:ascii="Arial" w:hAnsi="Arial" w:cs="Arial"/>
          <w:bCs/>
        </w:rPr>
        <w:t xml:space="preserve">No quadro a </w:t>
      </w:r>
      <w:r w:rsidR="0074723D" w:rsidRPr="0017025B">
        <w:rPr>
          <w:rFonts w:ascii="Arial" w:hAnsi="Arial" w:cs="Arial"/>
          <w:bCs/>
        </w:rPr>
        <w:t>seguir são apresentados</w:t>
      </w:r>
      <w:r w:rsidR="0074723D" w:rsidRPr="002A36CE">
        <w:rPr>
          <w:rFonts w:ascii="Arial" w:hAnsi="Arial" w:cs="Arial"/>
          <w:bCs/>
        </w:rPr>
        <w:t xml:space="preserve"> os valores </w:t>
      </w:r>
      <w:r w:rsidRPr="002A36CE">
        <w:rPr>
          <w:rFonts w:ascii="Arial" w:hAnsi="Arial" w:cs="Arial"/>
          <w:bCs/>
        </w:rPr>
        <w:t xml:space="preserve">dos ativos fiscais diferidos em </w:t>
      </w:r>
      <w:r w:rsidR="00372AAE">
        <w:rPr>
          <w:rFonts w:ascii="Arial" w:hAnsi="Arial" w:cs="Arial"/>
          <w:bCs/>
        </w:rPr>
        <w:t>3</w:t>
      </w:r>
      <w:r w:rsidR="006F36B0">
        <w:rPr>
          <w:rFonts w:ascii="Arial" w:hAnsi="Arial" w:cs="Arial"/>
          <w:bCs/>
        </w:rPr>
        <w:t>1</w:t>
      </w:r>
      <w:r w:rsidR="00372AAE">
        <w:rPr>
          <w:rFonts w:ascii="Arial" w:hAnsi="Arial" w:cs="Arial"/>
          <w:bCs/>
        </w:rPr>
        <w:t xml:space="preserve"> de </w:t>
      </w:r>
      <w:r w:rsidR="0045269C">
        <w:rPr>
          <w:rFonts w:ascii="Arial" w:hAnsi="Arial" w:cs="Arial"/>
          <w:bCs/>
        </w:rPr>
        <w:t>março</w:t>
      </w:r>
      <w:r w:rsidRPr="002A36CE">
        <w:rPr>
          <w:rFonts w:ascii="Arial" w:hAnsi="Arial" w:cs="Arial"/>
          <w:bCs/>
        </w:rPr>
        <w:t xml:space="preserve"> de 20</w:t>
      </w:r>
      <w:r w:rsidR="000A6487" w:rsidRPr="002A36CE">
        <w:rPr>
          <w:rFonts w:ascii="Arial" w:hAnsi="Arial" w:cs="Arial"/>
          <w:bCs/>
        </w:rPr>
        <w:t>2</w:t>
      </w:r>
      <w:r w:rsidR="0045269C">
        <w:rPr>
          <w:rFonts w:ascii="Arial" w:hAnsi="Arial" w:cs="Arial"/>
          <w:bCs/>
        </w:rPr>
        <w:t>6</w:t>
      </w:r>
      <w:r w:rsidR="0074723D" w:rsidRPr="002A36CE">
        <w:rPr>
          <w:rFonts w:ascii="Arial" w:hAnsi="Arial" w:cs="Arial"/>
          <w:bCs/>
        </w:rPr>
        <w:t xml:space="preserve"> e </w:t>
      </w:r>
      <w:r w:rsidR="00CB228B" w:rsidRPr="002A36CE">
        <w:rPr>
          <w:rFonts w:ascii="Arial" w:hAnsi="Arial" w:cs="Arial"/>
          <w:bCs/>
        </w:rPr>
        <w:t xml:space="preserve">31 de dezembro de </w:t>
      </w:r>
      <w:r w:rsidR="0074723D" w:rsidRPr="002A36CE">
        <w:rPr>
          <w:rFonts w:ascii="Arial" w:hAnsi="Arial" w:cs="Arial"/>
          <w:bCs/>
        </w:rPr>
        <w:t>20</w:t>
      </w:r>
      <w:r w:rsidR="00FD062B">
        <w:rPr>
          <w:rFonts w:ascii="Arial" w:hAnsi="Arial" w:cs="Arial"/>
          <w:bCs/>
        </w:rPr>
        <w:t>2</w:t>
      </w:r>
      <w:r w:rsidR="0045269C">
        <w:rPr>
          <w:rFonts w:ascii="Arial" w:hAnsi="Arial" w:cs="Arial"/>
          <w:bCs/>
        </w:rPr>
        <w:t>5</w:t>
      </w:r>
      <w:r w:rsidRPr="002A36CE">
        <w:rPr>
          <w:rFonts w:ascii="Arial" w:hAnsi="Arial" w:cs="Arial"/>
          <w:bCs/>
        </w:rPr>
        <w:t>:</w:t>
      </w:r>
    </w:p>
    <w:p w14:paraId="1D229DD1" w14:textId="77777777" w:rsidR="0045269C" w:rsidRDefault="0045269C" w:rsidP="00597FE5">
      <w:pPr>
        <w:pStyle w:val="corpodotextodf"/>
        <w:tabs>
          <w:tab w:val="clear" w:pos="227"/>
          <w:tab w:val="clear" w:pos="454"/>
          <w:tab w:val="clear" w:pos="680"/>
        </w:tabs>
        <w:spacing w:line="276" w:lineRule="auto"/>
        <w:rPr>
          <w:rFonts w:ascii="Arial" w:hAnsi="Arial" w:cs="Arial"/>
          <w:bCs/>
        </w:rPr>
      </w:pPr>
    </w:p>
    <w:tbl>
      <w:tblPr>
        <w:tblW w:w="5000" w:type="pct"/>
        <w:tblCellMar>
          <w:left w:w="70" w:type="dxa"/>
          <w:right w:w="70" w:type="dxa"/>
        </w:tblCellMar>
        <w:tblLook w:val="04A0" w:firstRow="1" w:lastRow="0" w:firstColumn="1" w:lastColumn="0" w:noHBand="0" w:noVBand="1"/>
      </w:tblPr>
      <w:tblGrid>
        <w:gridCol w:w="5081"/>
        <w:gridCol w:w="1139"/>
        <w:gridCol w:w="1141"/>
        <w:gridCol w:w="1204"/>
        <w:gridCol w:w="1206"/>
      </w:tblGrid>
      <w:tr w:rsidR="0045269C" w14:paraId="41652F38" w14:textId="77777777" w:rsidTr="0045269C">
        <w:trPr>
          <w:trHeight w:val="232"/>
        </w:trPr>
        <w:tc>
          <w:tcPr>
            <w:tcW w:w="2600"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568DF49" w14:textId="77777777" w:rsidR="0045269C" w:rsidRDefault="0045269C">
            <w:pPr>
              <w:rPr>
                <w:rFonts w:ascii="Arial" w:hAnsi="Arial" w:cs="Arial"/>
                <w:b/>
                <w:bCs/>
                <w:color w:val="000000"/>
                <w:sz w:val="18"/>
                <w:szCs w:val="18"/>
              </w:rPr>
            </w:pPr>
            <w:r>
              <w:rPr>
                <w:rFonts w:ascii="Arial" w:hAnsi="Arial" w:cs="Arial"/>
                <w:b/>
                <w:bCs/>
                <w:color w:val="000000"/>
                <w:sz w:val="18"/>
                <w:szCs w:val="18"/>
              </w:rPr>
              <w:t>Composição:</w:t>
            </w:r>
          </w:p>
        </w:tc>
        <w:tc>
          <w:tcPr>
            <w:tcW w:w="1167" w:type="pct"/>
            <w:gridSpan w:val="2"/>
            <w:tcBorders>
              <w:top w:val="single" w:sz="4" w:space="0" w:color="auto"/>
              <w:left w:val="nil"/>
              <w:bottom w:val="single" w:sz="4" w:space="0" w:color="auto"/>
              <w:right w:val="single" w:sz="4" w:space="0" w:color="auto"/>
            </w:tcBorders>
            <w:noWrap/>
            <w:vAlign w:val="bottom"/>
            <w:hideMark/>
          </w:tcPr>
          <w:p w14:paraId="134AB130" w14:textId="77777777" w:rsidR="0045269C" w:rsidRDefault="0045269C">
            <w:pPr>
              <w:jc w:val="center"/>
              <w:rPr>
                <w:rFonts w:ascii="Arial" w:hAnsi="Arial" w:cs="Arial"/>
                <w:b/>
                <w:bCs/>
                <w:color w:val="000000"/>
                <w:sz w:val="18"/>
                <w:szCs w:val="18"/>
              </w:rPr>
            </w:pPr>
            <w:r>
              <w:rPr>
                <w:rFonts w:ascii="Arial" w:hAnsi="Arial" w:cs="Arial"/>
                <w:b/>
                <w:bCs/>
                <w:color w:val="000000"/>
                <w:sz w:val="18"/>
                <w:szCs w:val="18"/>
              </w:rPr>
              <w:t>Imposto de Renda (25%)</w:t>
            </w:r>
          </w:p>
        </w:tc>
        <w:tc>
          <w:tcPr>
            <w:tcW w:w="1233" w:type="pct"/>
            <w:gridSpan w:val="2"/>
            <w:tcBorders>
              <w:top w:val="single" w:sz="4" w:space="0" w:color="auto"/>
              <w:left w:val="nil"/>
              <w:bottom w:val="single" w:sz="4" w:space="0" w:color="auto"/>
              <w:right w:val="single" w:sz="4" w:space="0" w:color="auto"/>
            </w:tcBorders>
            <w:noWrap/>
            <w:vAlign w:val="bottom"/>
            <w:hideMark/>
          </w:tcPr>
          <w:p w14:paraId="337C44B9" w14:textId="77777777" w:rsidR="0045269C" w:rsidRDefault="0045269C">
            <w:pPr>
              <w:jc w:val="center"/>
              <w:rPr>
                <w:rFonts w:ascii="Arial" w:hAnsi="Arial" w:cs="Arial"/>
                <w:b/>
                <w:bCs/>
                <w:color w:val="000000"/>
                <w:sz w:val="18"/>
                <w:szCs w:val="18"/>
              </w:rPr>
            </w:pPr>
            <w:r>
              <w:rPr>
                <w:rFonts w:ascii="Arial" w:hAnsi="Arial" w:cs="Arial"/>
                <w:b/>
                <w:bCs/>
                <w:color w:val="000000"/>
                <w:sz w:val="18"/>
                <w:szCs w:val="18"/>
              </w:rPr>
              <w:t>Contribuição Social (9%)</w:t>
            </w:r>
          </w:p>
        </w:tc>
      </w:tr>
      <w:tr w:rsidR="0045269C" w14:paraId="6DE6074C" w14:textId="77777777" w:rsidTr="0045269C">
        <w:trPr>
          <w:trHeight w:val="232"/>
        </w:trPr>
        <w:tc>
          <w:tcPr>
            <w:tcW w:w="2600" w:type="pct"/>
            <w:vMerge/>
            <w:tcBorders>
              <w:top w:val="single" w:sz="4" w:space="0" w:color="auto"/>
              <w:left w:val="single" w:sz="4" w:space="0" w:color="auto"/>
              <w:bottom w:val="single" w:sz="4" w:space="0" w:color="000000"/>
              <w:right w:val="single" w:sz="4" w:space="0" w:color="auto"/>
            </w:tcBorders>
            <w:vAlign w:val="center"/>
            <w:hideMark/>
          </w:tcPr>
          <w:p w14:paraId="61D15228" w14:textId="77777777" w:rsidR="0045269C" w:rsidRDefault="0045269C">
            <w:pPr>
              <w:rPr>
                <w:rFonts w:ascii="Arial" w:hAnsi="Arial" w:cs="Arial"/>
                <w:b/>
                <w:bCs/>
                <w:color w:val="000000"/>
                <w:sz w:val="18"/>
                <w:szCs w:val="18"/>
              </w:rPr>
            </w:pPr>
          </w:p>
        </w:tc>
        <w:tc>
          <w:tcPr>
            <w:tcW w:w="583" w:type="pct"/>
            <w:tcBorders>
              <w:top w:val="nil"/>
              <w:left w:val="nil"/>
              <w:bottom w:val="single" w:sz="4" w:space="0" w:color="auto"/>
              <w:right w:val="single" w:sz="4" w:space="0" w:color="auto"/>
            </w:tcBorders>
            <w:noWrap/>
            <w:vAlign w:val="bottom"/>
            <w:hideMark/>
          </w:tcPr>
          <w:p w14:paraId="3649A811" w14:textId="77777777" w:rsidR="0045269C" w:rsidRDefault="0045269C">
            <w:pPr>
              <w:jc w:val="center"/>
              <w:rPr>
                <w:rFonts w:ascii="Arial" w:hAnsi="Arial" w:cs="Arial"/>
                <w:b/>
                <w:bCs/>
                <w:color w:val="000000"/>
                <w:sz w:val="18"/>
                <w:szCs w:val="18"/>
              </w:rPr>
            </w:pPr>
            <w:r>
              <w:rPr>
                <w:rFonts w:ascii="Arial" w:hAnsi="Arial" w:cs="Arial"/>
                <w:b/>
                <w:bCs/>
                <w:color w:val="000000"/>
                <w:sz w:val="18"/>
                <w:szCs w:val="18"/>
              </w:rPr>
              <w:t>31/03/2026</w:t>
            </w:r>
          </w:p>
        </w:tc>
        <w:tc>
          <w:tcPr>
            <w:tcW w:w="583" w:type="pct"/>
            <w:tcBorders>
              <w:top w:val="nil"/>
              <w:left w:val="nil"/>
              <w:bottom w:val="single" w:sz="4" w:space="0" w:color="auto"/>
              <w:right w:val="single" w:sz="4" w:space="0" w:color="auto"/>
            </w:tcBorders>
            <w:noWrap/>
            <w:vAlign w:val="bottom"/>
            <w:hideMark/>
          </w:tcPr>
          <w:p w14:paraId="42C15E5B" w14:textId="77777777" w:rsidR="0045269C" w:rsidRDefault="0045269C">
            <w:pPr>
              <w:jc w:val="center"/>
              <w:rPr>
                <w:rFonts w:ascii="Arial" w:hAnsi="Arial" w:cs="Arial"/>
                <w:b/>
                <w:bCs/>
                <w:color w:val="000000"/>
                <w:sz w:val="18"/>
                <w:szCs w:val="18"/>
              </w:rPr>
            </w:pPr>
            <w:r>
              <w:rPr>
                <w:rFonts w:ascii="Arial" w:hAnsi="Arial" w:cs="Arial"/>
                <w:b/>
                <w:bCs/>
                <w:color w:val="000000"/>
                <w:sz w:val="18"/>
                <w:szCs w:val="18"/>
              </w:rPr>
              <w:t>31/12/2025</w:t>
            </w:r>
          </w:p>
        </w:tc>
        <w:tc>
          <w:tcPr>
            <w:tcW w:w="616" w:type="pct"/>
            <w:tcBorders>
              <w:top w:val="nil"/>
              <w:left w:val="nil"/>
              <w:bottom w:val="single" w:sz="4" w:space="0" w:color="auto"/>
              <w:right w:val="single" w:sz="4" w:space="0" w:color="auto"/>
            </w:tcBorders>
            <w:noWrap/>
            <w:vAlign w:val="bottom"/>
            <w:hideMark/>
          </w:tcPr>
          <w:p w14:paraId="0F4D9C28" w14:textId="77777777" w:rsidR="0045269C" w:rsidRDefault="0045269C">
            <w:pPr>
              <w:jc w:val="center"/>
              <w:rPr>
                <w:rFonts w:ascii="Arial" w:hAnsi="Arial" w:cs="Arial"/>
                <w:b/>
                <w:bCs/>
                <w:color w:val="000000"/>
                <w:sz w:val="18"/>
                <w:szCs w:val="18"/>
              </w:rPr>
            </w:pPr>
            <w:r>
              <w:rPr>
                <w:rFonts w:ascii="Arial" w:hAnsi="Arial" w:cs="Arial"/>
                <w:b/>
                <w:bCs/>
                <w:color w:val="000000"/>
                <w:sz w:val="18"/>
                <w:szCs w:val="18"/>
              </w:rPr>
              <w:t>31/03/2026</w:t>
            </w:r>
          </w:p>
        </w:tc>
        <w:tc>
          <w:tcPr>
            <w:tcW w:w="616" w:type="pct"/>
            <w:tcBorders>
              <w:top w:val="nil"/>
              <w:left w:val="nil"/>
              <w:bottom w:val="single" w:sz="4" w:space="0" w:color="auto"/>
              <w:right w:val="single" w:sz="4" w:space="0" w:color="auto"/>
            </w:tcBorders>
            <w:noWrap/>
            <w:vAlign w:val="bottom"/>
            <w:hideMark/>
          </w:tcPr>
          <w:p w14:paraId="2F6C6EDE" w14:textId="77777777" w:rsidR="0045269C" w:rsidRDefault="0045269C">
            <w:pPr>
              <w:jc w:val="center"/>
              <w:rPr>
                <w:rFonts w:ascii="Arial" w:hAnsi="Arial" w:cs="Arial"/>
                <w:b/>
                <w:bCs/>
                <w:color w:val="000000"/>
                <w:sz w:val="18"/>
                <w:szCs w:val="18"/>
              </w:rPr>
            </w:pPr>
            <w:r>
              <w:rPr>
                <w:rFonts w:ascii="Arial" w:hAnsi="Arial" w:cs="Arial"/>
                <w:b/>
                <w:bCs/>
                <w:color w:val="000000"/>
                <w:sz w:val="18"/>
                <w:szCs w:val="18"/>
              </w:rPr>
              <w:t>31/12/2025</w:t>
            </w:r>
          </w:p>
        </w:tc>
      </w:tr>
      <w:tr w:rsidR="0045269C" w14:paraId="07DF2C03" w14:textId="77777777" w:rsidTr="0045269C">
        <w:trPr>
          <w:trHeight w:val="232"/>
        </w:trPr>
        <w:tc>
          <w:tcPr>
            <w:tcW w:w="2600" w:type="pct"/>
            <w:tcBorders>
              <w:top w:val="nil"/>
              <w:left w:val="single" w:sz="4" w:space="0" w:color="auto"/>
              <w:bottom w:val="single" w:sz="4" w:space="0" w:color="auto"/>
              <w:right w:val="single" w:sz="4" w:space="0" w:color="auto"/>
            </w:tcBorders>
            <w:vAlign w:val="center"/>
            <w:hideMark/>
          </w:tcPr>
          <w:p w14:paraId="2CB2E7D8" w14:textId="77777777" w:rsidR="0045269C" w:rsidRDefault="0045269C">
            <w:pPr>
              <w:rPr>
                <w:rFonts w:ascii="Arial" w:hAnsi="Arial" w:cs="Arial"/>
                <w:color w:val="000000"/>
                <w:sz w:val="18"/>
                <w:szCs w:val="18"/>
              </w:rPr>
            </w:pPr>
            <w:r>
              <w:rPr>
                <w:rFonts w:ascii="Arial" w:hAnsi="Arial" w:cs="Arial"/>
                <w:color w:val="000000"/>
                <w:sz w:val="18"/>
                <w:szCs w:val="18"/>
              </w:rPr>
              <w:t>Provisões - Custeio</w:t>
            </w:r>
          </w:p>
        </w:tc>
        <w:tc>
          <w:tcPr>
            <w:tcW w:w="583" w:type="pct"/>
            <w:tcBorders>
              <w:top w:val="nil"/>
              <w:left w:val="nil"/>
              <w:bottom w:val="single" w:sz="4" w:space="0" w:color="auto"/>
              <w:right w:val="single" w:sz="4" w:space="0" w:color="auto"/>
            </w:tcBorders>
            <w:noWrap/>
            <w:vAlign w:val="bottom"/>
            <w:hideMark/>
          </w:tcPr>
          <w:p w14:paraId="66751F69" w14:textId="77777777" w:rsidR="0045269C" w:rsidRDefault="0045269C">
            <w:pPr>
              <w:jc w:val="right"/>
              <w:rPr>
                <w:rFonts w:ascii="Arial" w:hAnsi="Arial" w:cs="Arial"/>
                <w:color w:val="000000"/>
                <w:sz w:val="18"/>
                <w:szCs w:val="18"/>
              </w:rPr>
            </w:pPr>
            <w:r>
              <w:rPr>
                <w:rFonts w:ascii="Arial" w:hAnsi="Arial" w:cs="Arial"/>
                <w:color w:val="000000"/>
                <w:sz w:val="18"/>
                <w:szCs w:val="18"/>
              </w:rPr>
              <w:t>25.259</w:t>
            </w:r>
          </w:p>
        </w:tc>
        <w:tc>
          <w:tcPr>
            <w:tcW w:w="583" w:type="pct"/>
            <w:tcBorders>
              <w:top w:val="nil"/>
              <w:left w:val="nil"/>
              <w:bottom w:val="single" w:sz="4" w:space="0" w:color="auto"/>
              <w:right w:val="single" w:sz="4" w:space="0" w:color="auto"/>
            </w:tcBorders>
            <w:noWrap/>
            <w:vAlign w:val="bottom"/>
            <w:hideMark/>
          </w:tcPr>
          <w:p w14:paraId="3642E619" w14:textId="77777777" w:rsidR="0045269C" w:rsidRDefault="0045269C">
            <w:pPr>
              <w:jc w:val="right"/>
              <w:rPr>
                <w:rFonts w:ascii="Arial" w:hAnsi="Arial" w:cs="Arial"/>
                <w:color w:val="000000"/>
                <w:sz w:val="18"/>
                <w:szCs w:val="18"/>
              </w:rPr>
            </w:pPr>
            <w:r>
              <w:rPr>
                <w:rFonts w:ascii="Arial" w:hAnsi="Arial" w:cs="Arial"/>
                <w:color w:val="000000"/>
                <w:sz w:val="18"/>
                <w:szCs w:val="18"/>
              </w:rPr>
              <w:t>18.503</w:t>
            </w:r>
          </w:p>
        </w:tc>
        <w:tc>
          <w:tcPr>
            <w:tcW w:w="616" w:type="pct"/>
            <w:tcBorders>
              <w:top w:val="nil"/>
              <w:left w:val="nil"/>
              <w:bottom w:val="single" w:sz="4" w:space="0" w:color="auto"/>
              <w:right w:val="single" w:sz="4" w:space="0" w:color="auto"/>
            </w:tcBorders>
            <w:noWrap/>
            <w:vAlign w:val="bottom"/>
            <w:hideMark/>
          </w:tcPr>
          <w:p w14:paraId="3F821696" w14:textId="77777777" w:rsidR="0045269C" w:rsidRDefault="0045269C">
            <w:pPr>
              <w:jc w:val="right"/>
              <w:rPr>
                <w:rFonts w:ascii="Arial" w:hAnsi="Arial" w:cs="Arial"/>
                <w:color w:val="000000"/>
                <w:sz w:val="18"/>
                <w:szCs w:val="18"/>
              </w:rPr>
            </w:pPr>
            <w:r>
              <w:rPr>
                <w:rFonts w:ascii="Arial" w:hAnsi="Arial" w:cs="Arial"/>
                <w:color w:val="000000"/>
                <w:sz w:val="18"/>
                <w:szCs w:val="18"/>
              </w:rPr>
              <w:t>9.093</w:t>
            </w:r>
          </w:p>
        </w:tc>
        <w:tc>
          <w:tcPr>
            <w:tcW w:w="616" w:type="pct"/>
            <w:tcBorders>
              <w:top w:val="nil"/>
              <w:left w:val="nil"/>
              <w:bottom w:val="single" w:sz="4" w:space="0" w:color="auto"/>
              <w:right w:val="single" w:sz="4" w:space="0" w:color="auto"/>
            </w:tcBorders>
            <w:noWrap/>
            <w:vAlign w:val="bottom"/>
            <w:hideMark/>
          </w:tcPr>
          <w:p w14:paraId="7CA95999" w14:textId="77777777" w:rsidR="0045269C" w:rsidRDefault="0045269C">
            <w:pPr>
              <w:jc w:val="right"/>
              <w:rPr>
                <w:rFonts w:ascii="Arial" w:hAnsi="Arial" w:cs="Arial"/>
                <w:color w:val="000000"/>
                <w:sz w:val="18"/>
                <w:szCs w:val="18"/>
              </w:rPr>
            </w:pPr>
            <w:r>
              <w:rPr>
                <w:rFonts w:ascii="Arial" w:hAnsi="Arial" w:cs="Arial"/>
                <w:color w:val="000000"/>
                <w:sz w:val="18"/>
                <w:szCs w:val="18"/>
              </w:rPr>
              <w:t>6.661</w:t>
            </w:r>
          </w:p>
        </w:tc>
      </w:tr>
      <w:tr w:rsidR="0045269C" w14:paraId="5512F1D3" w14:textId="77777777" w:rsidTr="0045269C">
        <w:trPr>
          <w:trHeight w:val="232"/>
        </w:trPr>
        <w:tc>
          <w:tcPr>
            <w:tcW w:w="2600" w:type="pct"/>
            <w:tcBorders>
              <w:top w:val="nil"/>
              <w:left w:val="single" w:sz="4" w:space="0" w:color="auto"/>
              <w:bottom w:val="single" w:sz="4" w:space="0" w:color="auto"/>
              <w:right w:val="single" w:sz="4" w:space="0" w:color="auto"/>
            </w:tcBorders>
            <w:vAlign w:val="center"/>
            <w:hideMark/>
          </w:tcPr>
          <w:p w14:paraId="17A81216" w14:textId="77777777" w:rsidR="0045269C" w:rsidRDefault="0045269C">
            <w:pPr>
              <w:rPr>
                <w:rFonts w:ascii="Arial" w:hAnsi="Arial" w:cs="Arial"/>
                <w:color w:val="000000"/>
                <w:sz w:val="18"/>
                <w:szCs w:val="18"/>
              </w:rPr>
            </w:pPr>
            <w:r>
              <w:rPr>
                <w:rFonts w:ascii="Arial" w:hAnsi="Arial" w:cs="Arial"/>
                <w:color w:val="000000"/>
                <w:sz w:val="18"/>
                <w:szCs w:val="18"/>
              </w:rPr>
              <w:t>Provisão p/ Riscos Trabalhistas, Cíveis e Fiscais</w:t>
            </w:r>
          </w:p>
        </w:tc>
        <w:tc>
          <w:tcPr>
            <w:tcW w:w="583" w:type="pct"/>
            <w:tcBorders>
              <w:top w:val="nil"/>
              <w:left w:val="nil"/>
              <w:bottom w:val="single" w:sz="4" w:space="0" w:color="auto"/>
              <w:right w:val="single" w:sz="4" w:space="0" w:color="auto"/>
            </w:tcBorders>
            <w:noWrap/>
            <w:vAlign w:val="bottom"/>
            <w:hideMark/>
          </w:tcPr>
          <w:p w14:paraId="25CA82CD" w14:textId="77777777" w:rsidR="0045269C" w:rsidRDefault="0045269C">
            <w:pPr>
              <w:jc w:val="right"/>
              <w:rPr>
                <w:rFonts w:ascii="Arial" w:hAnsi="Arial" w:cs="Arial"/>
                <w:color w:val="000000"/>
                <w:sz w:val="18"/>
                <w:szCs w:val="18"/>
              </w:rPr>
            </w:pPr>
            <w:r>
              <w:rPr>
                <w:rFonts w:ascii="Arial" w:hAnsi="Arial" w:cs="Arial"/>
                <w:color w:val="000000"/>
                <w:sz w:val="18"/>
                <w:szCs w:val="18"/>
              </w:rPr>
              <w:t>18.114</w:t>
            </w:r>
          </w:p>
        </w:tc>
        <w:tc>
          <w:tcPr>
            <w:tcW w:w="583" w:type="pct"/>
            <w:tcBorders>
              <w:top w:val="nil"/>
              <w:left w:val="nil"/>
              <w:bottom w:val="single" w:sz="4" w:space="0" w:color="auto"/>
              <w:right w:val="single" w:sz="4" w:space="0" w:color="auto"/>
            </w:tcBorders>
            <w:noWrap/>
            <w:vAlign w:val="bottom"/>
            <w:hideMark/>
          </w:tcPr>
          <w:p w14:paraId="6508BDC6" w14:textId="77777777" w:rsidR="0045269C" w:rsidRDefault="0045269C">
            <w:pPr>
              <w:jc w:val="right"/>
              <w:rPr>
                <w:rFonts w:ascii="Arial" w:hAnsi="Arial" w:cs="Arial"/>
                <w:color w:val="000000"/>
                <w:sz w:val="18"/>
                <w:szCs w:val="18"/>
              </w:rPr>
            </w:pPr>
            <w:r>
              <w:rPr>
                <w:rFonts w:ascii="Arial" w:hAnsi="Arial" w:cs="Arial"/>
                <w:color w:val="000000"/>
                <w:sz w:val="18"/>
                <w:szCs w:val="18"/>
              </w:rPr>
              <w:t>17.930</w:t>
            </w:r>
          </w:p>
        </w:tc>
        <w:tc>
          <w:tcPr>
            <w:tcW w:w="616" w:type="pct"/>
            <w:tcBorders>
              <w:top w:val="nil"/>
              <w:left w:val="nil"/>
              <w:bottom w:val="single" w:sz="4" w:space="0" w:color="auto"/>
              <w:right w:val="single" w:sz="4" w:space="0" w:color="auto"/>
            </w:tcBorders>
            <w:noWrap/>
            <w:vAlign w:val="bottom"/>
            <w:hideMark/>
          </w:tcPr>
          <w:p w14:paraId="1B6543D3" w14:textId="77777777" w:rsidR="0045269C" w:rsidRDefault="0045269C">
            <w:pPr>
              <w:jc w:val="right"/>
              <w:rPr>
                <w:rFonts w:ascii="Arial" w:hAnsi="Arial" w:cs="Arial"/>
                <w:color w:val="000000"/>
                <w:sz w:val="18"/>
                <w:szCs w:val="18"/>
              </w:rPr>
            </w:pPr>
            <w:r>
              <w:rPr>
                <w:rFonts w:ascii="Arial" w:hAnsi="Arial" w:cs="Arial"/>
                <w:color w:val="000000"/>
                <w:sz w:val="18"/>
                <w:szCs w:val="18"/>
              </w:rPr>
              <w:t>6.521</w:t>
            </w:r>
          </w:p>
        </w:tc>
        <w:tc>
          <w:tcPr>
            <w:tcW w:w="616" w:type="pct"/>
            <w:tcBorders>
              <w:top w:val="nil"/>
              <w:left w:val="nil"/>
              <w:bottom w:val="single" w:sz="4" w:space="0" w:color="auto"/>
              <w:right w:val="single" w:sz="4" w:space="0" w:color="auto"/>
            </w:tcBorders>
            <w:noWrap/>
            <w:vAlign w:val="bottom"/>
            <w:hideMark/>
          </w:tcPr>
          <w:p w14:paraId="16E7C8E7" w14:textId="77777777" w:rsidR="0045269C" w:rsidRDefault="0045269C">
            <w:pPr>
              <w:jc w:val="right"/>
              <w:rPr>
                <w:rFonts w:ascii="Arial" w:hAnsi="Arial" w:cs="Arial"/>
                <w:color w:val="000000"/>
                <w:sz w:val="18"/>
                <w:szCs w:val="18"/>
              </w:rPr>
            </w:pPr>
            <w:r>
              <w:rPr>
                <w:rFonts w:ascii="Arial" w:hAnsi="Arial" w:cs="Arial"/>
                <w:color w:val="000000"/>
                <w:sz w:val="18"/>
                <w:szCs w:val="18"/>
              </w:rPr>
              <w:t>6.455</w:t>
            </w:r>
          </w:p>
        </w:tc>
      </w:tr>
      <w:tr w:rsidR="0045269C" w14:paraId="6398A395" w14:textId="77777777" w:rsidTr="0045269C">
        <w:trPr>
          <w:trHeight w:val="232"/>
        </w:trPr>
        <w:tc>
          <w:tcPr>
            <w:tcW w:w="2600" w:type="pct"/>
            <w:tcBorders>
              <w:top w:val="nil"/>
              <w:left w:val="single" w:sz="4" w:space="0" w:color="auto"/>
              <w:bottom w:val="single" w:sz="4" w:space="0" w:color="auto"/>
              <w:right w:val="single" w:sz="4" w:space="0" w:color="auto"/>
            </w:tcBorders>
            <w:vAlign w:val="center"/>
            <w:hideMark/>
          </w:tcPr>
          <w:p w14:paraId="52D4166D" w14:textId="77777777" w:rsidR="0045269C" w:rsidRDefault="0045269C">
            <w:pPr>
              <w:rPr>
                <w:rFonts w:ascii="Arial" w:hAnsi="Arial" w:cs="Arial"/>
                <w:color w:val="000000"/>
                <w:sz w:val="18"/>
                <w:szCs w:val="18"/>
              </w:rPr>
            </w:pPr>
            <w:r>
              <w:rPr>
                <w:rFonts w:ascii="Arial" w:hAnsi="Arial" w:cs="Arial"/>
                <w:color w:val="000000"/>
                <w:sz w:val="18"/>
                <w:szCs w:val="18"/>
              </w:rPr>
              <w:t>Provisão o Programa por Serviços Prestados - PISP</w:t>
            </w:r>
          </w:p>
        </w:tc>
        <w:tc>
          <w:tcPr>
            <w:tcW w:w="583" w:type="pct"/>
            <w:tcBorders>
              <w:top w:val="nil"/>
              <w:left w:val="nil"/>
              <w:bottom w:val="single" w:sz="4" w:space="0" w:color="auto"/>
              <w:right w:val="single" w:sz="4" w:space="0" w:color="auto"/>
            </w:tcBorders>
            <w:noWrap/>
            <w:vAlign w:val="bottom"/>
            <w:hideMark/>
          </w:tcPr>
          <w:p w14:paraId="2D6D2738" w14:textId="77777777" w:rsidR="0045269C" w:rsidRDefault="0045269C">
            <w:pPr>
              <w:jc w:val="right"/>
              <w:rPr>
                <w:rFonts w:ascii="Arial" w:hAnsi="Arial" w:cs="Arial"/>
                <w:color w:val="000000"/>
                <w:sz w:val="18"/>
                <w:szCs w:val="18"/>
              </w:rPr>
            </w:pPr>
            <w:r>
              <w:rPr>
                <w:rFonts w:ascii="Arial" w:hAnsi="Arial" w:cs="Arial"/>
                <w:color w:val="000000"/>
                <w:sz w:val="18"/>
                <w:szCs w:val="18"/>
              </w:rPr>
              <w:t>5.313</w:t>
            </w:r>
          </w:p>
        </w:tc>
        <w:tc>
          <w:tcPr>
            <w:tcW w:w="583" w:type="pct"/>
            <w:tcBorders>
              <w:top w:val="nil"/>
              <w:left w:val="nil"/>
              <w:bottom w:val="single" w:sz="4" w:space="0" w:color="auto"/>
              <w:right w:val="single" w:sz="4" w:space="0" w:color="auto"/>
            </w:tcBorders>
            <w:noWrap/>
            <w:vAlign w:val="bottom"/>
            <w:hideMark/>
          </w:tcPr>
          <w:p w14:paraId="4F865E18" w14:textId="77777777" w:rsidR="0045269C" w:rsidRDefault="0045269C">
            <w:pPr>
              <w:jc w:val="right"/>
              <w:rPr>
                <w:rFonts w:ascii="Arial" w:hAnsi="Arial" w:cs="Arial"/>
                <w:color w:val="000000"/>
                <w:sz w:val="18"/>
                <w:szCs w:val="18"/>
              </w:rPr>
            </w:pPr>
            <w:r>
              <w:rPr>
                <w:rFonts w:ascii="Arial" w:hAnsi="Arial" w:cs="Arial"/>
                <w:color w:val="000000"/>
                <w:sz w:val="18"/>
                <w:szCs w:val="18"/>
              </w:rPr>
              <w:t>5.316</w:t>
            </w:r>
          </w:p>
        </w:tc>
        <w:tc>
          <w:tcPr>
            <w:tcW w:w="616" w:type="pct"/>
            <w:tcBorders>
              <w:top w:val="nil"/>
              <w:left w:val="nil"/>
              <w:bottom w:val="single" w:sz="4" w:space="0" w:color="auto"/>
              <w:right w:val="single" w:sz="4" w:space="0" w:color="auto"/>
            </w:tcBorders>
            <w:noWrap/>
            <w:vAlign w:val="bottom"/>
            <w:hideMark/>
          </w:tcPr>
          <w:p w14:paraId="70D494E2" w14:textId="77777777" w:rsidR="0045269C" w:rsidRDefault="0045269C">
            <w:pPr>
              <w:jc w:val="right"/>
              <w:rPr>
                <w:rFonts w:ascii="Arial" w:hAnsi="Arial" w:cs="Arial"/>
                <w:color w:val="000000"/>
                <w:sz w:val="18"/>
                <w:szCs w:val="18"/>
              </w:rPr>
            </w:pPr>
            <w:r>
              <w:rPr>
                <w:rFonts w:ascii="Arial" w:hAnsi="Arial" w:cs="Arial"/>
                <w:color w:val="000000"/>
                <w:sz w:val="18"/>
                <w:szCs w:val="18"/>
              </w:rPr>
              <w:t>1.913</w:t>
            </w:r>
          </w:p>
        </w:tc>
        <w:tc>
          <w:tcPr>
            <w:tcW w:w="616" w:type="pct"/>
            <w:tcBorders>
              <w:top w:val="nil"/>
              <w:left w:val="nil"/>
              <w:bottom w:val="single" w:sz="4" w:space="0" w:color="auto"/>
              <w:right w:val="single" w:sz="4" w:space="0" w:color="auto"/>
            </w:tcBorders>
            <w:noWrap/>
            <w:vAlign w:val="bottom"/>
            <w:hideMark/>
          </w:tcPr>
          <w:p w14:paraId="26609DF6" w14:textId="77777777" w:rsidR="0045269C" w:rsidRDefault="0045269C">
            <w:pPr>
              <w:jc w:val="right"/>
              <w:rPr>
                <w:rFonts w:ascii="Arial" w:hAnsi="Arial" w:cs="Arial"/>
                <w:color w:val="000000"/>
                <w:sz w:val="18"/>
                <w:szCs w:val="18"/>
              </w:rPr>
            </w:pPr>
            <w:r>
              <w:rPr>
                <w:rFonts w:ascii="Arial" w:hAnsi="Arial" w:cs="Arial"/>
                <w:color w:val="000000"/>
                <w:sz w:val="18"/>
                <w:szCs w:val="18"/>
              </w:rPr>
              <w:t>1.914</w:t>
            </w:r>
          </w:p>
        </w:tc>
      </w:tr>
      <w:tr w:rsidR="0045269C" w14:paraId="73C7729E" w14:textId="77777777" w:rsidTr="0045269C">
        <w:trPr>
          <w:trHeight w:val="232"/>
        </w:trPr>
        <w:tc>
          <w:tcPr>
            <w:tcW w:w="2600" w:type="pct"/>
            <w:tcBorders>
              <w:top w:val="nil"/>
              <w:left w:val="single" w:sz="4" w:space="0" w:color="auto"/>
              <w:bottom w:val="single" w:sz="4" w:space="0" w:color="auto"/>
              <w:right w:val="single" w:sz="4" w:space="0" w:color="auto"/>
            </w:tcBorders>
            <w:vAlign w:val="center"/>
            <w:hideMark/>
          </w:tcPr>
          <w:p w14:paraId="71C87453" w14:textId="77777777" w:rsidR="0045269C" w:rsidRDefault="0045269C">
            <w:pPr>
              <w:rPr>
                <w:rFonts w:ascii="Arial" w:hAnsi="Arial" w:cs="Arial"/>
                <w:color w:val="000000"/>
                <w:sz w:val="18"/>
                <w:szCs w:val="18"/>
              </w:rPr>
            </w:pPr>
            <w:r>
              <w:rPr>
                <w:rFonts w:ascii="Arial" w:hAnsi="Arial" w:cs="Arial"/>
                <w:color w:val="000000"/>
                <w:sz w:val="18"/>
                <w:szCs w:val="18"/>
              </w:rPr>
              <w:t>Perda Estimada c/ Crédito de Liquidação Duvidosa</w:t>
            </w:r>
          </w:p>
        </w:tc>
        <w:tc>
          <w:tcPr>
            <w:tcW w:w="583" w:type="pct"/>
            <w:tcBorders>
              <w:top w:val="nil"/>
              <w:left w:val="nil"/>
              <w:bottom w:val="single" w:sz="4" w:space="0" w:color="auto"/>
              <w:right w:val="single" w:sz="4" w:space="0" w:color="auto"/>
            </w:tcBorders>
            <w:noWrap/>
            <w:vAlign w:val="bottom"/>
            <w:hideMark/>
          </w:tcPr>
          <w:p w14:paraId="32239541" w14:textId="77777777" w:rsidR="0045269C" w:rsidRDefault="0045269C">
            <w:pPr>
              <w:jc w:val="right"/>
              <w:rPr>
                <w:rFonts w:ascii="Arial" w:hAnsi="Arial" w:cs="Arial"/>
                <w:color w:val="000000"/>
                <w:sz w:val="18"/>
                <w:szCs w:val="18"/>
              </w:rPr>
            </w:pPr>
            <w:r>
              <w:rPr>
                <w:rFonts w:ascii="Arial" w:hAnsi="Arial" w:cs="Arial"/>
                <w:color w:val="000000"/>
                <w:sz w:val="18"/>
                <w:szCs w:val="18"/>
              </w:rPr>
              <w:t>1.487</w:t>
            </w:r>
          </w:p>
        </w:tc>
        <w:tc>
          <w:tcPr>
            <w:tcW w:w="583" w:type="pct"/>
            <w:tcBorders>
              <w:top w:val="nil"/>
              <w:left w:val="nil"/>
              <w:bottom w:val="single" w:sz="4" w:space="0" w:color="auto"/>
              <w:right w:val="single" w:sz="4" w:space="0" w:color="auto"/>
            </w:tcBorders>
            <w:noWrap/>
            <w:vAlign w:val="bottom"/>
            <w:hideMark/>
          </w:tcPr>
          <w:p w14:paraId="1A21B742" w14:textId="77777777" w:rsidR="0045269C" w:rsidRDefault="0045269C">
            <w:pPr>
              <w:jc w:val="right"/>
              <w:rPr>
                <w:rFonts w:ascii="Arial" w:hAnsi="Arial" w:cs="Arial"/>
                <w:color w:val="000000"/>
                <w:sz w:val="18"/>
                <w:szCs w:val="18"/>
              </w:rPr>
            </w:pPr>
            <w:r>
              <w:rPr>
                <w:rFonts w:ascii="Arial" w:hAnsi="Arial" w:cs="Arial"/>
                <w:color w:val="000000"/>
                <w:sz w:val="18"/>
                <w:szCs w:val="18"/>
              </w:rPr>
              <w:t>1.522</w:t>
            </w:r>
          </w:p>
        </w:tc>
        <w:tc>
          <w:tcPr>
            <w:tcW w:w="616" w:type="pct"/>
            <w:tcBorders>
              <w:top w:val="nil"/>
              <w:left w:val="nil"/>
              <w:bottom w:val="single" w:sz="4" w:space="0" w:color="auto"/>
              <w:right w:val="single" w:sz="4" w:space="0" w:color="auto"/>
            </w:tcBorders>
            <w:noWrap/>
            <w:vAlign w:val="bottom"/>
            <w:hideMark/>
          </w:tcPr>
          <w:p w14:paraId="1A800DE2" w14:textId="77777777" w:rsidR="0045269C" w:rsidRDefault="0045269C">
            <w:pPr>
              <w:jc w:val="right"/>
              <w:rPr>
                <w:rFonts w:ascii="Arial" w:hAnsi="Arial" w:cs="Arial"/>
                <w:color w:val="000000"/>
                <w:sz w:val="18"/>
                <w:szCs w:val="18"/>
              </w:rPr>
            </w:pPr>
            <w:r>
              <w:rPr>
                <w:rFonts w:ascii="Arial" w:hAnsi="Arial" w:cs="Arial"/>
                <w:color w:val="000000"/>
                <w:sz w:val="18"/>
                <w:szCs w:val="18"/>
              </w:rPr>
              <w:t>535</w:t>
            </w:r>
          </w:p>
        </w:tc>
        <w:tc>
          <w:tcPr>
            <w:tcW w:w="616" w:type="pct"/>
            <w:tcBorders>
              <w:top w:val="nil"/>
              <w:left w:val="nil"/>
              <w:bottom w:val="single" w:sz="4" w:space="0" w:color="auto"/>
              <w:right w:val="single" w:sz="4" w:space="0" w:color="auto"/>
            </w:tcBorders>
            <w:noWrap/>
            <w:vAlign w:val="bottom"/>
            <w:hideMark/>
          </w:tcPr>
          <w:p w14:paraId="3DA165B4" w14:textId="77777777" w:rsidR="0045269C" w:rsidRDefault="0045269C">
            <w:pPr>
              <w:jc w:val="right"/>
              <w:rPr>
                <w:rFonts w:ascii="Arial" w:hAnsi="Arial" w:cs="Arial"/>
                <w:color w:val="000000"/>
                <w:sz w:val="18"/>
                <w:szCs w:val="18"/>
              </w:rPr>
            </w:pPr>
            <w:r>
              <w:rPr>
                <w:rFonts w:ascii="Arial" w:hAnsi="Arial" w:cs="Arial"/>
                <w:color w:val="000000"/>
                <w:sz w:val="18"/>
                <w:szCs w:val="18"/>
              </w:rPr>
              <w:t>548</w:t>
            </w:r>
          </w:p>
        </w:tc>
      </w:tr>
      <w:tr w:rsidR="0045269C" w14:paraId="56FA5514" w14:textId="77777777" w:rsidTr="0045269C">
        <w:trPr>
          <w:trHeight w:val="232"/>
        </w:trPr>
        <w:tc>
          <w:tcPr>
            <w:tcW w:w="2600" w:type="pct"/>
            <w:tcBorders>
              <w:top w:val="nil"/>
              <w:left w:val="single" w:sz="4" w:space="0" w:color="auto"/>
              <w:bottom w:val="single" w:sz="4" w:space="0" w:color="auto"/>
              <w:right w:val="single" w:sz="4" w:space="0" w:color="auto"/>
            </w:tcBorders>
            <w:vAlign w:val="center"/>
            <w:hideMark/>
          </w:tcPr>
          <w:p w14:paraId="45851B7F" w14:textId="77777777" w:rsidR="0045269C" w:rsidRDefault="0045269C">
            <w:pPr>
              <w:rPr>
                <w:rFonts w:ascii="Arial" w:hAnsi="Arial" w:cs="Arial"/>
                <w:color w:val="000000"/>
                <w:sz w:val="18"/>
                <w:szCs w:val="18"/>
              </w:rPr>
            </w:pPr>
            <w:r>
              <w:rPr>
                <w:rFonts w:ascii="Arial" w:hAnsi="Arial" w:cs="Arial"/>
                <w:color w:val="000000"/>
                <w:sz w:val="18"/>
                <w:szCs w:val="18"/>
              </w:rPr>
              <w:t>Prejuízo fiscal/Resultado Ajustado Negativo de CSLL</w:t>
            </w:r>
          </w:p>
        </w:tc>
        <w:tc>
          <w:tcPr>
            <w:tcW w:w="583" w:type="pct"/>
            <w:tcBorders>
              <w:top w:val="nil"/>
              <w:left w:val="nil"/>
              <w:bottom w:val="single" w:sz="4" w:space="0" w:color="auto"/>
              <w:right w:val="single" w:sz="4" w:space="0" w:color="auto"/>
            </w:tcBorders>
            <w:noWrap/>
            <w:vAlign w:val="bottom"/>
            <w:hideMark/>
          </w:tcPr>
          <w:p w14:paraId="1E7CB9F8" w14:textId="77777777" w:rsidR="0045269C" w:rsidRDefault="0045269C">
            <w:pPr>
              <w:jc w:val="right"/>
              <w:rPr>
                <w:rFonts w:ascii="Arial" w:hAnsi="Arial" w:cs="Arial"/>
                <w:color w:val="000000"/>
                <w:sz w:val="18"/>
                <w:szCs w:val="18"/>
              </w:rPr>
            </w:pPr>
            <w:r>
              <w:rPr>
                <w:rFonts w:ascii="Arial" w:hAnsi="Arial" w:cs="Arial"/>
                <w:color w:val="000000"/>
                <w:sz w:val="18"/>
                <w:szCs w:val="18"/>
              </w:rPr>
              <w:t>650.116</w:t>
            </w:r>
          </w:p>
        </w:tc>
        <w:tc>
          <w:tcPr>
            <w:tcW w:w="583" w:type="pct"/>
            <w:tcBorders>
              <w:top w:val="nil"/>
              <w:left w:val="nil"/>
              <w:bottom w:val="single" w:sz="4" w:space="0" w:color="auto"/>
              <w:right w:val="single" w:sz="4" w:space="0" w:color="auto"/>
            </w:tcBorders>
            <w:noWrap/>
            <w:vAlign w:val="bottom"/>
            <w:hideMark/>
          </w:tcPr>
          <w:p w14:paraId="31F728F9" w14:textId="77777777" w:rsidR="0045269C" w:rsidRDefault="0045269C">
            <w:pPr>
              <w:jc w:val="right"/>
              <w:rPr>
                <w:rFonts w:ascii="Arial" w:hAnsi="Arial" w:cs="Arial"/>
                <w:color w:val="000000"/>
                <w:sz w:val="18"/>
                <w:szCs w:val="18"/>
              </w:rPr>
            </w:pPr>
            <w:r>
              <w:rPr>
                <w:rFonts w:ascii="Arial" w:hAnsi="Arial" w:cs="Arial"/>
                <w:color w:val="000000"/>
                <w:sz w:val="18"/>
                <w:szCs w:val="18"/>
              </w:rPr>
              <w:t>650.116</w:t>
            </w:r>
          </w:p>
        </w:tc>
        <w:tc>
          <w:tcPr>
            <w:tcW w:w="616" w:type="pct"/>
            <w:tcBorders>
              <w:top w:val="nil"/>
              <w:left w:val="nil"/>
              <w:bottom w:val="single" w:sz="4" w:space="0" w:color="auto"/>
              <w:right w:val="single" w:sz="4" w:space="0" w:color="auto"/>
            </w:tcBorders>
            <w:noWrap/>
            <w:vAlign w:val="bottom"/>
            <w:hideMark/>
          </w:tcPr>
          <w:p w14:paraId="71EBB60A" w14:textId="77777777" w:rsidR="0045269C" w:rsidRDefault="0045269C">
            <w:pPr>
              <w:jc w:val="right"/>
              <w:rPr>
                <w:rFonts w:ascii="Arial" w:hAnsi="Arial" w:cs="Arial"/>
                <w:color w:val="000000"/>
                <w:sz w:val="18"/>
                <w:szCs w:val="18"/>
              </w:rPr>
            </w:pPr>
            <w:r>
              <w:rPr>
                <w:rFonts w:ascii="Arial" w:hAnsi="Arial" w:cs="Arial"/>
                <w:color w:val="000000"/>
                <w:sz w:val="18"/>
                <w:szCs w:val="18"/>
              </w:rPr>
              <w:t>232.019</w:t>
            </w:r>
          </w:p>
        </w:tc>
        <w:tc>
          <w:tcPr>
            <w:tcW w:w="616" w:type="pct"/>
            <w:tcBorders>
              <w:top w:val="nil"/>
              <w:left w:val="nil"/>
              <w:bottom w:val="single" w:sz="4" w:space="0" w:color="auto"/>
              <w:right w:val="single" w:sz="4" w:space="0" w:color="auto"/>
            </w:tcBorders>
            <w:noWrap/>
            <w:vAlign w:val="bottom"/>
            <w:hideMark/>
          </w:tcPr>
          <w:p w14:paraId="7AB398D0" w14:textId="77777777" w:rsidR="0045269C" w:rsidRDefault="0045269C">
            <w:pPr>
              <w:jc w:val="right"/>
              <w:rPr>
                <w:rFonts w:ascii="Arial" w:hAnsi="Arial" w:cs="Arial"/>
                <w:color w:val="000000"/>
                <w:sz w:val="18"/>
                <w:szCs w:val="18"/>
              </w:rPr>
            </w:pPr>
            <w:r>
              <w:rPr>
                <w:rFonts w:ascii="Arial" w:hAnsi="Arial" w:cs="Arial"/>
                <w:color w:val="000000"/>
                <w:sz w:val="18"/>
                <w:szCs w:val="18"/>
              </w:rPr>
              <w:t>232.019</w:t>
            </w:r>
          </w:p>
        </w:tc>
      </w:tr>
      <w:tr w:rsidR="0045269C" w14:paraId="2CAD2B05" w14:textId="77777777" w:rsidTr="0045269C">
        <w:trPr>
          <w:trHeight w:val="232"/>
        </w:trPr>
        <w:tc>
          <w:tcPr>
            <w:tcW w:w="2600" w:type="pct"/>
            <w:tcBorders>
              <w:top w:val="nil"/>
              <w:left w:val="single" w:sz="4" w:space="0" w:color="auto"/>
              <w:bottom w:val="single" w:sz="4" w:space="0" w:color="auto"/>
              <w:right w:val="single" w:sz="4" w:space="0" w:color="auto"/>
            </w:tcBorders>
            <w:noWrap/>
            <w:vAlign w:val="bottom"/>
            <w:hideMark/>
          </w:tcPr>
          <w:p w14:paraId="5C9EC14C" w14:textId="77777777" w:rsidR="0045269C" w:rsidRDefault="0045269C">
            <w:pPr>
              <w:rPr>
                <w:rFonts w:ascii="Arial" w:hAnsi="Arial" w:cs="Arial"/>
                <w:b/>
                <w:bCs/>
                <w:color w:val="000000"/>
                <w:sz w:val="18"/>
                <w:szCs w:val="18"/>
              </w:rPr>
            </w:pPr>
            <w:r>
              <w:rPr>
                <w:rFonts w:ascii="Arial" w:hAnsi="Arial" w:cs="Arial"/>
                <w:b/>
                <w:bCs/>
                <w:color w:val="000000"/>
                <w:sz w:val="18"/>
                <w:szCs w:val="18"/>
              </w:rPr>
              <w:t>Total</w:t>
            </w:r>
          </w:p>
        </w:tc>
        <w:tc>
          <w:tcPr>
            <w:tcW w:w="583" w:type="pct"/>
            <w:tcBorders>
              <w:top w:val="nil"/>
              <w:left w:val="nil"/>
              <w:bottom w:val="single" w:sz="4" w:space="0" w:color="auto"/>
              <w:right w:val="single" w:sz="4" w:space="0" w:color="auto"/>
            </w:tcBorders>
            <w:noWrap/>
            <w:vAlign w:val="bottom"/>
            <w:hideMark/>
          </w:tcPr>
          <w:p w14:paraId="516A6310" w14:textId="77777777" w:rsidR="0045269C" w:rsidRDefault="0045269C">
            <w:pPr>
              <w:jc w:val="right"/>
              <w:rPr>
                <w:rFonts w:ascii="Arial" w:hAnsi="Arial" w:cs="Arial"/>
                <w:b/>
                <w:bCs/>
                <w:color w:val="000000"/>
                <w:sz w:val="18"/>
                <w:szCs w:val="18"/>
              </w:rPr>
            </w:pPr>
            <w:r>
              <w:rPr>
                <w:rFonts w:ascii="Arial" w:hAnsi="Arial" w:cs="Arial"/>
                <w:b/>
                <w:bCs/>
                <w:color w:val="000000"/>
                <w:sz w:val="18"/>
                <w:szCs w:val="18"/>
              </w:rPr>
              <w:t>700.289</w:t>
            </w:r>
          </w:p>
        </w:tc>
        <w:tc>
          <w:tcPr>
            <w:tcW w:w="583" w:type="pct"/>
            <w:tcBorders>
              <w:top w:val="nil"/>
              <w:left w:val="nil"/>
              <w:bottom w:val="single" w:sz="4" w:space="0" w:color="auto"/>
              <w:right w:val="single" w:sz="4" w:space="0" w:color="auto"/>
            </w:tcBorders>
            <w:noWrap/>
            <w:vAlign w:val="bottom"/>
            <w:hideMark/>
          </w:tcPr>
          <w:p w14:paraId="79675093" w14:textId="77777777" w:rsidR="0045269C" w:rsidRDefault="0045269C">
            <w:pPr>
              <w:jc w:val="right"/>
              <w:rPr>
                <w:rFonts w:ascii="Arial" w:hAnsi="Arial" w:cs="Arial"/>
                <w:b/>
                <w:bCs/>
                <w:color w:val="000000"/>
                <w:sz w:val="18"/>
                <w:szCs w:val="18"/>
              </w:rPr>
            </w:pPr>
            <w:r>
              <w:rPr>
                <w:rFonts w:ascii="Arial" w:hAnsi="Arial" w:cs="Arial"/>
                <w:b/>
                <w:bCs/>
                <w:color w:val="000000"/>
                <w:sz w:val="18"/>
                <w:szCs w:val="18"/>
              </w:rPr>
              <w:t>693.387</w:t>
            </w:r>
          </w:p>
        </w:tc>
        <w:tc>
          <w:tcPr>
            <w:tcW w:w="616" w:type="pct"/>
            <w:tcBorders>
              <w:top w:val="nil"/>
              <w:left w:val="nil"/>
              <w:bottom w:val="single" w:sz="4" w:space="0" w:color="auto"/>
              <w:right w:val="single" w:sz="4" w:space="0" w:color="auto"/>
            </w:tcBorders>
            <w:noWrap/>
            <w:vAlign w:val="bottom"/>
            <w:hideMark/>
          </w:tcPr>
          <w:p w14:paraId="0B8B0999" w14:textId="77777777" w:rsidR="0045269C" w:rsidRDefault="0045269C">
            <w:pPr>
              <w:jc w:val="right"/>
              <w:rPr>
                <w:rFonts w:ascii="Arial" w:hAnsi="Arial" w:cs="Arial"/>
                <w:b/>
                <w:bCs/>
                <w:color w:val="000000"/>
                <w:sz w:val="18"/>
                <w:szCs w:val="18"/>
              </w:rPr>
            </w:pPr>
            <w:r>
              <w:rPr>
                <w:rFonts w:ascii="Arial" w:hAnsi="Arial" w:cs="Arial"/>
                <w:b/>
                <w:bCs/>
                <w:color w:val="000000"/>
                <w:sz w:val="18"/>
                <w:szCs w:val="18"/>
              </w:rPr>
              <w:t>250.081</w:t>
            </w:r>
          </w:p>
        </w:tc>
        <w:tc>
          <w:tcPr>
            <w:tcW w:w="616" w:type="pct"/>
            <w:tcBorders>
              <w:top w:val="nil"/>
              <w:left w:val="nil"/>
              <w:bottom w:val="single" w:sz="4" w:space="0" w:color="auto"/>
              <w:right w:val="single" w:sz="4" w:space="0" w:color="auto"/>
            </w:tcBorders>
            <w:noWrap/>
            <w:vAlign w:val="bottom"/>
            <w:hideMark/>
          </w:tcPr>
          <w:p w14:paraId="6FFBDF29" w14:textId="77777777" w:rsidR="0045269C" w:rsidRDefault="0045269C">
            <w:pPr>
              <w:jc w:val="right"/>
              <w:rPr>
                <w:rFonts w:ascii="Arial" w:hAnsi="Arial" w:cs="Arial"/>
                <w:b/>
                <w:bCs/>
                <w:color w:val="000000"/>
                <w:sz w:val="18"/>
                <w:szCs w:val="18"/>
              </w:rPr>
            </w:pPr>
            <w:r>
              <w:rPr>
                <w:rFonts w:ascii="Arial" w:hAnsi="Arial" w:cs="Arial"/>
                <w:b/>
                <w:bCs/>
                <w:color w:val="000000"/>
                <w:sz w:val="18"/>
                <w:szCs w:val="18"/>
              </w:rPr>
              <w:t>247.597</w:t>
            </w:r>
          </w:p>
        </w:tc>
      </w:tr>
    </w:tbl>
    <w:p w14:paraId="486ADE43" w14:textId="6C23EEB4" w:rsidR="00620165" w:rsidRDefault="00620165" w:rsidP="00597FE5">
      <w:pPr>
        <w:pStyle w:val="corpodotextodf"/>
        <w:tabs>
          <w:tab w:val="clear" w:pos="227"/>
          <w:tab w:val="clear" w:pos="454"/>
          <w:tab w:val="clear" w:pos="680"/>
        </w:tabs>
        <w:spacing w:line="276" w:lineRule="auto"/>
        <w:rPr>
          <w:rFonts w:ascii="Arial" w:hAnsi="Arial" w:cs="Arial"/>
          <w:bCs/>
        </w:rPr>
      </w:pPr>
    </w:p>
    <w:p w14:paraId="6E4207E6" w14:textId="2C2226BE" w:rsidR="00831984" w:rsidRDefault="00DE3190" w:rsidP="00597FE5">
      <w:pPr>
        <w:pStyle w:val="Corpodetexto"/>
        <w:numPr>
          <w:ilvl w:val="12"/>
          <w:numId w:val="0"/>
        </w:numPr>
        <w:tabs>
          <w:tab w:val="clear" w:pos="851"/>
          <w:tab w:val="left" w:pos="284"/>
        </w:tabs>
        <w:spacing w:before="0" w:after="0" w:line="276" w:lineRule="auto"/>
        <w:rPr>
          <w:rFonts w:ascii="Arial" w:hAnsi="Arial" w:cs="Arial"/>
        </w:rPr>
      </w:pPr>
      <w:r w:rsidRPr="008939B1">
        <w:rPr>
          <w:rFonts w:ascii="Arial" w:hAnsi="Arial" w:cs="Arial"/>
        </w:rPr>
        <w:t>De acordo com a legislação vigente, a compensação dos prejuízos fiscais relativos a</w:t>
      </w:r>
      <w:r w:rsidR="004D6A4C" w:rsidRPr="008939B1">
        <w:rPr>
          <w:rFonts w:ascii="Arial" w:hAnsi="Arial" w:cs="Arial"/>
        </w:rPr>
        <w:t>o</w:t>
      </w:r>
      <w:r w:rsidRPr="008939B1">
        <w:rPr>
          <w:rFonts w:ascii="Arial" w:hAnsi="Arial" w:cs="Arial"/>
        </w:rPr>
        <w:t xml:space="preserve"> </w:t>
      </w:r>
      <w:r w:rsidR="00D200B9" w:rsidRPr="008939B1">
        <w:rPr>
          <w:rFonts w:ascii="Arial" w:hAnsi="Arial" w:cs="Arial"/>
        </w:rPr>
        <w:t>I</w:t>
      </w:r>
      <w:r w:rsidRPr="008939B1">
        <w:rPr>
          <w:rFonts w:ascii="Arial" w:hAnsi="Arial" w:cs="Arial"/>
        </w:rPr>
        <w:t xml:space="preserve">mposto de </w:t>
      </w:r>
      <w:r w:rsidR="00D200B9" w:rsidRPr="008939B1">
        <w:rPr>
          <w:rFonts w:ascii="Arial" w:hAnsi="Arial" w:cs="Arial"/>
        </w:rPr>
        <w:t>R</w:t>
      </w:r>
      <w:r w:rsidRPr="008939B1">
        <w:rPr>
          <w:rFonts w:ascii="Arial" w:hAnsi="Arial" w:cs="Arial"/>
        </w:rPr>
        <w:t xml:space="preserve">enda e </w:t>
      </w:r>
      <w:r w:rsidR="008C7FA8" w:rsidRPr="008939B1">
        <w:rPr>
          <w:rFonts w:ascii="Arial" w:hAnsi="Arial" w:cs="Arial"/>
        </w:rPr>
        <w:t xml:space="preserve">o resultado ajustado negativo </w:t>
      </w:r>
      <w:r w:rsidRPr="008939B1">
        <w:rPr>
          <w:rFonts w:ascii="Arial" w:hAnsi="Arial" w:cs="Arial"/>
        </w:rPr>
        <w:t>d</w:t>
      </w:r>
      <w:r w:rsidR="004D6A4C" w:rsidRPr="008939B1">
        <w:rPr>
          <w:rFonts w:ascii="Arial" w:hAnsi="Arial" w:cs="Arial"/>
        </w:rPr>
        <w:t>a</w:t>
      </w:r>
      <w:r w:rsidRPr="008939B1">
        <w:rPr>
          <w:rFonts w:ascii="Arial" w:hAnsi="Arial" w:cs="Arial"/>
        </w:rPr>
        <w:t xml:space="preserve"> </w:t>
      </w:r>
      <w:r w:rsidR="000528B3" w:rsidRPr="008939B1">
        <w:rPr>
          <w:rFonts w:ascii="Arial" w:hAnsi="Arial" w:cs="Arial"/>
        </w:rPr>
        <w:t>C</w:t>
      </w:r>
      <w:r w:rsidRPr="008939B1">
        <w:rPr>
          <w:rFonts w:ascii="Arial" w:hAnsi="Arial" w:cs="Arial"/>
        </w:rPr>
        <w:t xml:space="preserve">ontribuição </w:t>
      </w:r>
      <w:r w:rsidR="000528B3" w:rsidRPr="008939B1">
        <w:rPr>
          <w:rFonts w:ascii="Arial" w:hAnsi="Arial" w:cs="Arial"/>
        </w:rPr>
        <w:t>S</w:t>
      </w:r>
      <w:r w:rsidRPr="008939B1">
        <w:rPr>
          <w:rFonts w:ascii="Arial" w:hAnsi="Arial" w:cs="Arial"/>
        </w:rPr>
        <w:t xml:space="preserve">ocial sobre o </w:t>
      </w:r>
      <w:r w:rsidR="000528B3" w:rsidRPr="008939B1">
        <w:rPr>
          <w:rFonts w:ascii="Arial" w:hAnsi="Arial" w:cs="Arial"/>
        </w:rPr>
        <w:t>L</w:t>
      </w:r>
      <w:r w:rsidRPr="008939B1">
        <w:rPr>
          <w:rFonts w:ascii="Arial" w:hAnsi="Arial" w:cs="Arial"/>
        </w:rPr>
        <w:t>ucro</w:t>
      </w:r>
      <w:r w:rsidR="004D6A4C" w:rsidRPr="008939B1">
        <w:rPr>
          <w:rFonts w:ascii="Arial" w:hAnsi="Arial" w:cs="Arial"/>
        </w:rPr>
        <w:t xml:space="preserve"> </w:t>
      </w:r>
      <w:r w:rsidR="000528B3" w:rsidRPr="008939B1">
        <w:rPr>
          <w:rFonts w:ascii="Arial" w:hAnsi="Arial" w:cs="Arial"/>
        </w:rPr>
        <w:t>L</w:t>
      </w:r>
      <w:r w:rsidR="004D6A4C" w:rsidRPr="008939B1">
        <w:rPr>
          <w:rFonts w:ascii="Arial" w:hAnsi="Arial" w:cs="Arial"/>
        </w:rPr>
        <w:t>íquido</w:t>
      </w:r>
      <w:r w:rsidRPr="008939B1">
        <w:rPr>
          <w:rFonts w:ascii="Arial" w:hAnsi="Arial" w:cs="Arial"/>
        </w:rPr>
        <w:t xml:space="preserve"> está limitada a 30% (trinta por cento) do lucro tributável</w:t>
      </w:r>
      <w:r w:rsidR="00840B45">
        <w:rPr>
          <w:rFonts w:ascii="Arial" w:hAnsi="Arial" w:cs="Arial"/>
        </w:rPr>
        <w:t xml:space="preserve"> e base positiva.</w:t>
      </w:r>
    </w:p>
    <w:p w14:paraId="7F734214" w14:textId="77777777" w:rsidR="00B73638" w:rsidRPr="008939B1" w:rsidRDefault="00B73638" w:rsidP="00597FE5">
      <w:pPr>
        <w:pStyle w:val="Corpodetexto"/>
        <w:numPr>
          <w:ilvl w:val="12"/>
          <w:numId w:val="0"/>
        </w:numPr>
        <w:tabs>
          <w:tab w:val="clear" w:pos="851"/>
          <w:tab w:val="left" w:pos="284"/>
        </w:tabs>
        <w:spacing w:before="0" w:after="0" w:line="276" w:lineRule="auto"/>
        <w:rPr>
          <w:rFonts w:ascii="Arial" w:hAnsi="Arial" w:cs="Arial"/>
        </w:rPr>
      </w:pPr>
    </w:p>
    <w:p w14:paraId="27D97089" w14:textId="14B611B0" w:rsidR="006625BF" w:rsidRPr="004909E2" w:rsidRDefault="006625BF" w:rsidP="009541E1">
      <w:pPr>
        <w:pStyle w:val="Ttulo2"/>
        <w:numPr>
          <w:ilvl w:val="1"/>
          <w:numId w:val="6"/>
        </w:numPr>
        <w:tabs>
          <w:tab w:val="clear" w:pos="284"/>
          <w:tab w:val="clear" w:pos="340"/>
        </w:tabs>
        <w:spacing w:before="0" w:after="0" w:line="276" w:lineRule="auto"/>
        <w:ind w:left="567" w:hanging="567"/>
        <w:jc w:val="both"/>
        <w:rPr>
          <w:rFonts w:ascii="Arial" w:hAnsi="Arial" w:cs="Arial"/>
        </w:rPr>
      </w:pPr>
      <w:bookmarkStart w:id="16" w:name="_Hlk95385511"/>
      <w:r w:rsidRPr="004909E2">
        <w:rPr>
          <w:rFonts w:ascii="Arial" w:hAnsi="Arial" w:cs="Arial"/>
        </w:rPr>
        <w:t xml:space="preserve">Exclusão do ICMS da base de cálculo do PIS e </w:t>
      </w:r>
      <w:r w:rsidR="0022294C" w:rsidRPr="004909E2">
        <w:rPr>
          <w:rFonts w:ascii="Arial" w:hAnsi="Arial" w:cs="Arial"/>
        </w:rPr>
        <w:t>C</w:t>
      </w:r>
      <w:r w:rsidR="00C43177" w:rsidRPr="004909E2">
        <w:rPr>
          <w:rFonts w:ascii="Arial" w:hAnsi="Arial" w:cs="Arial"/>
        </w:rPr>
        <w:t>ofins</w:t>
      </w:r>
    </w:p>
    <w:p w14:paraId="5BBF0EC3" w14:textId="77777777" w:rsidR="006625BF" w:rsidRPr="004909E2" w:rsidRDefault="006625BF" w:rsidP="005736DE">
      <w:pPr>
        <w:spacing w:line="276" w:lineRule="auto"/>
        <w:rPr>
          <w:rFonts w:ascii="Arial" w:hAnsi="Arial" w:cs="Arial"/>
          <w:sz w:val="16"/>
          <w:szCs w:val="16"/>
        </w:rPr>
      </w:pPr>
    </w:p>
    <w:p w14:paraId="492B1C3A" w14:textId="77777777" w:rsidR="00763109" w:rsidRPr="004909E2" w:rsidRDefault="00763109" w:rsidP="009917A0">
      <w:pPr>
        <w:spacing w:line="276" w:lineRule="auto"/>
        <w:jc w:val="both"/>
        <w:rPr>
          <w:rFonts w:ascii="Arial" w:hAnsi="Arial" w:cs="Arial"/>
        </w:rPr>
      </w:pPr>
      <w:bookmarkStart w:id="17" w:name="_Hlk77670727"/>
      <w:r w:rsidRPr="004909E2">
        <w:rPr>
          <w:rFonts w:ascii="Arial" w:hAnsi="Arial" w:cs="Arial"/>
          <w:sz w:val="22"/>
          <w:szCs w:val="22"/>
        </w:rPr>
        <w:t>A Telebras, acompanhando as discussões em torno da inconstitucionalidade da inclusão do ICMS na base de cálculo de PIS/Cofins, discutida no Supremo Tribunal Federal em sede de repercussão geral, RE 574.706,  ajuizou ação de rito comum ordinário, em face da Fazenda Nacional, para que fosse declarada a inexistência de relação jurídica obrigacional tributária da Telebras de recolher PIS e Cofins sobre os valores de ICMS, desobrigando-se ao recolhimento das referidas contribuições sobre o imposto estadual. Pleiteou, ainda, a restituição e a compensação dos pagamentos efetuados indevidamente nos últimos 05 (cinco) anos, devidamente atualizados/corrigidos pela taxa Selic.</w:t>
      </w:r>
    </w:p>
    <w:p w14:paraId="15E6B5CA"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ED8BC41"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O processo foi distribuído para a 3ª Vara Federal Cível da Seção Judiciária do Distrito Federal, sob nº </w:t>
      </w:r>
      <w:hyperlink r:id="rId36" w:history="1">
        <w:r w:rsidRPr="004909E2">
          <w:rPr>
            <w:rStyle w:val="Hyperlink"/>
            <w:rFonts w:ascii="Arial" w:hAnsi="Arial" w:cs="Arial"/>
            <w:sz w:val="22"/>
            <w:szCs w:val="22"/>
          </w:rPr>
          <w:t>1010276-63.2018.4.01</w:t>
        </w:r>
      </w:hyperlink>
      <w:r w:rsidRPr="004909E2">
        <w:rPr>
          <w:rFonts w:ascii="Arial" w:hAnsi="Arial" w:cs="Arial"/>
          <w:sz w:val="22"/>
          <w:szCs w:val="22"/>
        </w:rPr>
        <w:t>.3400.</w:t>
      </w:r>
    </w:p>
    <w:p w14:paraId="00180A70" w14:textId="77777777" w:rsidR="002B1625" w:rsidRPr="004909E2" w:rsidRDefault="002B1625" w:rsidP="009917A0">
      <w:pPr>
        <w:spacing w:line="276" w:lineRule="auto"/>
        <w:jc w:val="both"/>
        <w:rPr>
          <w:rFonts w:ascii="Arial" w:hAnsi="Arial" w:cs="Arial"/>
          <w:sz w:val="22"/>
          <w:szCs w:val="22"/>
        </w:rPr>
      </w:pPr>
    </w:p>
    <w:p w14:paraId="7F27231B" w14:textId="0E3AC804" w:rsidR="00763109" w:rsidRPr="004909E2" w:rsidRDefault="00763109" w:rsidP="009917A0">
      <w:pPr>
        <w:spacing w:line="276" w:lineRule="auto"/>
        <w:jc w:val="both"/>
        <w:rPr>
          <w:rFonts w:ascii="Arial" w:hAnsi="Arial" w:cs="Arial"/>
        </w:rPr>
      </w:pPr>
      <w:r w:rsidRPr="004909E2">
        <w:rPr>
          <w:rFonts w:ascii="Arial" w:hAnsi="Arial" w:cs="Arial"/>
          <w:sz w:val="22"/>
          <w:szCs w:val="22"/>
        </w:rPr>
        <w:t>Foi proferida sentença favorável à Telebras, na qual foram julgados procedentes os pedidos para declarar a inexistência de relação jurídico-tributária que autorize a incidência do ICMS na base de cálculo do PIS e da Cofins, assim como para condenar a Fazenda Nacional a restituir, via compensação ou repetição, os valores indevidamente recolhidos a esse título nos 05 (cinco) anos que antecedem o ajuizamento da ação. Salienta-se que os juros de mora e a correção monetária tomarão como índice exclusivo a taxa Selic, que deve incidir a partir da data de cada pagamento indevido.</w:t>
      </w:r>
    </w:p>
    <w:p w14:paraId="1B7AC377"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4FA95B0F"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lastRenderedPageBreak/>
        <w:t>A Fazenda Nacional apelou e o processo foi remetido para o TRF da 1ª Região, no qual foi distribuído para a 8ª Turma, Relator Desembargador Federal Novély Vilanova.</w:t>
      </w:r>
    </w:p>
    <w:p w14:paraId="2F173C72" w14:textId="77777777" w:rsidR="00763109" w:rsidRPr="004909E2" w:rsidRDefault="00763109" w:rsidP="009917A0">
      <w:pPr>
        <w:spacing w:line="276" w:lineRule="auto"/>
        <w:jc w:val="both"/>
        <w:rPr>
          <w:rFonts w:ascii="Arial" w:hAnsi="Arial" w:cs="Arial"/>
        </w:rPr>
      </w:pPr>
      <w:r w:rsidRPr="004909E2">
        <w:rPr>
          <w:rFonts w:ascii="Arial" w:hAnsi="Arial" w:cs="Arial"/>
          <w:sz w:val="22"/>
          <w:szCs w:val="22"/>
        </w:rPr>
        <w:t> </w:t>
      </w:r>
    </w:p>
    <w:p w14:paraId="2976ADC5"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O processo teve decisão monocrática, no qual o Relator deu provimento parcial à apelação da Fazenda Nacional para que: (i) a repetição/compensação do indébito (ICMS destacado na nota fiscal) se proceda a partir de </w:t>
      </w:r>
      <w:r w:rsidRPr="004909E2">
        <w:rPr>
          <w:rStyle w:val="object"/>
          <w:rFonts w:ascii="Arial" w:hAnsi="Arial" w:cs="Arial"/>
          <w:sz w:val="22"/>
          <w:szCs w:val="22"/>
        </w:rPr>
        <w:t>15 de mar</w:t>
      </w:r>
      <w:r w:rsidRPr="004909E2">
        <w:rPr>
          <w:rFonts w:ascii="Arial" w:hAnsi="Arial" w:cs="Arial"/>
          <w:sz w:val="22"/>
          <w:szCs w:val="22"/>
        </w:rPr>
        <w:t>ço de 2017; e (ii) a compensação do indébito observe a lei vigente na data em que for efetivada, após o trânsito em julgado. A decisão do Relator seguiu a modulação dos efeitos do julgado definido pelo Supremo Tribunal Federal no julgamento dos Embargos de Declaração do RE nº 574.706-PR. A decisão do TRF1ª Região transitou em julgado. O processo retornou à 3ª Vara Federal de Brasília – Seção Judiciária do Distrito Federal.</w:t>
      </w:r>
    </w:p>
    <w:p w14:paraId="48F51590" w14:textId="7777777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 </w:t>
      </w:r>
    </w:p>
    <w:p w14:paraId="7D491B96" w14:textId="3CD7DB67" w:rsidR="00763109" w:rsidRPr="004909E2" w:rsidRDefault="00763109" w:rsidP="009917A0">
      <w:pPr>
        <w:spacing w:line="276" w:lineRule="auto"/>
        <w:jc w:val="both"/>
        <w:rPr>
          <w:rFonts w:ascii="Arial" w:hAnsi="Arial" w:cs="Arial"/>
          <w:sz w:val="22"/>
          <w:szCs w:val="22"/>
        </w:rPr>
      </w:pPr>
      <w:r w:rsidRPr="004909E2">
        <w:rPr>
          <w:rFonts w:ascii="Arial" w:hAnsi="Arial" w:cs="Arial"/>
          <w:sz w:val="22"/>
          <w:szCs w:val="22"/>
        </w:rPr>
        <w:t>A Telebras realizou o levantamento dos valores a que tem direito de se creditar e fez o reconhecimento contábil desse crédito. O montante atualizado monetariamente até </w:t>
      </w:r>
      <w:r w:rsidR="005A09D1" w:rsidRPr="004909E2">
        <w:rPr>
          <w:rStyle w:val="object"/>
          <w:rFonts w:ascii="Arial" w:hAnsi="Arial" w:cs="Arial"/>
          <w:sz w:val="22"/>
          <w:szCs w:val="22"/>
        </w:rPr>
        <w:t>3</w:t>
      </w:r>
      <w:r w:rsidR="00D05603">
        <w:rPr>
          <w:rStyle w:val="object"/>
          <w:rFonts w:ascii="Arial" w:hAnsi="Arial" w:cs="Arial"/>
          <w:sz w:val="22"/>
          <w:szCs w:val="22"/>
        </w:rPr>
        <w:t>1</w:t>
      </w:r>
      <w:r w:rsidR="005A09D1" w:rsidRPr="004909E2">
        <w:rPr>
          <w:rStyle w:val="object"/>
          <w:rFonts w:ascii="Arial" w:hAnsi="Arial" w:cs="Arial"/>
          <w:sz w:val="22"/>
          <w:szCs w:val="22"/>
        </w:rPr>
        <w:t xml:space="preserve"> de </w:t>
      </w:r>
      <w:r w:rsidR="00EA57E4">
        <w:rPr>
          <w:rStyle w:val="object"/>
          <w:rFonts w:ascii="Arial" w:hAnsi="Arial" w:cs="Arial"/>
          <w:sz w:val="22"/>
          <w:szCs w:val="22"/>
        </w:rPr>
        <w:t xml:space="preserve">março </w:t>
      </w:r>
      <w:r w:rsidR="004132B0">
        <w:rPr>
          <w:rStyle w:val="object"/>
          <w:rFonts w:ascii="Arial" w:hAnsi="Arial" w:cs="Arial"/>
          <w:sz w:val="22"/>
          <w:szCs w:val="22"/>
        </w:rPr>
        <w:t>de 202</w:t>
      </w:r>
      <w:r w:rsidR="00EA57E4">
        <w:rPr>
          <w:rStyle w:val="object"/>
          <w:rFonts w:ascii="Arial" w:hAnsi="Arial" w:cs="Arial"/>
          <w:sz w:val="22"/>
          <w:szCs w:val="22"/>
        </w:rPr>
        <w:t>6</w:t>
      </w:r>
      <w:r w:rsidRPr="004909E2">
        <w:rPr>
          <w:rFonts w:ascii="Arial" w:hAnsi="Arial" w:cs="Arial"/>
          <w:sz w:val="22"/>
          <w:szCs w:val="22"/>
        </w:rPr>
        <w:t xml:space="preserve"> é de </w:t>
      </w:r>
      <w:r w:rsidRPr="002D074A">
        <w:rPr>
          <w:rFonts w:ascii="Arial" w:hAnsi="Arial" w:cs="Arial"/>
          <w:sz w:val="22"/>
          <w:szCs w:val="22"/>
        </w:rPr>
        <w:t xml:space="preserve">R$ </w:t>
      </w:r>
      <w:r w:rsidR="00F079BF">
        <w:rPr>
          <w:rFonts w:ascii="Arial" w:hAnsi="Arial" w:cs="Arial"/>
          <w:sz w:val="22"/>
          <w:szCs w:val="22"/>
        </w:rPr>
        <w:t>18.594</w:t>
      </w:r>
      <w:r w:rsidRPr="002D074A">
        <w:rPr>
          <w:rFonts w:ascii="Arial" w:hAnsi="Arial" w:cs="Arial"/>
          <w:sz w:val="22"/>
          <w:szCs w:val="22"/>
        </w:rPr>
        <w:t xml:space="preserve">, sendo R$ </w:t>
      </w:r>
      <w:r w:rsidR="00A3738D" w:rsidRPr="002D074A">
        <w:rPr>
          <w:rFonts w:ascii="Arial" w:hAnsi="Arial" w:cs="Arial"/>
          <w:sz w:val="22"/>
          <w:szCs w:val="22"/>
        </w:rPr>
        <w:t>3.</w:t>
      </w:r>
      <w:r w:rsidR="00F079BF">
        <w:rPr>
          <w:rFonts w:ascii="Arial" w:hAnsi="Arial" w:cs="Arial"/>
          <w:sz w:val="22"/>
          <w:szCs w:val="22"/>
        </w:rPr>
        <w:t>311</w:t>
      </w:r>
      <w:r w:rsidRPr="002D074A">
        <w:rPr>
          <w:rFonts w:ascii="Arial" w:hAnsi="Arial" w:cs="Arial"/>
          <w:sz w:val="22"/>
          <w:szCs w:val="22"/>
        </w:rPr>
        <w:t xml:space="preserve"> para o PIS e R$ </w:t>
      </w:r>
      <w:r w:rsidR="00F079BF">
        <w:rPr>
          <w:rFonts w:ascii="Arial" w:hAnsi="Arial" w:cs="Arial"/>
          <w:sz w:val="22"/>
          <w:szCs w:val="22"/>
        </w:rPr>
        <w:t>15.283</w:t>
      </w:r>
      <w:r w:rsidRPr="002D074A">
        <w:rPr>
          <w:rFonts w:ascii="Arial" w:hAnsi="Arial" w:cs="Arial"/>
          <w:sz w:val="22"/>
          <w:szCs w:val="22"/>
        </w:rPr>
        <w:t xml:space="preserve"> para</w:t>
      </w:r>
      <w:r w:rsidRPr="00BD27A0">
        <w:rPr>
          <w:rFonts w:ascii="Arial" w:hAnsi="Arial" w:cs="Arial"/>
          <w:sz w:val="22"/>
          <w:szCs w:val="22"/>
        </w:rPr>
        <w:t xml:space="preserve"> </w:t>
      </w:r>
      <w:r w:rsidR="00A5461E" w:rsidRPr="00BD27A0">
        <w:rPr>
          <w:rFonts w:ascii="Arial" w:hAnsi="Arial" w:cs="Arial"/>
          <w:sz w:val="22"/>
          <w:szCs w:val="22"/>
        </w:rPr>
        <w:t>a</w:t>
      </w:r>
      <w:r w:rsidRPr="00BD27A0">
        <w:rPr>
          <w:rFonts w:ascii="Arial" w:hAnsi="Arial" w:cs="Arial"/>
          <w:sz w:val="22"/>
          <w:szCs w:val="22"/>
        </w:rPr>
        <w:t xml:space="preserve"> Cofins.</w:t>
      </w:r>
    </w:p>
    <w:p w14:paraId="5EC6ABE2" w14:textId="77777777" w:rsidR="00D93F0A" w:rsidRPr="004909E2" w:rsidRDefault="00D93F0A" w:rsidP="009917A0">
      <w:pPr>
        <w:spacing w:line="276" w:lineRule="auto"/>
        <w:jc w:val="both"/>
        <w:rPr>
          <w:rFonts w:ascii="Arial" w:hAnsi="Arial" w:cs="Arial"/>
        </w:rPr>
      </w:pPr>
    </w:p>
    <w:p w14:paraId="3722E759" w14:textId="4F060C97" w:rsidR="00763109" w:rsidRPr="004909E2" w:rsidRDefault="00763109" w:rsidP="000E7832">
      <w:pPr>
        <w:spacing w:line="276" w:lineRule="auto"/>
        <w:jc w:val="both"/>
        <w:rPr>
          <w:rFonts w:ascii="Arial" w:hAnsi="Arial" w:cs="Arial"/>
          <w:sz w:val="22"/>
          <w:szCs w:val="22"/>
        </w:rPr>
      </w:pPr>
      <w:r w:rsidRPr="004909E2">
        <w:rPr>
          <w:rFonts w:ascii="Arial" w:hAnsi="Arial" w:cs="Arial"/>
          <w:sz w:val="22"/>
          <w:szCs w:val="22"/>
        </w:rPr>
        <w:t xml:space="preserve">Com a devolução do processo </w:t>
      </w:r>
      <w:r w:rsidR="00DF1946" w:rsidRPr="004909E2">
        <w:rPr>
          <w:rFonts w:ascii="Arial" w:hAnsi="Arial" w:cs="Arial"/>
          <w:sz w:val="22"/>
          <w:szCs w:val="22"/>
        </w:rPr>
        <w:t>à</w:t>
      </w:r>
      <w:r w:rsidRPr="004909E2">
        <w:rPr>
          <w:rFonts w:ascii="Arial" w:hAnsi="Arial" w:cs="Arial"/>
          <w:sz w:val="22"/>
          <w:szCs w:val="22"/>
        </w:rPr>
        <w:t xml:space="preserve"> Primeira Instância, a Telebras propôs o cumprimento de sentença, nos termos dos artigos 534 e seguintes do Código de Processo Civil, baseado nos valores levantados.</w:t>
      </w:r>
      <w:r w:rsidR="006147E8" w:rsidRPr="004909E2">
        <w:rPr>
          <w:rFonts w:ascii="Arial" w:hAnsi="Arial" w:cs="Arial"/>
          <w:sz w:val="22"/>
          <w:szCs w:val="22"/>
        </w:rPr>
        <w:t xml:space="preserve"> </w:t>
      </w:r>
      <w:r w:rsidR="00372AAE" w:rsidRPr="004909E2">
        <w:rPr>
          <w:rFonts w:ascii="Arial" w:hAnsi="Arial" w:cs="Arial"/>
          <w:sz w:val="22"/>
          <w:szCs w:val="22"/>
        </w:rPr>
        <w:t xml:space="preserve"> </w:t>
      </w:r>
    </w:p>
    <w:p w14:paraId="5CAE991D" w14:textId="7990EB9B" w:rsidR="00711549" w:rsidRPr="004909E2" w:rsidRDefault="00372AAE" w:rsidP="006147E8">
      <w:pPr>
        <w:spacing w:line="276" w:lineRule="auto"/>
        <w:jc w:val="both"/>
        <w:rPr>
          <w:rFonts w:ascii="Arial" w:hAnsi="Arial" w:cs="Arial"/>
          <w:sz w:val="22"/>
          <w:szCs w:val="22"/>
          <w:shd w:val="clear" w:color="auto" w:fill="FFFFFF"/>
        </w:rPr>
      </w:pPr>
      <w:r w:rsidRPr="004909E2">
        <w:rPr>
          <w:rFonts w:ascii="Arial" w:hAnsi="Arial" w:cs="Arial"/>
          <w:sz w:val="22"/>
          <w:szCs w:val="22"/>
          <w:shd w:val="clear" w:color="auto" w:fill="FFFFFF"/>
        </w:rPr>
        <w:t xml:space="preserve">A União (Fazenda Nacional) apresentou impugnação ao cumprimento de sentença. </w:t>
      </w:r>
      <w:bookmarkEnd w:id="16"/>
      <w:r w:rsidR="006147E8" w:rsidRPr="0083248B">
        <w:rPr>
          <w:rFonts w:ascii="Arial" w:hAnsi="Arial" w:cs="Arial"/>
          <w:sz w:val="22"/>
          <w:szCs w:val="22"/>
          <w:shd w:val="clear" w:color="auto" w:fill="FFFFFF"/>
        </w:rPr>
        <w:t>A Telebras manifestou</w:t>
      </w:r>
      <w:r w:rsidR="006147E8" w:rsidRPr="004909E2">
        <w:rPr>
          <w:rFonts w:ascii="Arial" w:hAnsi="Arial" w:cs="Arial"/>
          <w:sz w:val="22"/>
          <w:szCs w:val="22"/>
          <w:shd w:val="clear" w:color="auto" w:fill="FFFFFF"/>
        </w:rPr>
        <w:t>-se</w:t>
      </w:r>
      <w:r w:rsidR="006147E8" w:rsidRPr="0083248B">
        <w:rPr>
          <w:rFonts w:ascii="Arial" w:hAnsi="Arial" w:cs="Arial"/>
          <w:sz w:val="22"/>
          <w:szCs w:val="22"/>
          <w:shd w:val="clear" w:color="auto" w:fill="FFFFFF"/>
        </w:rPr>
        <w:t xml:space="preserve"> q</w:t>
      </w:r>
      <w:r w:rsidR="006147E8" w:rsidRPr="004909E2">
        <w:rPr>
          <w:rFonts w:ascii="Arial" w:hAnsi="Arial" w:cs="Arial"/>
          <w:sz w:val="22"/>
          <w:szCs w:val="22"/>
          <w:shd w:val="clear" w:color="auto" w:fill="FFFFFF"/>
        </w:rPr>
        <w:t xml:space="preserve">uanto à impugnação apresentada e está aguardando a </w:t>
      </w:r>
      <w:r w:rsidR="006147E8" w:rsidRPr="0083248B">
        <w:rPr>
          <w:rFonts w:ascii="Arial" w:hAnsi="Arial" w:cs="Arial"/>
          <w:sz w:val="22"/>
          <w:szCs w:val="22"/>
          <w:shd w:val="clear" w:color="auto" w:fill="FFFFFF"/>
        </w:rPr>
        <w:t>decisão judicial.</w:t>
      </w:r>
      <w:r w:rsidR="00A83416" w:rsidRPr="004909E2">
        <w:rPr>
          <w:rFonts w:ascii="Arial" w:hAnsi="Arial" w:cs="Arial"/>
          <w:sz w:val="22"/>
          <w:szCs w:val="22"/>
          <w:shd w:val="clear" w:color="auto" w:fill="FFFFFF"/>
        </w:rPr>
        <w:t> </w:t>
      </w:r>
      <w:bookmarkStart w:id="18" w:name="_Hlk101515376"/>
    </w:p>
    <w:p w14:paraId="344518C4" w14:textId="77777777" w:rsidR="005B1233" w:rsidRDefault="005B1233" w:rsidP="006D1D0B">
      <w:pPr>
        <w:spacing w:line="276" w:lineRule="auto"/>
        <w:jc w:val="both"/>
        <w:rPr>
          <w:rFonts w:ascii="Arial" w:hAnsi="Arial" w:cs="Arial"/>
          <w:sz w:val="22"/>
          <w:szCs w:val="22"/>
        </w:rPr>
      </w:pPr>
    </w:p>
    <w:p w14:paraId="0EEAB139" w14:textId="3D1A3BB9" w:rsidR="006D1D0B" w:rsidRPr="002A36CE" w:rsidRDefault="006D1D0B" w:rsidP="009541E1">
      <w:pPr>
        <w:pStyle w:val="Ttulo2"/>
        <w:numPr>
          <w:ilvl w:val="0"/>
          <w:numId w:val="5"/>
        </w:numPr>
        <w:tabs>
          <w:tab w:val="clear" w:pos="284"/>
          <w:tab w:val="clear" w:pos="340"/>
        </w:tabs>
        <w:spacing w:before="0" w:after="0"/>
        <w:ind w:left="851" w:hanging="851"/>
        <w:jc w:val="both"/>
        <w:rPr>
          <w:rFonts w:ascii="Arial" w:hAnsi="Arial" w:cs="Arial"/>
        </w:rPr>
      </w:pPr>
      <w:r>
        <w:rPr>
          <w:rFonts w:ascii="Arial" w:hAnsi="Arial" w:cs="Arial"/>
        </w:rPr>
        <w:t>DEPÓSITOS JUDICIAIS</w:t>
      </w:r>
    </w:p>
    <w:p w14:paraId="205A7A5E" w14:textId="77777777" w:rsidR="008640F8" w:rsidRPr="005736DE" w:rsidRDefault="008640F8" w:rsidP="009917A0">
      <w:pPr>
        <w:rPr>
          <w:rFonts w:ascii="Arial" w:hAnsi="Arial" w:cs="Arial"/>
          <w:sz w:val="22"/>
          <w:szCs w:val="22"/>
        </w:rPr>
      </w:pPr>
      <w:bookmarkStart w:id="19" w:name="_Hlk534968609"/>
    </w:p>
    <w:p w14:paraId="4A151927" w14:textId="77777777" w:rsidR="00C17D37" w:rsidRPr="005736DE" w:rsidRDefault="00C17D37" w:rsidP="009917A0">
      <w:pPr>
        <w:spacing w:line="276" w:lineRule="auto"/>
        <w:jc w:val="both"/>
        <w:rPr>
          <w:rFonts w:ascii="Arial" w:hAnsi="Arial" w:cs="Arial"/>
          <w:sz w:val="22"/>
          <w:szCs w:val="22"/>
        </w:rPr>
      </w:pPr>
      <w:r w:rsidRPr="005736DE">
        <w:rPr>
          <w:rFonts w:ascii="Arial" w:hAnsi="Arial" w:cs="Arial"/>
          <w:sz w:val="22"/>
          <w:szCs w:val="22"/>
        </w:rPr>
        <w:t xml:space="preserve">A Companhia possui </w:t>
      </w:r>
      <w:r w:rsidR="00123AED" w:rsidRPr="005736DE">
        <w:rPr>
          <w:rFonts w:ascii="Arial" w:hAnsi="Arial" w:cs="Arial"/>
          <w:sz w:val="22"/>
          <w:szCs w:val="22"/>
        </w:rPr>
        <w:t>depósitos judiciais</w:t>
      </w:r>
      <w:r w:rsidRPr="005736DE">
        <w:rPr>
          <w:rFonts w:ascii="Arial" w:hAnsi="Arial" w:cs="Arial"/>
          <w:sz w:val="22"/>
          <w:szCs w:val="22"/>
        </w:rPr>
        <w:t xml:space="preserve"> vinculados a processos cíveis, trabalhistas, tributários e societários. A composição dos depósitos judiciais vinculados e não vinculados às </w:t>
      </w:r>
      <w:r w:rsidR="00A3762A" w:rsidRPr="005736DE">
        <w:rPr>
          <w:rFonts w:ascii="Arial" w:hAnsi="Arial" w:cs="Arial"/>
          <w:sz w:val="22"/>
          <w:szCs w:val="22"/>
        </w:rPr>
        <w:t xml:space="preserve">provisões para riscos prováveis </w:t>
      </w:r>
      <w:r w:rsidRPr="005736DE">
        <w:rPr>
          <w:rFonts w:ascii="Arial" w:hAnsi="Arial" w:cs="Arial"/>
          <w:sz w:val="22"/>
          <w:szCs w:val="22"/>
        </w:rPr>
        <w:t>está assim distribuída:</w:t>
      </w:r>
    </w:p>
    <w:p w14:paraId="79B318D6" w14:textId="77777777" w:rsidR="000C5C47" w:rsidRPr="005A5B23" w:rsidRDefault="000C5C47" w:rsidP="009917A0">
      <w:pPr>
        <w:spacing w:line="276" w:lineRule="auto"/>
        <w:rPr>
          <w:rFonts w:ascii="Arial" w:hAnsi="Arial" w:cs="Arial"/>
          <w:sz w:val="12"/>
          <w:szCs w:val="12"/>
        </w:rPr>
      </w:pPr>
    </w:p>
    <w:tbl>
      <w:tblPr>
        <w:tblW w:w="4969" w:type="pct"/>
        <w:tblCellMar>
          <w:left w:w="70" w:type="dxa"/>
          <w:right w:w="70" w:type="dxa"/>
        </w:tblCellMar>
        <w:tblLook w:val="04A0" w:firstRow="1" w:lastRow="0" w:firstColumn="1" w:lastColumn="0" w:noHBand="0" w:noVBand="1"/>
      </w:tblPr>
      <w:tblGrid>
        <w:gridCol w:w="2908"/>
        <w:gridCol w:w="1159"/>
        <w:gridCol w:w="1161"/>
        <w:gridCol w:w="1167"/>
        <w:gridCol w:w="1148"/>
        <w:gridCol w:w="1107"/>
        <w:gridCol w:w="1060"/>
      </w:tblGrid>
      <w:tr w:rsidR="00DF514E" w:rsidRPr="000C7E1F" w14:paraId="04C16839" w14:textId="77777777" w:rsidTr="005A5B23">
        <w:trPr>
          <w:trHeight w:val="254"/>
          <w:tblHeader/>
        </w:trPr>
        <w:tc>
          <w:tcPr>
            <w:tcW w:w="149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18B71C" w14:textId="1CC67555" w:rsidR="00DF514E" w:rsidRPr="000C7E1F" w:rsidRDefault="00DF514E" w:rsidP="00DF514E">
            <w:pPr>
              <w:rPr>
                <w:rFonts w:ascii="Arial" w:hAnsi="Arial" w:cs="Arial"/>
                <w:sz w:val="18"/>
                <w:szCs w:val="18"/>
              </w:rPr>
            </w:pPr>
            <w:r w:rsidRPr="000C7E1F">
              <w:rPr>
                <w:rFonts w:ascii="Arial" w:hAnsi="Arial" w:cs="Arial"/>
                <w:sz w:val="18"/>
                <w:szCs w:val="18"/>
              </w:rPr>
              <w:t>Natureza:</w:t>
            </w:r>
          </w:p>
        </w:tc>
        <w:tc>
          <w:tcPr>
            <w:tcW w:w="1796" w:type="pct"/>
            <w:gridSpan w:val="3"/>
            <w:tcBorders>
              <w:top w:val="single" w:sz="4" w:space="0" w:color="auto"/>
              <w:left w:val="nil"/>
              <w:bottom w:val="single" w:sz="4" w:space="0" w:color="auto"/>
              <w:right w:val="single" w:sz="4" w:space="0" w:color="auto"/>
            </w:tcBorders>
            <w:noWrap/>
            <w:vAlign w:val="center"/>
            <w:hideMark/>
          </w:tcPr>
          <w:p w14:paraId="1E356F09" w14:textId="2C389104" w:rsidR="00DF514E" w:rsidRPr="000C7E1F" w:rsidRDefault="002E76A3" w:rsidP="00590ADA">
            <w:pPr>
              <w:jc w:val="center"/>
              <w:rPr>
                <w:rFonts w:ascii="Arial" w:hAnsi="Arial" w:cs="Arial"/>
                <w:b/>
                <w:bCs/>
                <w:sz w:val="18"/>
                <w:szCs w:val="18"/>
              </w:rPr>
            </w:pPr>
            <w:r w:rsidRPr="000C7E1F">
              <w:rPr>
                <w:rFonts w:ascii="Arial" w:hAnsi="Arial" w:cs="Arial"/>
                <w:b/>
                <w:bCs/>
                <w:sz w:val="18"/>
                <w:szCs w:val="18"/>
              </w:rPr>
              <w:t>3</w:t>
            </w:r>
            <w:r w:rsidR="002D04D5" w:rsidRPr="000C7E1F">
              <w:rPr>
                <w:rFonts w:ascii="Arial" w:hAnsi="Arial" w:cs="Arial"/>
                <w:b/>
                <w:bCs/>
                <w:sz w:val="18"/>
                <w:szCs w:val="18"/>
              </w:rPr>
              <w:t>1</w:t>
            </w:r>
            <w:r w:rsidRPr="000C7E1F">
              <w:rPr>
                <w:rFonts w:ascii="Arial" w:hAnsi="Arial" w:cs="Arial"/>
                <w:b/>
                <w:bCs/>
                <w:sz w:val="18"/>
                <w:szCs w:val="18"/>
              </w:rPr>
              <w:t>/</w:t>
            </w:r>
            <w:r w:rsidR="005518BD" w:rsidRPr="000C7E1F">
              <w:rPr>
                <w:rFonts w:ascii="Arial" w:hAnsi="Arial" w:cs="Arial"/>
                <w:b/>
                <w:bCs/>
                <w:sz w:val="18"/>
                <w:szCs w:val="18"/>
              </w:rPr>
              <w:t>03</w:t>
            </w:r>
            <w:r w:rsidR="009D1FF0" w:rsidRPr="000C7E1F">
              <w:rPr>
                <w:rFonts w:ascii="Arial" w:hAnsi="Arial" w:cs="Arial"/>
                <w:b/>
                <w:bCs/>
                <w:sz w:val="18"/>
                <w:szCs w:val="18"/>
              </w:rPr>
              <w:t>/202</w:t>
            </w:r>
            <w:r w:rsidR="005518BD" w:rsidRPr="000C7E1F">
              <w:rPr>
                <w:rFonts w:ascii="Arial" w:hAnsi="Arial" w:cs="Arial"/>
                <w:b/>
                <w:bCs/>
                <w:sz w:val="18"/>
                <w:szCs w:val="18"/>
              </w:rPr>
              <w:t>6</w:t>
            </w:r>
          </w:p>
        </w:tc>
        <w:tc>
          <w:tcPr>
            <w:tcW w:w="1707" w:type="pct"/>
            <w:gridSpan w:val="3"/>
            <w:tcBorders>
              <w:top w:val="single" w:sz="4" w:space="0" w:color="auto"/>
              <w:left w:val="nil"/>
              <w:bottom w:val="single" w:sz="4" w:space="0" w:color="auto"/>
              <w:right w:val="single" w:sz="4" w:space="0" w:color="auto"/>
            </w:tcBorders>
            <w:noWrap/>
            <w:vAlign w:val="center"/>
            <w:hideMark/>
          </w:tcPr>
          <w:p w14:paraId="02F17926" w14:textId="185B70BB" w:rsidR="00DF514E" w:rsidRPr="000C7E1F" w:rsidRDefault="007F7222" w:rsidP="009D1FF0">
            <w:pPr>
              <w:jc w:val="center"/>
              <w:rPr>
                <w:rFonts w:ascii="Arial" w:hAnsi="Arial" w:cs="Arial"/>
                <w:b/>
                <w:bCs/>
                <w:sz w:val="18"/>
                <w:szCs w:val="18"/>
              </w:rPr>
            </w:pPr>
            <w:r w:rsidRPr="000C7E1F">
              <w:rPr>
                <w:rFonts w:ascii="Arial" w:hAnsi="Arial" w:cs="Arial"/>
                <w:b/>
                <w:bCs/>
                <w:sz w:val="18"/>
                <w:szCs w:val="18"/>
              </w:rPr>
              <w:t>31/12/202</w:t>
            </w:r>
            <w:r w:rsidR="005518BD" w:rsidRPr="000C7E1F">
              <w:rPr>
                <w:rFonts w:ascii="Arial" w:hAnsi="Arial" w:cs="Arial"/>
                <w:b/>
                <w:bCs/>
                <w:sz w:val="18"/>
                <w:szCs w:val="18"/>
              </w:rPr>
              <w:t>5</w:t>
            </w:r>
          </w:p>
        </w:tc>
      </w:tr>
      <w:tr w:rsidR="00940142" w:rsidRPr="000C7E1F" w14:paraId="66390833" w14:textId="77777777" w:rsidTr="00590ADA">
        <w:trPr>
          <w:trHeight w:val="254"/>
          <w:tblHeader/>
        </w:trPr>
        <w:tc>
          <w:tcPr>
            <w:tcW w:w="1497" w:type="pct"/>
            <w:vMerge/>
            <w:tcBorders>
              <w:top w:val="single" w:sz="4" w:space="0" w:color="auto"/>
              <w:left w:val="single" w:sz="4" w:space="0" w:color="auto"/>
              <w:bottom w:val="single" w:sz="4" w:space="0" w:color="auto"/>
              <w:right w:val="single" w:sz="4" w:space="0" w:color="auto"/>
            </w:tcBorders>
            <w:vAlign w:val="center"/>
            <w:hideMark/>
          </w:tcPr>
          <w:p w14:paraId="0AC7F5C8" w14:textId="77777777" w:rsidR="00DF514E" w:rsidRPr="000C7E1F" w:rsidRDefault="00DF514E" w:rsidP="00DF514E">
            <w:pPr>
              <w:rPr>
                <w:rFonts w:ascii="Arial" w:hAnsi="Arial" w:cs="Arial"/>
                <w:sz w:val="18"/>
                <w:szCs w:val="18"/>
              </w:rPr>
            </w:pPr>
          </w:p>
        </w:tc>
        <w:tc>
          <w:tcPr>
            <w:tcW w:w="597" w:type="pct"/>
            <w:tcBorders>
              <w:top w:val="nil"/>
              <w:left w:val="nil"/>
              <w:bottom w:val="single" w:sz="4" w:space="0" w:color="auto"/>
              <w:right w:val="single" w:sz="4" w:space="0" w:color="auto"/>
            </w:tcBorders>
            <w:vAlign w:val="center"/>
            <w:hideMark/>
          </w:tcPr>
          <w:p w14:paraId="342C9E10" w14:textId="77777777" w:rsidR="00DF514E" w:rsidRPr="000C7E1F" w:rsidRDefault="00DF514E" w:rsidP="00DF514E">
            <w:pPr>
              <w:jc w:val="center"/>
              <w:rPr>
                <w:rFonts w:ascii="Arial" w:hAnsi="Arial" w:cs="Arial"/>
                <w:b/>
                <w:bCs/>
                <w:sz w:val="18"/>
                <w:szCs w:val="18"/>
              </w:rPr>
            </w:pPr>
            <w:r w:rsidRPr="000C7E1F">
              <w:rPr>
                <w:rFonts w:ascii="Arial" w:hAnsi="Arial" w:cs="Arial"/>
                <w:b/>
                <w:bCs/>
                <w:sz w:val="18"/>
                <w:szCs w:val="18"/>
              </w:rPr>
              <w:t>Vinculados</w:t>
            </w:r>
          </w:p>
        </w:tc>
        <w:tc>
          <w:tcPr>
            <w:tcW w:w="598" w:type="pct"/>
            <w:tcBorders>
              <w:top w:val="nil"/>
              <w:left w:val="nil"/>
              <w:bottom w:val="single" w:sz="4" w:space="0" w:color="auto"/>
              <w:right w:val="single" w:sz="4" w:space="0" w:color="auto"/>
            </w:tcBorders>
            <w:vAlign w:val="center"/>
            <w:hideMark/>
          </w:tcPr>
          <w:p w14:paraId="2EB8A109" w14:textId="0C0CF01C" w:rsidR="00DF514E" w:rsidRPr="000C7E1F" w:rsidRDefault="006E3256" w:rsidP="00DF514E">
            <w:pPr>
              <w:jc w:val="center"/>
              <w:rPr>
                <w:rFonts w:ascii="Arial" w:hAnsi="Arial" w:cs="Arial"/>
                <w:b/>
                <w:bCs/>
                <w:sz w:val="18"/>
                <w:szCs w:val="18"/>
              </w:rPr>
            </w:pPr>
            <w:r w:rsidRPr="000C7E1F">
              <w:rPr>
                <w:rFonts w:ascii="Arial" w:hAnsi="Arial" w:cs="Arial"/>
                <w:b/>
                <w:bCs/>
                <w:sz w:val="18"/>
                <w:szCs w:val="18"/>
              </w:rPr>
              <w:t xml:space="preserve">Não </w:t>
            </w:r>
            <w:r w:rsidR="00DF514E" w:rsidRPr="000C7E1F">
              <w:rPr>
                <w:rFonts w:ascii="Arial" w:hAnsi="Arial" w:cs="Arial"/>
                <w:b/>
                <w:bCs/>
                <w:sz w:val="18"/>
                <w:szCs w:val="18"/>
              </w:rPr>
              <w:t>Vinculados</w:t>
            </w:r>
          </w:p>
        </w:tc>
        <w:tc>
          <w:tcPr>
            <w:tcW w:w="601" w:type="pct"/>
            <w:tcBorders>
              <w:top w:val="nil"/>
              <w:left w:val="nil"/>
              <w:bottom w:val="single" w:sz="4" w:space="0" w:color="auto"/>
              <w:right w:val="single" w:sz="4" w:space="0" w:color="auto"/>
            </w:tcBorders>
            <w:vAlign w:val="center"/>
            <w:hideMark/>
          </w:tcPr>
          <w:p w14:paraId="7C06A551" w14:textId="79060D8D" w:rsidR="00DF514E" w:rsidRPr="000C7E1F" w:rsidRDefault="003B7E3E" w:rsidP="00DF514E">
            <w:pPr>
              <w:jc w:val="center"/>
              <w:rPr>
                <w:rFonts w:ascii="Arial" w:hAnsi="Arial" w:cs="Arial"/>
                <w:b/>
                <w:bCs/>
                <w:sz w:val="18"/>
                <w:szCs w:val="18"/>
              </w:rPr>
            </w:pPr>
            <w:r w:rsidRPr="000C7E1F">
              <w:rPr>
                <w:rFonts w:ascii="Arial" w:hAnsi="Arial" w:cs="Arial"/>
                <w:b/>
                <w:bCs/>
                <w:sz w:val="18"/>
                <w:szCs w:val="18"/>
              </w:rPr>
              <w:t>Total</w:t>
            </w:r>
          </w:p>
        </w:tc>
        <w:tc>
          <w:tcPr>
            <w:tcW w:w="591" w:type="pct"/>
            <w:tcBorders>
              <w:top w:val="nil"/>
              <w:left w:val="nil"/>
              <w:bottom w:val="single" w:sz="4" w:space="0" w:color="auto"/>
              <w:right w:val="single" w:sz="4" w:space="0" w:color="auto"/>
            </w:tcBorders>
            <w:vAlign w:val="center"/>
            <w:hideMark/>
          </w:tcPr>
          <w:p w14:paraId="26010678" w14:textId="1878F7BD" w:rsidR="00DF514E" w:rsidRPr="000C7E1F" w:rsidRDefault="00DF514E" w:rsidP="00DF514E">
            <w:pPr>
              <w:jc w:val="center"/>
              <w:rPr>
                <w:rFonts w:ascii="Arial" w:hAnsi="Arial" w:cs="Arial"/>
                <w:b/>
                <w:bCs/>
                <w:sz w:val="18"/>
                <w:szCs w:val="18"/>
              </w:rPr>
            </w:pPr>
            <w:r w:rsidRPr="000C7E1F">
              <w:rPr>
                <w:rFonts w:ascii="Arial" w:hAnsi="Arial" w:cs="Arial"/>
                <w:b/>
                <w:bCs/>
                <w:sz w:val="18"/>
                <w:szCs w:val="18"/>
              </w:rPr>
              <w:t>Vinculados</w:t>
            </w:r>
          </w:p>
        </w:tc>
        <w:tc>
          <w:tcPr>
            <w:tcW w:w="570" w:type="pct"/>
            <w:tcBorders>
              <w:top w:val="nil"/>
              <w:left w:val="nil"/>
              <w:bottom w:val="single" w:sz="4" w:space="0" w:color="auto"/>
              <w:right w:val="single" w:sz="4" w:space="0" w:color="auto"/>
            </w:tcBorders>
            <w:vAlign w:val="center"/>
            <w:hideMark/>
          </w:tcPr>
          <w:p w14:paraId="1061EEC1" w14:textId="0C7E8CAF" w:rsidR="00DF514E" w:rsidRPr="000C7E1F" w:rsidRDefault="00DF514E" w:rsidP="00402FDC">
            <w:pPr>
              <w:jc w:val="center"/>
              <w:rPr>
                <w:rFonts w:ascii="Arial" w:hAnsi="Arial" w:cs="Arial"/>
                <w:b/>
                <w:bCs/>
                <w:sz w:val="18"/>
                <w:szCs w:val="18"/>
              </w:rPr>
            </w:pPr>
            <w:r w:rsidRPr="000C7E1F">
              <w:rPr>
                <w:rFonts w:ascii="Arial" w:hAnsi="Arial" w:cs="Arial"/>
                <w:b/>
                <w:bCs/>
                <w:sz w:val="18"/>
                <w:szCs w:val="18"/>
              </w:rPr>
              <w:t xml:space="preserve">Não </w:t>
            </w:r>
            <w:r w:rsidR="00402FDC" w:rsidRPr="000C7E1F">
              <w:rPr>
                <w:rFonts w:ascii="Arial" w:hAnsi="Arial" w:cs="Arial"/>
                <w:b/>
                <w:bCs/>
                <w:sz w:val="18"/>
                <w:szCs w:val="18"/>
              </w:rPr>
              <w:t>V</w:t>
            </w:r>
            <w:r w:rsidRPr="000C7E1F">
              <w:rPr>
                <w:rFonts w:ascii="Arial" w:hAnsi="Arial" w:cs="Arial"/>
                <w:b/>
                <w:bCs/>
                <w:sz w:val="18"/>
                <w:szCs w:val="18"/>
              </w:rPr>
              <w:t>inculados</w:t>
            </w:r>
          </w:p>
        </w:tc>
        <w:tc>
          <w:tcPr>
            <w:tcW w:w="546" w:type="pct"/>
            <w:tcBorders>
              <w:top w:val="nil"/>
              <w:left w:val="nil"/>
              <w:bottom w:val="single" w:sz="4" w:space="0" w:color="auto"/>
              <w:right w:val="single" w:sz="4" w:space="0" w:color="auto"/>
            </w:tcBorders>
            <w:vAlign w:val="center"/>
            <w:hideMark/>
          </w:tcPr>
          <w:p w14:paraId="18112EB1" w14:textId="77777777" w:rsidR="00DF514E" w:rsidRPr="000C7E1F" w:rsidRDefault="00DF514E" w:rsidP="00DF514E">
            <w:pPr>
              <w:jc w:val="center"/>
              <w:rPr>
                <w:rFonts w:ascii="Arial" w:hAnsi="Arial" w:cs="Arial"/>
                <w:b/>
                <w:bCs/>
                <w:sz w:val="18"/>
                <w:szCs w:val="18"/>
              </w:rPr>
            </w:pPr>
            <w:r w:rsidRPr="000C7E1F">
              <w:rPr>
                <w:rFonts w:ascii="Arial" w:hAnsi="Arial" w:cs="Arial"/>
                <w:b/>
                <w:bCs/>
                <w:sz w:val="18"/>
                <w:szCs w:val="18"/>
              </w:rPr>
              <w:t>Total</w:t>
            </w:r>
          </w:p>
        </w:tc>
      </w:tr>
      <w:tr w:rsidR="00940142" w:rsidRPr="000C7E1F" w14:paraId="2F37EBC4"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34FC8CCE" w14:textId="77777777" w:rsidR="004E072B" w:rsidRPr="000C7E1F" w:rsidRDefault="004E072B" w:rsidP="004E072B">
            <w:pPr>
              <w:rPr>
                <w:rFonts w:ascii="Arial" w:hAnsi="Arial" w:cs="Arial"/>
                <w:sz w:val="18"/>
                <w:szCs w:val="18"/>
              </w:rPr>
            </w:pPr>
            <w:r w:rsidRPr="000C7E1F">
              <w:rPr>
                <w:rFonts w:ascii="Arial" w:hAnsi="Arial" w:cs="Arial"/>
                <w:sz w:val="18"/>
                <w:szCs w:val="18"/>
              </w:rPr>
              <w:t> </w:t>
            </w:r>
          </w:p>
        </w:tc>
        <w:tc>
          <w:tcPr>
            <w:tcW w:w="597" w:type="pct"/>
            <w:tcBorders>
              <w:top w:val="nil"/>
              <w:left w:val="nil"/>
              <w:bottom w:val="single" w:sz="4" w:space="0" w:color="auto"/>
              <w:right w:val="single" w:sz="4" w:space="0" w:color="auto"/>
            </w:tcBorders>
            <w:noWrap/>
            <w:vAlign w:val="center"/>
            <w:hideMark/>
          </w:tcPr>
          <w:p w14:paraId="57B2937A" w14:textId="56D385A0" w:rsidR="004E072B" w:rsidRPr="000C7E1F" w:rsidRDefault="004E072B" w:rsidP="004E072B">
            <w:pPr>
              <w:jc w:val="center"/>
              <w:rPr>
                <w:rFonts w:ascii="Arial" w:hAnsi="Arial" w:cs="Arial"/>
                <w:sz w:val="18"/>
                <w:szCs w:val="18"/>
              </w:rPr>
            </w:pPr>
            <w:r w:rsidRPr="000C7E1F">
              <w:rPr>
                <w:rFonts w:ascii="Arial" w:hAnsi="Arial" w:cs="Arial"/>
                <w:color w:val="000000"/>
                <w:sz w:val="18"/>
                <w:szCs w:val="18"/>
              </w:rPr>
              <w:t>(A)</w:t>
            </w:r>
          </w:p>
        </w:tc>
        <w:tc>
          <w:tcPr>
            <w:tcW w:w="598" w:type="pct"/>
            <w:tcBorders>
              <w:top w:val="nil"/>
              <w:left w:val="nil"/>
              <w:bottom w:val="single" w:sz="4" w:space="0" w:color="auto"/>
              <w:right w:val="single" w:sz="4" w:space="0" w:color="auto"/>
            </w:tcBorders>
            <w:noWrap/>
            <w:vAlign w:val="center"/>
            <w:hideMark/>
          </w:tcPr>
          <w:p w14:paraId="78D08496" w14:textId="7DF5573D" w:rsidR="004E072B" w:rsidRPr="000C7E1F" w:rsidRDefault="004E072B" w:rsidP="004E072B">
            <w:pPr>
              <w:jc w:val="center"/>
              <w:rPr>
                <w:rFonts w:ascii="Arial" w:hAnsi="Arial" w:cs="Arial"/>
                <w:sz w:val="18"/>
                <w:szCs w:val="18"/>
              </w:rPr>
            </w:pPr>
            <w:r w:rsidRPr="000C7E1F">
              <w:rPr>
                <w:rFonts w:ascii="Arial" w:hAnsi="Arial" w:cs="Arial"/>
                <w:color w:val="000000"/>
                <w:sz w:val="18"/>
                <w:szCs w:val="18"/>
              </w:rPr>
              <w:t>(B)</w:t>
            </w:r>
          </w:p>
        </w:tc>
        <w:tc>
          <w:tcPr>
            <w:tcW w:w="601" w:type="pct"/>
            <w:tcBorders>
              <w:top w:val="nil"/>
              <w:left w:val="nil"/>
              <w:bottom w:val="single" w:sz="4" w:space="0" w:color="auto"/>
              <w:right w:val="single" w:sz="4" w:space="0" w:color="auto"/>
            </w:tcBorders>
            <w:noWrap/>
            <w:vAlign w:val="center"/>
            <w:hideMark/>
          </w:tcPr>
          <w:p w14:paraId="727B6374" w14:textId="286066E1" w:rsidR="004E072B" w:rsidRPr="000C7E1F" w:rsidRDefault="004E072B" w:rsidP="004E072B">
            <w:pPr>
              <w:jc w:val="center"/>
              <w:rPr>
                <w:rFonts w:ascii="Arial" w:hAnsi="Arial" w:cs="Arial"/>
                <w:sz w:val="18"/>
                <w:szCs w:val="18"/>
              </w:rPr>
            </w:pPr>
            <w:r w:rsidRPr="000C7E1F">
              <w:rPr>
                <w:rFonts w:ascii="Arial" w:hAnsi="Arial" w:cs="Arial"/>
                <w:color w:val="000000"/>
                <w:sz w:val="18"/>
                <w:szCs w:val="18"/>
              </w:rPr>
              <w:t>(A+B)</w:t>
            </w:r>
          </w:p>
        </w:tc>
        <w:tc>
          <w:tcPr>
            <w:tcW w:w="591" w:type="pct"/>
            <w:tcBorders>
              <w:top w:val="nil"/>
              <w:left w:val="nil"/>
              <w:bottom w:val="single" w:sz="4" w:space="0" w:color="auto"/>
              <w:right w:val="single" w:sz="4" w:space="0" w:color="auto"/>
            </w:tcBorders>
            <w:noWrap/>
            <w:vAlign w:val="center"/>
            <w:hideMark/>
          </w:tcPr>
          <w:p w14:paraId="02A347D0" w14:textId="60F82D71" w:rsidR="004E072B" w:rsidRPr="000C7E1F" w:rsidRDefault="004E072B" w:rsidP="004E072B">
            <w:pPr>
              <w:jc w:val="center"/>
              <w:rPr>
                <w:rFonts w:ascii="Arial" w:hAnsi="Arial" w:cs="Arial"/>
                <w:sz w:val="18"/>
                <w:szCs w:val="18"/>
              </w:rPr>
            </w:pPr>
            <w:r w:rsidRPr="000C7E1F">
              <w:rPr>
                <w:rFonts w:ascii="Arial" w:hAnsi="Arial" w:cs="Arial"/>
                <w:sz w:val="18"/>
                <w:szCs w:val="18"/>
              </w:rPr>
              <w:t>(A)</w:t>
            </w:r>
          </w:p>
        </w:tc>
        <w:tc>
          <w:tcPr>
            <w:tcW w:w="570" w:type="pct"/>
            <w:tcBorders>
              <w:top w:val="nil"/>
              <w:left w:val="nil"/>
              <w:bottom w:val="single" w:sz="4" w:space="0" w:color="auto"/>
              <w:right w:val="single" w:sz="4" w:space="0" w:color="auto"/>
            </w:tcBorders>
            <w:noWrap/>
            <w:vAlign w:val="center"/>
            <w:hideMark/>
          </w:tcPr>
          <w:p w14:paraId="4D06B4FA" w14:textId="77777777" w:rsidR="004E072B" w:rsidRPr="000C7E1F" w:rsidRDefault="004E072B" w:rsidP="004E072B">
            <w:pPr>
              <w:jc w:val="center"/>
              <w:rPr>
                <w:rFonts w:ascii="Arial" w:hAnsi="Arial" w:cs="Arial"/>
                <w:sz w:val="18"/>
                <w:szCs w:val="18"/>
              </w:rPr>
            </w:pPr>
            <w:r w:rsidRPr="000C7E1F">
              <w:rPr>
                <w:rFonts w:ascii="Arial" w:hAnsi="Arial" w:cs="Arial"/>
                <w:sz w:val="18"/>
                <w:szCs w:val="18"/>
              </w:rPr>
              <w:t>(B)</w:t>
            </w:r>
          </w:p>
        </w:tc>
        <w:tc>
          <w:tcPr>
            <w:tcW w:w="546" w:type="pct"/>
            <w:tcBorders>
              <w:top w:val="nil"/>
              <w:left w:val="nil"/>
              <w:bottom w:val="single" w:sz="4" w:space="0" w:color="auto"/>
              <w:right w:val="single" w:sz="4" w:space="0" w:color="auto"/>
            </w:tcBorders>
            <w:noWrap/>
            <w:vAlign w:val="center"/>
            <w:hideMark/>
          </w:tcPr>
          <w:p w14:paraId="1559C06E" w14:textId="77777777" w:rsidR="004E072B" w:rsidRPr="000C7E1F" w:rsidRDefault="004E072B" w:rsidP="004E072B">
            <w:pPr>
              <w:jc w:val="center"/>
              <w:rPr>
                <w:rFonts w:ascii="Arial" w:hAnsi="Arial" w:cs="Arial"/>
                <w:sz w:val="18"/>
                <w:szCs w:val="18"/>
              </w:rPr>
            </w:pPr>
            <w:r w:rsidRPr="000C7E1F">
              <w:rPr>
                <w:rFonts w:ascii="Arial" w:hAnsi="Arial" w:cs="Arial"/>
                <w:sz w:val="18"/>
                <w:szCs w:val="18"/>
              </w:rPr>
              <w:t>(A+B)</w:t>
            </w:r>
          </w:p>
        </w:tc>
      </w:tr>
      <w:tr w:rsidR="005518BD" w:rsidRPr="000C7E1F" w14:paraId="0059C516"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F5C93B3" w14:textId="77777777" w:rsidR="005518BD" w:rsidRPr="000C7E1F" w:rsidRDefault="005518BD" w:rsidP="005518BD">
            <w:pPr>
              <w:rPr>
                <w:rFonts w:ascii="Arial" w:hAnsi="Arial" w:cs="Arial"/>
                <w:sz w:val="18"/>
                <w:szCs w:val="18"/>
              </w:rPr>
            </w:pPr>
            <w:r w:rsidRPr="000C7E1F">
              <w:rPr>
                <w:rFonts w:ascii="Arial" w:hAnsi="Arial" w:cs="Arial"/>
                <w:sz w:val="18"/>
                <w:szCs w:val="18"/>
              </w:rPr>
              <w:t>Cível/Societário</w:t>
            </w:r>
          </w:p>
        </w:tc>
        <w:tc>
          <w:tcPr>
            <w:tcW w:w="597" w:type="pct"/>
            <w:tcBorders>
              <w:top w:val="nil"/>
              <w:left w:val="nil"/>
              <w:bottom w:val="single" w:sz="4" w:space="0" w:color="auto"/>
              <w:right w:val="single" w:sz="4" w:space="0" w:color="auto"/>
            </w:tcBorders>
            <w:noWrap/>
            <w:vAlign w:val="center"/>
          </w:tcPr>
          <w:p w14:paraId="6D9AF72B" w14:textId="6B2ED3FC" w:rsidR="005518BD" w:rsidRPr="000C7E1F" w:rsidRDefault="005518BD" w:rsidP="005518BD">
            <w:pPr>
              <w:jc w:val="right"/>
              <w:rPr>
                <w:rFonts w:ascii="Arial" w:hAnsi="Arial" w:cs="Arial"/>
                <w:sz w:val="18"/>
                <w:szCs w:val="18"/>
              </w:rPr>
            </w:pPr>
            <w:r w:rsidRPr="000C7E1F">
              <w:rPr>
                <w:rFonts w:ascii="Arial" w:hAnsi="Arial" w:cs="Arial"/>
                <w:color w:val="000000"/>
                <w:sz w:val="18"/>
                <w:szCs w:val="18"/>
              </w:rPr>
              <w:t>1.168</w:t>
            </w:r>
          </w:p>
        </w:tc>
        <w:tc>
          <w:tcPr>
            <w:tcW w:w="598" w:type="pct"/>
            <w:tcBorders>
              <w:top w:val="nil"/>
              <w:left w:val="nil"/>
              <w:bottom w:val="single" w:sz="4" w:space="0" w:color="auto"/>
              <w:right w:val="single" w:sz="4" w:space="0" w:color="auto"/>
            </w:tcBorders>
            <w:noWrap/>
            <w:vAlign w:val="center"/>
          </w:tcPr>
          <w:p w14:paraId="6D090EDA" w14:textId="27994D3B" w:rsidR="005518BD" w:rsidRPr="000C7E1F" w:rsidRDefault="005518BD" w:rsidP="005518BD">
            <w:pPr>
              <w:jc w:val="right"/>
              <w:rPr>
                <w:rFonts w:ascii="Arial" w:hAnsi="Arial" w:cs="Arial"/>
                <w:sz w:val="18"/>
                <w:szCs w:val="18"/>
              </w:rPr>
            </w:pPr>
            <w:r w:rsidRPr="000C7E1F">
              <w:rPr>
                <w:rFonts w:ascii="Arial" w:hAnsi="Arial" w:cs="Arial"/>
                <w:color w:val="000000" w:themeColor="text1"/>
                <w:sz w:val="18"/>
                <w:szCs w:val="18"/>
              </w:rPr>
              <w:t>55.519</w:t>
            </w:r>
          </w:p>
        </w:tc>
        <w:tc>
          <w:tcPr>
            <w:tcW w:w="601" w:type="pct"/>
            <w:tcBorders>
              <w:top w:val="nil"/>
              <w:left w:val="nil"/>
              <w:bottom w:val="single" w:sz="4" w:space="0" w:color="auto"/>
              <w:right w:val="single" w:sz="4" w:space="0" w:color="auto"/>
            </w:tcBorders>
            <w:noWrap/>
            <w:vAlign w:val="center"/>
          </w:tcPr>
          <w:p w14:paraId="0F8BA022" w14:textId="5D844A01" w:rsidR="005518BD" w:rsidRPr="000C7E1F" w:rsidRDefault="005518BD" w:rsidP="005518BD">
            <w:pPr>
              <w:jc w:val="right"/>
              <w:rPr>
                <w:rFonts w:ascii="Arial" w:hAnsi="Arial" w:cs="Arial"/>
                <w:sz w:val="18"/>
                <w:szCs w:val="18"/>
              </w:rPr>
            </w:pPr>
            <w:r w:rsidRPr="000C7E1F">
              <w:rPr>
                <w:rFonts w:ascii="Arial" w:hAnsi="Arial" w:cs="Arial"/>
                <w:color w:val="000000" w:themeColor="text1"/>
                <w:sz w:val="18"/>
                <w:szCs w:val="18"/>
              </w:rPr>
              <w:t>56.687</w:t>
            </w:r>
          </w:p>
        </w:tc>
        <w:tc>
          <w:tcPr>
            <w:tcW w:w="591" w:type="pct"/>
            <w:tcBorders>
              <w:top w:val="nil"/>
              <w:left w:val="nil"/>
              <w:bottom w:val="single" w:sz="4" w:space="0" w:color="auto"/>
              <w:right w:val="single" w:sz="4" w:space="0" w:color="auto"/>
            </w:tcBorders>
            <w:noWrap/>
            <w:vAlign w:val="center"/>
            <w:hideMark/>
          </w:tcPr>
          <w:p w14:paraId="7A8AF138" w14:textId="2BC365C0" w:rsidR="005518BD" w:rsidRPr="000C7E1F" w:rsidRDefault="005518BD" w:rsidP="005518BD">
            <w:pPr>
              <w:jc w:val="right"/>
              <w:rPr>
                <w:rFonts w:ascii="Arial" w:hAnsi="Arial" w:cs="Arial"/>
                <w:sz w:val="18"/>
                <w:szCs w:val="18"/>
              </w:rPr>
            </w:pPr>
            <w:r w:rsidRPr="000C7E1F">
              <w:rPr>
                <w:rFonts w:ascii="Arial" w:hAnsi="Arial" w:cs="Arial"/>
                <w:color w:val="000000"/>
                <w:sz w:val="18"/>
                <w:szCs w:val="18"/>
              </w:rPr>
              <w:t>1.147</w:t>
            </w:r>
          </w:p>
        </w:tc>
        <w:tc>
          <w:tcPr>
            <w:tcW w:w="570" w:type="pct"/>
            <w:tcBorders>
              <w:top w:val="nil"/>
              <w:left w:val="nil"/>
              <w:bottom w:val="single" w:sz="4" w:space="0" w:color="auto"/>
              <w:right w:val="single" w:sz="4" w:space="0" w:color="auto"/>
            </w:tcBorders>
            <w:noWrap/>
            <w:vAlign w:val="center"/>
            <w:hideMark/>
          </w:tcPr>
          <w:p w14:paraId="3F54EC60" w14:textId="1FFA00FA" w:rsidR="005518BD" w:rsidRPr="000C7E1F" w:rsidRDefault="005518BD" w:rsidP="005518BD">
            <w:pPr>
              <w:jc w:val="right"/>
              <w:rPr>
                <w:rFonts w:ascii="Arial" w:hAnsi="Arial" w:cs="Arial"/>
                <w:sz w:val="18"/>
                <w:szCs w:val="18"/>
              </w:rPr>
            </w:pPr>
            <w:r w:rsidRPr="000C7E1F">
              <w:rPr>
                <w:rFonts w:ascii="Arial" w:hAnsi="Arial" w:cs="Arial"/>
                <w:color w:val="000000" w:themeColor="text1"/>
                <w:sz w:val="18"/>
                <w:szCs w:val="18"/>
              </w:rPr>
              <w:t>54.490</w:t>
            </w:r>
          </w:p>
        </w:tc>
        <w:tc>
          <w:tcPr>
            <w:tcW w:w="546" w:type="pct"/>
            <w:tcBorders>
              <w:top w:val="nil"/>
              <w:left w:val="nil"/>
              <w:bottom w:val="single" w:sz="4" w:space="0" w:color="auto"/>
              <w:right w:val="single" w:sz="4" w:space="0" w:color="auto"/>
            </w:tcBorders>
            <w:noWrap/>
            <w:vAlign w:val="center"/>
            <w:hideMark/>
          </w:tcPr>
          <w:p w14:paraId="37FD029B" w14:textId="1FDC9FFD" w:rsidR="005518BD" w:rsidRPr="000C7E1F" w:rsidRDefault="005518BD" w:rsidP="005518BD">
            <w:pPr>
              <w:jc w:val="right"/>
              <w:rPr>
                <w:rFonts w:ascii="Arial" w:hAnsi="Arial" w:cs="Arial"/>
                <w:sz w:val="18"/>
                <w:szCs w:val="18"/>
              </w:rPr>
            </w:pPr>
            <w:r w:rsidRPr="000C7E1F">
              <w:rPr>
                <w:rFonts w:ascii="Arial" w:hAnsi="Arial" w:cs="Arial"/>
                <w:color w:val="000000" w:themeColor="text1"/>
                <w:sz w:val="18"/>
                <w:szCs w:val="18"/>
              </w:rPr>
              <w:t>55.637</w:t>
            </w:r>
          </w:p>
        </w:tc>
      </w:tr>
      <w:tr w:rsidR="005518BD" w:rsidRPr="000C7E1F" w14:paraId="6A03AFEF"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EEA8921" w14:textId="77777777" w:rsidR="005518BD" w:rsidRPr="000C7E1F" w:rsidRDefault="005518BD" w:rsidP="005518BD">
            <w:pPr>
              <w:rPr>
                <w:rFonts w:ascii="Arial" w:hAnsi="Arial" w:cs="Arial"/>
                <w:sz w:val="18"/>
                <w:szCs w:val="18"/>
              </w:rPr>
            </w:pPr>
            <w:r w:rsidRPr="000C7E1F">
              <w:rPr>
                <w:rFonts w:ascii="Arial" w:hAnsi="Arial" w:cs="Arial"/>
                <w:sz w:val="18"/>
                <w:szCs w:val="18"/>
              </w:rPr>
              <w:t>Trabalhista</w:t>
            </w:r>
          </w:p>
        </w:tc>
        <w:tc>
          <w:tcPr>
            <w:tcW w:w="597" w:type="pct"/>
            <w:tcBorders>
              <w:top w:val="nil"/>
              <w:left w:val="nil"/>
              <w:bottom w:val="single" w:sz="4" w:space="0" w:color="auto"/>
              <w:right w:val="single" w:sz="4" w:space="0" w:color="auto"/>
            </w:tcBorders>
            <w:noWrap/>
            <w:vAlign w:val="center"/>
          </w:tcPr>
          <w:p w14:paraId="569B69F1" w14:textId="081A941D" w:rsidR="005518BD" w:rsidRPr="000C7E1F" w:rsidRDefault="005518BD" w:rsidP="005518BD">
            <w:pPr>
              <w:jc w:val="right"/>
              <w:rPr>
                <w:rFonts w:ascii="Arial" w:hAnsi="Arial" w:cs="Arial"/>
                <w:sz w:val="18"/>
                <w:szCs w:val="18"/>
              </w:rPr>
            </w:pPr>
            <w:r w:rsidRPr="000C7E1F">
              <w:rPr>
                <w:rFonts w:ascii="Arial" w:hAnsi="Arial" w:cs="Arial"/>
                <w:color w:val="000000"/>
                <w:sz w:val="18"/>
                <w:szCs w:val="18"/>
              </w:rPr>
              <w:t>967</w:t>
            </w:r>
          </w:p>
        </w:tc>
        <w:tc>
          <w:tcPr>
            <w:tcW w:w="598" w:type="pct"/>
            <w:tcBorders>
              <w:top w:val="nil"/>
              <w:left w:val="nil"/>
              <w:bottom w:val="single" w:sz="4" w:space="0" w:color="auto"/>
              <w:right w:val="single" w:sz="4" w:space="0" w:color="auto"/>
            </w:tcBorders>
            <w:noWrap/>
            <w:vAlign w:val="center"/>
          </w:tcPr>
          <w:p w14:paraId="233C182D" w14:textId="5ED5A405" w:rsidR="005518BD" w:rsidRPr="000C7E1F" w:rsidRDefault="005518BD" w:rsidP="005518BD">
            <w:pPr>
              <w:jc w:val="right"/>
              <w:rPr>
                <w:rFonts w:ascii="Arial" w:hAnsi="Arial" w:cs="Arial"/>
                <w:sz w:val="18"/>
                <w:szCs w:val="18"/>
              </w:rPr>
            </w:pPr>
            <w:r w:rsidRPr="000C7E1F">
              <w:rPr>
                <w:rFonts w:ascii="Arial" w:hAnsi="Arial" w:cs="Arial"/>
                <w:color w:val="000000"/>
                <w:sz w:val="18"/>
                <w:szCs w:val="18"/>
              </w:rPr>
              <w:t>278</w:t>
            </w:r>
          </w:p>
        </w:tc>
        <w:tc>
          <w:tcPr>
            <w:tcW w:w="601" w:type="pct"/>
            <w:tcBorders>
              <w:top w:val="nil"/>
              <w:left w:val="nil"/>
              <w:bottom w:val="single" w:sz="4" w:space="0" w:color="auto"/>
              <w:right w:val="single" w:sz="4" w:space="0" w:color="auto"/>
            </w:tcBorders>
            <w:noWrap/>
            <w:vAlign w:val="center"/>
          </w:tcPr>
          <w:p w14:paraId="5378494B" w14:textId="036FABBC" w:rsidR="005518BD" w:rsidRPr="000C7E1F" w:rsidRDefault="005518BD" w:rsidP="005518BD">
            <w:pPr>
              <w:jc w:val="right"/>
              <w:rPr>
                <w:rFonts w:ascii="Arial" w:hAnsi="Arial" w:cs="Arial"/>
                <w:sz w:val="18"/>
                <w:szCs w:val="18"/>
              </w:rPr>
            </w:pPr>
            <w:r w:rsidRPr="000C7E1F">
              <w:rPr>
                <w:rFonts w:ascii="Arial" w:hAnsi="Arial" w:cs="Arial"/>
                <w:color w:val="000000"/>
                <w:sz w:val="18"/>
                <w:szCs w:val="18"/>
              </w:rPr>
              <w:t>1.245</w:t>
            </w:r>
          </w:p>
        </w:tc>
        <w:tc>
          <w:tcPr>
            <w:tcW w:w="591" w:type="pct"/>
            <w:tcBorders>
              <w:top w:val="nil"/>
              <w:left w:val="nil"/>
              <w:bottom w:val="single" w:sz="4" w:space="0" w:color="auto"/>
              <w:right w:val="single" w:sz="4" w:space="0" w:color="auto"/>
            </w:tcBorders>
            <w:noWrap/>
            <w:vAlign w:val="center"/>
            <w:hideMark/>
          </w:tcPr>
          <w:p w14:paraId="48A09F02" w14:textId="45B5E4D2" w:rsidR="005518BD" w:rsidRPr="000C7E1F" w:rsidRDefault="005518BD" w:rsidP="005518BD">
            <w:pPr>
              <w:jc w:val="right"/>
              <w:rPr>
                <w:rFonts w:ascii="Arial" w:hAnsi="Arial" w:cs="Arial"/>
                <w:sz w:val="18"/>
                <w:szCs w:val="18"/>
              </w:rPr>
            </w:pPr>
            <w:r w:rsidRPr="000C7E1F">
              <w:rPr>
                <w:rFonts w:ascii="Arial" w:hAnsi="Arial" w:cs="Arial"/>
                <w:color w:val="000000"/>
                <w:sz w:val="18"/>
                <w:szCs w:val="18"/>
              </w:rPr>
              <w:t>1.057</w:t>
            </w:r>
          </w:p>
        </w:tc>
        <w:tc>
          <w:tcPr>
            <w:tcW w:w="570" w:type="pct"/>
            <w:tcBorders>
              <w:top w:val="nil"/>
              <w:left w:val="nil"/>
              <w:bottom w:val="single" w:sz="4" w:space="0" w:color="auto"/>
              <w:right w:val="single" w:sz="4" w:space="0" w:color="auto"/>
            </w:tcBorders>
            <w:noWrap/>
            <w:vAlign w:val="center"/>
            <w:hideMark/>
          </w:tcPr>
          <w:p w14:paraId="5500E49F" w14:textId="31E875BA" w:rsidR="005518BD" w:rsidRPr="000C7E1F" w:rsidRDefault="005518BD" w:rsidP="005518BD">
            <w:pPr>
              <w:jc w:val="right"/>
              <w:rPr>
                <w:rFonts w:ascii="Arial" w:hAnsi="Arial" w:cs="Arial"/>
                <w:sz w:val="18"/>
                <w:szCs w:val="18"/>
              </w:rPr>
            </w:pPr>
            <w:r w:rsidRPr="000C7E1F">
              <w:rPr>
                <w:rFonts w:ascii="Arial" w:hAnsi="Arial" w:cs="Arial"/>
                <w:color w:val="000000"/>
                <w:sz w:val="18"/>
                <w:szCs w:val="18"/>
              </w:rPr>
              <w:t>232</w:t>
            </w:r>
          </w:p>
        </w:tc>
        <w:tc>
          <w:tcPr>
            <w:tcW w:w="546" w:type="pct"/>
            <w:tcBorders>
              <w:top w:val="nil"/>
              <w:left w:val="nil"/>
              <w:bottom w:val="single" w:sz="4" w:space="0" w:color="auto"/>
              <w:right w:val="single" w:sz="4" w:space="0" w:color="auto"/>
            </w:tcBorders>
            <w:noWrap/>
            <w:vAlign w:val="center"/>
            <w:hideMark/>
          </w:tcPr>
          <w:p w14:paraId="1E4F79E3" w14:textId="1C0C2DC9" w:rsidR="005518BD" w:rsidRPr="000C7E1F" w:rsidRDefault="005518BD" w:rsidP="005518BD">
            <w:pPr>
              <w:jc w:val="right"/>
              <w:rPr>
                <w:rFonts w:ascii="Arial" w:hAnsi="Arial" w:cs="Arial"/>
                <w:sz w:val="18"/>
                <w:szCs w:val="18"/>
              </w:rPr>
            </w:pPr>
            <w:r w:rsidRPr="000C7E1F">
              <w:rPr>
                <w:rFonts w:ascii="Arial" w:hAnsi="Arial" w:cs="Arial"/>
                <w:color w:val="000000"/>
                <w:sz w:val="18"/>
                <w:szCs w:val="18"/>
              </w:rPr>
              <w:t>1.289</w:t>
            </w:r>
          </w:p>
        </w:tc>
      </w:tr>
      <w:tr w:rsidR="005518BD" w:rsidRPr="000C7E1F" w14:paraId="5192C7E7"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2A81660D" w14:textId="77777777" w:rsidR="005518BD" w:rsidRPr="000C7E1F" w:rsidRDefault="005518BD" w:rsidP="005518BD">
            <w:pPr>
              <w:rPr>
                <w:rFonts w:ascii="Arial" w:hAnsi="Arial" w:cs="Arial"/>
                <w:color w:val="000000"/>
                <w:sz w:val="18"/>
                <w:szCs w:val="18"/>
              </w:rPr>
            </w:pPr>
            <w:r w:rsidRPr="000C7E1F">
              <w:rPr>
                <w:rFonts w:ascii="Arial" w:hAnsi="Arial" w:cs="Arial"/>
                <w:color w:val="000000"/>
                <w:sz w:val="18"/>
                <w:szCs w:val="18"/>
              </w:rPr>
              <w:t>Tributária</w:t>
            </w:r>
          </w:p>
        </w:tc>
        <w:tc>
          <w:tcPr>
            <w:tcW w:w="597" w:type="pct"/>
            <w:tcBorders>
              <w:top w:val="nil"/>
              <w:left w:val="nil"/>
              <w:bottom w:val="single" w:sz="4" w:space="0" w:color="auto"/>
              <w:right w:val="single" w:sz="4" w:space="0" w:color="auto"/>
            </w:tcBorders>
            <w:noWrap/>
            <w:vAlign w:val="center"/>
          </w:tcPr>
          <w:p w14:paraId="4134CEB9" w14:textId="6E0691C0" w:rsidR="005518BD" w:rsidRPr="000C7E1F" w:rsidRDefault="005518BD" w:rsidP="005518BD">
            <w:pPr>
              <w:jc w:val="right"/>
              <w:rPr>
                <w:rFonts w:ascii="Arial" w:hAnsi="Arial" w:cs="Arial"/>
                <w:color w:val="000000"/>
                <w:sz w:val="18"/>
                <w:szCs w:val="18"/>
              </w:rPr>
            </w:pPr>
            <w:r w:rsidRPr="000C7E1F">
              <w:rPr>
                <w:rFonts w:ascii="Arial" w:hAnsi="Arial" w:cs="Arial"/>
                <w:color w:val="000000"/>
                <w:sz w:val="18"/>
                <w:szCs w:val="18"/>
              </w:rPr>
              <w:t>542</w:t>
            </w:r>
          </w:p>
        </w:tc>
        <w:tc>
          <w:tcPr>
            <w:tcW w:w="598" w:type="pct"/>
            <w:tcBorders>
              <w:top w:val="nil"/>
              <w:left w:val="nil"/>
              <w:bottom w:val="single" w:sz="4" w:space="0" w:color="auto"/>
              <w:right w:val="single" w:sz="4" w:space="0" w:color="auto"/>
            </w:tcBorders>
            <w:noWrap/>
            <w:vAlign w:val="center"/>
          </w:tcPr>
          <w:p w14:paraId="21EB6C6C" w14:textId="1535EA65" w:rsidR="005518BD" w:rsidRPr="000C7E1F" w:rsidRDefault="005518BD" w:rsidP="005518BD">
            <w:pPr>
              <w:jc w:val="right"/>
              <w:rPr>
                <w:rFonts w:ascii="Arial" w:hAnsi="Arial" w:cs="Arial"/>
                <w:color w:val="000000"/>
                <w:sz w:val="18"/>
                <w:szCs w:val="18"/>
              </w:rPr>
            </w:pPr>
            <w:r w:rsidRPr="000C7E1F">
              <w:rPr>
                <w:rFonts w:ascii="Arial" w:hAnsi="Arial" w:cs="Arial"/>
                <w:color w:val="000000"/>
                <w:sz w:val="18"/>
                <w:szCs w:val="18"/>
              </w:rPr>
              <w:t>2.514</w:t>
            </w:r>
          </w:p>
        </w:tc>
        <w:tc>
          <w:tcPr>
            <w:tcW w:w="601" w:type="pct"/>
            <w:tcBorders>
              <w:top w:val="nil"/>
              <w:left w:val="nil"/>
              <w:bottom w:val="single" w:sz="4" w:space="0" w:color="auto"/>
              <w:right w:val="single" w:sz="4" w:space="0" w:color="auto"/>
            </w:tcBorders>
            <w:noWrap/>
            <w:vAlign w:val="center"/>
          </w:tcPr>
          <w:p w14:paraId="5FAB1D36" w14:textId="2191D538" w:rsidR="005518BD" w:rsidRPr="000C7E1F" w:rsidRDefault="005518BD" w:rsidP="005518BD">
            <w:pPr>
              <w:jc w:val="right"/>
              <w:rPr>
                <w:rFonts w:ascii="Arial" w:hAnsi="Arial" w:cs="Arial"/>
                <w:color w:val="000000"/>
                <w:sz w:val="18"/>
                <w:szCs w:val="18"/>
              </w:rPr>
            </w:pPr>
            <w:r w:rsidRPr="000C7E1F">
              <w:rPr>
                <w:rFonts w:ascii="Arial" w:hAnsi="Arial" w:cs="Arial"/>
                <w:color w:val="000000"/>
                <w:sz w:val="18"/>
                <w:szCs w:val="18"/>
              </w:rPr>
              <w:t>3.056</w:t>
            </w:r>
          </w:p>
        </w:tc>
        <w:tc>
          <w:tcPr>
            <w:tcW w:w="591" w:type="pct"/>
            <w:tcBorders>
              <w:top w:val="nil"/>
              <w:left w:val="nil"/>
              <w:bottom w:val="single" w:sz="4" w:space="0" w:color="auto"/>
              <w:right w:val="single" w:sz="4" w:space="0" w:color="auto"/>
            </w:tcBorders>
            <w:noWrap/>
            <w:vAlign w:val="center"/>
            <w:hideMark/>
          </w:tcPr>
          <w:p w14:paraId="428C8060" w14:textId="03A7C5F9" w:rsidR="005518BD" w:rsidRPr="000C7E1F" w:rsidRDefault="005518BD" w:rsidP="005518BD">
            <w:pPr>
              <w:jc w:val="right"/>
              <w:rPr>
                <w:rFonts w:ascii="Arial" w:hAnsi="Arial" w:cs="Arial"/>
                <w:color w:val="000000"/>
                <w:sz w:val="18"/>
                <w:szCs w:val="18"/>
              </w:rPr>
            </w:pPr>
            <w:r w:rsidRPr="000C7E1F">
              <w:rPr>
                <w:rFonts w:ascii="Arial" w:hAnsi="Arial" w:cs="Arial"/>
                <w:color w:val="000000"/>
                <w:sz w:val="18"/>
                <w:szCs w:val="18"/>
              </w:rPr>
              <w:t>532</w:t>
            </w:r>
          </w:p>
        </w:tc>
        <w:tc>
          <w:tcPr>
            <w:tcW w:w="570" w:type="pct"/>
            <w:tcBorders>
              <w:top w:val="nil"/>
              <w:left w:val="nil"/>
              <w:bottom w:val="single" w:sz="4" w:space="0" w:color="auto"/>
              <w:right w:val="single" w:sz="4" w:space="0" w:color="auto"/>
            </w:tcBorders>
            <w:noWrap/>
            <w:vAlign w:val="center"/>
            <w:hideMark/>
          </w:tcPr>
          <w:p w14:paraId="2325C1F6" w14:textId="20CFD14A" w:rsidR="005518BD" w:rsidRPr="000C7E1F" w:rsidRDefault="005518BD" w:rsidP="005518BD">
            <w:pPr>
              <w:jc w:val="right"/>
              <w:rPr>
                <w:rFonts w:ascii="Arial" w:hAnsi="Arial" w:cs="Arial"/>
                <w:color w:val="000000"/>
                <w:sz w:val="18"/>
                <w:szCs w:val="18"/>
              </w:rPr>
            </w:pPr>
            <w:r w:rsidRPr="000C7E1F">
              <w:rPr>
                <w:rFonts w:ascii="Arial" w:hAnsi="Arial" w:cs="Arial"/>
                <w:color w:val="000000"/>
                <w:sz w:val="18"/>
                <w:szCs w:val="18"/>
              </w:rPr>
              <w:t>2.419</w:t>
            </w:r>
          </w:p>
        </w:tc>
        <w:tc>
          <w:tcPr>
            <w:tcW w:w="546" w:type="pct"/>
            <w:tcBorders>
              <w:top w:val="nil"/>
              <w:left w:val="nil"/>
              <w:bottom w:val="single" w:sz="4" w:space="0" w:color="auto"/>
              <w:right w:val="single" w:sz="4" w:space="0" w:color="auto"/>
            </w:tcBorders>
            <w:noWrap/>
            <w:vAlign w:val="center"/>
            <w:hideMark/>
          </w:tcPr>
          <w:p w14:paraId="7A8EC119" w14:textId="1C553D86" w:rsidR="005518BD" w:rsidRPr="000C7E1F" w:rsidRDefault="005518BD" w:rsidP="005518BD">
            <w:pPr>
              <w:jc w:val="right"/>
              <w:rPr>
                <w:rFonts w:ascii="Arial" w:hAnsi="Arial" w:cs="Arial"/>
                <w:color w:val="000000"/>
                <w:sz w:val="18"/>
                <w:szCs w:val="18"/>
              </w:rPr>
            </w:pPr>
            <w:r w:rsidRPr="000C7E1F">
              <w:rPr>
                <w:rFonts w:ascii="Arial" w:hAnsi="Arial" w:cs="Arial"/>
                <w:color w:val="000000"/>
                <w:sz w:val="18"/>
                <w:szCs w:val="18"/>
              </w:rPr>
              <w:t>2.951</w:t>
            </w:r>
          </w:p>
        </w:tc>
      </w:tr>
      <w:tr w:rsidR="005518BD" w:rsidRPr="000C7E1F" w14:paraId="00A2419F"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070BD172" w14:textId="77777777" w:rsidR="005518BD" w:rsidRPr="000C7E1F" w:rsidRDefault="005518BD" w:rsidP="005518BD">
            <w:pPr>
              <w:rPr>
                <w:rFonts w:ascii="Arial" w:hAnsi="Arial" w:cs="Arial"/>
                <w:b/>
                <w:bCs/>
                <w:color w:val="000000"/>
                <w:sz w:val="18"/>
                <w:szCs w:val="18"/>
              </w:rPr>
            </w:pPr>
            <w:r w:rsidRPr="000C7E1F">
              <w:rPr>
                <w:rFonts w:ascii="Arial" w:hAnsi="Arial" w:cs="Arial"/>
                <w:b/>
                <w:bCs/>
                <w:color w:val="000000"/>
                <w:sz w:val="18"/>
                <w:szCs w:val="18"/>
              </w:rPr>
              <w:t>Total</w:t>
            </w:r>
          </w:p>
        </w:tc>
        <w:tc>
          <w:tcPr>
            <w:tcW w:w="597" w:type="pct"/>
            <w:tcBorders>
              <w:top w:val="nil"/>
              <w:left w:val="nil"/>
              <w:bottom w:val="single" w:sz="4" w:space="0" w:color="auto"/>
              <w:right w:val="single" w:sz="4" w:space="0" w:color="auto"/>
            </w:tcBorders>
            <w:noWrap/>
            <w:vAlign w:val="center"/>
          </w:tcPr>
          <w:p w14:paraId="6B6EC4CC" w14:textId="06F436ED"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2.677</w:t>
            </w:r>
          </w:p>
        </w:tc>
        <w:tc>
          <w:tcPr>
            <w:tcW w:w="598" w:type="pct"/>
            <w:tcBorders>
              <w:top w:val="nil"/>
              <w:left w:val="nil"/>
              <w:bottom w:val="single" w:sz="4" w:space="0" w:color="auto"/>
              <w:right w:val="single" w:sz="4" w:space="0" w:color="auto"/>
            </w:tcBorders>
            <w:noWrap/>
            <w:vAlign w:val="center"/>
          </w:tcPr>
          <w:p w14:paraId="1380C3C4" w14:textId="3086ED67"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58.311</w:t>
            </w:r>
          </w:p>
        </w:tc>
        <w:tc>
          <w:tcPr>
            <w:tcW w:w="601" w:type="pct"/>
            <w:tcBorders>
              <w:top w:val="nil"/>
              <w:left w:val="nil"/>
              <w:bottom w:val="single" w:sz="4" w:space="0" w:color="auto"/>
              <w:right w:val="single" w:sz="4" w:space="0" w:color="auto"/>
            </w:tcBorders>
            <w:noWrap/>
            <w:vAlign w:val="center"/>
          </w:tcPr>
          <w:p w14:paraId="4DE30135" w14:textId="2E02F358"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60.988</w:t>
            </w:r>
          </w:p>
        </w:tc>
        <w:tc>
          <w:tcPr>
            <w:tcW w:w="591" w:type="pct"/>
            <w:tcBorders>
              <w:top w:val="nil"/>
              <w:left w:val="nil"/>
              <w:bottom w:val="single" w:sz="4" w:space="0" w:color="auto"/>
              <w:right w:val="single" w:sz="4" w:space="0" w:color="auto"/>
            </w:tcBorders>
            <w:noWrap/>
            <w:vAlign w:val="center"/>
            <w:hideMark/>
          </w:tcPr>
          <w:p w14:paraId="18B22147" w14:textId="69983EEC"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2.736</w:t>
            </w:r>
          </w:p>
        </w:tc>
        <w:tc>
          <w:tcPr>
            <w:tcW w:w="570" w:type="pct"/>
            <w:tcBorders>
              <w:top w:val="nil"/>
              <w:left w:val="nil"/>
              <w:bottom w:val="single" w:sz="4" w:space="0" w:color="auto"/>
              <w:right w:val="single" w:sz="4" w:space="0" w:color="auto"/>
            </w:tcBorders>
            <w:noWrap/>
            <w:vAlign w:val="center"/>
            <w:hideMark/>
          </w:tcPr>
          <w:p w14:paraId="04B35E2A" w14:textId="39B141EE"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57.141</w:t>
            </w:r>
          </w:p>
        </w:tc>
        <w:tc>
          <w:tcPr>
            <w:tcW w:w="546" w:type="pct"/>
            <w:tcBorders>
              <w:top w:val="nil"/>
              <w:left w:val="nil"/>
              <w:bottom w:val="single" w:sz="4" w:space="0" w:color="auto"/>
              <w:right w:val="single" w:sz="4" w:space="0" w:color="auto"/>
            </w:tcBorders>
            <w:noWrap/>
            <w:vAlign w:val="center"/>
            <w:hideMark/>
          </w:tcPr>
          <w:p w14:paraId="70301BAA" w14:textId="55CA2C0B"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59.877</w:t>
            </w:r>
          </w:p>
        </w:tc>
      </w:tr>
      <w:tr w:rsidR="005518BD" w:rsidRPr="000C7E1F" w14:paraId="6E342B76"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6BBC23C9" w14:textId="77777777" w:rsidR="005518BD" w:rsidRPr="000C7E1F" w:rsidRDefault="005518BD" w:rsidP="005518BD">
            <w:pPr>
              <w:rPr>
                <w:rFonts w:ascii="Arial" w:hAnsi="Arial" w:cs="Arial"/>
                <w:b/>
                <w:bCs/>
                <w:color w:val="000000"/>
                <w:sz w:val="18"/>
                <w:szCs w:val="18"/>
              </w:rPr>
            </w:pPr>
            <w:r w:rsidRPr="000C7E1F">
              <w:rPr>
                <w:rFonts w:ascii="Arial" w:hAnsi="Arial" w:cs="Arial"/>
                <w:b/>
                <w:bCs/>
                <w:color w:val="000000"/>
                <w:sz w:val="18"/>
                <w:szCs w:val="18"/>
              </w:rPr>
              <w:t xml:space="preserve">Circulante </w:t>
            </w:r>
          </w:p>
        </w:tc>
        <w:tc>
          <w:tcPr>
            <w:tcW w:w="597" w:type="pct"/>
            <w:tcBorders>
              <w:top w:val="nil"/>
              <w:left w:val="nil"/>
              <w:bottom w:val="single" w:sz="4" w:space="0" w:color="auto"/>
              <w:right w:val="single" w:sz="4" w:space="0" w:color="auto"/>
            </w:tcBorders>
            <w:vAlign w:val="center"/>
          </w:tcPr>
          <w:p w14:paraId="2BB5CA9C" w14:textId="09190BB1"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1.098</w:t>
            </w:r>
          </w:p>
        </w:tc>
        <w:tc>
          <w:tcPr>
            <w:tcW w:w="598" w:type="pct"/>
            <w:tcBorders>
              <w:top w:val="nil"/>
              <w:left w:val="nil"/>
              <w:bottom w:val="single" w:sz="4" w:space="0" w:color="auto"/>
              <w:right w:val="single" w:sz="4" w:space="0" w:color="auto"/>
            </w:tcBorders>
            <w:vAlign w:val="center"/>
          </w:tcPr>
          <w:p w14:paraId="782A99F6" w14:textId="23F92153"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6.357</w:t>
            </w:r>
          </w:p>
        </w:tc>
        <w:tc>
          <w:tcPr>
            <w:tcW w:w="601" w:type="pct"/>
            <w:tcBorders>
              <w:top w:val="nil"/>
              <w:left w:val="nil"/>
              <w:bottom w:val="single" w:sz="4" w:space="0" w:color="auto"/>
              <w:right w:val="single" w:sz="4" w:space="0" w:color="auto"/>
            </w:tcBorders>
            <w:noWrap/>
            <w:vAlign w:val="center"/>
          </w:tcPr>
          <w:p w14:paraId="156163A9" w14:textId="7E615941"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7.455</w:t>
            </w:r>
          </w:p>
        </w:tc>
        <w:tc>
          <w:tcPr>
            <w:tcW w:w="591" w:type="pct"/>
            <w:tcBorders>
              <w:top w:val="nil"/>
              <w:left w:val="nil"/>
              <w:bottom w:val="single" w:sz="4" w:space="0" w:color="auto"/>
              <w:right w:val="single" w:sz="4" w:space="0" w:color="auto"/>
            </w:tcBorders>
            <w:vAlign w:val="center"/>
            <w:hideMark/>
          </w:tcPr>
          <w:p w14:paraId="54391672" w14:textId="51088009"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1.079</w:t>
            </w:r>
          </w:p>
        </w:tc>
        <w:tc>
          <w:tcPr>
            <w:tcW w:w="570" w:type="pct"/>
            <w:tcBorders>
              <w:top w:val="nil"/>
              <w:left w:val="nil"/>
              <w:bottom w:val="single" w:sz="4" w:space="0" w:color="auto"/>
              <w:right w:val="single" w:sz="4" w:space="0" w:color="auto"/>
            </w:tcBorders>
            <w:vAlign w:val="center"/>
            <w:hideMark/>
          </w:tcPr>
          <w:p w14:paraId="2D1EFB44" w14:textId="736AAEA6"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6.232</w:t>
            </w:r>
          </w:p>
        </w:tc>
        <w:tc>
          <w:tcPr>
            <w:tcW w:w="546" w:type="pct"/>
            <w:tcBorders>
              <w:top w:val="nil"/>
              <w:left w:val="nil"/>
              <w:bottom w:val="single" w:sz="4" w:space="0" w:color="auto"/>
              <w:right w:val="single" w:sz="4" w:space="0" w:color="auto"/>
            </w:tcBorders>
            <w:noWrap/>
            <w:vAlign w:val="center"/>
            <w:hideMark/>
          </w:tcPr>
          <w:p w14:paraId="189A301B" w14:textId="47E2E76D"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7.311</w:t>
            </w:r>
          </w:p>
        </w:tc>
      </w:tr>
      <w:tr w:rsidR="005518BD" w:rsidRPr="00586D53" w14:paraId="30026201" w14:textId="77777777" w:rsidTr="00590ADA">
        <w:trPr>
          <w:trHeight w:val="254"/>
        </w:trPr>
        <w:tc>
          <w:tcPr>
            <w:tcW w:w="1497" w:type="pct"/>
            <w:tcBorders>
              <w:top w:val="nil"/>
              <w:left w:val="single" w:sz="4" w:space="0" w:color="auto"/>
              <w:bottom w:val="single" w:sz="4" w:space="0" w:color="auto"/>
              <w:right w:val="single" w:sz="4" w:space="0" w:color="auto"/>
            </w:tcBorders>
            <w:noWrap/>
            <w:vAlign w:val="center"/>
            <w:hideMark/>
          </w:tcPr>
          <w:p w14:paraId="62743BC9" w14:textId="77777777" w:rsidR="005518BD" w:rsidRPr="000C7E1F" w:rsidRDefault="005518BD" w:rsidP="005518BD">
            <w:pPr>
              <w:rPr>
                <w:rFonts w:ascii="Arial" w:hAnsi="Arial" w:cs="Arial"/>
                <w:b/>
                <w:bCs/>
                <w:color w:val="000000"/>
                <w:sz w:val="18"/>
                <w:szCs w:val="18"/>
              </w:rPr>
            </w:pPr>
            <w:r w:rsidRPr="000C7E1F">
              <w:rPr>
                <w:rFonts w:ascii="Arial" w:hAnsi="Arial" w:cs="Arial"/>
                <w:b/>
                <w:bCs/>
                <w:color w:val="000000"/>
                <w:sz w:val="18"/>
                <w:szCs w:val="18"/>
              </w:rPr>
              <w:t>Não Circulante</w:t>
            </w:r>
          </w:p>
        </w:tc>
        <w:tc>
          <w:tcPr>
            <w:tcW w:w="597" w:type="pct"/>
            <w:tcBorders>
              <w:top w:val="nil"/>
              <w:left w:val="nil"/>
              <w:bottom w:val="single" w:sz="4" w:space="0" w:color="auto"/>
              <w:right w:val="single" w:sz="4" w:space="0" w:color="auto"/>
            </w:tcBorders>
            <w:vAlign w:val="center"/>
          </w:tcPr>
          <w:p w14:paraId="202679D8" w14:textId="1741B96D"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1.579</w:t>
            </w:r>
          </w:p>
        </w:tc>
        <w:tc>
          <w:tcPr>
            <w:tcW w:w="598" w:type="pct"/>
            <w:tcBorders>
              <w:top w:val="nil"/>
              <w:left w:val="nil"/>
              <w:bottom w:val="single" w:sz="4" w:space="0" w:color="auto"/>
              <w:right w:val="single" w:sz="4" w:space="0" w:color="auto"/>
            </w:tcBorders>
            <w:vAlign w:val="center"/>
          </w:tcPr>
          <w:p w14:paraId="7F1D158D" w14:textId="12329B50"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51.954</w:t>
            </w:r>
          </w:p>
        </w:tc>
        <w:tc>
          <w:tcPr>
            <w:tcW w:w="601" w:type="pct"/>
            <w:tcBorders>
              <w:top w:val="nil"/>
              <w:left w:val="nil"/>
              <w:bottom w:val="single" w:sz="4" w:space="0" w:color="auto"/>
              <w:right w:val="single" w:sz="4" w:space="0" w:color="auto"/>
            </w:tcBorders>
            <w:noWrap/>
            <w:vAlign w:val="center"/>
          </w:tcPr>
          <w:p w14:paraId="19D0CA5F" w14:textId="67D74924"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53.533</w:t>
            </w:r>
          </w:p>
        </w:tc>
        <w:tc>
          <w:tcPr>
            <w:tcW w:w="591" w:type="pct"/>
            <w:tcBorders>
              <w:top w:val="nil"/>
              <w:left w:val="nil"/>
              <w:bottom w:val="single" w:sz="4" w:space="0" w:color="auto"/>
              <w:right w:val="single" w:sz="4" w:space="0" w:color="auto"/>
            </w:tcBorders>
            <w:vAlign w:val="center"/>
            <w:hideMark/>
          </w:tcPr>
          <w:p w14:paraId="79F053A2" w14:textId="1764AF5D"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1.657</w:t>
            </w:r>
          </w:p>
        </w:tc>
        <w:tc>
          <w:tcPr>
            <w:tcW w:w="570" w:type="pct"/>
            <w:tcBorders>
              <w:top w:val="nil"/>
              <w:left w:val="nil"/>
              <w:bottom w:val="single" w:sz="4" w:space="0" w:color="auto"/>
              <w:right w:val="single" w:sz="4" w:space="0" w:color="auto"/>
            </w:tcBorders>
            <w:vAlign w:val="center"/>
            <w:hideMark/>
          </w:tcPr>
          <w:p w14:paraId="13C565BD" w14:textId="2CF71159" w:rsidR="005518BD" w:rsidRPr="000C7E1F"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50.909</w:t>
            </w:r>
          </w:p>
        </w:tc>
        <w:tc>
          <w:tcPr>
            <w:tcW w:w="546" w:type="pct"/>
            <w:tcBorders>
              <w:top w:val="nil"/>
              <w:left w:val="nil"/>
              <w:bottom w:val="single" w:sz="4" w:space="0" w:color="auto"/>
              <w:right w:val="single" w:sz="4" w:space="0" w:color="auto"/>
            </w:tcBorders>
            <w:noWrap/>
            <w:vAlign w:val="center"/>
            <w:hideMark/>
          </w:tcPr>
          <w:p w14:paraId="16DCCF1E" w14:textId="3A0CA07F" w:rsidR="005518BD" w:rsidRPr="009963CC" w:rsidRDefault="005518BD" w:rsidP="005518BD">
            <w:pPr>
              <w:jc w:val="right"/>
              <w:rPr>
                <w:rFonts w:ascii="Arial" w:hAnsi="Arial" w:cs="Arial"/>
                <w:b/>
                <w:bCs/>
                <w:color w:val="000000"/>
                <w:sz w:val="18"/>
                <w:szCs w:val="18"/>
              </w:rPr>
            </w:pPr>
            <w:r w:rsidRPr="000C7E1F">
              <w:rPr>
                <w:rFonts w:ascii="Arial" w:hAnsi="Arial" w:cs="Arial"/>
                <w:b/>
                <w:bCs/>
                <w:color w:val="000000"/>
                <w:sz w:val="18"/>
                <w:szCs w:val="18"/>
              </w:rPr>
              <w:t>52.566</w:t>
            </w:r>
          </w:p>
        </w:tc>
      </w:tr>
    </w:tbl>
    <w:p w14:paraId="3E51CF84" w14:textId="77777777" w:rsidR="006D1D0B" w:rsidRDefault="006D1D0B" w:rsidP="006D1D0B">
      <w:pPr>
        <w:spacing w:line="276" w:lineRule="auto"/>
        <w:jc w:val="both"/>
        <w:rPr>
          <w:rFonts w:ascii="Arial" w:hAnsi="Arial" w:cs="Arial"/>
          <w:sz w:val="22"/>
          <w:szCs w:val="22"/>
        </w:rPr>
      </w:pPr>
    </w:p>
    <w:p w14:paraId="6392C116" w14:textId="225B337A" w:rsidR="006D1D0B" w:rsidRPr="002A36CE" w:rsidRDefault="006D1D0B" w:rsidP="009541E1">
      <w:pPr>
        <w:pStyle w:val="Ttulo2"/>
        <w:numPr>
          <w:ilvl w:val="1"/>
          <w:numId w:val="5"/>
        </w:numPr>
        <w:tabs>
          <w:tab w:val="clear" w:pos="284"/>
          <w:tab w:val="clear" w:pos="340"/>
        </w:tabs>
        <w:spacing w:before="0" w:after="0"/>
        <w:ind w:left="567" w:hanging="567"/>
        <w:jc w:val="both"/>
        <w:rPr>
          <w:rFonts w:ascii="Arial" w:hAnsi="Arial" w:cs="Arial"/>
        </w:rPr>
      </w:pPr>
      <w:r>
        <w:rPr>
          <w:rFonts w:ascii="Arial" w:hAnsi="Arial" w:cs="Arial"/>
        </w:rPr>
        <w:t>Movimentação dos dep</w:t>
      </w:r>
      <w:r w:rsidR="00527768">
        <w:rPr>
          <w:rFonts w:ascii="Arial" w:hAnsi="Arial" w:cs="Arial"/>
        </w:rPr>
        <w:t>ó</w:t>
      </w:r>
      <w:r>
        <w:rPr>
          <w:rFonts w:ascii="Arial" w:hAnsi="Arial" w:cs="Arial"/>
        </w:rPr>
        <w:t>s</w:t>
      </w:r>
      <w:r w:rsidR="00527768">
        <w:rPr>
          <w:rFonts w:ascii="Arial" w:hAnsi="Arial" w:cs="Arial"/>
        </w:rPr>
        <w:t>i</w:t>
      </w:r>
      <w:r>
        <w:rPr>
          <w:rFonts w:ascii="Arial" w:hAnsi="Arial" w:cs="Arial"/>
        </w:rPr>
        <w:t>tos judiciais</w:t>
      </w:r>
    </w:p>
    <w:p w14:paraId="1006436F" w14:textId="77777777" w:rsidR="006D1D0B" w:rsidRPr="005736DE" w:rsidRDefault="006D1D0B" w:rsidP="006D1D0B">
      <w:pPr>
        <w:ind w:left="567" w:hanging="567"/>
        <w:rPr>
          <w:rFonts w:ascii="Arial" w:hAnsi="Arial" w:cs="Arial"/>
          <w:sz w:val="22"/>
          <w:szCs w:val="22"/>
        </w:rPr>
      </w:pPr>
    </w:p>
    <w:p w14:paraId="5C2C76C7" w14:textId="05358933" w:rsidR="0090541C" w:rsidRPr="00352F14" w:rsidRDefault="00EA0BE3" w:rsidP="00352F14">
      <w:pPr>
        <w:jc w:val="both"/>
        <w:rPr>
          <w:rFonts w:ascii="Arial" w:hAnsi="Arial" w:cs="Arial"/>
          <w:sz w:val="22"/>
          <w:szCs w:val="22"/>
        </w:rPr>
      </w:pPr>
      <w:r w:rsidRPr="00EA0BE3">
        <w:rPr>
          <w:rFonts w:ascii="Arial" w:hAnsi="Arial" w:cs="Arial"/>
          <w:sz w:val="22"/>
          <w:szCs w:val="22"/>
        </w:rPr>
        <w:t xml:space="preserve">A movimentação dos depósitos judiciais no </w:t>
      </w:r>
      <w:r w:rsidR="009766D9">
        <w:rPr>
          <w:rFonts w:ascii="Arial" w:hAnsi="Arial" w:cs="Arial"/>
          <w:sz w:val="22"/>
          <w:szCs w:val="22"/>
        </w:rPr>
        <w:t>primeiro trimestre de 2026</w:t>
      </w:r>
      <w:r w:rsidRPr="00EA0BE3">
        <w:rPr>
          <w:rFonts w:ascii="Arial" w:hAnsi="Arial" w:cs="Arial"/>
          <w:sz w:val="22"/>
          <w:szCs w:val="22"/>
        </w:rPr>
        <w:t>, está apresentada a seguir:</w:t>
      </w:r>
    </w:p>
    <w:p w14:paraId="0AE78E9D" w14:textId="77777777" w:rsidR="0090541C" w:rsidRDefault="0090541C" w:rsidP="00FF0E3E"/>
    <w:tbl>
      <w:tblPr>
        <w:tblW w:w="5000" w:type="pct"/>
        <w:tblCellMar>
          <w:left w:w="70" w:type="dxa"/>
          <w:right w:w="70" w:type="dxa"/>
        </w:tblCellMar>
        <w:tblLook w:val="04A0" w:firstRow="1" w:lastRow="0" w:firstColumn="1" w:lastColumn="0" w:noHBand="0" w:noVBand="1"/>
      </w:tblPr>
      <w:tblGrid>
        <w:gridCol w:w="6935"/>
        <w:gridCol w:w="2836"/>
      </w:tblGrid>
      <w:tr w:rsidR="00934146" w:rsidRPr="0090541C" w14:paraId="7278E60D" w14:textId="77777777" w:rsidTr="00934146">
        <w:trPr>
          <w:trHeight w:val="232"/>
        </w:trPr>
        <w:tc>
          <w:tcPr>
            <w:tcW w:w="3549" w:type="pct"/>
            <w:tcBorders>
              <w:top w:val="single" w:sz="4" w:space="0" w:color="auto"/>
              <w:left w:val="single" w:sz="4" w:space="0" w:color="auto"/>
              <w:bottom w:val="single" w:sz="4" w:space="0" w:color="auto"/>
              <w:right w:val="single" w:sz="4" w:space="0" w:color="auto"/>
            </w:tcBorders>
            <w:noWrap/>
            <w:vAlign w:val="center"/>
            <w:hideMark/>
          </w:tcPr>
          <w:p w14:paraId="74F55C84" w14:textId="77777777" w:rsidR="00934146" w:rsidRPr="0090541C" w:rsidRDefault="00934146">
            <w:pPr>
              <w:rPr>
                <w:rFonts w:ascii="Arial" w:hAnsi="Arial" w:cs="Arial"/>
                <w:b/>
                <w:bCs/>
                <w:color w:val="000000"/>
                <w:sz w:val="18"/>
                <w:szCs w:val="18"/>
              </w:rPr>
            </w:pPr>
            <w:r w:rsidRPr="0090541C">
              <w:rPr>
                <w:rFonts w:ascii="Arial" w:hAnsi="Arial" w:cs="Arial"/>
                <w:b/>
                <w:bCs/>
                <w:color w:val="000000"/>
                <w:sz w:val="18"/>
                <w:szCs w:val="18"/>
              </w:rPr>
              <w:t>Saldo em 31 de dezembro de 2025</w:t>
            </w:r>
          </w:p>
        </w:tc>
        <w:tc>
          <w:tcPr>
            <w:tcW w:w="1451" w:type="pct"/>
            <w:tcBorders>
              <w:top w:val="single" w:sz="4" w:space="0" w:color="auto"/>
              <w:left w:val="nil"/>
              <w:bottom w:val="single" w:sz="4" w:space="0" w:color="auto"/>
              <w:right w:val="single" w:sz="4" w:space="0" w:color="auto"/>
            </w:tcBorders>
            <w:noWrap/>
            <w:vAlign w:val="center"/>
            <w:hideMark/>
          </w:tcPr>
          <w:p w14:paraId="03EB3C67" w14:textId="77777777" w:rsidR="00934146" w:rsidRPr="0090541C" w:rsidRDefault="00934146">
            <w:pPr>
              <w:jc w:val="right"/>
              <w:rPr>
                <w:rFonts w:ascii="Arial" w:hAnsi="Arial" w:cs="Arial"/>
                <w:b/>
                <w:bCs/>
                <w:color w:val="000000"/>
                <w:sz w:val="18"/>
                <w:szCs w:val="18"/>
              </w:rPr>
            </w:pPr>
            <w:r w:rsidRPr="0090541C">
              <w:rPr>
                <w:rFonts w:ascii="Arial" w:hAnsi="Arial" w:cs="Arial"/>
                <w:b/>
                <w:bCs/>
                <w:color w:val="000000"/>
                <w:sz w:val="18"/>
                <w:szCs w:val="18"/>
              </w:rPr>
              <w:t xml:space="preserve">        59.877 </w:t>
            </w:r>
          </w:p>
        </w:tc>
      </w:tr>
      <w:tr w:rsidR="00934146" w:rsidRPr="0090541C" w14:paraId="2ABED626" w14:textId="77777777" w:rsidTr="00934146">
        <w:trPr>
          <w:trHeight w:val="232"/>
        </w:trPr>
        <w:tc>
          <w:tcPr>
            <w:tcW w:w="3549" w:type="pct"/>
            <w:tcBorders>
              <w:top w:val="nil"/>
              <w:left w:val="single" w:sz="4" w:space="0" w:color="auto"/>
              <w:bottom w:val="single" w:sz="4" w:space="0" w:color="auto"/>
              <w:right w:val="single" w:sz="4" w:space="0" w:color="auto"/>
            </w:tcBorders>
            <w:noWrap/>
            <w:vAlign w:val="center"/>
            <w:hideMark/>
          </w:tcPr>
          <w:p w14:paraId="231E6820" w14:textId="77777777" w:rsidR="00934146" w:rsidRPr="0090541C" w:rsidRDefault="00934146">
            <w:pPr>
              <w:rPr>
                <w:rFonts w:ascii="Arial" w:hAnsi="Arial" w:cs="Arial"/>
                <w:color w:val="000000"/>
                <w:sz w:val="18"/>
                <w:szCs w:val="18"/>
              </w:rPr>
            </w:pPr>
            <w:r w:rsidRPr="0090541C">
              <w:rPr>
                <w:rFonts w:ascii="Arial" w:hAnsi="Arial" w:cs="Arial"/>
                <w:color w:val="000000"/>
                <w:sz w:val="18"/>
                <w:szCs w:val="18"/>
              </w:rPr>
              <w:t xml:space="preserve">Adições </w:t>
            </w:r>
          </w:p>
        </w:tc>
        <w:tc>
          <w:tcPr>
            <w:tcW w:w="1451" w:type="pct"/>
            <w:tcBorders>
              <w:top w:val="nil"/>
              <w:left w:val="nil"/>
              <w:bottom w:val="single" w:sz="4" w:space="0" w:color="auto"/>
              <w:right w:val="single" w:sz="4" w:space="0" w:color="auto"/>
            </w:tcBorders>
            <w:noWrap/>
            <w:vAlign w:val="center"/>
            <w:hideMark/>
          </w:tcPr>
          <w:p w14:paraId="608D6093" w14:textId="77777777" w:rsidR="00934146" w:rsidRPr="0090541C" w:rsidRDefault="00934146">
            <w:pPr>
              <w:jc w:val="right"/>
              <w:rPr>
                <w:rFonts w:ascii="Arial" w:hAnsi="Arial" w:cs="Arial"/>
                <w:color w:val="000000"/>
                <w:sz w:val="18"/>
                <w:szCs w:val="18"/>
              </w:rPr>
            </w:pPr>
            <w:r w:rsidRPr="0090541C">
              <w:rPr>
                <w:rFonts w:ascii="Arial" w:hAnsi="Arial" w:cs="Arial"/>
                <w:color w:val="000000"/>
                <w:sz w:val="18"/>
                <w:szCs w:val="18"/>
              </w:rPr>
              <w:t xml:space="preserve">             144 </w:t>
            </w:r>
          </w:p>
        </w:tc>
      </w:tr>
      <w:tr w:rsidR="00934146" w:rsidRPr="0090541C" w14:paraId="7924DA61" w14:textId="77777777" w:rsidTr="00934146">
        <w:trPr>
          <w:trHeight w:val="232"/>
        </w:trPr>
        <w:tc>
          <w:tcPr>
            <w:tcW w:w="3549" w:type="pct"/>
            <w:tcBorders>
              <w:top w:val="nil"/>
              <w:left w:val="single" w:sz="4" w:space="0" w:color="auto"/>
              <w:bottom w:val="single" w:sz="4" w:space="0" w:color="auto"/>
              <w:right w:val="single" w:sz="4" w:space="0" w:color="auto"/>
            </w:tcBorders>
            <w:noWrap/>
            <w:vAlign w:val="center"/>
            <w:hideMark/>
          </w:tcPr>
          <w:p w14:paraId="762A351C" w14:textId="77777777" w:rsidR="00934146" w:rsidRPr="0090541C" w:rsidRDefault="00934146">
            <w:pPr>
              <w:rPr>
                <w:rFonts w:ascii="Arial" w:hAnsi="Arial" w:cs="Arial"/>
                <w:color w:val="000000"/>
                <w:sz w:val="18"/>
                <w:szCs w:val="18"/>
              </w:rPr>
            </w:pPr>
            <w:r w:rsidRPr="0090541C">
              <w:rPr>
                <w:rFonts w:ascii="Arial" w:hAnsi="Arial" w:cs="Arial"/>
                <w:color w:val="000000"/>
                <w:sz w:val="18"/>
                <w:szCs w:val="18"/>
              </w:rPr>
              <w:t>Baixas</w:t>
            </w:r>
          </w:p>
        </w:tc>
        <w:tc>
          <w:tcPr>
            <w:tcW w:w="1451" w:type="pct"/>
            <w:tcBorders>
              <w:top w:val="nil"/>
              <w:left w:val="nil"/>
              <w:bottom w:val="single" w:sz="4" w:space="0" w:color="auto"/>
              <w:right w:val="single" w:sz="4" w:space="0" w:color="auto"/>
            </w:tcBorders>
            <w:noWrap/>
            <w:vAlign w:val="center"/>
            <w:hideMark/>
          </w:tcPr>
          <w:p w14:paraId="4C44740C" w14:textId="77777777" w:rsidR="00934146" w:rsidRPr="0090541C" w:rsidRDefault="00934146">
            <w:pPr>
              <w:jc w:val="right"/>
              <w:rPr>
                <w:rFonts w:ascii="Arial" w:hAnsi="Arial" w:cs="Arial"/>
                <w:color w:val="000000"/>
                <w:sz w:val="18"/>
                <w:szCs w:val="18"/>
              </w:rPr>
            </w:pPr>
            <w:r w:rsidRPr="0090541C">
              <w:rPr>
                <w:rFonts w:ascii="Arial" w:hAnsi="Arial" w:cs="Arial"/>
                <w:color w:val="000000"/>
                <w:sz w:val="18"/>
                <w:szCs w:val="18"/>
              </w:rPr>
              <w:t xml:space="preserve">           (204)</w:t>
            </w:r>
          </w:p>
        </w:tc>
      </w:tr>
      <w:tr w:rsidR="00934146" w:rsidRPr="0090541C" w14:paraId="464F7223" w14:textId="77777777" w:rsidTr="00934146">
        <w:trPr>
          <w:trHeight w:val="232"/>
        </w:trPr>
        <w:tc>
          <w:tcPr>
            <w:tcW w:w="3549" w:type="pct"/>
            <w:tcBorders>
              <w:top w:val="nil"/>
              <w:left w:val="single" w:sz="4" w:space="0" w:color="auto"/>
              <w:bottom w:val="single" w:sz="4" w:space="0" w:color="auto"/>
              <w:right w:val="single" w:sz="4" w:space="0" w:color="auto"/>
            </w:tcBorders>
            <w:noWrap/>
            <w:vAlign w:val="center"/>
            <w:hideMark/>
          </w:tcPr>
          <w:p w14:paraId="15DABC45" w14:textId="77777777" w:rsidR="00934146" w:rsidRPr="0090541C" w:rsidRDefault="00934146">
            <w:pPr>
              <w:rPr>
                <w:rFonts w:ascii="Arial" w:hAnsi="Arial" w:cs="Arial"/>
                <w:color w:val="000000"/>
                <w:sz w:val="18"/>
                <w:szCs w:val="18"/>
              </w:rPr>
            </w:pPr>
            <w:r w:rsidRPr="0090541C">
              <w:rPr>
                <w:rFonts w:ascii="Arial" w:hAnsi="Arial" w:cs="Arial"/>
                <w:color w:val="000000"/>
                <w:sz w:val="18"/>
                <w:szCs w:val="18"/>
              </w:rPr>
              <w:t>Atualização Monetária</w:t>
            </w:r>
          </w:p>
        </w:tc>
        <w:tc>
          <w:tcPr>
            <w:tcW w:w="1451" w:type="pct"/>
            <w:tcBorders>
              <w:top w:val="nil"/>
              <w:left w:val="nil"/>
              <w:bottom w:val="single" w:sz="4" w:space="0" w:color="auto"/>
              <w:right w:val="single" w:sz="4" w:space="0" w:color="auto"/>
            </w:tcBorders>
            <w:noWrap/>
            <w:vAlign w:val="center"/>
            <w:hideMark/>
          </w:tcPr>
          <w:p w14:paraId="03754E74" w14:textId="77777777" w:rsidR="00934146" w:rsidRPr="0090541C" w:rsidRDefault="00934146">
            <w:pPr>
              <w:jc w:val="right"/>
              <w:rPr>
                <w:rFonts w:ascii="Arial" w:hAnsi="Arial" w:cs="Arial"/>
                <w:color w:val="000000"/>
                <w:sz w:val="18"/>
                <w:szCs w:val="18"/>
              </w:rPr>
            </w:pPr>
            <w:r w:rsidRPr="0090541C">
              <w:rPr>
                <w:rFonts w:ascii="Arial" w:hAnsi="Arial" w:cs="Arial"/>
                <w:color w:val="000000"/>
                <w:sz w:val="18"/>
                <w:szCs w:val="18"/>
              </w:rPr>
              <w:t xml:space="preserve">          1.171 </w:t>
            </w:r>
          </w:p>
        </w:tc>
      </w:tr>
      <w:tr w:rsidR="00934146" w14:paraId="7BF70753" w14:textId="77777777" w:rsidTr="00934146">
        <w:trPr>
          <w:trHeight w:val="232"/>
        </w:trPr>
        <w:tc>
          <w:tcPr>
            <w:tcW w:w="3549" w:type="pct"/>
            <w:tcBorders>
              <w:top w:val="nil"/>
              <w:left w:val="single" w:sz="4" w:space="0" w:color="auto"/>
              <w:bottom w:val="single" w:sz="4" w:space="0" w:color="auto"/>
              <w:right w:val="single" w:sz="4" w:space="0" w:color="auto"/>
            </w:tcBorders>
            <w:noWrap/>
            <w:vAlign w:val="center"/>
            <w:hideMark/>
          </w:tcPr>
          <w:p w14:paraId="70DA72D1" w14:textId="77777777" w:rsidR="00934146" w:rsidRPr="0090541C" w:rsidRDefault="00934146">
            <w:pPr>
              <w:rPr>
                <w:rFonts w:ascii="Arial" w:hAnsi="Arial" w:cs="Arial"/>
                <w:b/>
                <w:bCs/>
                <w:color w:val="000000"/>
                <w:sz w:val="18"/>
                <w:szCs w:val="18"/>
              </w:rPr>
            </w:pPr>
            <w:r w:rsidRPr="0090541C">
              <w:rPr>
                <w:rFonts w:ascii="Arial" w:hAnsi="Arial" w:cs="Arial"/>
                <w:b/>
                <w:bCs/>
                <w:color w:val="000000"/>
                <w:sz w:val="18"/>
                <w:szCs w:val="18"/>
              </w:rPr>
              <w:t>Saldo em 31 de março de 2026</w:t>
            </w:r>
          </w:p>
        </w:tc>
        <w:tc>
          <w:tcPr>
            <w:tcW w:w="1451" w:type="pct"/>
            <w:tcBorders>
              <w:top w:val="nil"/>
              <w:left w:val="nil"/>
              <w:bottom w:val="single" w:sz="4" w:space="0" w:color="auto"/>
              <w:right w:val="single" w:sz="4" w:space="0" w:color="auto"/>
            </w:tcBorders>
            <w:noWrap/>
            <w:vAlign w:val="center"/>
            <w:hideMark/>
          </w:tcPr>
          <w:p w14:paraId="0773AE6C" w14:textId="77777777" w:rsidR="00934146" w:rsidRDefault="00934146">
            <w:pPr>
              <w:jc w:val="right"/>
              <w:rPr>
                <w:rFonts w:ascii="Arial" w:hAnsi="Arial" w:cs="Arial"/>
                <w:b/>
                <w:bCs/>
                <w:color w:val="000000"/>
                <w:sz w:val="18"/>
                <w:szCs w:val="18"/>
              </w:rPr>
            </w:pPr>
            <w:r w:rsidRPr="0090541C">
              <w:rPr>
                <w:rFonts w:ascii="Arial" w:hAnsi="Arial" w:cs="Arial"/>
                <w:b/>
                <w:bCs/>
                <w:color w:val="000000"/>
                <w:sz w:val="18"/>
                <w:szCs w:val="18"/>
              </w:rPr>
              <w:t xml:space="preserve">        60.988</w:t>
            </w:r>
            <w:r>
              <w:rPr>
                <w:rFonts w:ascii="Arial" w:hAnsi="Arial" w:cs="Arial"/>
                <w:b/>
                <w:bCs/>
                <w:color w:val="000000"/>
                <w:sz w:val="18"/>
                <w:szCs w:val="18"/>
              </w:rPr>
              <w:t xml:space="preserve"> </w:t>
            </w:r>
          </w:p>
        </w:tc>
      </w:tr>
    </w:tbl>
    <w:p w14:paraId="531496D2" w14:textId="77777777" w:rsidR="00934146" w:rsidRDefault="00934146" w:rsidP="00FF0E3E"/>
    <w:p w14:paraId="1D3FB5F0" w14:textId="77777777" w:rsidR="00DA7E67" w:rsidRPr="0096103E" w:rsidRDefault="00C17D37" w:rsidP="00597FE5">
      <w:pPr>
        <w:spacing w:line="276" w:lineRule="auto"/>
        <w:jc w:val="both"/>
        <w:rPr>
          <w:rFonts w:ascii="Arial" w:hAnsi="Arial" w:cs="Arial"/>
          <w:sz w:val="22"/>
          <w:szCs w:val="22"/>
        </w:rPr>
      </w:pPr>
      <w:r w:rsidRPr="0096103E">
        <w:rPr>
          <w:rFonts w:ascii="Arial" w:hAnsi="Arial" w:cs="Arial"/>
          <w:sz w:val="22"/>
          <w:szCs w:val="22"/>
        </w:rPr>
        <w:lastRenderedPageBreak/>
        <w:t xml:space="preserve">Os depósitos judiciais e extrajudiciais não vinculados a itens </w:t>
      </w:r>
      <w:r w:rsidR="00792E03" w:rsidRPr="0096103E">
        <w:rPr>
          <w:rFonts w:ascii="Arial" w:hAnsi="Arial" w:cs="Arial"/>
          <w:sz w:val="22"/>
          <w:szCs w:val="22"/>
        </w:rPr>
        <w:t>de provis</w:t>
      </w:r>
      <w:r w:rsidR="0048045E" w:rsidRPr="0096103E">
        <w:rPr>
          <w:rFonts w:ascii="Arial" w:hAnsi="Arial" w:cs="Arial"/>
          <w:sz w:val="22"/>
          <w:szCs w:val="22"/>
        </w:rPr>
        <w:t>ões</w:t>
      </w:r>
      <w:r w:rsidR="00792E03" w:rsidRPr="0096103E">
        <w:rPr>
          <w:rFonts w:ascii="Arial" w:hAnsi="Arial" w:cs="Arial"/>
          <w:sz w:val="22"/>
          <w:szCs w:val="22"/>
        </w:rPr>
        <w:t xml:space="preserve"> para riscos prováveis </w:t>
      </w:r>
      <w:r w:rsidRPr="0096103E">
        <w:rPr>
          <w:rFonts w:ascii="Arial" w:hAnsi="Arial" w:cs="Arial"/>
          <w:sz w:val="22"/>
          <w:szCs w:val="22"/>
        </w:rPr>
        <w:t>refere</w:t>
      </w:r>
      <w:r w:rsidR="004D6A4C" w:rsidRPr="0096103E">
        <w:rPr>
          <w:rFonts w:ascii="Arial" w:hAnsi="Arial" w:cs="Arial"/>
          <w:sz w:val="22"/>
          <w:szCs w:val="22"/>
        </w:rPr>
        <w:t>m</w:t>
      </w:r>
      <w:r w:rsidRPr="0096103E">
        <w:rPr>
          <w:rFonts w:ascii="Arial" w:hAnsi="Arial" w:cs="Arial"/>
          <w:sz w:val="22"/>
          <w:szCs w:val="22"/>
        </w:rPr>
        <w:t>-se a diversos processos em que a T</w:t>
      </w:r>
      <w:r w:rsidR="00F936F3" w:rsidRPr="0096103E">
        <w:rPr>
          <w:rFonts w:ascii="Arial" w:hAnsi="Arial" w:cs="Arial"/>
          <w:sz w:val="22"/>
          <w:szCs w:val="22"/>
        </w:rPr>
        <w:t>elebras</w:t>
      </w:r>
      <w:r w:rsidRPr="0096103E">
        <w:rPr>
          <w:rFonts w:ascii="Arial" w:hAnsi="Arial" w:cs="Arial"/>
          <w:sz w:val="22"/>
          <w:szCs w:val="22"/>
        </w:rPr>
        <w:t xml:space="preserve"> figura como ré ou autora. </w:t>
      </w:r>
    </w:p>
    <w:p w14:paraId="447BD377" w14:textId="77777777" w:rsidR="00DA7E67" w:rsidRPr="0096103E" w:rsidRDefault="00DA7E67" w:rsidP="00597FE5">
      <w:pPr>
        <w:spacing w:line="276" w:lineRule="auto"/>
        <w:jc w:val="both"/>
        <w:rPr>
          <w:rFonts w:ascii="Arial" w:hAnsi="Arial" w:cs="Arial"/>
          <w:sz w:val="22"/>
          <w:szCs w:val="22"/>
        </w:rPr>
      </w:pPr>
    </w:p>
    <w:bookmarkEnd w:id="17"/>
    <w:bookmarkEnd w:id="19"/>
    <w:p w14:paraId="165416E9" w14:textId="5F6B7326" w:rsidR="009D787B" w:rsidRDefault="009D787B" w:rsidP="009D787B">
      <w:pPr>
        <w:spacing w:line="276" w:lineRule="auto"/>
        <w:jc w:val="both"/>
        <w:rPr>
          <w:rFonts w:ascii="Arial" w:hAnsi="Arial" w:cs="Arial"/>
          <w:sz w:val="22"/>
          <w:szCs w:val="22"/>
        </w:rPr>
      </w:pPr>
      <w:r w:rsidRPr="000E1535">
        <w:rPr>
          <w:rFonts w:ascii="Arial" w:hAnsi="Arial" w:cs="Arial"/>
          <w:sz w:val="22"/>
          <w:szCs w:val="22"/>
        </w:rPr>
        <w:t xml:space="preserve">Do total </w:t>
      </w:r>
      <w:r w:rsidR="009C4DD1" w:rsidRPr="000E1535">
        <w:rPr>
          <w:rFonts w:ascii="Arial" w:hAnsi="Arial" w:cs="Arial"/>
          <w:sz w:val="22"/>
          <w:szCs w:val="22"/>
        </w:rPr>
        <w:t xml:space="preserve">de </w:t>
      </w:r>
      <w:r w:rsidR="00265390" w:rsidRPr="000E1535">
        <w:rPr>
          <w:rFonts w:ascii="Arial" w:hAnsi="Arial" w:cs="Arial"/>
          <w:sz w:val="22"/>
          <w:szCs w:val="22"/>
        </w:rPr>
        <w:t xml:space="preserve">R$ </w:t>
      </w:r>
      <w:r w:rsidR="005A4DF5" w:rsidRPr="000E1535">
        <w:rPr>
          <w:rFonts w:ascii="Arial" w:hAnsi="Arial" w:cs="Arial"/>
          <w:sz w:val="22"/>
          <w:szCs w:val="22"/>
        </w:rPr>
        <w:t xml:space="preserve">58.311 </w:t>
      </w:r>
      <w:r w:rsidR="006E3256" w:rsidRPr="000E1535">
        <w:rPr>
          <w:rFonts w:ascii="Arial" w:hAnsi="Arial" w:cs="Arial"/>
          <w:sz w:val="22"/>
          <w:szCs w:val="22"/>
        </w:rPr>
        <w:t xml:space="preserve">dos depósitos não vinculados </w:t>
      </w:r>
      <w:r w:rsidRPr="000E1535">
        <w:rPr>
          <w:rFonts w:ascii="Arial" w:hAnsi="Arial" w:cs="Arial"/>
          <w:sz w:val="22"/>
          <w:szCs w:val="22"/>
        </w:rPr>
        <w:t xml:space="preserve">em </w:t>
      </w:r>
      <w:r w:rsidR="0080780F" w:rsidRPr="000E1535">
        <w:rPr>
          <w:rFonts w:ascii="Arial" w:hAnsi="Arial" w:cs="Arial"/>
          <w:sz w:val="22"/>
          <w:szCs w:val="22"/>
        </w:rPr>
        <w:t>3</w:t>
      </w:r>
      <w:r w:rsidR="003C1154" w:rsidRPr="000E1535">
        <w:rPr>
          <w:rFonts w:ascii="Arial" w:hAnsi="Arial" w:cs="Arial"/>
          <w:sz w:val="22"/>
          <w:szCs w:val="22"/>
        </w:rPr>
        <w:t>1</w:t>
      </w:r>
      <w:r w:rsidR="00B857CD" w:rsidRPr="000E1535">
        <w:rPr>
          <w:rFonts w:ascii="Arial" w:hAnsi="Arial" w:cs="Arial"/>
          <w:sz w:val="22"/>
          <w:szCs w:val="22"/>
        </w:rPr>
        <w:t xml:space="preserve"> </w:t>
      </w:r>
      <w:r w:rsidR="0080780F" w:rsidRPr="000E1535">
        <w:rPr>
          <w:rFonts w:ascii="Arial" w:hAnsi="Arial" w:cs="Arial"/>
          <w:sz w:val="22"/>
          <w:szCs w:val="22"/>
        </w:rPr>
        <w:t xml:space="preserve">de </w:t>
      </w:r>
      <w:r w:rsidR="005A4DF5" w:rsidRPr="000E1535">
        <w:rPr>
          <w:rFonts w:ascii="Arial" w:hAnsi="Arial" w:cs="Arial"/>
          <w:sz w:val="22"/>
          <w:szCs w:val="22"/>
        </w:rPr>
        <w:t>março</w:t>
      </w:r>
      <w:r w:rsidRPr="000E1535">
        <w:rPr>
          <w:rFonts w:ascii="Arial" w:hAnsi="Arial" w:cs="Arial"/>
          <w:sz w:val="22"/>
          <w:szCs w:val="22"/>
        </w:rPr>
        <w:t xml:space="preserve"> de 202</w:t>
      </w:r>
      <w:r w:rsidR="005A4DF5" w:rsidRPr="000E1535">
        <w:rPr>
          <w:rFonts w:ascii="Arial" w:hAnsi="Arial" w:cs="Arial"/>
          <w:sz w:val="22"/>
          <w:szCs w:val="22"/>
        </w:rPr>
        <w:t>6</w:t>
      </w:r>
      <w:r w:rsidRPr="000E1535">
        <w:rPr>
          <w:rFonts w:ascii="Arial" w:hAnsi="Arial" w:cs="Arial"/>
          <w:sz w:val="22"/>
          <w:szCs w:val="22"/>
        </w:rPr>
        <w:t xml:space="preserve">, R$ </w:t>
      </w:r>
      <w:r w:rsidR="005A4DF5" w:rsidRPr="000E1535">
        <w:rPr>
          <w:rFonts w:ascii="Arial" w:hAnsi="Arial" w:cs="Arial"/>
          <w:sz w:val="22"/>
          <w:szCs w:val="22"/>
        </w:rPr>
        <w:t xml:space="preserve">49.136 </w:t>
      </w:r>
      <w:r w:rsidRPr="000E1535">
        <w:rPr>
          <w:rFonts w:ascii="Arial" w:hAnsi="Arial" w:cs="Arial"/>
          <w:sz w:val="22"/>
          <w:szCs w:val="22"/>
        </w:rPr>
        <w:t>(R$ 21.</w:t>
      </w:r>
      <w:r w:rsidRPr="00241992">
        <w:rPr>
          <w:rFonts w:ascii="Arial" w:hAnsi="Arial" w:cs="Arial"/>
          <w:sz w:val="22"/>
          <w:szCs w:val="22"/>
        </w:rPr>
        <w:t xml:space="preserve">005 </w:t>
      </w:r>
      <w:r w:rsidR="00CE12CA" w:rsidRPr="00241992">
        <w:rPr>
          <w:rFonts w:ascii="Arial" w:hAnsi="Arial" w:cs="Arial"/>
          <w:sz w:val="22"/>
          <w:szCs w:val="22"/>
        </w:rPr>
        <w:t>corresponde a</w:t>
      </w:r>
      <w:r w:rsidRPr="00241992">
        <w:rPr>
          <w:rFonts w:ascii="Arial" w:hAnsi="Arial" w:cs="Arial"/>
          <w:sz w:val="22"/>
          <w:szCs w:val="22"/>
        </w:rPr>
        <w:t>o valor original, quando do acordo parcial com a P</w:t>
      </w:r>
      <w:r w:rsidR="0040768F" w:rsidRPr="00241992">
        <w:rPr>
          <w:rFonts w:ascii="Arial" w:hAnsi="Arial" w:cs="Arial"/>
          <w:sz w:val="22"/>
          <w:szCs w:val="22"/>
        </w:rPr>
        <w:t>revi</w:t>
      </w:r>
      <w:r w:rsidRPr="00241992">
        <w:rPr>
          <w:rFonts w:ascii="Arial" w:hAnsi="Arial" w:cs="Arial"/>
          <w:sz w:val="22"/>
          <w:szCs w:val="22"/>
        </w:rPr>
        <w:t>) refere-se a depósito realizado em litígio com a P</w:t>
      </w:r>
      <w:r w:rsidR="0040768F" w:rsidRPr="00241992">
        <w:rPr>
          <w:rFonts w:ascii="Arial" w:hAnsi="Arial" w:cs="Arial"/>
          <w:sz w:val="22"/>
          <w:szCs w:val="22"/>
        </w:rPr>
        <w:t>revi</w:t>
      </w:r>
      <w:r w:rsidRPr="00241992">
        <w:rPr>
          <w:rFonts w:ascii="Arial" w:hAnsi="Arial" w:cs="Arial"/>
          <w:sz w:val="22"/>
          <w:szCs w:val="22"/>
        </w:rPr>
        <w:t>, que foi parcialmente firmado e que gerou um valor controverso em relação ao total para liquidação do processo. A Telebras entendeu, na época, que o valor cobrado pela P</w:t>
      </w:r>
      <w:r w:rsidR="0040768F" w:rsidRPr="00241992">
        <w:rPr>
          <w:rFonts w:ascii="Arial" w:hAnsi="Arial" w:cs="Arial"/>
          <w:sz w:val="22"/>
          <w:szCs w:val="22"/>
        </w:rPr>
        <w:t>revi</w:t>
      </w:r>
      <w:r w:rsidRPr="00241992">
        <w:rPr>
          <w:rFonts w:ascii="Arial" w:hAnsi="Arial" w:cs="Arial"/>
          <w:sz w:val="22"/>
          <w:szCs w:val="22"/>
        </w:rPr>
        <w:t xml:space="preserve"> era superior àquele que ela entendia como correto. Assim, efetuou um depósito judicial </w:t>
      </w:r>
      <w:r w:rsidR="000E7832" w:rsidRPr="00241992">
        <w:rPr>
          <w:rFonts w:ascii="Arial" w:hAnsi="Arial" w:cs="Arial"/>
          <w:sz w:val="22"/>
          <w:szCs w:val="22"/>
        </w:rPr>
        <w:t>que</w:t>
      </w:r>
      <w:r w:rsidR="000E7832" w:rsidRPr="0054137E">
        <w:rPr>
          <w:rFonts w:ascii="Arial" w:hAnsi="Arial" w:cs="Arial"/>
          <w:sz w:val="22"/>
          <w:szCs w:val="22"/>
        </w:rPr>
        <w:t xml:space="preserve"> corresponde</w:t>
      </w:r>
      <w:r w:rsidR="0046022F" w:rsidRPr="0054137E">
        <w:rPr>
          <w:rFonts w:ascii="Arial" w:hAnsi="Arial" w:cs="Arial"/>
          <w:sz w:val="22"/>
          <w:szCs w:val="22"/>
        </w:rPr>
        <w:t xml:space="preserve"> </w:t>
      </w:r>
      <w:r w:rsidRPr="0054137E">
        <w:rPr>
          <w:rFonts w:ascii="Arial" w:hAnsi="Arial" w:cs="Arial"/>
          <w:sz w:val="22"/>
          <w:szCs w:val="22"/>
        </w:rPr>
        <w:t>à diferença apurada (R$ 21.005) e avaliou o risco de perda da ação como remota.</w:t>
      </w:r>
    </w:p>
    <w:bookmarkEnd w:id="18"/>
    <w:p w14:paraId="6FDDB91D" w14:textId="77777777" w:rsidR="00C30E23" w:rsidRDefault="00C30E23" w:rsidP="0023763D">
      <w:pPr>
        <w:pStyle w:val="PargrafodaLista"/>
        <w:spacing w:after="0"/>
        <w:ind w:left="0"/>
        <w:rPr>
          <w:rFonts w:ascii="Arial" w:hAnsi="Arial" w:cs="Arial"/>
          <w:sz w:val="22"/>
          <w:szCs w:val="22"/>
          <w:lang w:val="pt-BR"/>
        </w:rPr>
      </w:pPr>
    </w:p>
    <w:p w14:paraId="21A5BD8A" w14:textId="52957E4E" w:rsidR="0023763D" w:rsidRPr="00C14AAB" w:rsidRDefault="0023763D" w:rsidP="0016768F">
      <w:pPr>
        <w:pStyle w:val="Ttulo2"/>
        <w:numPr>
          <w:ilvl w:val="0"/>
          <w:numId w:val="7"/>
        </w:numPr>
        <w:tabs>
          <w:tab w:val="clear" w:pos="284"/>
          <w:tab w:val="clear" w:pos="340"/>
        </w:tabs>
        <w:spacing w:before="0" w:after="0" w:line="276" w:lineRule="auto"/>
        <w:ind w:left="851" w:hanging="851"/>
        <w:jc w:val="both"/>
        <w:rPr>
          <w:rFonts w:ascii="Arial" w:hAnsi="Arial" w:cs="Arial"/>
        </w:rPr>
      </w:pPr>
      <w:r w:rsidRPr="00C14AAB">
        <w:rPr>
          <w:rFonts w:ascii="Arial" w:hAnsi="Arial" w:cs="Arial"/>
        </w:rPr>
        <w:t xml:space="preserve">SUPERÁVIT </w:t>
      </w:r>
      <w:r w:rsidR="00840B45">
        <w:rPr>
          <w:rFonts w:ascii="Arial" w:hAnsi="Arial" w:cs="Arial"/>
        </w:rPr>
        <w:t>– PREVIDÊNCIA PRIVADA</w:t>
      </w:r>
    </w:p>
    <w:p w14:paraId="2CDEB9A0" w14:textId="77777777" w:rsidR="00AB1100" w:rsidRPr="00C14AAB" w:rsidRDefault="00AB1100" w:rsidP="0023763D">
      <w:pPr>
        <w:pStyle w:val="PargrafodaLista"/>
        <w:spacing w:after="0"/>
        <w:ind w:left="0"/>
        <w:rPr>
          <w:rFonts w:ascii="Arial" w:hAnsi="Arial" w:cs="Arial"/>
          <w:sz w:val="22"/>
          <w:szCs w:val="22"/>
          <w:lang w:val="pt-BR"/>
        </w:rPr>
      </w:pPr>
    </w:p>
    <w:p w14:paraId="673E4036" w14:textId="77777777" w:rsidR="00B04DE0" w:rsidRPr="006F64C2" w:rsidRDefault="00B04DE0" w:rsidP="00B04DE0">
      <w:pPr>
        <w:spacing w:line="276" w:lineRule="auto"/>
        <w:jc w:val="both"/>
        <w:rPr>
          <w:rFonts w:ascii="Arial" w:hAnsi="Arial" w:cs="Arial"/>
          <w:sz w:val="22"/>
          <w:szCs w:val="22"/>
        </w:rPr>
      </w:pPr>
      <w:r w:rsidRPr="006F64C2">
        <w:rPr>
          <w:rFonts w:ascii="Arial" w:hAnsi="Arial" w:cs="Arial"/>
          <w:sz w:val="22"/>
          <w:szCs w:val="22"/>
        </w:rPr>
        <w:t>Nos exercícios de 2023 e 2024, a Superintendência Nacional de Previdência Complementar – PREVIC aprovou a distribuição dos superávits dos planos de benefícios patrocinados pela Telebras e por outras companhias originadas a partir do processo de privatização do Sistema Telebras. Os valores destinados à Telebras serão repassados pela administradora dos planos, o SISTEL, em 36 (trinta e seis) parcelas mensais, corrigidas com base na rentabilidade da cota de cada plano.</w:t>
      </w:r>
    </w:p>
    <w:p w14:paraId="236708B7" w14:textId="77777777" w:rsidR="00B04DE0" w:rsidRPr="006F64C2" w:rsidRDefault="00B04DE0" w:rsidP="00B04DE0">
      <w:pPr>
        <w:spacing w:line="276" w:lineRule="auto"/>
        <w:jc w:val="both"/>
        <w:rPr>
          <w:rFonts w:ascii="Arial" w:hAnsi="Arial" w:cs="Arial"/>
          <w:sz w:val="22"/>
          <w:szCs w:val="22"/>
        </w:rPr>
      </w:pPr>
    </w:p>
    <w:p w14:paraId="5A3247A2" w14:textId="77777777" w:rsidR="00B04DE0" w:rsidRPr="006F64C2" w:rsidRDefault="00B04DE0" w:rsidP="00B04DE0">
      <w:pPr>
        <w:spacing w:line="276" w:lineRule="auto"/>
        <w:jc w:val="both"/>
        <w:rPr>
          <w:rFonts w:ascii="Arial" w:hAnsi="Arial" w:cs="Arial"/>
          <w:sz w:val="22"/>
          <w:szCs w:val="22"/>
        </w:rPr>
      </w:pPr>
      <w:r w:rsidRPr="006F64C2">
        <w:rPr>
          <w:rFonts w:ascii="Arial" w:hAnsi="Arial" w:cs="Arial"/>
          <w:sz w:val="22"/>
          <w:szCs w:val="22"/>
        </w:rPr>
        <w:t>No terceiro trimestre de 2025, a PREVIC aprovou a distribuição do superávit do plano de benefício PBS-A, referente aos exercícios de 2022 e 2023. Assim como nos demais casos, o repasse ocorrerá em 36 parcelas mensais; contudo, essas parcelas não serão atualizadas monetariamente.</w:t>
      </w:r>
    </w:p>
    <w:p w14:paraId="42E6EB45" w14:textId="77777777" w:rsidR="00B04DE0" w:rsidRPr="006F64C2" w:rsidRDefault="00B04DE0" w:rsidP="00B04DE0">
      <w:pPr>
        <w:spacing w:line="276" w:lineRule="auto"/>
        <w:jc w:val="both"/>
        <w:rPr>
          <w:rFonts w:ascii="Arial" w:hAnsi="Arial" w:cs="Arial"/>
          <w:sz w:val="22"/>
          <w:szCs w:val="22"/>
        </w:rPr>
      </w:pPr>
    </w:p>
    <w:p w14:paraId="55F300E5" w14:textId="77777777" w:rsidR="00B04DE0" w:rsidRDefault="00B04DE0" w:rsidP="00B04DE0">
      <w:pPr>
        <w:spacing w:line="276" w:lineRule="auto"/>
        <w:jc w:val="both"/>
        <w:rPr>
          <w:rFonts w:ascii="Arial" w:hAnsi="Arial" w:cs="Arial"/>
          <w:sz w:val="22"/>
          <w:szCs w:val="22"/>
        </w:rPr>
      </w:pPr>
      <w:r w:rsidRPr="006F64C2">
        <w:rPr>
          <w:rFonts w:ascii="Arial" w:hAnsi="Arial" w:cs="Arial"/>
          <w:sz w:val="22"/>
          <w:szCs w:val="22"/>
        </w:rPr>
        <w:t>No quarto trimestre de 2025, a PREVIC aprovou a distribuição dos superávits do plano de benefício Telebraprev, relativos aos exercícios de 2016, 2017, 2022 e 2023. Os valores serão distribuídos em 36 parcelas fixas, excetuando-se a parcela referente ao exercício de 2016, que será atualizada pela rentabilidade do respectivo plano.</w:t>
      </w:r>
    </w:p>
    <w:p w14:paraId="56BDC0D9" w14:textId="77777777" w:rsidR="006C0633" w:rsidRPr="006F64C2" w:rsidRDefault="006C0633" w:rsidP="00B04DE0">
      <w:pPr>
        <w:spacing w:line="276" w:lineRule="auto"/>
        <w:jc w:val="both"/>
        <w:rPr>
          <w:rFonts w:ascii="Arial" w:hAnsi="Arial" w:cs="Arial"/>
          <w:sz w:val="22"/>
          <w:szCs w:val="22"/>
        </w:rPr>
      </w:pPr>
    </w:p>
    <w:p w14:paraId="6676325F" w14:textId="77777777" w:rsidR="00B04DE0" w:rsidRDefault="00B04DE0" w:rsidP="00B04DE0">
      <w:pPr>
        <w:spacing w:line="276" w:lineRule="auto"/>
        <w:jc w:val="both"/>
        <w:rPr>
          <w:rFonts w:ascii="Arial" w:hAnsi="Arial" w:cs="Arial"/>
          <w:sz w:val="22"/>
          <w:szCs w:val="22"/>
        </w:rPr>
      </w:pPr>
      <w:r w:rsidRPr="006F64C2">
        <w:rPr>
          <w:rFonts w:ascii="Arial" w:hAnsi="Arial" w:cs="Arial"/>
          <w:sz w:val="22"/>
          <w:szCs w:val="22"/>
        </w:rPr>
        <w:t>Os montantes destinados à Companhia nos exercícios de 2023, 2024 e 2025 estão apresentados a seguir:</w:t>
      </w:r>
    </w:p>
    <w:p w14:paraId="2A73A596" w14:textId="77777777" w:rsidR="006C0633" w:rsidRPr="00352F14" w:rsidRDefault="006C0633" w:rsidP="00B04DE0">
      <w:pPr>
        <w:spacing w:line="276" w:lineRule="auto"/>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1"/>
        <w:gridCol w:w="1188"/>
        <w:gridCol w:w="1202"/>
        <w:gridCol w:w="1077"/>
        <w:gridCol w:w="1063"/>
      </w:tblGrid>
      <w:tr w:rsidR="00C5314F" w:rsidRPr="006C0633" w14:paraId="2D2FBF14" w14:textId="77777777" w:rsidTr="004316C5">
        <w:trPr>
          <w:trHeight w:val="232"/>
        </w:trPr>
        <w:tc>
          <w:tcPr>
            <w:tcW w:w="2682" w:type="pct"/>
            <w:shd w:val="clear" w:color="000000" w:fill="D9D9D9"/>
            <w:noWrap/>
            <w:vAlign w:val="center"/>
            <w:hideMark/>
          </w:tcPr>
          <w:p w14:paraId="7658262B" w14:textId="77777777" w:rsidR="00C5314F" w:rsidRPr="006C0633" w:rsidRDefault="00C5314F">
            <w:pPr>
              <w:rPr>
                <w:rFonts w:ascii="Arial" w:hAnsi="Arial" w:cs="Arial"/>
                <w:b/>
                <w:bCs/>
                <w:color w:val="000000"/>
                <w:sz w:val="18"/>
                <w:szCs w:val="18"/>
              </w:rPr>
            </w:pPr>
            <w:r w:rsidRPr="006C0633">
              <w:rPr>
                <w:rFonts w:ascii="Arial" w:hAnsi="Arial" w:cs="Arial"/>
                <w:b/>
                <w:bCs/>
                <w:color w:val="000000"/>
                <w:sz w:val="18"/>
                <w:szCs w:val="18"/>
              </w:rPr>
              <w:t>Planos</w:t>
            </w:r>
          </w:p>
        </w:tc>
        <w:tc>
          <w:tcPr>
            <w:tcW w:w="608" w:type="pct"/>
            <w:noWrap/>
            <w:vAlign w:val="center"/>
            <w:hideMark/>
          </w:tcPr>
          <w:p w14:paraId="2EBD3470" w14:textId="77777777" w:rsidR="00C5314F" w:rsidRPr="006C0633" w:rsidRDefault="00C5314F">
            <w:pPr>
              <w:jc w:val="center"/>
              <w:rPr>
                <w:rFonts w:ascii="Arial" w:hAnsi="Arial" w:cs="Arial"/>
                <w:b/>
                <w:bCs/>
                <w:color w:val="000000"/>
                <w:sz w:val="18"/>
                <w:szCs w:val="18"/>
              </w:rPr>
            </w:pPr>
            <w:r w:rsidRPr="006C0633">
              <w:rPr>
                <w:rFonts w:ascii="Arial" w:hAnsi="Arial" w:cs="Arial"/>
                <w:b/>
                <w:bCs/>
                <w:color w:val="000000"/>
                <w:sz w:val="18"/>
                <w:szCs w:val="18"/>
              </w:rPr>
              <w:t>2023</w:t>
            </w:r>
          </w:p>
        </w:tc>
        <w:tc>
          <w:tcPr>
            <w:tcW w:w="615" w:type="pct"/>
            <w:noWrap/>
            <w:vAlign w:val="center"/>
            <w:hideMark/>
          </w:tcPr>
          <w:p w14:paraId="2B91670F" w14:textId="77777777" w:rsidR="00C5314F" w:rsidRPr="006C0633" w:rsidRDefault="00C5314F">
            <w:pPr>
              <w:jc w:val="center"/>
              <w:rPr>
                <w:rFonts w:ascii="Arial" w:hAnsi="Arial" w:cs="Arial"/>
                <w:b/>
                <w:bCs/>
                <w:color w:val="000000"/>
                <w:sz w:val="18"/>
                <w:szCs w:val="18"/>
              </w:rPr>
            </w:pPr>
            <w:r w:rsidRPr="006C0633">
              <w:rPr>
                <w:rFonts w:ascii="Arial" w:hAnsi="Arial" w:cs="Arial"/>
                <w:b/>
                <w:bCs/>
                <w:color w:val="000000"/>
                <w:sz w:val="18"/>
                <w:szCs w:val="18"/>
              </w:rPr>
              <w:t>2024</w:t>
            </w:r>
          </w:p>
        </w:tc>
        <w:tc>
          <w:tcPr>
            <w:tcW w:w="551" w:type="pct"/>
            <w:noWrap/>
            <w:vAlign w:val="center"/>
            <w:hideMark/>
          </w:tcPr>
          <w:p w14:paraId="042B7109" w14:textId="77777777" w:rsidR="00C5314F" w:rsidRPr="006C0633" w:rsidRDefault="00C5314F">
            <w:pPr>
              <w:jc w:val="center"/>
              <w:rPr>
                <w:rFonts w:ascii="Arial" w:hAnsi="Arial" w:cs="Arial"/>
                <w:b/>
                <w:bCs/>
                <w:color w:val="000000"/>
                <w:sz w:val="18"/>
                <w:szCs w:val="18"/>
              </w:rPr>
            </w:pPr>
            <w:r w:rsidRPr="006C0633">
              <w:rPr>
                <w:rFonts w:ascii="Arial" w:hAnsi="Arial" w:cs="Arial"/>
                <w:b/>
                <w:bCs/>
                <w:color w:val="000000"/>
                <w:sz w:val="18"/>
                <w:szCs w:val="18"/>
              </w:rPr>
              <w:t>2025</w:t>
            </w:r>
          </w:p>
        </w:tc>
        <w:tc>
          <w:tcPr>
            <w:tcW w:w="544" w:type="pct"/>
            <w:noWrap/>
            <w:vAlign w:val="center"/>
            <w:hideMark/>
          </w:tcPr>
          <w:p w14:paraId="119C1DCB" w14:textId="77777777" w:rsidR="00C5314F" w:rsidRPr="006C0633" w:rsidRDefault="00C5314F">
            <w:pPr>
              <w:jc w:val="center"/>
              <w:rPr>
                <w:rFonts w:ascii="Arial" w:hAnsi="Arial" w:cs="Arial"/>
                <w:b/>
                <w:bCs/>
                <w:color w:val="000000"/>
                <w:sz w:val="18"/>
                <w:szCs w:val="18"/>
              </w:rPr>
            </w:pPr>
            <w:r w:rsidRPr="006C0633">
              <w:rPr>
                <w:rFonts w:ascii="Arial" w:hAnsi="Arial" w:cs="Arial"/>
                <w:b/>
                <w:bCs/>
                <w:color w:val="000000"/>
                <w:sz w:val="18"/>
                <w:szCs w:val="18"/>
              </w:rPr>
              <w:t>Total</w:t>
            </w:r>
          </w:p>
        </w:tc>
      </w:tr>
      <w:tr w:rsidR="004316C5" w:rsidRPr="006C0633" w14:paraId="4537F112" w14:textId="77777777" w:rsidTr="004316C5">
        <w:trPr>
          <w:trHeight w:val="232"/>
        </w:trPr>
        <w:tc>
          <w:tcPr>
            <w:tcW w:w="2682" w:type="pct"/>
            <w:noWrap/>
            <w:vAlign w:val="center"/>
            <w:hideMark/>
          </w:tcPr>
          <w:p w14:paraId="1BC21CF0" w14:textId="77777777" w:rsidR="004316C5" w:rsidRPr="006C0633" w:rsidRDefault="004316C5" w:rsidP="004316C5">
            <w:pPr>
              <w:rPr>
                <w:rFonts w:ascii="Arial" w:hAnsi="Arial" w:cs="Arial"/>
                <w:color w:val="000000"/>
                <w:sz w:val="18"/>
                <w:szCs w:val="18"/>
              </w:rPr>
            </w:pPr>
            <w:r w:rsidRPr="006C0633">
              <w:rPr>
                <w:rFonts w:ascii="Arial" w:hAnsi="Arial" w:cs="Arial"/>
                <w:color w:val="000000"/>
                <w:sz w:val="18"/>
                <w:szCs w:val="18"/>
              </w:rPr>
              <w:t xml:space="preserve">PBS-A </w:t>
            </w:r>
          </w:p>
        </w:tc>
        <w:tc>
          <w:tcPr>
            <w:tcW w:w="608" w:type="pct"/>
            <w:noWrap/>
            <w:vAlign w:val="center"/>
            <w:hideMark/>
          </w:tcPr>
          <w:p w14:paraId="00DCDF49" w14:textId="76AFF814"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26.491</w:t>
            </w:r>
          </w:p>
        </w:tc>
        <w:tc>
          <w:tcPr>
            <w:tcW w:w="615" w:type="pct"/>
            <w:noWrap/>
            <w:vAlign w:val="center"/>
            <w:hideMark/>
          </w:tcPr>
          <w:p w14:paraId="346E9A8F" w14:textId="72B3C0C8"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35.179</w:t>
            </w:r>
          </w:p>
        </w:tc>
        <w:tc>
          <w:tcPr>
            <w:tcW w:w="551" w:type="pct"/>
            <w:noWrap/>
            <w:vAlign w:val="center"/>
            <w:hideMark/>
          </w:tcPr>
          <w:p w14:paraId="122C2BC8" w14:textId="5E8FC0D6"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32.502</w:t>
            </w:r>
          </w:p>
        </w:tc>
        <w:tc>
          <w:tcPr>
            <w:tcW w:w="544" w:type="pct"/>
            <w:noWrap/>
            <w:vAlign w:val="center"/>
            <w:hideMark/>
          </w:tcPr>
          <w:p w14:paraId="43984FBD" w14:textId="48699CF8"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94.172</w:t>
            </w:r>
          </w:p>
        </w:tc>
      </w:tr>
      <w:tr w:rsidR="004316C5" w:rsidRPr="006C0633" w14:paraId="0BAEBE84" w14:textId="77777777" w:rsidTr="004316C5">
        <w:trPr>
          <w:trHeight w:val="232"/>
        </w:trPr>
        <w:tc>
          <w:tcPr>
            <w:tcW w:w="2682" w:type="pct"/>
            <w:noWrap/>
            <w:vAlign w:val="center"/>
            <w:hideMark/>
          </w:tcPr>
          <w:p w14:paraId="0E2814D0" w14:textId="77777777" w:rsidR="004316C5" w:rsidRPr="006C0633" w:rsidRDefault="004316C5" w:rsidP="004316C5">
            <w:pPr>
              <w:rPr>
                <w:rFonts w:ascii="Arial" w:hAnsi="Arial" w:cs="Arial"/>
                <w:color w:val="000000"/>
                <w:sz w:val="18"/>
                <w:szCs w:val="18"/>
              </w:rPr>
            </w:pPr>
            <w:r w:rsidRPr="006C0633">
              <w:rPr>
                <w:rFonts w:ascii="Arial" w:hAnsi="Arial" w:cs="Arial"/>
                <w:color w:val="000000"/>
                <w:sz w:val="18"/>
                <w:szCs w:val="18"/>
              </w:rPr>
              <w:t>PBS-Telebras</w:t>
            </w:r>
          </w:p>
        </w:tc>
        <w:tc>
          <w:tcPr>
            <w:tcW w:w="608" w:type="pct"/>
            <w:noWrap/>
            <w:vAlign w:val="center"/>
            <w:hideMark/>
          </w:tcPr>
          <w:p w14:paraId="32B317CD" w14:textId="1F557BF7"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7.421</w:t>
            </w:r>
          </w:p>
        </w:tc>
        <w:tc>
          <w:tcPr>
            <w:tcW w:w="615" w:type="pct"/>
            <w:noWrap/>
            <w:vAlign w:val="center"/>
            <w:hideMark/>
          </w:tcPr>
          <w:p w14:paraId="1BA4DBB5" w14:textId="5A4BB921"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 xml:space="preserve">                    -    </w:t>
            </w:r>
          </w:p>
        </w:tc>
        <w:tc>
          <w:tcPr>
            <w:tcW w:w="551" w:type="pct"/>
            <w:noWrap/>
            <w:vAlign w:val="center"/>
            <w:hideMark/>
          </w:tcPr>
          <w:p w14:paraId="1E8D6621" w14:textId="6A1647F1"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 xml:space="preserve">             -   </w:t>
            </w:r>
          </w:p>
        </w:tc>
        <w:tc>
          <w:tcPr>
            <w:tcW w:w="544" w:type="pct"/>
            <w:noWrap/>
            <w:vAlign w:val="center"/>
            <w:hideMark/>
          </w:tcPr>
          <w:p w14:paraId="3193BC62" w14:textId="7BBC96DA"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7.421</w:t>
            </w:r>
          </w:p>
        </w:tc>
      </w:tr>
      <w:tr w:rsidR="004316C5" w:rsidRPr="006C0633" w14:paraId="2E3BE0E4" w14:textId="77777777" w:rsidTr="004316C5">
        <w:trPr>
          <w:trHeight w:val="232"/>
        </w:trPr>
        <w:tc>
          <w:tcPr>
            <w:tcW w:w="2682" w:type="pct"/>
            <w:noWrap/>
            <w:vAlign w:val="center"/>
            <w:hideMark/>
          </w:tcPr>
          <w:p w14:paraId="49CF894C" w14:textId="77777777" w:rsidR="004316C5" w:rsidRPr="006C0633" w:rsidRDefault="004316C5" w:rsidP="004316C5">
            <w:pPr>
              <w:rPr>
                <w:rFonts w:ascii="Arial" w:hAnsi="Arial" w:cs="Arial"/>
                <w:color w:val="000000"/>
                <w:sz w:val="18"/>
                <w:szCs w:val="18"/>
              </w:rPr>
            </w:pPr>
            <w:r w:rsidRPr="006C0633">
              <w:rPr>
                <w:rFonts w:ascii="Arial" w:hAnsi="Arial" w:cs="Arial"/>
                <w:color w:val="000000"/>
                <w:sz w:val="18"/>
                <w:szCs w:val="18"/>
              </w:rPr>
              <w:t>Telebras Prev</w:t>
            </w:r>
          </w:p>
        </w:tc>
        <w:tc>
          <w:tcPr>
            <w:tcW w:w="608" w:type="pct"/>
            <w:noWrap/>
            <w:vAlign w:val="center"/>
            <w:hideMark/>
          </w:tcPr>
          <w:p w14:paraId="39D2FD0E" w14:textId="0EE1F46D"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 xml:space="preserve">                 -    </w:t>
            </w:r>
          </w:p>
        </w:tc>
        <w:tc>
          <w:tcPr>
            <w:tcW w:w="615" w:type="pct"/>
            <w:noWrap/>
            <w:vAlign w:val="center"/>
            <w:hideMark/>
          </w:tcPr>
          <w:p w14:paraId="6E42D0C2" w14:textId="4EDDB653"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176.859</w:t>
            </w:r>
          </w:p>
        </w:tc>
        <w:tc>
          <w:tcPr>
            <w:tcW w:w="551" w:type="pct"/>
            <w:noWrap/>
            <w:vAlign w:val="center"/>
            <w:hideMark/>
          </w:tcPr>
          <w:p w14:paraId="144F980B" w14:textId="1CE90793"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102.225</w:t>
            </w:r>
          </w:p>
        </w:tc>
        <w:tc>
          <w:tcPr>
            <w:tcW w:w="544" w:type="pct"/>
            <w:noWrap/>
            <w:vAlign w:val="center"/>
            <w:hideMark/>
          </w:tcPr>
          <w:p w14:paraId="4C889152" w14:textId="14363E2A" w:rsidR="004316C5" w:rsidRPr="006C0633" w:rsidRDefault="004316C5" w:rsidP="004316C5">
            <w:pPr>
              <w:jc w:val="right"/>
              <w:rPr>
                <w:rFonts w:ascii="Arial" w:hAnsi="Arial" w:cs="Arial"/>
                <w:color w:val="000000"/>
                <w:sz w:val="18"/>
                <w:szCs w:val="18"/>
              </w:rPr>
            </w:pPr>
            <w:r w:rsidRPr="006C0633">
              <w:rPr>
                <w:rFonts w:ascii="Arial" w:hAnsi="Arial" w:cs="Arial"/>
                <w:color w:val="000000"/>
                <w:sz w:val="18"/>
                <w:szCs w:val="18"/>
              </w:rPr>
              <w:t>279.084</w:t>
            </w:r>
          </w:p>
        </w:tc>
      </w:tr>
      <w:tr w:rsidR="004316C5" w14:paraId="4D69197C" w14:textId="77777777" w:rsidTr="004316C5">
        <w:trPr>
          <w:trHeight w:val="232"/>
        </w:trPr>
        <w:tc>
          <w:tcPr>
            <w:tcW w:w="2682" w:type="pct"/>
            <w:noWrap/>
            <w:vAlign w:val="center"/>
            <w:hideMark/>
          </w:tcPr>
          <w:p w14:paraId="4A2F4619" w14:textId="77777777" w:rsidR="004316C5" w:rsidRPr="006C0633" w:rsidRDefault="004316C5" w:rsidP="004316C5">
            <w:pPr>
              <w:rPr>
                <w:rFonts w:ascii="Arial" w:hAnsi="Arial" w:cs="Arial"/>
                <w:b/>
                <w:bCs/>
                <w:color w:val="000000"/>
                <w:sz w:val="18"/>
                <w:szCs w:val="18"/>
              </w:rPr>
            </w:pPr>
            <w:r w:rsidRPr="006C0633">
              <w:rPr>
                <w:rFonts w:ascii="Arial" w:hAnsi="Arial" w:cs="Arial"/>
                <w:b/>
                <w:bCs/>
                <w:color w:val="000000"/>
                <w:sz w:val="18"/>
                <w:szCs w:val="18"/>
              </w:rPr>
              <w:t>Total</w:t>
            </w:r>
          </w:p>
        </w:tc>
        <w:tc>
          <w:tcPr>
            <w:tcW w:w="608" w:type="pct"/>
            <w:noWrap/>
            <w:vAlign w:val="center"/>
            <w:hideMark/>
          </w:tcPr>
          <w:p w14:paraId="12A0FA90" w14:textId="6FB84B1D" w:rsidR="004316C5" w:rsidRPr="006C0633" w:rsidRDefault="004316C5" w:rsidP="004316C5">
            <w:pPr>
              <w:jc w:val="right"/>
              <w:rPr>
                <w:rFonts w:ascii="Arial" w:hAnsi="Arial" w:cs="Arial"/>
                <w:b/>
                <w:bCs/>
                <w:color w:val="000000"/>
                <w:sz w:val="18"/>
                <w:szCs w:val="18"/>
              </w:rPr>
            </w:pPr>
            <w:r w:rsidRPr="006C0633">
              <w:rPr>
                <w:rFonts w:ascii="Arial" w:hAnsi="Arial" w:cs="Arial"/>
                <w:b/>
                <w:bCs/>
                <w:color w:val="000000"/>
                <w:sz w:val="18"/>
                <w:szCs w:val="18"/>
              </w:rPr>
              <w:t>33.912</w:t>
            </w:r>
          </w:p>
        </w:tc>
        <w:tc>
          <w:tcPr>
            <w:tcW w:w="615" w:type="pct"/>
            <w:noWrap/>
            <w:vAlign w:val="center"/>
            <w:hideMark/>
          </w:tcPr>
          <w:p w14:paraId="44B912BF" w14:textId="3B8D2DF7" w:rsidR="004316C5" w:rsidRPr="006C0633" w:rsidRDefault="004316C5" w:rsidP="004316C5">
            <w:pPr>
              <w:jc w:val="right"/>
              <w:rPr>
                <w:rFonts w:ascii="Arial" w:hAnsi="Arial" w:cs="Arial"/>
                <w:b/>
                <w:bCs/>
                <w:color w:val="000000"/>
                <w:sz w:val="18"/>
                <w:szCs w:val="18"/>
              </w:rPr>
            </w:pPr>
            <w:r w:rsidRPr="006C0633">
              <w:rPr>
                <w:rFonts w:ascii="Arial" w:hAnsi="Arial" w:cs="Arial"/>
                <w:b/>
                <w:bCs/>
                <w:color w:val="000000"/>
                <w:sz w:val="18"/>
                <w:szCs w:val="18"/>
              </w:rPr>
              <w:t>212.038</w:t>
            </w:r>
          </w:p>
        </w:tc>
        <w:tc>
          <w:tcPr>
            <w:tcW w:w="551" w:type="pct"/>
            <w:noWrap/>
            <w:vAlign w:val="center"/>
            <w:hideMark/>
          </w:tcPr>
          <w:p w14:paraId="0B10F837" w14:textId="71367B2F" w:rsidR="004316C5" w:rsidRPr="006C0633" w:rsidRDefault="004316C5" w:rsidP="004316C5">
            <w:pPr>
              <w:jc w:val="right"/>
              <w:rPr>
                <w:rFonts w:ascii="Arial" w:hAnsi="Arial" w:cs="Arial"/>
                <w:b/>
                <w:bCs/>
                <w:color w:val="000000"/>
                <w:sz w:val="18"/>
                <w:szCs w:val="18"/>
              </w:rPr>
            </w:pPr>
            <w:r w:rsidRPr="006C0633">
              <w:rPr>
                <w:rFonts w:ascii="Arial" w:hAnsi="Arial" w:cs="Arial"/>
                <w:b/>
                <w:bCs/>
                <w:color w:val="000000"/>
                <w:sz w:val="18"/>
                <w:szCs w:val="18"/>
              </w:rPr>
              <w:t>134.727</w:t>
            </w:r>
          </w:p>
        </w:tc>
        <w:tc>
          <w:tcPr>
            <w:tcW w:w="544" w:type="pct"/>
            <w:noWrap/>
            <w:vAlign w:val="center"/>
            <w:hideMark/>
          </w:tcPr>
          <w:p w14:paraId="250F0CC1" w14:textId="4ACDFC07" w:rsidR="004316C5" w:rsidRDefault="004316C5" w:rsidP="004316C5">
            <w:pPr>
              <w:jc w:val="right"/>
              <w:rPr>
                <w:rFonts w:ascii="Arial" w:hAnsi="Arial" w:cs="Arial"/>
                <w:b/>
                <w:bCs/>
                <w:color w:val="000000"/>
                <w:sz w:val="18"/>
                <w:szCs w:val="18"/>
              </w:rPr>
            </w:pPr>
            <w:r w:rsidRPr="006C0633">
              <w:rPr>
                <w:rFonts w:ascii="Arial" w:hAnsi="Arial" w:cs="Arial"/>
                <w:b/>
                <w:bCs/>
                <w:color w:val="000000"/>
                <w:sz w:val="18"/>
                <w:szCs w:val="18"/>
              </w:rPr>
              <w:t>380.677</w:t>
            </w:r>
          </w:p>
        </w:tc>
      </w:tr>
    </w:tbl>
    <w:p w14:paraId="725F9494" w14:textId="77777777" w:rsidR="00C5314F" w:rsidRDefault="00C5314F" w:rsidP="0023763D">
      <w:pPr>
        <w:pStyle w:val="PargrafodaLista"/>
        <w:spacing w:after="0"/>
        <w:ind w:left="0"/>
        <w:rPr>
          <w:rFonts w:ascii="Arial" w:hAnsi="Arial" w:cs="Arial"/>
          <w:sz w:val="22"/>
          <w:szCs w:val="22"/>
          <w:lang w:val="pt-BR"/>
        </w:rPr>
      </w:pPr>
    </w:p>
    <w:p w14:paraId="0B657605" w14:textId="1F2C116E" w:rsidR="000C5C47" w:rsidRPr="00C14AAB" w:rsidRDefault="0023763D" w:rsidP="0023763D">
      <w:pPr>
        <w:pStyle w:val="PargrafodaLista"/>
        <w:spacing w:after="0"/>
        <w:ind w:left="0"/>
        <w:rPr>
          <w:rFonts w:ascii="Arial" w:hAnsi="Arial" w:cs="Arial"/>
          <w:sz w:val="22"/>
          <w:szCs w:val="22"/>
          <w:lang w:val="pt-BR"/>
        </w:rPr>
      </w:pPr>
      <w:r w:rsidRPr="00C14AAB">
        <w:rPr>
          <w:rFonts w:ascii="Arial" w:hAnsi="Arial" w:cs="Arial"/>
          <w:sz w:val="22"/>
          <w:szCs w:val="22"/>
          <w:lang w:val="pt-BR"/>
        </w:rPr>
        <w:t xml:space="preserve">A movimentação dos recursos a receber relativos aos superávits dos planos no </w:t>
      </w:r>
      <w:r w:rsidR="006C0633">
        <w:rPr>
          <w:rFonts w:ascii="Arial" w:hAnsi="Arial" w:cs="Arial"/>
          <w:sz w:val="22"/>
          <w:szCs w:val="22"/>
          <w:lang w:val="pt-BR"/>
        </w:rPr>
        <w:t>primeiro trimestre de 2026</w:t>
      </w:r>
      <w:r w:rsidR="00906868" w:rsidRPr="00C14AAB">
        <w:rPr>
          <w:rFonts w:ascii="Arial" w:hAnsi="Arial" w:cs="Arial"/>
          <w:sz w:val="22"/>
          <w:szCs w:val="22"/>
          <w:lang w:val="pt-BR"/>
        </w:rPr>
        <w:t xml:space="preserve"> </w:t>
      </w:r>
      <w:r w:rsidRPr="00C14AAB">
        <w:rPr>
          <w:rFonts w:ascii="Arial" w:hAnsi="Arial" w:cs="Arial"/>
          <w:sz w:val="22"/>
          <w:szCs w:val="22"/>
          <w:lang w:val="pt-BR"/>
        </w:rPr>
        <w:t>está apresentada no quadro a seguir:</w:t>
      </w:r>
    </w:p>
    <w:p w14:paraId="7B312259" w14:textId="77777777" w:rsidR="006C0633" w:rsidRPr="00352F14" w:rsidRDefault="006C0633" w:rsidP="0023763D">
      <w:pPr>
        <w:pStyle w:val="PargrafodaLista"/>
        <w:spacing w:after="0"/>
        <w:ind w:left="0"/>
        <w:rPr>
          <w:rFonts w:ascii="Arial" w:hAnsi="Arial" w:cs="Arial"/>
          <w:sz w:val="12"/>
          <w:szCs w:val="12"/>
          <w:highlight w:val="green"/>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6"/>
        <w:gridCol w:w="2265"/>
      </w:tblGrid>
      <w:tr w:rsidR="00645202" w:rsidRPr="006C0633" w14:paraId="2DF34749" w14:textId="77777777" w:rsidTr="006C0633">
        <w:trPr>
          <w:trHeight w:val="232"/>
        </w:trPr>
        <w:tc>
          <w:tcPr>
            <w:tcW w:w="3841" w:type="pct"/>
            <w:shd w:val="clear" w:color="000000" w:fill="BFBFBF"/>
            <w:noWrap/>
            <w:vAlign w:val="center"/>
            <w:hideMark/>
          </w:tcPr>
          <w:p w14:paraId="2BDE83AD" w14:textId="77777777" w:rsidR="00645202" w:rsidRPr="006C0633" w:rsidRDefault="00645202">
            <w:pPr>
              <w:rPr>
                <w:rFonts w:ascii="Arial" w:hAnsi="Arial" w:cs="Arial"/>
                <w:b/>
                <w:bCs/>
                <w:color w:val="000000"/>
                <w:sz w:val="18"/>
                <w:szCs w:val="18"/>
              </w:rPr>
            </w:pPr>
            <w:r w:rsidRPr="006C0633">
              <w:rPr>
                <w:rFonts w:ascii="Arial" w:hAnsi="Arial" w:cs="Arial"/>
                <w:b/>
                <w:bCs/>
                <w:color w:val="000000"/>
                <w:sz w:val="18"/>
                <w:szCs w:val="18"/>
              </w:rPr>
              <w:t>Composição:</w:t>
            </w:r>
          </w:p>
        </w:tc>
        <w:tc>
          <w:tcPr>
            <w:tcW w:w="1159" w:type="pct"/>
            <w:noWrap/>
            <w:vAlign w:val="center"/>
            <w:hideMark/>
          </w:tcPr>
          <w:p w14:paraId="126E5659" w14:textId="77777777" w:rsidR="00645202" w:rsidRPr="006C0633" w:rsidRDefault="00645202">
            <w:pPr>
              <w:jc w:val="center"/>
              <w:rPr>
                <w:rFonts w:ascii="Arial" w:hAnsi="Arial" w:cs="Arial"/>
                <w:b/>
                <w:bCs/>
                <w:color w:val="000000"/>
                <w:sz w:val="18"/>
                <w:szCs w:val="18"/>
              </w:rPr>
            </w:pPr>
            <w:r w:rsidRPr="006C0633">
              <w:rPr>
                <w:rFonts w:ascii="Arial" w:hAnsi="Arial" w:cs="Arial"/>
                <w:b/>
                <w:bCs/>
                <w:color w:val="000000"/>
                <w:sz w:val="18"/>
                <w:szCs w:val="18"/>
              </w:rPr>
              <w:t>Total</w:t>
            </w:r>
          </w:p>
        </w:tc>
      </w:tr>
      <w:tr w:rsidR="00645202" w:rsidRPr="006C0633" w14:paraId="188E293A" w14:textId="77777777" w:rsidTr="006C0633">
        <w:trPr>
          <w:trHeight w:val="232"/>
        </w:trPr>
        <w:tc>
          <w:tcPr>
            <w:tcW w:w="3841" w:type="pct"/>
            <w:noWrap/>
            <w:vAlign w:val="center"/>
            <w:hideMark/>
          </w:tcPr>
          <w:p w14:paraId="690282C6" w14:textId="77777777" w:rsidR="00645202" w:rsidRPr="006C0633" w:rsidRDefault="00645202">
            <w:pPr>
              <w:rPr>
                <w:rFonts w:ascii="Arial" w:hAnsi="Arial" w:cs="Arial"/>
                <w:b/>
                <w:bCs/>
                <w:color w:val="000000"/>
                <w:sz w:val="18"/>
                <w:szCs w:val="18"/>
              </w:rPr>
            </w:pPr>
            <w:r w:rsidRPr="006C0633">
              <w:rPr>
                <w:rFonts w:ascii="Arial" w:hAnsi="Arial" w:cs="Arial"/>
                <w:b/>
                <w:bCs/>
                <w:color w:val="000000"/>
                <w:sz w:val="18"/>
                <w:szCs w:val="18"/>
              </w:rPr>
              <w:t xml:space="preserve"> Saldo em 31 de dezembro de 2025</w:t>
            </w:r>
          </w:p>
        </w:tc>
        <w:tc>
          <w:tcPr>
            <w:tcW w:w="1159" w:type="pct"/>
            <w:noWrap/>
            <w:vAlign w:val="center"/>
            <w:hideMark/>
          </w:tcPr>
          <w:p w14:paraId="205FDC2B" w14:textId="77777777" w:rsidR="00645202" w:rsidRPr="006C0633" w:rsidRDefault="00645202">
            <w:pPr>
              <w:jc w:val="right"/>
              <w:rPr>
                <w:rFonts w:ascii="Arial" w:hAnsi="Arial" w:cs="Arial"/>
                <w:b/>
                <w:bCs/>
                <w:color w:val="000000"/>
                <w:sz w:val="18"/>
                <w:szCs w:val="18"/>
              </w:rPr>
            </w:pPr>
            <w:r w:rsidRPr="006C0633">
              <w:rPr>
                <w:rFonts w:ascii="Arial" w:hAnsi="Arial" w:cs="Arial"/>
                <w:b/>
                <w:bCs/>
                <w:color w:val="000000"/>
                <w:sz w:val="18"/>
                <w:szCs w:val="18"/>
              </w:rPr>
              <w:t xml:space="preserve">   288.602 </w:t>
            </w:r>
          </w:p>
        </w:tc>
      </w:tr>
      <w:tr w:rsidR="00645202" w:rsidRPr="006C0633" w14:paraId="37E6FA61" w14:textId="77777777" w:rsidTr="006C0633">
        <w:trPr>
          <w:trHeight w:val="232"/>
        </w:trPr>
        <w:tc>
          <w:tcPr>
            <w:tcW w:w="3841" w:type="pct"/>
            <w:noWrap/>
            <w:vAlign w:val="center"/>
            <w:hideMark/>
          </w:tcPr>
          <w:p w14:paraId="20D0541D" w14:textId="77777777" w:rsidR="00645202" w:rsidRPr="006C0633" w:rsidRDefault="00645202">
            <w:pPr>
              <w:rPr>
                <w:rFonts w:ascii="Arial" w:hAnsi="Arial" w:cs="Arial"/>
                <w:color w:val="000000"/>
                <w:sz w:val="18"/>
                <w:szCs w:val="18"/>
              </w:rPr>
            </w:pPr>
            <w:r w:rsidRPr="006C0633">
              <w:rPr>
                <w:rFonts w:ascii="Arial" w:hAnsi="Arial" w:cs="Arial"/>
                <w:color w:val="000000"/>
                <w:sz w:val="18"/>
                <w:szCs w:val="18"/>
              </w:rPr>
              <w:t xml:space="preserve"> Atualização Monetária </w:t>
            </w:r>
          </w:p>
        </w:tc>
        <w:tc>
          <w:tcPr>
            <w:tcW w:w="1159" w:type="pct"/>
            <w:noWrap/>
            <w:vAlign w:val="center"/>
            <w:hideMark/>
          </w:tcPr>
          <w:p w14:paraId="73379F4B" w14:textId="77777777" w:rsidR="00645202" w:rsidRPr="006C0633" w:rsidRDefault="00645202">
            <w:pPr>
              <w:jc w:val="right"/>
              <w:rPr>
                <w:rFonts w:ascii="Arial" w:hAnsi="Arial" w:cs="Arial"/>
                <w:color w:val="000000"/>
                <w:sz w:val="18"/>
                <w:szCs w:val="18"/>
              </w:rPr>
            </w:pPr>
            <w:r w:rsidRPr="006C0633">
              <w:rPr>
                <w:rFonts w:ascii="Arial" w:hAnsi="Arial" w:cs="Arial"/>
                <w:color w:val="000000"/>
                <w:sz w:val="18"/>
                <w:szCs w:val="18"/>
              </w:rPr>
              <w:t xml:space="preserve">       5.987 </w:t>
            </w:r>
          </w:p>
        </w:tc>
      </w:tr>
      <w:tr w:rsidR="00645202" w:rsidRPr="006C0633" w14:paraId="7A3A8933" w14:textId="77777777" w:rsidTr="006C0633">
        <w:trPr>
          <w:trHeight w:val="232"/>
        </w:trPr>
        <w:tc>
          <w:tcPr>
            <w:tcW w:w="3841" w:type="pct"/>
            <w:noWrap/>
            <w:vAlign w:val="center"/>
            <w:hideMark/>
          </w:tcPr>
          <w:p w14:paraId="33203813" w14:textId="77777777" w:rsidR="00645202" w:rsidRPr="006C0633" w:rsidRDefault="00645202">
            <w:pPr>
              <w:rPr>
                <w:rFonts w:ascii="Arial" w:hAnsi="Arial" w:cs="Arial"/>
                <w:color w:val="000000"/>
                <w:sz w:val="18"/>
                <w:szCs w:val="18"/>
              </w:rPr>
            </w:pPr>
            <w:r w:rsidRPr="006C0633">
              <w:rPr>
                <w:rFonts w:ascii="Arial" w:hAnsi="Arial" w:cs="Arial"/>
                <w:color w:val="000000"/>
                <w:sz w:val="18"/>
                <w:szCs w:val="18"/>
              </w:rPr>
              <w:t xml:space="preserve"> Recebimentos no Período </w:t>
            </w:r>
          </w:p>
        </w:tc>
        <w:tc>
          <w:tcPr>
            <w:tcW w:w="1159" w:type="pct"/>
            <w:noWrap/>
            <w:vAlign w:val="center"/>
            <w:hideMark/>
          </w:tcPr>
          <w:p w14:paraId="76140CC3" w14:textId="77777777" w:rsidR="00645202" w:rsidRPr="006C0633" w:rsidRDefault="00645202">
            <w:pPr>
              <w:jc w:val="right"/>
              <w:rPr>
                <w:rFonts w:ascii="Arial" w:hAnsi="Arial" w:cs="Arial"/>
                <w:color w:val="000000"/>
                <w:sz w:val="18"/>
                <w:szCs w:val="18"/>
              </w:rPr>
            </w:pPr>
            <w:r w:rsidRPr="006C0633">
              <w:rPr>
                <w:rFonts w:ascii="Arial" w:hAnsi="Arial" w:cs="Arial"/>
                <w:color w:val="000000"/>
                <w:sz w:val="18"/>
                <w:szCs w:val="18"/>
              </w:rPr>
              <w:t xml:space="preserve">    (34.816)</w:t>
            </w:r>
          </w:p>
        </w:tc>
      </w:tr>
      <w:tr w:rsidR="00645202" w:rsidRPr="006C0633" w14:paraId="3F03868A" w14:textId="77777777" w:rsidTr="006C0633">
        <w:trPr>
          <w:trHeight w:val="232"/>
        </w:trPr>
        <w:tc>
          <w:tcPr>
            <w:tcW w:w="3841" w:type="pct"/>
            <w:noWrap/>
            <w:vAlign w:val="center"/>
            <w:hideMark/>
          </w:tcPr>
          <w:p w14:paraId="32AE6D2D" w14:textId="77777777" w:rsidR="00645202" w:rsidRPr="006C0633" w:rsidRDefault="00645202">
            <w:pPr>
              <w:rPr>
                <w:rFonts w:ascii="Arial" w:hAnsi="Arial" w:cs="Arial"/>
                <w:b/>
                <w:bCs/>
                <w:color w:val="000000"/>
                <w:sz w:val="18"/>
                <w:szCs w:val="18"/>
              </w:rPr>
            </w:pPr>
            <w:r w:rsidRPr="006C0633">
              <w:rPr>
                <w:rFonts w:ascii="Arial" w:hAnsi="Arial" w:cs="Arial"/>
                <w:b/>
                <w:bCs/>
                <w:color w:val="000000"/>
                <w:sz w:val="18"/>
                <w:szCs w:val="18"/>
              </w:rPr>
              <w:t xml:space="preserve"> Saldo em 31 de março de 2026</w:t>
            </w:r>
          </w:p>
        </w:tc>
        <w:tc>
          <w:tcPr>
            <w:tcW w:w="1159" w:type="pct"/>
            <w:noWrap/>
            <w:vAlign w:val="center"/>
            <w:hideMark/>
          </w:tcPr>
          <w:p w14:paraId="689F36BB" w14:textId="77777777" w:rsidR="00645202" w:rsidRPr="006C0633" w:rsidRDefault="00645202">
            <w:pPr>
              <w:jc w:val="right"/>
              <w:rPr>
                <w:rFonts w:ascii="Arial" w:hAnsi="Arial" w:cs="Arial"/>
                <w:b/>
                <w:bCs/>
                <w:color w:val="000000"/>
                <w:sz w:val="18"/>
                <w:szCs w:val="18"/>
              </w:rPr>
            </w:pPr>
            <w:r w:rsidRPr="006C0633">
              <w:rPr>
                <w:rFonts w:ascii="Arial" w:hAnsi="Arial" w:cs="Arial"/>
                <w:b/>
                <w:bCs/>
                <w:color w:val="000000"/>
                <w:sz w:val="18"/>
                <w:szCs w:val="18"/>
              </w:rPr>
              <w:t xml:space="preserve">   259.773 </w:t>
            </w:r>
          </w:p>
        </w:tc>
      </w:tr>
      <w:tr w:rsidR="00645202" w:rsidRPr="006C0633" w14:paraId="3F940831" w14:textId="77777777" w:rsidTr="006C0633">
        <w:trPr>
          <w:trHeight w:val="232"/>
        </w:trPr>
        <w:tc>
          <w:tcPr>
            <w:tcW w:w="3841" w:type="pct"/>
            <w:noWrap/>
            <w:vAlign w:val="center"/>
            <w:hideMark/>
          </w:tcPr>
          <w:p w14:paraId="054D3779" w14:textId="77777777" w:rsidR="00645202" w:rsidRPr="006C0633" w:rsidRDefault="00645202">
            <w:pPr>
              <w:rPr>
                <w:rFonts w:ascii="Arial" w:hAnsi="Arial" w:cs="Arial"/>
                <w:b/>
                <w:bCs/>
                <w:color w:val="000000"/>
                <w:sz w:val="18"/>
                <w:szCs w:val="18"/>
              </w:rPr>
            </w:pPr>
            <w:r w:rsidRPr="006C0633">
              <w:rPr>
                <w:rFonts w:ascii="Arial" w:hAnsi="Arial" w:cs="Arial"/>
                <w:b/>
                <w:bCs/>
                <w:color w:val="000000"/>
                <w:sz w:val="18"/>
                <w:szCs w:val="18"/>
              </w:rPr>
              <w:t xml:space="preserve"> Circulante </w:t>
            </w:r>
          </w:p>
        </w:tc>
        <w:tc>
          <w:tcPr>
            <w:tcW w:w="1159" w:type="pct"/>
            <w:noWrap/>
            <w:vAlign w:val="center"/>
            <w:hideMark/>
          </w:tcPr>
          <w:p w14:paraId="7E55E08A" w14:textId="77777777" w:rsidR="00645202" w:rsidRPr="006C0633" w:rsidRDefault="00645202">
            <w:pPr>
              <w:jc w:val="right"/>
              <w:rPr>
                <w:rFonts w:ascii="Arial" w:hAnsi="Arial" w:cs="Arial"/>
                <w:b/>
                <w:bCs/>
                <w:color w:val="000000"/>
                <w:sz w:val="18"/>
                <w:szCs w:val="18"/>
              </w:rPr>
            </w:pPr>
            <w:r w:rsidRPr="006C0633">
              <w:rPr>
                <w:rFonts w:ascii="Arial" w:hAnsi="Arial" w:cs="Arial"/>
                <w:b/>
                <w:bCs/>
                <w:color w:val="000000"/>
                <w:sz w:val="18"/>
                <w:szCs w:val="18"/>
              </w:rPr>
              <w:t xml:space="preserve">   140.043 </w:t>
            </w:r>
          </w:p>
        </w:tc>
      </w:tr>
      <w:tr w:rsidR="00645202" w14:paraId="77FB6C8A" w14:textId="77777777" w:rsidTr="006C0633">
        <w:trPr>
          <w:trHeight w:val="232"/>
        </w:trPr>
        <w:tc>
          <w:tcPr>
            <w:tcW w:w="3841" w:type="pct"/>
            <w:noWrap/>
            <w:vAlign w:val="center"/>
            <w:hideMark/>
          </w:tcPr>
          <w:p w14:paraId="2D0B1598" w14:textId="77777777" w:rsidR="00645202" w:rsidRPr="006C0633" w:rsidRDefault="00645202">
            <w:pPr>
              <w:rPr>
                <w:rFonts w:ascii="Arial" w:hAnsi="Arial" w:cs="Arial"/>
                <w:b/>
                <w:bCs/>
                <w:color w:val="000000"/>
                <w:sz w:val="18"/>
                <w:szCs w:val="18"/>
              </w:rPr>
            </w:pPr>
            <w:r w:rsidRPr="006C0633">
              <w:rPr>
                <w:rFonts w:ascii="Arial" w:hAnsi="Arial" w:cs="Arial"/>
                <w:b/>
                <w:bCs/>
                <w:color w:val="000000"/>
                <w:sz w:val="18"/>
                <w:szCs w:val="18"/>
              </w:rPr>
              <w:t xml:space="preserve"> Não Circulante </w:t>
            </w:r>
          </w:p>
        </w:tc>
        <w:tc>
          <w:tcPr>
            <w:tcW w:w="1159" w:type="pct"/>
            <w:noWrap/>
            <w:vAlign w:val="center"/>
            <w:hideMark/>
          </w:tcPr>
          <w:p w14:paraId="1D48413C" w14:textId="77777777" w:rsidR="00645202" w:rsidRDefault="00645202">
            <w:pPr>
              <w:jc w:val="right"/>
              <w:rPr>
                <w:rFonts w:ascii="Arial" w:hAnsi="Arial" w:cs="Arial"/>
                <w:b/>
                <w:bCs/>
                <w:color w:val="000000"/>
                <w:sz w:val="18"/>
                <w:szCs w:val="18"/>
              </w:rPr>
            </w:pPr>
            <w:r w:rsidRPr="006C0633">
              <w:rPr>
                <w:rFonts w:ascii="Arial" w:hAnsi="Arial" w:cs="Arial"/>
                <w:b/>
                <w:bCs/>
                <w:color w:val="000000"/>
                <w:sz w:val="18"/>
                <w:szCs w:val="18"/>
              </w:rPr>
              <w:t xml:space="preserve">   119.730</w:t>
            </w:r>
            <w:r>
              <w:rPr>
                <w:rFonts w:ascii="Arial" w:hAnsi="Arial" w:cs="Arial"/>
                <w:b/>
                <w:bCs/>
                <w:color w:val="000000"/>
                <w:sz w:val="18"/>
                <w:szCs w:val="18"/>
              </w:rPr>
              <w:t xml:space="preserve"> </w:t>
            </w:r>
          </w:p>
        </w:tc>
      </w:tr>
    </w:tbl>
    <w:p w14:paraId="7824C71E" w14:textId="77777777" w:rsidR="00645202" w:rsidRDefault="00645202" w:rsidP="0023763D">
      <w:pPr>
        <w:pStyle w:val="PargrafodaLista"/>
        <w:spacing w:after="0"/>
        <w:ind w:left="0"/>
        <w:rPr>
          <w:rFonts w:ascii="Arial" w:hAnsi="Arial" w:cs="Arial"/>
          <w:sz w:val="22"/>
          <w:szCs w:val="22"/>
          <w:highlight w:val="green"/>
          <w:lang w:val="pt-BR"/>
        </w:rPr>
      </w:pPr>
    </w:p>
    <w:p w14:paraId="6D5855B7" w14:textId="77777777" w:rsidR="0003684D" w:rsidRPr="002A36CE" w:rsidRDefault="0003684D"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20" w:name="_Toc491337717"/>
      <w:r w:rsidRPr="002A36CE">
        <w:rPr>
          <w:rFonts w:ascii="Arial" w:hAnsi="Arial" w:cs="Arial"/>
        </w:rPr>
        <w:lastRenderedPageBreak/>
        <w:t>OUTROS ATIVOS REALIZÁVEIS</w:t>
      </w:r>
      <w:bookmarkEnd w:id="20"/>
    </w:p>
    <w:p w14:paraId="70DD36FA" w14:textId="77777777" w:rsidR="00D9075B" w:rsidRPr="002A36CE" w:rsidRDefault="00D9075B" w:rsidP="00597FE5">
      <w:pPr>
        <w:spacing w:line="276" w:lineRule="auto"/>
      </w:pPr>
    </w:p>
    <w:p w14:paraId="71930B6E" w14:textId="77777777" w:rsidR="00D9075B" w:rsidRPr="002A36CE" w:rsidRDefault="00D9075B" w:rsidP="009541E1">
      <w:pPr>
        <w:pStyle w:val="Ttulo2"/>
        <w:numPr>
          <w:ilvl w:val="1"/>
          <w:numId w:val="7"/>
        </w:numPr>
        <w:tabs>
          <w:tab w:val="clear" w:pos="284"/>
          <w:tab w:val="clear" w:pos="340"/>
        </w:tabs>
        <w:spacing w:before="0" w:after="0" w:line="276" w:lineRule="auto"/>
        <w:ind w:left="709" w:hanging="709"/>
        <w:jc w:val="both"/>
        <w:rPr>
          <w:rFonts w:ascii="Arial" w:hAnsi="Arial" w:cs="Arial"/>
        </w:rPr>
      </w:pPr>
      <w:bookmarkStart w:id="21" w:name="_Toc491337718"/>
      <w:r w:rsidRPr="002A36CE">
        <w:rPr>
          <w:rFonts w:ascii="Arial" w:hAnsi="Arial" w:cs="Arial"/>
        </w:rPr>
        <w:t>Valores a receber de colaboradores cedidos</w:t>
      </w:r>
      <w:bookmarkEnd w:id="21"/>
    </w:p>
    <w:p w14:paraId="7601461F" w14:textId="77777777" w:rsidR="00891950" w:rsidRDefault="00891950" w:rsidP="00597FE5">
      <w:pPr>
        <w:pStyle w:val="Corpodetexto"/>
        <w:numPr>
          <w:ilvl w:val="12"/>
          <w:numId w:val="0"/>
        </w:numPr>
        <w:tabs>
          <w:tab w:val="clear" w:pos="851"/>
        </w:tabs>
        <w:spacing w:before="0" w:after="0" w:line="276" w:lineRule="auto"/>
        <w:rPr>
          <w:rFonts w:ascii="Arial" w:hAnsi="Arial" w:cs="Arial"/>
        </w:rPr>
      </w:pPr>
    </w:p>
    <w:p w14:paraId="431D6A87" w14:textId="28162E77" w:rsidR="00A60480" w:rsidRPr="002A36CE" w:rsidRDefault="005061A4"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A Companhia possui Colaboradores cedidos à Agência Nacional de Telecomunicações </w:t>
      </w:r>
      <w:r w:rsidR="00573B72" w:rsidRPr="002A36CE">
        <w:rPr>
          <w:rFonts w:ascii="Arial" w:hAnsi="Arial" w:cs="Arial"/>
        </w:rPr>
        <w:t>(</w:t>
      </w:r>
      <w:r w:rsidRPr="002A36CE">
        <w:rPr>
          <w:rFonts w:ascii="Arial" w:hAnsi="Arial" w:cs="Arial"/>
        </w:rPr>
        <w:t>ANATEL</w:t>
      </w:r>
      <w:r w:rsidR="00573B72" w:rsidRPr="002A36CE">
        <w:rPr>
          <w:rFonts w:ascii="Arial" w:hAnsi="Arial" w:cs="Arial"/>
        </w:rPr>
        <w:t>)</w:t>
      </w:r>
      <w:r w:rsidRPr="002A36CE">
        <w:rPr>
          <w:rFonts w:ascii="Arial" w:hAnsi="Arial" w:cs="Arial"/>
        </w:rPr>
        <w:t xml:space="preserve"> e a outros Órgãos Governamentais. </w:t>
      </w:r>
      <w:r w:rsidR="00A60480" w:rsidRPr="002A36CE">
        <w:rPr>
          <w:rFonts w:ascii="Arial" w:hAnsi="Arial" w:cs="Arial"/>
        </w:rPr>
        <w:t xml:space="preserve">Os valores a receber referem-se a salários e respectivos encargos e benefícios sociais, inclusive provisões de férias e 13º salários. </w:t>
      </w:r>
    </w:p>
    <w:p w14:paraId="5A8C8486" w14:textId="77777777" w:rsidR="00A60480" w:rsidRPr="002A36CE" w:rsidRDefault="00A60480" w:rsidP="00597FE5">
      <w:pPr>
        <w:spacing w:line="276" w:lineRule="auto"/>
        <w:jc w:val="both"/>
        <w:rPr>
          <w:rFonts w:ascii="Arial" w:hAnsi="Arial" w:cs="Arial"/>
          <w:sz w:val="22"/>
          <w:szCs w:val="22"/>
        </w:rPr>
      </w:pPr>
    </w:p>
    <w:p w14:paraId="5BC4ED75" w14:textId="071930E6" w:rsidR="00534E7A" w:rsidRDefault="00942526" w:rsidP="00597FE5">
      <w:pPr>
        <w:spacing w:line="276" w:lineRule="auto"/>
        <w:jc w:val="both"/>
        <w:rPr>
          <w:rFonts w:ascii="Arial" w:hAnsi="Arial" w:cs="Arial"/>
          <w:sz w:val="22"/>
          <w:szCs w:val="22"/>
        </w:rPr>
      </w:pPr>
      <w:r w:rsidRPr="002A36CE">
        <w:rPr>
          <w:rFonts w:ascii="Arial" w:hAnsi="Arial" w:cs="Arial"/>
          <w:sz w:val="22"/>
          <w:szCs w:val="22"/>
        </w:rPr>
        <w:t xml:space="preserve">Em </w:t>
      </w:r>
      <w:r w:rsidR="00091A70">
        <w:rPr>
          <w:rFonts w:ascii="Arial" w:hAnsi="Arial" w:cs="Arial"/>
          <w:sz w:val="22"/>
          <w:szCs w:val="22"/>
        </w:rPr>
        <w:t>3</w:t>
      </w:r>
      <w:r w:rsidR="006D3AEF">
        <w:rPr>
          <w:rFonts w:ascii="Arial" w:hAnsi="Arial" w:cs="Arial"/>
          <w:sz w:val="22"/>
          <w:szCs w:val="22"/>
        </w:rPr>
        <w:t>1</w:t>
      </w:r>
      <w:r w:rsidR="00091A70">
        <w:rPr>
          <w:rFonts w:ascii="Arial" w:hAnsi="Arial" w:cs="Arial"/>
          <w:sz w:val="22"/>
          <w:szCs w:val="22"/>
        </w:rPr>
        <w:t xml:space="preserve"> de </w:t>
      </w:r>
      <w:r w:rsidR="00D558BD">
        <w:rPr>
          <w:rFonts w:ascii="Arial" w:hAnsi="Arial" w:cs="Arial"/>
          <w:sz w:val="22"/>
          <w:szCs w:val="22"/>
        </w:rPr>
        <w:t>março</w:t>
      </w:r>
      <w:r w:rsidRPr="002A36CE">
        <w:rPr>
          <w:rFonts w:ascii="Arial" w:hAnsi="Arial" w:cs="Arial"/>
          <w:sz w:val="22"/>
          <w:szCs w:val="22"/>
        </w:rPr>
        <w:t xml:space="preserve"> de 20</w:t>
      </w:r>
      <w:r w:rsidR="00D10CBE" w:rsidRPr="002A36CE">
        <w:rPr>
          <w:rFonts w:ascii="Arial" w:hAnsi="Arial" w:cs="Arial"/>
          <w:sz w:val="22"/>
          <w:szCs w:val="22"/>
        </w:rPr>
        <w:t>2</w:t>
      </w:r>
      <w:r w:rsidR="00D558BD">
        <w:rPr>
          <w:rFonts w:ascii="Arial" w:hAnsi="Arial" w:cs="Arial"/>
          <w:sz w:val="22"/>
          <w:szCs w:val="22"/>
        </w:rPr>
        <w:t>6</w:t>
      </w:r>
      <w:r w:rsidRPr="002A36CE">
        <w:rPr>
          <w:rFonts w:ascii="Arial" w:hAnsi="Arial" w:cs="Arial"/>
          <w:sz w:val="22"/>
          <w:szCs w:val="22"/>
        </w:rPr>
        <w:t xml:space="preserve"> e</w:t>
      </w:r>
      <w:r w:rsidR="00FE1CD7" w:rsidRPr="002A36CE">
        <w:rPr>
          <w:rFonts w:ascii="Arial" w:hAnsi="Arial" w:cs="Arial"/>
          <w:sz w:val="22"/>
          <w:szCs w:val="22"/>
        </w:rPr>
        <w:t xml:space="preserve"> 31 de dezembro de 20</w:t>
      </w:r>
      <w:r w:rsidR="00D9173F">
        <w:rPr>
          <w:rFonts w:ascii="Arial" w:hAnsi="Arial" w:cs="Arial"/>
          <w:sz w:val="22"/>
          <w:szCs w:val="22"/>
        </w:rPr>
        <w:t>2</w:t>
      </w:r>
      <w:r w:rsidR="00D558BD">
        <w:rPr>
          <w:rFonts w:ascii="Arial" w:hAnsi="Arial" w:cs="Arial"/>
          <w:sz w:val="22"/>
          <w:szCs w:val="22"/>
        </w:rPr>
        <w:t>5</w:t>
      </w:r>
      <w:r w:rsidR="005061A4" w:rsidRPr="002A36CE">
        <w:rPr>
          <w:rFonts w:ascii="Arial" w:hAnsi="Arial" w:cs="Arial"/>
          <w:sz w:val="22"/>
          <w:szCs w:val="22"/>
        </w:rPr>
        <w:t>, o</w:t>
      </w:r>
      <w:r w:rsidR="00F2031A" w:rsidRPr="002A36CE">
        <w:rPr>
          <w:rFonts w:ascii="Arial" w:hAnsi="Arial" w:cs="Arial"/>
          <w:sz w:val="22"/>
          <w:szCs w:val="22"/>
        </w:rPr>
        <w:t>s</w:t>
      </w:r>
      <w:r w:rsidR="005061A4" w:rsidRPr="002A36CE">
        <w:rPr>
          <w:rFonts w:ascii="Arial" w:hAnsi="Arial" w:cs="Arial"/>
          <w:sz w:val="22"/>
          <w:szCs w:val="22"/>
        </w:rPr>
        <w:t xml:space="preserve"> valor</w:t>
      </w:r>
      <w:r w:rsidR="00F2031A" w:rsidRPr="002A36CE">
        <w:rPr>
          <w:rFonts w:ascii="Arial" w:hAnsi="Arial" w:cs="Arial"/>
          <w:sz w:val="22"/>
          <w:szCs w:val="22"/>
        </w:rPr>
        <w:t>es</w:t>
      </w:r>
      <w:r w:rsidR="005061A4" w:rsidRPr="002A36CE">
        <w:rPr>
          <w:rFonts w:ascii="Arial" w:hAnsi="Arial" w:cs="Arial"/>
          <w:sz w:val="22"/>
          <w:szCs w:val="22"/>
        </w:rPr>
        <w:t xml:space="preserve"> </w:t>
      </w:r>
      <w:r w:rsidR="00F2031A" w:rsidRPr="002A36CE">
        <w:rPr>
          <w:rFonts w:ascii="Arial" w:hAnsi="Arial" w:cs="Arial"/>
          <w:sz w:val="22"/>
          <w:szCs w:val="22"/>
        </w:rPr>
        <w:t xml:space="preserve">a </w:t>
      </w:r>
      <w:r w:rsidR="005061A4" w:rsidRPr="002A36CE">
        <w:rPr>
          <w:rFonts w:ascii="Arial" w:hAnsi="Arial" w:cs="Arial"/>
          <w:sz w:val="22"/>
          <w:szCs w:val="22"/>
        </w:rPr>
        <w:t>receber referente</w:t>
      </w:r>
      <w:r w:rsidR="00E5185E" w:rsidRPr="002A36CE">
        <w:rPr>
          <w:rFonts w:ascii="Arial" w:hAnsi="Arial" w:cs="Arial"/>
          <w:sz w:val="22"/>
          <w:szCs w:val="22"/>
        </w:rPr>
        <w:t>s</w:t>
      </w:r>
      <w:r w:rsidR="005061A4" w:rsidRPr="002A36CE">
        <w:rPr>
          <w:rFonts w:ascii="Arial" w:hAnsi="Arial" w:cs="Arial"/>
          <w:sz w:val="22"/>
          <w:szCs w:val="22"/>
        </w:rPr>
        <w:t xml:space="preserve"> </w:t>
      </w:r>
      <w:r w:rsidR="00F2031A" w:rsidRPr="002A36CE">
        <w:rPr>
          <w:rFonts w:ascii="Arial" w:hAnsi="Arial" w:cs="Arial"/>
          <w:sz w:val="22"/>
          <w:szCs w:val="22"/>
        </w:rPr>
        <w:t>à</w:t>
      </w:r>
      <w:r w:rsidR="005061A4" w:rsidRPr="002A36CE">
        <w:rPr>
          <w:rFonts w:ascii="Arial" w:hAnsi="Arial" w:cs="Arial"/>
          <w:sz w:val="22"/>
          <w:szCs w:val="22"/>
        </w:rPr>
        <w:t xml:space="preserve"> cessão de Colaboradores da T</w:t>
      </w:r>
      <w:r w:rsidR="00F936F3" w:rsidRPr="002A36CE">
        <w:rPr>
          <w:rFonts w:ascii="Arial" w:hAnsi="Arial" w:cs="Arial"/>
          <w:sz w:val="22"/>
          <w:szCs w:val="22"/>
        </w:rPr>
        <w:t>elebras</w:t>
      </w:r>
      <w:r w:rsidR="00F2031A" w:rsidRPr="002A36CE">
        <w:rPr>
          <w:rFonts w:ascii="Arial" w:hAnsi="Arial" w:cs="Arial"/>
          <w:sz w:val="22"/>
          <w:szCs w:val="22"/>
        </w:rPr>
        <w:t xml:space="preserve"> </w:t>
      </w:r>
      <w:r w:rsidR="00EB2A49" w:rsidRPr="002A36CE">
        <w:rPr>
          <w:rFonts w:ascii="Arial" w:hAnsi="Arial" w:cs="Arial"/>
          <w:sz w:val="22"/>
          <w:szCs w:val="22"/>
        </w:rPr>
        <w:t>à</w:t>
      </w:r>
      <w:r w:rsidR="00F2031A" w:rsidRPr="002A36CE">
        <w:rPr>
          <w:rFonts w:ascii="Arial" w:hAnsi="Arial" w:cs="Arial"/>
          <w:sz w:val="22"/>
          <w:szCs w:val="22"/>
        </w:rPr>
        <w:t>s entidades governamentais estão apresentad</w:t>
      </w:r>
      <w:r w:rsidR="00E820CF">
        <w:rPr>
          <w:rFonts w:ascii="Arial" w:hAnsi="Arial" w:cs="Arial"/>
          <w:sz w:val="22"/>
          <w:szCs w:val="22"/>
        </w:rPr>
        <w:t>o</w:t>
      </w:r>
      <w:r w:rsidR="00F2031A" w:rsidRPr="002A36CE">
        <w:rPr>
          <w:rFonts w:ascii="Arial" w:hAnsi="Arial" w:cs="Arial"/>
          <w:sz w:val="22"/>
          <w:szCs w:val="22"/>
        </w:rPr>
        <w:t>s no quadro a seguir:</w:t>
      </w:r>
    </w:p>
    <w:p w14:paraId="52C9DB79" w14:textId="77777777" w:rsidR="00C12EB9" w:rsidRPr="002A36CE" w:rsidRDefault="00C12EB9"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2"/>
        <w:gridCol w:w="1274"/>
        <w:gridCol w:w="1395"/>
      </w:tblGrid>
      <w:tr w:rsidR="0069727A" w:rsidRPr="00D558BD" w14:paraId="68F474F7" w14:textId="77777777" w:rsidTr="007266F0">
        <w:trPr>
          <w:trHeight w:val="238"/>
          <w:tblHeader/>
        </w:trPr>
        <w:tc>
          <w:tcPr>
            <w:tcW w:w="3634" w:type="pct"/>
            <w:shd w:val="clear" w:color="000000" w:fill="C0C0C0"/>
            <w:vAlign w:val="center"/>
            <w:hideMark/>
          </w:tcPr>
          <w:p w14:paraId="321C56FC" w14:textId="77777777" w:rsidR="0069727A" w:rsidRPr="00D558BD" w:rsidRDefault="0069727A" w:rsidP="0069727A">
            <w:pPr>
              <w:rPr>
                <w:rFonts w:ascii="Arial" w:hAnsi="Arial" w:cs="Arial"/>
                <w:b/>
                <w:bCs/>
                <w:color w:val="000000"/>
                <w:sz w:val="18"/>
                <w:szCs w:val="18"/>
              </w:rPr>
            </w:pPr>
            <w:r w:rsidRPr="00D558BD">
              <w:rPr>
                <w:rFonts w:ascii="Arial" w:hAnsi="Arial" w:cs="Arial"/>
                <w:b/>
                <w:bCs/>
                <w:color w:val="000000"/>
                <w:sz w:val="18"/>
                <w:szCs w:val="18"/>
                <w:lang w:eastAsia="en-US"/>
              </w:rPr>
              <w:t>Órgãos/Entidades: </w:t>
            </w:r>
          </w:p>
        </w:tc>
        <w:tc>
          <w:tcPr>
            <w:tcW w:w="652" w:type="pct"/>
            <w:vAlign w:val="center"/>
            <w:hideMark/>
          </w:tcPr>
          <w:p w14:paraId="0441C536" w14:textId="5B056A93" w:rsidR="0069727A" w:rsidRPr="00D558BD" w:rsidRDefault="00491543" w:rsidP="00EA79A1">
            <w:pPr>
              <w:jc w:val="center"/>
              <w:rPr>
                <w:rFonts w:ascii="Arial" w:hAnsi="Arial" w:cs="Arial"/>
                <w:b/>
                <w:bCs/>
                <w:color w:val="000000"/>
                <w:sz w:val="18"/>
                <w:szCs w:val="18"/>
              </w:rPr>
            </w:pPr>
            <w:r w:rsidRPr="00D558BD">
              <w:rPr>
                <w:rFonts w:ascii="Arial" w:hAnsi="Arial" w:cs="Arial"/>
                <w:b/>
                <w:bCs/>
                <w:color w:val="000000"/>
                <w:sz w:val="18"/>
                <w:szCs w:val="18"/>
                <w:lang w:eastAsia="en-US"/>
              </w:rPr>
              <w:t>3</w:t>
            </w:r>
            <w:r w:rsidR="00A64D44" w:rsidRPr="00D558BD">
              <w:rPr>
                <w:rFonts w:ascii="Arial" w:hAnsi="Arial" w:cs="Arial"/>
                <w:b/>
                <w:bCs/>
                <w:color w:val="000000"/>
                <w:sz w:val="18"/>
                <w:szCs w:val="18"/>
                <w:lang w:eastAsia="en-US"/>
              </w:rPr>
              <w:t>1</w:t>
            </w:r>
            <w:r w:rsidRPr="00D558BD">
              <w:rPr>
                <w:rFonts w:ascii="Arial" w:hAnsi="Arial" w:cs="Arial"/>
                <w:b/>
                <w:bCs/>
                <w:color w:val="000000"/>
                <w:sz w:val="18"/>
                <w:szCs w:val="18"/>
                <w:lang w:eastAsia="en-US"/>
              </w:rPr>
              <w:t>/</w:t>
            </w:r>
            <w:r w:rsidR="00C51E8C" w:rsidRPr="00D558BD">
              <w:rPr>
                <w:rFonts w:ascii="Arial" w:hAnsi="Arial" w:cs="Arial"/>
                <w:b/>
                <w:bCs/>
                <w:color w:val="000000"/>
                <w:sz w:val="18"/>
                <w:szCs w:val="18"/>
                <w:lang w:eastAsia="en-US"/>
              </w:rPr>
              <w:t>03</w:t>
            </w:r>
            <w:r w:rsidRPr="00D558BD">
              <w:rPr>
                <w:rFonts w:ascii="Arial" w:hAnsi="Arial" w:cs="Arial"/>
                <w:b/>
                <w:bCs/>
                <w:color w:val="000000"/>
                <w:sz w:val="18"/>
                <w:szCs w:val="18"/>
                <w:lang w:eastAsia="en-US"/>
              </w:rPr>
              <w:t>/202</w:t>
            </w:r>
            <w:r w:rsidR="000A60F7" w:rsidRPr="00D558BD">
              <w:rPr>
                <w:rFonts w:ascii="Arial" w:hAnsi="Arial" w:cs="Arial"/>
                <w:b/>
                <w:bCs/>
                <w:color w:val="000000"/>
                <w:sz w:val="18"/>
                <w:szCs w:val="18"/>
                <w:lang w:eastAsia="en-US"/>
              </w:rPr>
              <w:t>6</w:t>
            </w:r>
          </w:p>
        </w:tc>
        <w:tc>
          <w:tcPr>
            <w:tcW w:w="714" w:type="pct"/>
            <w:noWrap/>
            <w:vAlign w:val="center"/>
            <w:hideMark/>
          </w:tcPr>
          <w:p w14:paraId="6A375CEA" w14:textId="59412A97" w:rsidR="0069727A" w:rsidRPr="00D558BD" w:rsidRDefault="0069727A" w:rsidP="00491543">
            <w:pPr>
              <w:jc w:val="center"/>
              <w:rPr>
                <w:rFonts w:ascii="Arial" w:hAnsi="Arial" w:cs="Arial"/>
                <w:b/>
                <w:bCs/>
                <w:color w:val="000000"/>
                <w:sz w:val="18"/>
                <w:szCs w:val="18"/>
              </w:rPr>
            </w:pPr>
            <w:r w:rsidRPr="00D558BD">
              <w:rPr>
                <w:rFonts w:ascii="Arial" w:hAnsi="Arial" w:cs="Arial"/>
                <w:b/>
                <w:bCs/>
                <w:color w:val="000000"/>
                <w:sz w:val="18"/>
                <w:szCs w:val="18"/>
              </w:rPr>
              <w:t>31/12/20</w:t>
            </w:r>
            <w:r w:rsidR="00FE720E" w:rsidRPr="00D558BD">
              <w:rPr>
                <w:rFonts w:ascii="Arial" w:hAnsi="Arial" w:cs="Arial"/>
                <w:b/>
                <w:bCs/>
                <w:color w:val="000000"/>
                <w:sz w:val="18"/>
                <w:szCs w:val="18"/>
              </w:rPr>
              <w:t>2</w:t>
            </w:r>
            <w:r w:rsidR="000A60F7" w:rsidRPr="00D558BD">
              <w:rPr>
                <w:rFonts w:ascii="Arial" w:hAnsi="Arial" w:cs="Arial"/>
                <w:b/>
                <w:bCs/>
                <w:color w:val="000000"/>
                <w:sz w:val="18"/>
                <w:szCs w:val="18"/>
              </w:rPr>
              <w:t>5</w:t>
            </w:r>
          </w:p>
        </w:tc>
      </w:tr>
      <w:tr w:rsidR="00FE720E" w:rsidRPr="00D558BD" w14:paraId="26F2B732" w14:textId="77777777" w:rsidTr="00F4702D">
        <w:trPr>
          <w:trHeight w:val="238"/>
        </w:trPr>
        <w:tc>
          <w:tcPr>
            <w:tcW w:w="3634" w:type="pct"/>
            <w:vAlign w:val="center"/>
            <w:hideMark/>
          </w:tcPr>
          <w:p w14:paraId="05382085" w14:textId="77777777" w:rsidR="00FE720E" w:rsidRPr="00D558BD" w:rsidRDefault="00FE720E" w:rsidP="00FE720E">
            <w:pPr>
              <w:rPr>
                <w:rFonts w:ascii="Arial" w:hAnsi="Arial" w:cs="Arial"/>
                <w:color w:val="000000"/>
                <w:sz w:val="18"/>
                <w:szCs w:val="18"/>
              </w:rPr>
            </w:pPr>
            <w:r w:rsidRPr="00D558BD">
              <w:rPr>
                <w:rFonts w:ascii="Arial" w:hAnsi="Arial" w:cs="Arial"/>
                <w:color w:val="000000"/>
                <w:sz w:val="18"/>
                <w:szCs w:val="18"/>
                <w:lang w:eastAsia="en-US"/>
              </w:rPr>
              <w:t>Órgãos Governamentais</w:t>
            </w:r>
          </w:p>
        </w:tc>
        <w:tc>
          <w:tcPr>
            <w:tcW w:w="652" w:type="pct"/>
            <w:vAlign w:val="center"/>
            <w:hideMark/>
          </w:tcPr>
          <w:p w14:paraId="55443A4C" w14:textId="77777777" w:rsidR="00FE720E" w:rsidRPr="00D558BD" w:rsidRDefault="00FE720E" w:rsidP="00FE720E">
            <w:pPr>
              <w:jc w:val="right"/>
              <w:rPr>
                <w:rFonts w:ascii="Arial" w:hAnsi="Arial" w:cs="Arial"/>
                <w:color w:val="000000"/>
                <w:sz w:val="18"/>
                <w:szCs w:val="18"/>
              </w:rPr>
            </w:pPr>
            <w:r w:rsidRPr="00D558BD">
              <w:rPr>
                <w:rFonts w:ascii="Arial" w:hAnsi="Arial" w:cs="Arial"/>
                <w:color w:val="000000"/>
                <w:sz w:val="18"/>
                <w:szCs w:val="18"/>
                <w:lang w:eastAsia="en-US"/>
              </w:rPr>
              <w:t xml:space="preserve">          1.945 </w:t>
            </w:r>
          </w:p>
        </w:tc>
        <w:tc>
          <w:tcPr>
            <w:tcW w:w="714" w:type="pct"/>
            <w:noWrap/>
            <w:vAlign w:val="center"/>
            <w:hideMark/>
          </w:tcPr>
          <w:p w14:paraId="357D675A" w14:textId="0137905A" w:rsidR="00FE720E" w:rsidRPr="00D558BD" w:rsidRDefault="00FE720E" w:rsidP="00FE720E">
            <w:pPr>
              <w:jc w:val="right"/>
              <w:rPr>
                <w:rFonts w:ascii="Arial" w:hAnsi="Arial" w:cs="Arial"/>
                <w:color w:val="000000"/>
                <w:sz w:val="18"/>
                <w:szCs w:val="18"/>
              </w:rPr>
            </w:pPr>
            <w:r w:rsidRPr="00D558BD">
              <w:rPr>
                <w:rFonts w:ascii="Arial" w:hAnsi="Arial" w:cs="Arial"/>
                <w:color w:val="000000"/>
                <w:sz w:val="18"/>
                <w:szCs w:val="18"/>
                <w:lang w:eastAsia="en-US"/>
              </w:rPr>
              <w:t xml:space="preserve">          1.945 </w:t>
            </w:r>
          </w:p>
        </w:tc>
      </w:tr>
      <w:tr w:rsidR="00FE720E" w:rsidRPr="00D558BD" w14:paraId="7D92135A" w14:textId="77777777" w:rsidTr="00F4702D">
        <w:trPr>
          <w:trHeight w:val="238"/>
        </w:trPr>
        <w:tc>
          <w:tcPr>
            <w:tcW w:w="3634" w:type="pct"/>
            <w:vAlign w:val="center"/>
            <w:hideMark/>
          </w:tcPr>
          <w:p w14:paraId="7F37ABBF" w14:textId="77777777" w:rsidR="00FE720E" w:rsidRPr="00D558BD" w:rsidRDefault="00FE720E" w:rsidP="00FE720E">
            <w:pPr>
              <w:rPr>
                <w:rFonts w:ascii="Arial" w:hAnsi="Arial" w:cs="Arial"/>
                <w:b/>
                <w:bCs/>
                <w:color w:val="000000"/>
                <w:sz w:val="18"/>
                <w:szCs w:val="18"/>
              </w:rPr>
            </w:pPr>
            <w:r w:rsidRPr="00D558BD">
              <w:rPr>
                <w:rFonts w:ascii="Arial" w:hAnsi="Arial" w:cs="Arial"/>
                <w:b/>
                <w:bCs/>
                <w:color w:val="000000"/>
                <w:sz w:val="18"/>
                <w:szCs w:val="18"/>
                <w:lang w:eastAsia="en-US"/>
              </w:rPr>
              <w:t>Total</w:t>
            </w:r>
          </w:p>
        </w:tc>
        <w:tc>
          <w:tcPr>
            <w:tcW w:w="652" w:type="pct"/>
            <w:vAlign w:val="center"/>
            <w:hideMark/>
          </w:tcPr>
          <w:p w14:paraId="15C4A950" w14:textId="77777777" w:rsidR="00FE720E" w:rsidRPr="00D558BD" w:rsidRDefault="00FE720E" w:rsidP="00FE720E">
            <w:pPr>
              <w:jc w:val="right"/>
              <w:rPr>
                <w:rFonts w:ascii="Arial" w:hAnsi="Arial" w:cs="Arial"/>
                <w:b/>
                <w:bCs/>
                <w:color w:val="000000"/>
                <w:sz w:val="18"/>
                <w:szCs w:val="18"/>
              </w:rPr>
            </w:pPr>
            <w:r w:rsidRPr="00D558BD">
              <w:rPr>
                <w:rFonts w:ascii="Arial" w:hAnsi="Arial" w:cs="Arial"/>
                <w:b/>
                <w:bCs/>
                <w:color w:val="000000"/>
                <w:sz w:val="18"/>
                <w:szCs w:val="18"/>
                <w:lang w:eastAsia="en-US"/>
              </w:rPr>
              <w:t xml:space="preserve">          1.945 </w:t>
            </w:r>
          </w:p>
        </w:tc>
        <w:tc>
          <w:tcPr>
            <w:tcW w:w="714" w:type="pct"/>
            <w:noWrap/>
            <w:vAlign w:val="center"/>
            <w:hideMark/>
          </w:tcPr>
          <w:p w14:paraId="34A01D55" w14:textId="419734E0" w:rsidR="00FE720E" w:rsidRPr="00D558BD" w:rsidRDefault="00FE720E" w:rsidP="00FE720E">
            <w:pPr>
              <w:jc w:val="right"/>
              <w:rPr>
                <w:rFonts w:ascii="Arial" w:hAnsi="Arial" w:cs="Arial"/>
                <w:b/>
                <w:bCs/>
                <w:color w:val="000000"/>
                <w:sz w:val="18"/>
                <w:szCs w:val="18"/>
              </w:rPr>
            </w:pPr>
            <w:r w:rsidRPr="00D558BD">
              <w:rPr>
                <w:rFonts w:ascii="Arial" w:hAnsi="Arial" w:cs="Arial"/>
                <w:b/>
                <w:bCs/>
                <w:color w:val="000000"/>
                <w:sz w:val="18"/>
                <w:szCs w:val="18"/>
                <w:lang w:eastAsia="en-US"/>
              </w:rPr>
              <w:t xml:space="preserve">          1.945 </w:t>
            </w:r>
          </w:p>
        </w:tc>
      </w:tr>
      <w:tr w:rsidR="00FE720E" w:rsidRPr="0069727A" w14:paraId="2AFED5ED" w14:textId="77777777" w:rsidTr="00F4702D">
        <w:trPr>
          <w:trHeight w:val="238"/>
        </w:trPr>
        <w:tc>
          <w:tcPr>
            <w:tcW w:w="3634" w:type="pct"/>
            <w:vAlign w:val="center"/>
            <w:hideMark/>
          </w:tcPr>
          <w:p w14:paraId="67FD5CDA" w14:textId="77777777" w:rsidR="00FE720E" w:rsidRPr="00D558BD" w:rsidRDefault="00FE720E" w:rsidP="00FE720E">
            <w:pPr>
              <w:rPr>
                <w:rFonts w:ascii="Arial" w:hAnsi="Arial" w:cs="Arial"/>
                <w:b/>
                <w:bCs/>
                <w:color w:val="000000"/>
                <w:sz w:val="18"/>
                <w:szCs w:val="18"/>
              </w:rPr>
            </w:pPr>
            <w:r w:rsidRPr="00D558BD">
              <w:rPr>
                <w:rFonts w:ascii="Arial" w:hAnsi="Arial" w:cs="Arial"/>
                <w:b/>
                <w:bCs/>
                <w:color w:val="000000"/>
                <w:sz w:val="18"/>
                <w:szCs w:val="18"/>
                <w:lang w:eastAsia="en-US"/>
              </w:rPr>
              <w:t>Circulante</w:t>
            </w:r>
          </w:p>
        </w:tc>
        <w:tc>
          <w:tcPr>
            <w:tcW w:w="652" w:type="pct"/>
            <w:vAlign w:val="center"/>
            <w:hideMark/>
          </w:tcPr>
          <w:p w14:paraId="7DE00C74" w14:textId="77777777" w:rsidR="00FE720E" w:rsidRPr="00D558BD" w:rsidRDefault="00FE720E" w:rsidP="00FE720E">
            <w:pPr>
              <w:jc w:val="right"/>
              <w:rPr>
                <w:rFonts w:ascii="Arial" w:hAnsi="Arial" w:cs="Arial"/>
                <w:b/>
                <w:bCs/>
                <w:color w:val="000000"/>
                <w:sz w:val="18"/>
                <w:szCs w:val="18"/>
              </w:rPr>
            </w:pPr>
            <w:r w:rsidRPr="00D558BD">
              <w:rPr>
                <w:rFonts w:ascii="Arial" w:hAnsi="Arial" w:cs="Arial"/>
                <w:b/>
                <w:bCs/>
                <w:color w:val="000000"/>
                <w:sz w:val="18"/>
                <w:szCs w:val="18"/>
                <w:lang w:eastAsia="en-US"/>
              </w:rPr>
              <w:t xml:space="preserve">          1.945 </w:t>
            </w:r>
          </w:p>
        </w:tc>
        <w:tc>
          <w:tcPr>
            <w:tcW w:w="714" w:type="pct"/>
            <w:noWrap/>
            <w:vAlign w:val="center"/>
            <w:hideMark/>
          </w:tcPr>
          <w:p w14:paraId="174AC89C" w14:textId="4D00D65E" w:rsidR="00FE720E" w:rsidRPr="007113D1" w:rsidRDefault="00FE720E" w:rsidP="00FE720E">
            <w:pPr>
              <w:jc w:val="right"/>
              <w:rPr>
                <w:rFonts w:ascii="Arial" w:hAnsi="Arial" w:cs="Arial"/>
                <w:b/>
                <w:bCs/>
                <w:color w:val="000000"/>
                <w:sz w:val="18"/>
                <w:szCs w:val="18"/>
              </w:rPr>
            </w:pPr>
            <w:r w:rsidRPr="00D558BD">
              <w:rPr>
                <w:rFonts w:ascii="Arial" w:hAnsi="Arial" w:cs="Arial"/>
                <w:b/>
                <w:bCs/>
                <w:color w:val="000000"/>
                <w:sz w:val="18"/>
                <w:szCs w:val="18"/>
                <w:lang w:eastAsia="en-US"/>
              </w:rPr>
              <w:t xml:space="preserve">          1.945</w:t>
            </w:r>
            <w:r w:rsidRPr="007113D1">
              <w:rPr>
                <w:rFonts w:ascii="Arial" w:hAnsi="Arial" w:cs="Arial"/>
                <w:b/>
                <w:bCs/>
                <w:color w:val="000000"/>
                <w:sz w:val="18"/>
                <w:szCs w:val="18"/>
                <w:lang w:eastAsia="en-US"/>
              </w:rPr>
              <w:t xml:space="preserve"> </w:t>
            </w:r>
          </w:p>
        </w:tc>
      </w:tr>
    </w:tbl>
    <w:p w14:paraId="1669DE1E" w14:textId="77777777" w:rsidR="00C30E23" w:rsidRDefault="00C30E23" w:rsidP="005E1909">
      <w:pPr>
        <w:rPr>
          <w:rFonts w:ascii="Arial" w:hAnsi="Arial" w:cs="Arial"/>
          <w:sz w:val="22"/>
          <w:szCs w:val="22"/>
        </w:rPr>
      </w:pPr>
    </w:p>
    <w:p w14:paraId="479FF42F" w14:textId="69C56634" w:rsidR="00A135CE" w:rsidRDefault="00A135CE" w:rsidP="009541E1">
      <w:pPr>
        <w:pStyle w:val="Ttulo2"/>
        <w:numPr>
          <w:ilvl w:val="1"/>
          <w:numId w:val="7"/>
        </w:numPr>
        <w:tabs>
          <w:tab w:val="clear" w:pos="284"/>
          <w:tab w:val="clear" w:pos="340"/>
        </w:tabs>
        <w:spacing w:before="0" w:after="0"/>
        <w:ind w:left="709" w:hanging="709"/>
        <w:jc w:val="both"/>
        <w:rPr>
          <w:rFonts w:ascii="Arial" w:hAnsi="Arial" w:cs="Arial"/>
        </w:rPr>
      </w:pPr>
      <w:bookmarkStart w:id="22" w:name="_Toc491337719"/>
      <w:r w:rsidRPr="002A36CE">
        <w:rPr>
          <w:rFonts w:ascii="Arial" w:hAnsi="Arial" w:cs="Arial"/>
        </w:rPr>
        <w:t xml:space="preserve">Outros </w:t>
      </w:r>
      <w:r w:rsidR="0021590B" w:rsidRPr="002A36CE">
        <w:rPr>
          <w:rFonts w:ascii="Arial" w:hAnsi="Arial" w:cs="Arial"/>
        </w:rPr>
        <w:t>ativos</w:t>
      </w:r>
      <w:r w:rsidRPr="002A36CE">
        <w:rPr>
          <w:rFonts w:ascii="Arial" w:hAnsi="Arial" w:cs="Arial"/>
        </w:rPr>
        <w:t xml:space="preserve"> realizáveis</w:t>
      </w:r>
      <w:bookmarkEnd w:id="22"/>
    </w:p>
    <w:p w14:paraId="54EED81E" w14:textId="7DD979B4" w:rsidR="004E01E4" w:rsidRDefault="004E01E4" w:rsidP="004E01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5"/>
        <w:gridCol w:w="1448"/>
        <w:gridCol w:w="1448"/>
      </w:tblGrid>
      <w:tr w:rsidR="004D338C" w:rsidRPr="005B1ED9" w14:paraId="6A46D632" w14:textId="77777777" w:rsidTr="004D338C">
        <w:trPr>
          <w:trHeight w:val="232"/>
        </w:trPr>
        <w:tc>
          <w:tcPr>
            <w:tcW w:w="3518" w:type="pct"/>
            <w:shd w:val="clear" w:color="000000" w:fill="D9D9D9"/>
            <w:noWrap/>
            <w:vAlign w:val="center"/>
            <w:hideMark/>
          </w:tcPr>
          <w:p w14:paraId="344270D9" w14:textId="77777777" w:rsidR="004D338C" w:rsidRPr="005B1ED9" w:rsidRDefault="004D338C">
            <w:pPr>
              <w:rPr>
                <w:rFonts w:ascii="Arial" w:hAnsi="Arial" w:cs="Arial"/>
                <w:b/>
                <w:bCs/>
                <w:color w:val="000000"/>
                <w:sz w:val="18"/>
                <w:szCs w:val="18"/>
              </w:rPr>
            </w:pPr>
            <w:r w:rsidRPr="005B1ED9">
              <w:rPr>
                <w:rFonts w:ascii="Arial" w:hAnsi="Arial" w:cs="Arial"/>
                <w:b/>
                <w:bCs/>
                <w:color w:val="000000"/>
                <w:sz w:val="18"/>
                <w:szCs w:val="18"/>
              </w:rPr>
              <w:t>Composição: </w:t>
            </w:r>
          </w:p>
        </w:tc>
        <w:tc>
          <w:tcPr>
            <w:tcW w:w="741" w:type="pct"/>
            <w:vAlign w:val="center"/>
            <w:hideMark/>
          </w:tcPr>
          <w:p w14:paraId="73F01410" w14:textId="77777777" w:rsidR="004D338C" w:rsidRPr="005B1ED9" w:rsidRDefault="004D338C">
            <w:pPr>
              <w:jc w:val="center"/>
              <w:rPr>
                <w:rFonts w:ascii="Arial" w:hAnsi="Arial" w:cs="Arial"/>
                <w:b/>
                <w:bCs/>
                <w:color w:val="000000"/>
                <w:sz w:val="18"/>
                <w:szCs w:val="18"/>
              </w:rPr>
            </w:pPr>
            <w:r w:rsidRPr="005B1ED9">
              <w:rPr>
                <w:rFonts w:ascii="Arial" w:hAnsi="Arial" w:cs="Arial"/>
                <w:b/>
                <w:bCs/>
                <w:color w:val="000000"/>
                <w:sz w:val="18"/>
                <w:szCs w:val="18"/>
              </w:rPr>
              <w:t>31/03/2026</w:t>
            </w:r>
          </w:p>
        </w:tc>
        <w:tc>
          <w:tcPr>
            <w:tcW w:w="741" w:type="pct"/>
            <w:vAlign w:val="center"/>
            <w:hideMark/>
          </w:tcPr>
          <w:p w14:paraId="5C3EA4D8" w14:textId="77777777" w:rsidR="004D338C" w:rsidRPr="005B1ED9" w:rsidRDefault="004D338C">
            <w:pPr>
              <w:jc w:val="center"/>
              <w:rPr>
                <w:rFonts w:ascii="Arial" w:hAnsi="Arial" w:cs="Arial"/>
                <w:b/>
                <w:bCs/>
                <w:color w:val="000000"/>
                <w:sz w:val="18"/>
                <w:szCs w:val="18"/>
              </w:rPr>
            </w:pPr>
            <w:r w:rsidRPr="005B1ED9">
              <w:rPr>
                <w:rFonts w:ascii="Arial" w:hAnsi="Arial" w:cs="Arial"/>
                <w:b/>
                <w:bCs/>
                <w:color w:val="000000"/>
                <w:sz w:val="18"/>
                <w:szCs w:val="18"/>
              </w:rPr>
              <w:t>31/12/2025</w:t>
            </w:r>
          </w:p>
        </w:tc>
      </w:tr>
      <w:tr w:rsidR="004D338C" w:rsidRPr="005B1ED9" w14:paraId="64A3F0E6" w14:textId="77777777" w:rsidTr="004D338C">
        <w:trPr>
          <w:trHeight w:val="232"/>
        </w:trPr>
        <w:tc>
          <w:tcPr>
            <w:tcW w:w="3518" w:type="pct"/>
            <w:noWrap/>
            <w:vAlign w:val="center"/>
            <w:hideMark/>
          </w:tcPr>
          <w:p w14:paraId="3A94334D"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Adiantamento a Fornecedores de Operação e Manutenção (i)</w:t>
            </w:r>
          </w:p>
        </w:tc>
        <w:tc>
          <w:tcPr>
            <w:tcW w:w="741" w:type="pct"/>
            <w:noWrap/>
            <w:vAlign w:val="center"/>
            <w:hideMark/>
          </w:tcPr>
          <w:p w14:paraId="6280E378"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11.552 </w:t>
            </w:r>
          </w:p>
        </w:tc>
        <w:tc>
          <w:tcPr>
            <w:tcW w:w="741" w:type="pct"/>
            <w:noWrap/>
            <w:vAlign w:val="center"/>
            <w:hideMark/>
          </w:tcPr>
          <w:p w14:paraId="05A34BEA"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12.980 </w:t>
            </w:r>
          </w:p>
        </w:tc>
      </w:tr>
      <w:tr w:rsidR="004D338C" w:rsidRPr="005B1ED9" w14:paraId="295175CF" w14:textId="77777777" w:rsidTr="004D338C">
        <w:trPr>
          <w:trHeight w:val="232"/>
        </w:trPr>
        <w:tc>
          <w:tcPr>
            <w:tcW w:w="3518" w:type="pct"/>
            <w:noWrap/>
            <w:vAlign w:val="center"/>
            <w:hideMark/>
          </w:tcPr>
          <w:p w14:paraId="005D9DCC"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Despesas Pagas Antecipadamente</w:t>
            </w:r>
          </w:p>
        </w:tc>
        <w:tc>
          <w:tcPr>
            <w:tcW w:w="741" w:type="pct"/>
            <w:noWrap/>
            <w:vAlign w:val="center"/>
            <w:hideMark/>
          </w:tcPr>
          <w:p w14:paraId="227B405A"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4.400 </w:t>
            </w:r>
          </w:p>
        </w:tc>
        <w:tc>
          <w:tcPr>
            <w:tcW w:w="741" w:type="pct"/>
            <w:noWrap/>
            <w:vAlign w:val="center"/>
            <w:hideMark/>
          </w:tcPr>
          <w:p w14:paraId="6D607ABC"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7.700 </w:t>
            </w:r>
          </w:p>
        </w:tc>
      </w:tr>
      <w:tr w:rsidR="004D338C" w:rsidRPr="005B1ED9" w14:paraId="382CCE99" w14:textId="77777777" w:rsidTr="004D338C">
        <w:trPr>
          <w:trHeight w:val="232"/>
        </w:trPr>
        <w:tc>
          <w:tcPr>
            <w:tcW w:w="3518" w:type="pct"/>
            <w:noWrap/>
            <w:vAlign w:val="center"/>
            <w:hideMark/>
          </w:tcPr>
          <w:p w14:paraId="35215540"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Tributos Retidos e Recolhidos a Recuperar de Clientes</w:t>
            </w:r>
          </w:p>
        </w:tc>
        <w:tc>
          <w:tcPr>
            <w:tcW w:w="741" w:type="pct"/>
            <w:noWrap/>
            <w:vAlign w:val="center"/>
            <w:hideMark/>
          </w:tcPr>
          <w:p w14:paraId="5AD043ED"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4.788 </w:t>
            </w:r>
          </w:p>
        </w:tc>
        <w:tc>
          <w:tcPr>
            <w:tcW w:w="741" w:type="pct"/>
            <w:noWrap/>
            <w:vAlign w:val="center"/>
            <w:hideMark/>
          </w:tcPr>
          <w:p w14:paraId="02CAC679"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4.766 </w:t>
            </w:r>
          </w:p>
        </w:tc>
      </w:tr>
      <w:tr w:rsidR="004D338C" w:rsidRPr="005B1ED9" w14:paraId="26EFDBBC" w14:textId="77777777" w:rsidTr="004D338C">
        <w:trPr>
          <w:trHeight w:val="232"/>
        </w:trPr>
        <w:tc>
          <w:tcPr>
            <w:tcW w:w="3518" w:type="pct"/>
            <w:noWrap/>
            <w:vAlign w:val="center"/>
            <w:hideMark/>
          </w:tcPr>
          <w:p w14:paraId="29FE97BB"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 xml:space="preserve">Cauções e Retenções </w:t>
            </w:r>
          </w:p>
        </w:tc>
        <w:tc>
          <w:tcPr>
            <w:tcW w:w="741" w:type="pct"/>
            <w:noWrap/>
            <w:vAlign w:val="center"/>
            <w:hideMark/>
          </w:tcPr>
          <w:p w14:paraId="270FAABD"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2.308 </w:t>
            </w:r>
          </w:p>
        </w:tc>
        <w:tc>
          <w:tcPr>
            <w:tcW w:w="741" w:type="pct"/>
            <w:noWrap/>
            <w:vAlign w:val="center"/>
            <w:hideMark/>
          </w:tcPr>
          <w:p w14:paraId="1F15EB48"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2.740 </w:t>
            </w:r>
          </w:p>
        </w:tc>
      </w:tr>
      <w:tr w:rsidR="004D338C" w:rsidRPr="005B1ED9" w14:paraId="31A28487" w14:textId="77777777" w:rsidTr="004D338C">
        <w:trPr>
          <w:trHeight w:val="232"/>
        </w:trPr>
        <w:tc>
          <w:tcPr>
            <w:tcW w:w="3518" w:type="pct"/>
            <w:noWrap/>
            <w:vAlign w:val="center"/>
            <w:hideMark/>
          </w:tcPr>
          <w:p w14:paraId="5ACD8613"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Adiantamento a Empregados</w:t>
            </w:r>
          </w:p>
        </w:tc>
        <w:tc>
          <w:tcPr>
            <w:tcW w:w="741" w:type="pct"/>
            <w:noWrap/>
            <w:vAlign w:val="center"/>
            <w:hideMark/>
          </w:tcPr>
          <w:p w14:paraId="199D6B62"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2.294 </w:t>
            </w:r>
          </w:p>
        </w:tc>
        <w:tc>
          <w:tcPr>
            <w:tcW w:w="741" w:type="pct"/>
            <w:noWrap/>
            <w:vAlign w:val="center"/>
            <w:hideMark/>
          </w:tcPr>
          <w:p w14:paraId="472D5855"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1.873 </w:t>
            </w:r>
          </w:p>
        </w:tc>
      </w:tr>
      <w:tr w:rsidR="004D338C" w:rsidRPr="005B1ED9" w14:paraId="7B0470BB" w14:textId="77777777" w:rsidTr="004D338C">
        <w:trPr>
          <w:trHeight w:val="232"/>
        </w:trPr>
        <w:tc>
          <w:tcPr>
            <w:tcW w:w="3518" w:type="pct"/>
            <w:noWrap/>
            <w:vAlign w:val="center"/>
            <w:hideMark/>
          </w:tcPr>
          <w:p w14:paraId="42C30C1B"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Glosas sobre Serviços a Recuperar de Clientes</w:t>
            </w:r>
          </w:p>
        </w:tc>
        <w:tc>
          <w:tcPr>
            <w:tcW w:w="741" w:type="pct"/>
            <w:noWrap/>
            <w:vAlign w:val="center"/>
            <w:hideMark/>
          </w:tcPr>
          <w:p w14:paraId="4FB43236"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940 </w:t>
            </w:r>
          </w:p>
        </w:tc>
        <w:tc>
          <w:tcPr>
            <w:tcW w:w="741" w:type="pct"/>
            <w:noWrap/>
            <w:vAlign w:val="center"/>
            <w:hideMark/>
          </w:tcPr>
          <w:p w14:paraId="4EF7299E"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940 </w:t>
            </w:r>
          </w:p>
        </w:tc>
      </w:tr>
      <w:tr w:rsidR="004D338C" w:rsidRPr="005B1ED9" w14:paraId="1EDF655E" w14:textId="77777777" w:rsidTr="004D338C">
        <w:trPr>
          <w:trHeight w:val="232"/>
        </w:trPr>
        <w:tc>
          <w:tcPr>
            <w:tcW w:w="3518" w:type="pct"/>
            <w:noWrap/>
            <w:vAlign w:val="center"/>
            <w:hideMark/>
          </w:tcPr>
          <w:p w14:paraId="7465AA12"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Outros</w:t>
            </w:r>
          </w:p>
        </w:tc>
        <w:tc>
          <w:tcPr>
            <w:tcW w:w="741" w:type="pct"/>
            <w:noWrap/>
            <w:vAlign w:val="center"/>
            <w:hideMark/>
          </w:tcPr>
          <w:p w14:paraId="7B3A635B"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246 </w:t>
            </w:r>
          </w:p>
        </w:tc>
        <w:tc>
          <w:tcPr>
            <w:tcW w:w="741" w:type="pct"/>
            <w:noWrap/>
            <w:vAlign w:val="center"/>
            <w:hideMark/>
          </w:tcPr>
          <w:p w14:paraId="0A028CC7"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63 </w:t>
            </w:r>
          </w:p>
        </w:tc>
      </w:tr>
      <w:tr w:rsidR="004D338C" w:rsidRPr="005B1ED9" w14:paraId="0654A531" w14:textId="77777777" w:rsidTr="004D338C">
        <w:trPr>
          <w:trHeight w:val="232"/>
        </w:trPr>
        <w:tc>
          <w:tcPr>
            <w:tcW w:w="3518" w:type="pct"/>
            <w:noWrap/>
            <w:vAlign w:val="center"/>
            <w:hideMark/>
          </w:tcPr>
          <w:p w14:paraId="7B408E07"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Estoques de Materiais de Consumo</w:t>
            </w:r>
          </w:p>
        </w:tc>
        <w:tc>
          <w:tcPr>
            <w:tcW w:w="741" w:type="pct"/>
            <w:noWrap/>
            <w:vAlign w:val="center"/>
            <w:hideMark/>
          </w:tcPr>
          <w:p w14:paraId="76959C4C"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39 </w:t>
            </w:r>
          </w:p>
        </w:tc>
        <w:tc>
          <w:tcPr>
            <w:tcW w:w="741" w:type="pct"/>
            <w:noWrap/>
            <w:vAlign w:val="center"/>
            <w:hideMark/>
          </w:tcPr>
          <w:p w14:paraId="649A1641"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40 </w:t>
            </w:r>
          </w:p>
        </w:tc>
      </w:tr>
      <w:tr w:rsidR="004D338C" w:rsidRPr="005B1ED9" w14:paraId="0BF789D7" w14:textId="77777777" w:rsidTr="004D338C">
        <w:trPr>
          <w:trHeight w:val="232"/>
        </w:trPr>
        <w:tc>
          <w:tcPr>
            <w:tcW w:w="3518" w:type="pct"/>
            <w:noWrap/>
            <w:vAlign w:val="center"/>
            <w:hideMark/>
          </w:tcPr>
          <w:p w14:paraId="7851F9A7" w14:textId="77777777" w:rsidR="004D338C" w:rsidRPr="005B1ED9" w:rsidRDefault="004D338C">
            <w:pPr>
              <w:rPr>
                <w:rFonts w:ascii="Arial" w:hAnsi="Arial" w:cs="Arial"/>
                <w:color w:val="000000"/>
                <w:sz w:val="18"/>
                <w:szCs w:val="18"/>
              </w:rPr>
            </w:pPr>
            <w:r w:rsidRPr="005B1ED9">
              <w:rPr>
                <w:rFonts w:ascii="Arial" w:hAnsi="Arial" w:cs="Arial"/>
                <w:color w:val="000000"/>
                <w:sz w:val="18"/>
                <w:szCs w:val="18"/>
              </w:rPr>
              <w:t>Provisão para Perdas sobre Glosas</w:t>
            </w:r>
          </w:p>
        </w:tc>
        <w:tc>
          <w:tcPr>
            <w:tcW w:w="741" w:type="pct"/>
            <w:noWrap/>
            <w:vAlign w:val="center"/>
            <w:hideMark/>
          </w:tcPr>
          <w:p w14:paraId="7BE365FD"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(940)</w:t>
            </w:r>
          </w:p>
        </w:tc>
        <w:tc>
          <w:tcPr>
            <w:tcW w:w="741" w:type="pct"/>
            <w:noWrap/>
            <w:vAlign w:val="center"/>
            <w:hideMark/>
          </w:tcPr>
          <w:p w14:paraId="5DCC9185" w14:textId="77777777" w:rsidR="004D338C" w:rsidRPr="005B1ED9" w:rsidRDefault="004D338C">
            <w:pPr>
              <w:jc w:val="right"/>
              <w:rPr>
                <w:rFonts w:ascii="Arial" w:hAnsi="Arial" w:cs="Arial"/>
                <w:color w:val="000000"/>
                <w:sz w:val="18"/>
                <w:szCs w:val="18"/>
              </w:rPr>
            </w:pPr>
            <w:r w:rsidRPr="005B1ED9">
              <w:rPr>
                <w:rFonts w:ascii="Arial" w:hAnsi="Arial" w:cs="Arial"/>
                <w:color w:val="000000"/>
                <w:sz w:val="18"/>
                <w:szCs w:val="18"/>
              </w:rPr>
              <w:t xml:space="preserve">          (940)</w:t>
            </w:r>
          </w:p>
        </w:tc>
      </w:tr>
      <w:tr w:rsidR="004D338C" w:rsidRPr="005B1ED9" w14:paraId="13E63E33" w14:textId="77777777" w:rsidTr="004D338C">
        <w:trPr>
          <w:trHeight w:val="232"/>
        </w:trPr>
        <w:tc>
          <w:tcPr>
            <w:tcW w:w="3518" w:type="pct"/>
            <w:noWrap/>
            <w:vAlign w:val="center"/>
            <w:hideMark/>
          </w:tcPr>
          <w:p w14:paraId="326FAD83" w14:textId="77777777" w:rsidR="004D338C" w:rsidRPr="005B1ED9" w:rsidRDefault="004D338C">
            <w:pPr>
              <w:rPr>
                <w:rFonts w:ascii="Arial" w:hAnsi="Arial" w:cs="Arial"/>
                <w:b/>
                <w:bCs/>
                <w:color w:val="000000"/>
                <w:sz w:val="18"/>
                <w:szCs w:val="18"/>
              </w:rPr>
            </w:pPr>
            <w:r w:rsidRPr="005B1ED9">
              <w:rPr>
                <w:rFonts w:ascii="Arial" w:hAnsi="Arial" w:cs="Arial"/>
                <w:b/>
                <w:bCs/>
                <w:color w:val="000000"/>
                <w:sz w:val="18"/>
                <w:szCs w:val="18"/>
              </w:rPr>
              <w:t>Total</w:t>
            </w:r>
          </w:p>
        </w:tc>
        <w:tc>
          <w:tcPr>
            <w:tcW w:w="741" w:type="pct"/>
            <w:noWrap/>
            <w:vAlign w:val="center"/>
            <w:hideMark/>
          </w:tcPr>
          <w:p w14:paraId="01603B1B" w14:textId="77777777" w:rsidR="004D338C" w:rsidRPr="005B1ED9" w:rsidRDefault="004D338C">
            <w:pPr>
              <w:jc w:val="right"/>
              <w:rPr>
                <w:rFonts w:ascii="Arial" w:hAnsi="Arial" w:cs="Arial"/>
                <w:b/>
                <w:bCs/>
                <w:color w:val="000000"/>
                <w:sz w:val="18"/>
                <w:szCs w:val="18"/>
              </w:rPr>
            </w:pPr>
            <w:r w:rsidRPr="005B1ED9">
              <w:rPr>
                <w:rFonts w:ascii="Arial" w:hAnsi="Arial" w:cs="Arial"/>
                <w:b/>
                <w:bCs/>
                <w:color w:val="000000"/>
                <w:sz w:val="18"/>
                <w:szCs w:val="18"/>
              </w:rPr>
              <w:t xml:space="preserve">      25.627 </w:t>
            </w:r>
          </w:p>
        </w:tc>
        <w:tc>
          <w:tcPr>
            <w:tcW w:w="741" w:type="pct"/>
            <w:noWrap/>
            <w:vAlign w:val="center"/>
            <w:hideMark/>
          </w:tcPr>
          <w:p w14:paraId="63C83D58" w14:textId="77777777" w:rsidR="004D338C" w:rsidRPr="005B1ED9" w:rsidRDefault="004D338C">
            <w:pPr>
              <w:jc w:val="right"/>
              <w:rPr>
                <w:rFonts w:ascii="Arial" w:hAnsi="Arial" w:cs="Arial"/>
                <w:b/>
                <w:bCs/>
                <w:color w:val="000000"/>
                <w:sz w:val="18"/>
                <w:szCs w:val="18"/>
              </w:rPr>
            </w:pPr>
            <w:r w:rsidRPr="005B1ED9">
              <w:rPr>
                <w:rFonts w:ascii="Arial" w:hAnsi="Arial" w:cs="Arial"/>
                <w:b/>
                <w:bCs/>
                <w:color w:val="000000"/>
                <w:sz w:val="18"/>
                <w:szCs w:val="18"/>
              </w:rPr>
              <w:t xml:space="preserve">      30.162 </w:t>
            </w:r>
          </w:p>
        </w:tc>
      </w:tr>
      <w:tr w:rsidR="004D338C" w:rsidRPr="005B1ED9" w14:paraId="0F30F8D0" w14:textId="77777777" w:rsidTr="004D338C">
        <w:trPr>
          <w:trHeight w:val="232"/>
        </w:trPr>
        <w:tc>
          <w:tcPr>
            <w:tcW w:w="3518" w:type="pct"/>
            <w:noWrap/>
            <w:vAlign w:val="center"/>
            <w:hideMark/>
          </w:tcPr>
          <w:p w14:paraId="02ECF8AE" w14:textId="77777777" w:rsidR="004D338C" w:rsidRPr="005B1ED9" w:rsidRDefault="004D338C">
            <w:pPr>
              <w:rPr>
                <w:rFonts w:ascii="Arial" w:hAnsi="Arial" w:cs="Arial"/>
                <w:b/>
                <w:bCs/>
                <w:color w:val="000000"/>
                <w:sz w:val="18"/>
                <w:szCs w:val="18"/>
              </w:rPr>
            </w:pPr>
            <w:r w:rsidRPr="005B1ED9">
              <w:rPr>
                <w:rFonts w:ascii="Arial" w:hAnsi="Arial" w:cs="Arial"/>
                <w:b/>
                <w:bCs/>
                <w:color w:val="000000"/>
                <w:sz w:val="18"/>
                <w:szCs w:val="18"/>
              </w:rPr>
              <w:t>Circulante</w:t>
            </w:r>
          </w:p>
        </w:tc>
        <w:tc>
          <w:tcPr>
            <w:tcW w:w="741" w:type="pct"/>
            <w:noWrap/>
            <w:vAlign w:val="center"/>
            <w:hideMark/>
          </w:tcPr>
          <w:p w14:paraId="580CEFFE" w14:textId="77777777" w:rsidR="004D338C" w:rsidRPr="005B1ED9" w:rsidRDefault="004D338C">
            <w:pPr>
              <w:jc w:val="right"/>
              <w:rPr>
                <w:rFonts w:ascii="Arial" w:hAnsi="Arial" w:cs="Arial"/>
                <w:b/>
                <w:bCs/>
                <w:color w:val="000000"/>
                <w:sz w:val="18"/>
                <w:szCs w:val="18"/>
              </w:rPr>
            </w:pPr>
            <w:r w:rsidRPr="005B1ED9">
              <w:rPr>
                <w:rFonts w:ascii="Arial" w:hAnsi="Arial" w:cs="Arial"/>
                <w:b/>
                <w:bCs/>
                <w:color w:val="000000"/>
                <w:sz w:val="18"/>
                <w:szCs w:val="18"/>
              </w:rPr>
              <w:t xml:space="preserve">      20.389 </w:t>
            </w:r>
          </w:p>
        </w:tc>
        <w:tc>
          <w:tcPr>
            <w:tcW w:w="741" w:type="pct"/>
            <w:noWrap/>
            <w:vAlign w:val="center"/>
            <w:hideMark/>
          </w:tcPr>
          <w:p w14:paraId="035FD9BE" w14:textId="77777777" w:rsidR="004D338C" w:rsidRPr="005B1ED9" w:rsidRDefault="004D338C">
            <w:pPr>
              <w:jc w:val="right"/>
              <w:rPr>
                <w:rFonts w:ascii="Arial" w:hAnsi="Arial" w:cs="Arial"/>
                <w:b/>
                <w:bCs/>
                <w:color w:val="000000"/>
                <w:sz w:val="18"/>
                <w:szCs w:val="18"/>
              </w:rPr>
            </w:pPr>
            <w:r w:rsidRPr="005B1ED9">
              <w:rPr>
                <w:rFonts w:ascii="Arial" w:hAnsi="Arial" w:cs="Arial"/>
                <w:b/>
                <w:bCs/>
                <w:color w:val="000000"/>
                <w:sz w:val="18"/>
                <w:szCs w:val="18"/>
              </w:rPr>
              <w:t xml:space="preserve">      23.495 </w:t>
            </w:r>
          </w:p>
        </w:tc>
      </w:tr>
      <w:tr w:rsidR="004D338C" w14:paraId="2E0F7165" w14:textId="77777777" w:rsidTr="004D338C">
        <w:trPr>
          <w:trHeight w:val="232"/>
        </w:trPr>
        <w:tc>
          <w:tcPr>
            <w:tcW w:w="3518" w:type="pct"/>
            <w:noWrap/>
            <w:vAlign w:val="center"/>
            <w:hideMark/>
          </w:tcPr>
          <w:p w14:paraId="64C5EC2C" w14:textId="77777777" w:rsidR="004D338C" w:rsidRPr="005B1ED9" w:rsidRDefault="004D338C">
            <w:pPr>
              <w:rPr>
                <w:rFonts w:ascii="Arial" w:hAnsi="Arial" w:cs="Arial"/>
                <w:b/>
                <w:bCs/>
                <w:color w:val="000000"/>
                <w:sz w:val="18"/>
                <w:szCs w:val="18"/>
              </w:rPr>
            </w:pPr>
            <w:r w:rsidRPr="005B1ED9">
              <w:rPr>
                <w:rFonts w:ascii="Arial" w:hAnsi="Arial" w:cs="Arial"/>
                <w:b/>
                <w:bCs/>
                <w:color w:val="000000"/>
                <w:sz w:val="18"/>
                <w:szCs w:val="18"/>
              </w:rPr>
              <w:t>Não Circulante</w:t>
            </w:r>
          </w:p>
        </w:tc>
        <w:tc>
          <w:tcPr>
            <w:tcW w:w="741" w:type="pct"/>
            <w:noWrap/>
            <w:vAlign w:val="center"/>
            <w:hideMark/>
          </w:tcPr>
          <w:p w14:paraId="18023F0F" w14:textId="77777777" w:rsidR="004D338C" w:rsidRPr="005B1ED9" w:rsidRDefault="004D338C">
            <w:pPr>
              <w:jc w:val="right"/>
              <w:rPr>
                <w:rFonts w:ascii="Arial" w:hAnsi="Arial" w:cs="Arial"/>
                <w:b/>
                <w:bCs/>
                <w:color w:val="000000"/>
                <w:sz w:val="18"/>
                <w:szCs w:val="18"/>
              </w:rPr>
            </w:pPr>
            <w:r w:rsidRPr="005B1ED9">
              <w:rPr>
                <w:rFonts w:ascii="Arial" w:hAnsi="Arial" w:cs="Arial"/>
                <w:b/>
                <w:bCs/>
                <w:color w:val="000000"/>
                <w:sz w:val="18"/>
                <w:szCs w:val="18"/>
              </w:rPr>
              <w:t xml:space="preserve">        5.238 </w:t>
            </w:r>
          </w:p>
        </w:tc>
        <w:tc>
          <w:tcPr>
            <w:tcW w:w="741" w:type="pct"/>
            <w:noWrap/>
            <w:vAlign w:val="center"/>
            <w:hideMark/>
          </w:tcPr>
          <w:p w14:paraId="2939EB95" w14:textId="77777777" w:rsidR="004D338C" w:rsidRDefault="004D338C">
            <w:pPr>
              <w:jc w:val="right"/>
              <w:rPr>
                <w:rFonts w:ascii="Arial" w:hAnsi="Arial" w:cs="Arial"/>
                <w:b/>
                <w:bCs/>
                <w:color w:val="000000"/>
                <w:sz w:val="18"/>
                <w:szCs w:val="18"/>
              </w:rPr>
            </w:pPr>
            <w:r w:rsidRPr="005B1ED9">
              <w:rPr>
                <w:rFonts w:ascii="Arial" w:hAnsi="Arial" w:cs="Arial"/>
                <w:b/>
                <w:bCs/>
                <w:color w:val="000000"/>
                <w:sz w:val="18"/>
                <w:szCs w:val="18"/>
              </w:rPr>
              <w:t xml:space="preserve">        6.667</w:t>
            </w:r>
            <w:r>
              <w:rPr>
                <w:rFonts w:ascii="Arial" w:hAnsi="Arial" w:cs="Arial"/>
                <w:b/>
                <w:bCs/>
                <w:color w:val="000000"/>
                <w:sz w:val="18"/>
                <w:szCs w:val="18"/>
              </w:rPr>
              <w:t xml:space="preserve"> </w:t>
            </w:r>
          </w:p>
        </w:tc>
      </w:tr>
    </w:tbl>
    <w:p w14:paraId="1B1EF710" w14:textId="4F338DD1" w:rsidR="00231662" w:rsidRDefault="00231662" w:rsidP="004E01E4"/>
    <w:p w14:paraId="52F840DB" w14:textId="71DD2C23" w:rsidR="005E37AD" w:rsidRDefault="00C60D25" w:rsidP="008A4ADE">
      <w:pPr>
        <w:spacing w:line="276" w:lineRule="auto"/>
        <w:jc w:val="both"/>
        <w:rPr>
          <w:rFonts w:ascii="Arial" w:hAnsi="Arial" w:cs="Arial"/>
          <w:sz w:val="22"/>
          <w:szCs w:val="22"/>
        </w:rPr>
      </w:pPr>
      <w:r w:rsidRPr="00241992">
        <w:rPr>
          <w:rFonts w:ascii="Arial" w:hAnsi="Arial" w:cs="Arial"/>
        </w:rPr>
        <w:t>(</w:t>
      </w:r>
      <w:r w:rsidR="0050151B" w:rsidRPr="00241992">
        <w:rPr>
          <w:rFonts w:ascii="Arial" w:hAnsi="Arial" w:cs="Arial"/>
        </w:rPr>
        <w:t>i</w:t>
      </w:r>
      <w:r w:rsidR="0050151B" w:rsidRPr="006D3AEF">
        <w:rPr>
          <w:rFonts w:ascii="Arial" w:hAnsi="Arial" w:cs="Arial"/>
        </w:rPr>
        <w:t>)</w:t>
      </w:r>
      <w:r w:rsidR="00702167" w:rsidRPr="006D3AEF">
        <w:rPr>
          <w:rFonts w:ascii="Arial" w:hAnsi="Arial" w:cs="Arial"/>
          <w:sz w:val="22"/>
          <w:szCs w:val="22"/>
        </w:rPr>
        <w:t xml:space="preserve"> </w:t>
      </w:r>
      <w:r w:rsidR="00D200B9" w:rsidRPr="006D3AEF">
        <w:rPr>
          <w:rFonts w:ascii="Arial" w:hAnsi="Arial" w:cs="Arial"/>
          <w:sz w:val="22"/>
          <w:szCs w:val="22"/>
        </w:rPr>
        <w:t>I</w:t>
      </w:r>
      <w:r w:rsidR="00702167" w:rsidRPr="006D3AEF">
        <w:rPr>
          <w:rFonts w:ascii="Arial" w:hAnsi="Arial" w:cs="Arial"/>
          <w:sz w:val="22"/>
          <w:szCs w:val="22"/>
        </w:rPr>
        <w:t xml:space="preserve">nclui o valor de </w:t>
      </w:r>
      <w:r w:rsidR="00C75977" w:rsidRPr="006D3AEF">
        <w:rPr>
          <w:rFonts w:ascii="Arial" w:hAnsi="Arial" w:cs="Arial"/>
          <w:sz w:val="22"/>
          <w:szCs w:val="22"/>
        </w:rPr>
        <w:t xml:space="preserve">R$ </w:t>
      </w:r>
      <w:r w:rsidR="008A06AA">
        <w:rPr>
          <w:rFonts w:ascii="Arial" w:hAnsi="Arial" w:cs="Arial"/>
          <w:sz w:val="22"/>
          <w:szCs w:val="22"/>
        </w:rPr>
        <w:t>10.95</w:t>
      </w:r>
      <w:r w:rsidR="00F95DF1">
        <w:rPr>
          <w:rFonts w:ascii="Arial" w:hAnsi="Arial" w:cs="Arial"/>
          <w:sz w:val="22"/>
          <w:szCs w:val="22"/>
        </w:rPr>
        <w:t>2</w:t>
      </w:r>
      <w:r w:rsidR="00C75977" w:rsidRPr="006D3AEF">
        <w:rPr>
          <w:rFonts w:ascii="Arial" w:hAnsi="Arial" w:cs="Arial"/>
          <w:sz w:val="22"/>
          <w:szCs w:val="22"/>
        </w:rPr>
        <w:t xml:space="preserve"> (</w:t>
      </w:r>
      <w:r w:rsidR="00702167" w:rsidRPr="006D3AEF">
        <w:rPr>
          <w:rFonts w:ascii="Arial" w:hAnsi="Arial" w:cs="Arial"/>
          <w:sz w:val="22"/>
          <w:szCs w:val="22"/>
        </w:rPr>
        <w:t xml:space="preserve">R$ </w:t>
      </w:r>
      <w:r w:rsidR="008A06AA">
        <w:rPr>
          <w:rFonts w:ascii="Arial" w:hAnsi="Arial" w:cs="Arial"/>
          <w:sz w:val="22"/>
          <w:szCs w:val="22"/>
        </w:rPr>
        <w:t>12.380</w:t>
      </w:r>
      <w:r w:rsidR="00B946AB" w:rsidRPr="00241992">
        <w:rPr>
          <w:rFonts w:ascii="Arial" w:hAnsi="Arial" w:cs="Arial"/>
          <w:sz w:val="22"/>
          <w:szCs w:val="22"/>
        </w:rPr>
        <w:t xml:space="preserve"> </w:t>
      </w:r>
      <w:r w:rsidR="00C75977" w:rsidRPr="00241992">
        <w:rPr>
          <w:rFonts w:ascii="Arial" w:hAnsi="Arial" w:cs="Arial"/>
          <w:sz w:val="22"/>
          <w:szCs w:val="22"/>
        </w:rPr>
        <w:t>em 31 de dezembro de 20</w:t>
      </w:r>
      <w:r w:rsidR="00B946AB" w:rsidRPr="00241992">
        <w:rPr>
          <w:rFonts w:ascii="Arial" w:hAnsi="Arial" w:cs="Arial"/>
          <w:sz w:val="22"/>
          <w:szCs w:val="22"/>
        </w:rPr>
        <w:t>2</w:t>
      </w:r>
      <w:r w:rsidR="008A06AA">
        <w:rPr>
          <w:rFonts w:ascii="Arial" w:hAnsi="Arial" w:cs="Arial"/>
          <w:sz w:val="22"/>
          <w:szCs w:val="22"/>
        </w:rPr>
        <w:t>5</w:t>
      </w:r>
      <w:r w:rsidR="00C75977" w:rsidRPr="00241992">
        <w:rPr>
          <w:rFonts w:ascii="Arial" w:hAnsi="Arial" w:cs="Arial"/>
          <w:sz w:val="22"/>
          <w:szCs w:val="22"/>
        </w:rPr>
        <w:t xml:space="preserve">) </w:t>
      </w:r>
      <w:r w:rsidR="00702167" w:rsidRPr="00241992">
        <w:rPr>
          <w:rFonts w:ascii="Arial" w:hAnsi="Arial" w:cs="Arial"/>
          <w:sz w:val="22"/>
          <w:szCs w:val="22"/>
        </w:rPr>
        <w:t>correspondente ao adianta</w:t>
      </w:r>
      <w:r w:rsidR="0017075B" w:rsidRPr="00241992">
        <w:rPr>
          <w:rFonts w:ascii="Arial" w:hAnsi="Arial" w:cs="Arial"/>
          <w:sz w:val="22"/>
          <w:szCs w:val="22"/>
        </w:rPr>
        <w:t>mento realizado</w:t>
      </w:r>
      <w:r w:rsidR="00702167" w:rsidRPr="00241992">
        <w:rPr>
          <w:rFonts w:ascii="Arial" w:hAnsi="Arial" w:cs="Arial"/>
          <w:sz w:val="22"/>
          <w:szCs w:val="22"/>
        </w:rPr>
        <w:t xml:space="preserve"> </w:t>
      </w:r>
      <w:r w:rsidR="001241E4" w:rsidRPr="00241992">
        <w:rPr>
          <w:rFonts w:ascii="Arial" w:hAnsi="Arial" w:cs="Arial"/>
          <w:sz w:val="22"/>
          <w:szCs w:val="22"/>
        </w:rPr>
        <w:t>à</w:t>
      </w:r>
      <w:r w:rsidR="00702167" w:rsidRPr="00241992">
        <w:rPr>
          <w:rFonts w:ascii="Arial" w:hAnsi="Arial" w:cs="Arial"/>
          <w:sz w:val="22"/>
          <w:szCs w:val="22"/>
        </w:rPr>
        <w:t xml:space="preserve"> empresa Viasat</w:t>
      </w:r>
      <w:r w:rsidR="00702167" w:rsidRPr="009560D4">
        <w:rPr>
          <w:rFonts w:ascii="Arial" w:hAnsi="Arial" w:cs="Arial"/>
          <w:sz w:val="22"/>
          <w:szCs w:val="22"/>
        </w:rPr>
        <w:t xml:space="preserve"> </w:t>
      </w:r>
      <w:r w:rsidR="00224E33" w:rsidRPr="009560D4">
        <w:rPr>
          <w:rFonts w:ascii="Arial" w:hAnsi="Arial" w:cs="Arial"/>
          <w:sz w:val="22"/>
          <w:szCs w:val="22"/>
        </w:rPr>
        <w:t>Brasil Serviços de Comunicação Ltda (subsidiária da Viasat Inc.)</w:t>
      </w:r>
      <w:r w:rsidR="00EE001A" w:rsidRPr="009560D4">
        <w:rPr>
          <w:rFonts w:ascii="Arial" w:hAnsi="Arial" w:cs="Arial"/>
          <w:sz w:val="22"/>
          <w:szCs w:val="22"/>
        </w:rPr>
        <w:t>,</w:t>
      </w:r>
      <w:r w:rsidR="00EE001A" w:rsidRPr="00836073">
        <w:rPr>
          <w:rFonts w:ascii="Arial" w:hAnsi="Arial" w:cs="Arial"/>
          <w:sz w:val="22"/>
          <w:szCs w:val="22"/>
        </w:rPr>
        <w:t xml:space="preserve"> cujo</w:t>
      </w:r>
      <w:r w:rsidR="00224E33" w:rsidRPr="00836073">
        <w:rPr>
          <w:rFonts w:ascii="Arial" w:hAnsi="Arial" w:cs="Arial"/>
          <w:sz w:val="22"/>
          <w:szCs w:val="22"/>
        </w:rPr>
        <w:t xml:space="preserve"> </w:t>
      </w:r>
      <w:r w:rsidR="00080947" w:rsidRPr="00836073">
        <w:rPr>
          <w:rFonts w:ascii="Arial" w:hAnsi="Arial" w:cs="Arial"/>
          <w:sz w:val="22"/>
          <w:szCs w:val="22"/>
        </w:rPr>
        <w:t xml:space="preserve">objetivo </w:t>
      </w:r>
      <w:r w:rsidR="00EE001A" w:rsidRPr="00836073">
        <w:rPr>
          <w:rFonts w:ascii="Arial" w:hAnsi="Arial" w:cs="Arial"/>
          <w:sz w:val="22"/>
          <w:szCs w:val="22"/>
        </w:rPr>
        <w:t>foi o de</w:t>
      </w:r>
      <w:r w:rsidR="00080947" w:rsidRPr="00836073">
        <w:rPr>
          <w:rFonts w:ascii="Arial" w:hAnsi="Arial" w:cs="Arial"/>
          <w:sz w:val="22"/>
          <w:szCs w:val="22"/>
        </w:rPr>
        <w:t xml:space="preserve"> acelerar o início da prestação</w:t>
      </w:r>
      <w:r w:rsidR="00080947" w:rsidRPr="001B1767">
        <w:rPr>
          <w:rFonts w:ascii="Arial" w:hAnsi="Arial" w:cs="Arial"/>
          <w:sz w:val="22"/>
          <w:szCs w:val="22"/>
        </w:rPr>
        <w:t xml:space="preserve"> dos serviços em banda larga</w:t>
      </w:r>
      <w:r w:rsidR="005E0190" w:rsidRPr="001B1767">
        <w:rPr>
          <w:rFonts w:ascii="Arial" w:hAnsi="Arial" w:cs="Arial"/>
          <w:sz w:val="22"/>
          <w:szCs w:val="22"/>
        </w:rPr>
        <w:t>,</w:t>
      </w:r>
      <w:r w:rsidR="00080947" w:rsidRPr="001B1767">
        <w:rPr>
          <w:rFonts w:ascii="Arial" w:hAnsi="Arial" w:cs="Arial"/>
          <w:sz w:val="22"/>
          <w:szCs w:val="22"/>
        </w:rPr>
        <w:t xml:space="preserve"> </w:t>
      </w:r>
      <w:r w:rsidR="00415C93" w:rsidRPr="001B1767">
        <w:rPr>
          <w:rFonts w:ascii="Arial" w:hAnsi="Arial" w:cs="Arial"/>
          <w:sz w:val="22"/>
          <w:szCs w:val="22"/>
        </w:rPr>
        <w:t xml:space="preserve">conforme acordo contratual firmado entre </w:t>
      </w:r>
      <w:r w:rsidR="00B57C83" w:rsidRPr="001B1767">
        <w:rPr>
          <w:rFonts w:ascii="Arial" w:hAnsi="Arial" w:cs="Arial"/>
          <w:sz w:val="22"/>
          <w:szCs w:val="22"/>
        </w:rPr>
        <w:t>a Telebras e a Viasat</w:t>
      </w:r>
      <w:r w:rsidR="00080947" w:rsidRPr="001B1767">
        <w:rPr>
          <w:rFonts w:ascii="Arial" w:hAnsi="Arial" w:cs="Arial"/>
          <w:sz w:val="22"/>
          <w:szCs w:val="22"/>
        </w:rPr>
        <w:t xml:space="preserve">. </w:t>
      </w:r>
    </w:p>
    <w:p w14:paraId="3B1BB09C" w14:textId="77777777" w:rsidR="005E37AD" w:rsidRDefault="005E37AD" w:rsidP="008A4ADE">
      <w:pPr>
        <w:spacing w:line="276" w:lineRule="auto"/>
        <w:jc w:val="both"/>
        <w:rPr>
          <w:rFonts w:ascii="Arial" w:hAnsi="Arial" w:cs="Arial"/>
          <w:sz w:val="22"/>
          <w:szCs w:val="22"/>
        </w:rPr>
      </w:pPr>
    </w:p>
    <w:p w14:paraId="4E8FF395" w14:textId="77777777" w:rsidR="0003684D" w:rsidRDefault="00100369" w:rsidP="009541E1">
      <w:pPr>
        <w:pStyle w:val="Ttulo2"/>
        <w:numPr>
          <w:ilvl w:val="0"/>
          <w:numId w:val="7"/>
        </w:numPr>
        <w:tabs>
          <w:tab w:val="clear" w:pos="284"/>
          <w:tab w:val="clear" w:pos="340"/>
        </w:tabs>
        <w:spacing w:before="0" w:after="0"/>
        <w:ind w:left="851" w:hanging="851"/>
        <w:jc w:val="both"/>
        <w:rPr>
          <w:rFonts w:ascii="Arial" w:hAnsi="Arial" w:cs="Arial"/>
        </w:rPr>
      </w:pPr>
      <w:bookmarkStart w:id="23" w:name="_Toc491337721"/>
      <w:r w:rsidRPr="002A36CE">
        <w:rPr>
          <w:rFonts w:ascii="Arial" w:hAnsi="Arial" w:cs="Arial"/>
        </w:rPr>
        <w:t>APLICAÇÕES FINANCEIRAS</w:t>
      </w:r>
      <w:bookmarkEnd w:id="23"/>
    </w:p>
    <w:p w14:paraId="3CFA9BC1" w14:textId="4EF437B7" w:rsidR="00C441B9" w:rsidRDefault="00C441B9" w:rsidP="00C441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71"/>
        <w:gridCol w:w="1600"/>
        <w:gridCol w:w="1600"/>
      </w:tblGrid>
      <w:tr w:rsidR="00382F5A" w:rsidRPr="005E37AD" w14:paraId="08A99978" w14:textId="77777777" w:rsidTr="005E37AD">
        <w:trPr>
          <w:trHeight w:val="232"/>
          <w:tblHeader/>
        </w:trPr>
        <w:tc>
          <w:tcPr>
            <w:tcW w:w="3362" w:type="pct"/>
            <w:shd w:val="clear" w:color="000000" w:fill="D9D9D9"/>
            <w:noWrap/>
            <w:vAlign w:val="center"/>
            <w:hideMark/>
          </w:tcPr>
          <w:p w14:paraId="3F3DCEC6" w14:textId="77777777" w:rsidR="00382F5A" w:rsidRPr="005E37AD" w:rsidRDefault="00382F5A">
            <w:pPr>
              <w:rPr>
                <w:rFonts w:ascii="Arial" w:hAnsi="Arial" w:cs="Arial"/>
                <w:b/>
                <w:bCs/>
                <w:color w:val="000000"/>
                <w:sz w:val="18"/>
                <w:szCs w:val="18"/>
              </w:rPr>
            </w:pPr>
            <w:r w:rsidRPr="005E37AD">
              <w:rPr>
                <w:rFonts w:ascii="Arial" w:hAnsi="Arial" w:cs="Arial"/>
                <w:b/>
                <w:bCs/>
                <w:color w:val="000000"/>
                <w:sz w:val="18"/>
                <w:szCs w:val="18"/>
              </w:rPr>
              <w:t>Composição:</w:t>
            </w:r>
          </w:p>
        </w:tc>
        <w:tc>
          <w:tcPr>
            <w:tcW w:w="819" w:type="pct"/>
            <w:noWrap/>
            <w:vAlign w:val="center"/>
            <w:hideMark/>
          </w:tcPr>
          <w:p w14:paraId="41326AE8" w14:textId="77777777" w:rsidR="00382F5A" w:rsidRPr="005E37AD" w:rsidRDefault="00382F5A">
            <w:pPr>
              <w:jc w:val="center"/>
              <w:rPr>
                <w:rFonts w:ascii="Arial" w:hAnsi="Arial" w:cs="Arial"/>
                <w:b/>
                <w:bCs/>
                <w:color w:val="000000"/>
                <w:sz w:val="18"/>
                <w:szCs w:val="18"/>
              </w:rPr>
            </w:pPr>
            <w:r w:rsidRPr="005E37AD">
              <w:rPr>
                <w:rFonts w:ascii="Arial" w:hAnsi="Arial" w:cs="Arial"/>
                <w:b/>
                <w:bCs/>
                <w:color w:val="000000"/>
                <w:sz w:val="18"/>
                <w:szCs w:val="18"/>
                <w:lang w:eastAsia="en-US"/>
              </w:rPr>
              <w:t>31/03/2026</w:t>
            </w:r>
          </w:p>
        </w:tc>
        <w:tc>
          <w:tcPr>
            <w:tcW w:w="819" w:type="pct"/>
            <w:noWrap/>
            <w:vAlign w:val="center"/>
            <w:hideMark/>
          </w:tcPr>
          <w:p w14:paraId="463C0C1D" w14:textId="77777777" w:rsidR="00382F5A" w:rsidRPr="005E37AD" w:rsidRDefault="00382F5A">
            <w:pPr>
              <w:jc w:val="center"/>
              <w:rPr>
                <w:rFonts w:ascii="Arial" w:hAnsi="Arial" w:cs="Arial"/>
                <w:b/>
                <w:bCs/>
                <w:color w:val="000000"/>
                <w:sz w:val="18"/>
                <w:szCs w:val="18"/>
              </w:rPr>
            </w:pPr>
            <w:r w:rsidRPr="005E37AD">
              <w:rPr>
                <w:rFonts w:ascii="Arial" w:hAnsi="Arial" w:cs="Arial"/>
                <w:b/>
                <w:bCs/>
                <w:color w:val="000000"/>
                <w:sz w:val="18"/>
                <w:szCs w:val="18"/>
                <w:lang w:eastAsia="en-US"/>
              </w:rPr>
              <w:t>31/12/2025</w:t>
            </w:r>
          </w:p>
        </w:tc>
      </w:tr>
      <w:tr w:rsidR="00382F5A" w:rsidRPr="005E37AD" w14:paraId="3C098D8E" w14:textId="77777777" w:rsidTr="005E37AD">
        <w:trPr>
          <w:trHeight w:val="232"/>
        </w:trPr>
        <w:tc>
          <w:tcPr>
            <w:tcW w:w="3362" w:type="pct"/>
            <w:noWrap/>
            <w:vAlign w:val="center"/>
            <w:hideMark/>
          </w:tcPr>
          <w:p w14:paraId="6D713767" w14:textId="3F8DAF1F" w:rsidR="00382F5A" w:rsidRPr="005E37AD" w:rsidRDefault="00382F5A">
            <w:pPr>
              <w:rPr>
                <w:rFonts w:ascii="Arial" w:hAnsi="Arial" w:cs="Arial"/>
                <w:color w:val="000000"/>
                <w:sz w:val="18"/>
                <w:szCs w:val="18"/>
              </w:rPr>
            </w:pPr>
            <w:r w:rsidRPr="005E37AD">
              <w:rPr>
                <w:rFonts w:ascii="Arial" w:hAnsi="Arial" w:cs="Arial"/>
                <w:color w:val="000000"/>
                <w:sz w:val="18"/>
                <w:szCs w:val="18"/>
              </w:rPr>
              <w:t>Fundo Caixa Extramercado Comum IRFM-1 (i</w:t>
            </w:r>
            <w:r w:rsidR="004F7EEB">
              <w:rPr>
                <w:rFonts w:ascii="Arial" w:hAnsi="Arial" w:cs="Arial"/>
                <w:color w:val="000000"/>
                <w:sz w:val="18"/>
                <w:szCs w:val="18"/>
              </w:rPr>
              <w:t>ii</w:t>
            </w:r>
            <w:r w:rsidRPr="005E37AD">
              <w:rPr>
                <w:rFonts w:ascii="Arial" w:hAnsi="Arial" w:cs="Arial"/>
                <w:color w:val="000000"/>
                <w:sz w:val="18"/>
                <w:szCs w:val="18"/>
              </w:rPr>
              <w:t>)</w:t>
            </w:r>
          </w:p>
        </w:tc>
        <w:tc>
          <w:tcPr>
            <w:tcW w:w="819" w:type="pct"/>
            <w:noWrap/>
            <w:vAlign w:val="center"/>
            <w:hideMark/>
          </w:tcPr>
          <w:p w14:paraId="2B676E12" w14:textId="77777777" w:rsidR="00382F5A" w:rsidRPr="005E37AD" w:rsidRDefault="00382F5A">
            <w:pPr>
              <w:jc w:val="right"/>
              <w:rPr>
                <w:rFonts w:ascii="Arial" w:hAnsi="Arial" w:cs="Arial"/>
                <w:color w:val="000000"/>
                <w:sz w:val="18"/>
                <w:szCs w:val="18"/>
              </w:rPr>
            </w:pPr>
            <w:r w:rsidRPr="005E37AD">
              <w:rPr>
                <w:rFonts w:ascii="Arial" w:hAnsi="Arial" w:cs="Arial"/>
                <w:color w:val="000000"/>
                <w:sz w:val="18"/>
                <w:szCs w:val="18"/>
              </w:rPr>
              <w:t>412.234</w:t>
            </w:r>
          </w:p>
        </w:tc>
        <w:tc>
          <w:tcPr>
            <w:tcW w:w="819" w:type="pct"/>
            <w:noWrap/>
            <w:vAlign w:val="center"/>
            <w:hideMark/>
          </w:tcPr>
          <w:p w14:paraId="39F6618F" w14:textId="77777777" w:rsidR="00382F5A" w:rsidRPr="005E37AD" w:rsidRDefault="00382F5A">
            <w:pPr>
              <w:jc w:val="right"/>
              <w:rPr>
                <w:rFonts w:ascii="Arial" w:hAnsi="Arial" w:cs="Arial"/>
                <w:color w:val="000000"/>
                <w:sz w:val="18"/>
                <w:szCs w:val="18"/>
              </w:rPr>
            </w:pPr>
            <w:r w:rsidRPr="005E37AD">
              <w:rPr>
                <w:rFonts w:ascii="Arial" w:hAnsi="Arial" w:cs="Arial"/>
                <w:color w:val="000000"/>
                <w:sz w:val="18"/>
                <w:szCs w:val="18"/>
              </w:rPr>
              <w:t>412.234</w:t>
            </w:r>
          </w:p>
        </w:tc>
      </w:tr>
      <w:tr w:rsidR="00382F5A" w:rsidRPr="005E37AD" w14:paraId="6E496BDB" w14:textId="77777777" w:rsidTr="005E37AD">
        <w:trPr>
          <w:trHeight w:val="232"/>
        </w:trPr>
        <w:tc>
          <w:tcPr>
            <w:tcW w:w="3362" w:type="pct"/>
            <w:noWrap/>
            <w:vAlign w:val="center"/>
            <w:hideMark/>
          </w:tcPr>
          <w:p w14:paraId="55885BEC" w14:textId="3E88BB21" w:rsidR="00382F5A" w:rsidRPr="005E37AD" w:rsidRDefault="00382F5A">
            <w:pPr>
              <w:rPr>
                <w:rFonts w:ascii="Arial" w:hAnsi="Arial" w:cs="Arial"/>
                <w:color w:val="000000"/>
                <w:sz w:val="18"/>
                <w:szCs w:val="18"/>
              </w:rPr>
            </w:pPr>
            <w:r w:rsidRPr="005E37AD">
              <w:rPr>
                <w:rFonts w:ascii="Arial" w:hAnsi="Arial" w:cs="Arial"/>
                <w:color w:val="000000"/>
                <w:sz w:val="18"/>
                <w:szCs w:val="18"/>
              </w:rPr>
              <w:t>BB Extramercado FAE2 FI (i</w:t>
            </w:r>
            <w:r w:rsidR="004F7EEB">
              <w:rPr>
                <w:rFonts w:ascii="Arial" w:hAnsi="Arial" w:cs="Arial"/>
                <w:color w:val="000000"/>
                <w:sz w:val="18"/>
                <w:szCs w:val="18"/>
              </w:rPr>
              <w:t>ii</w:t>
            </w:r>
            <w:r w:rsidRPr="005E37AD">
              <w:rPr>
                <w:rFonts w:ascii="Arial" w:hAnsi="Arial" w:cs="Arial"/>
                <w:color w:val="000000"/>
                <w:sz w:val="18"/>
                <w:szCs w:val="18"/>
              </w:rPr>
              <w:t>)</w:t>
            </w:r>
          </w:p>
        </w:tc>
        <w:tc>
          <w:tcPr>
            <w:tcW w:w="819" w:type="pct"/>
            <w:noWrap/>
            <w:vAlign w:val="center"/>
            <w:hideMark/>
          </w:tcPr>
          <w:p w14:paraId="6B3B56AE" w14:textId="77777777" w:rsidR="00382F5A" w:rsidRPr="005E37AD" w:rsidRDefault="00382F5A">
            <w:pPr>
              <w:jc w:val="right"/>
              <w:rPr>
                <w:rFonts w:ascii="Arial" w:hAnsi="Arial" w:cs="Arial"/>
                <w:color w:val="000000"/>
                <w:sz w:val="18"/>
                <w:szCs w:val="18"/>
              </w:rPr>
            </w:pPr>
            <w:r w:rsidRPr="005E37AD">
              <w:rPr>
                <w:rFonts w:ascii="Arial" w:hAnsi="Arial" w:cs="Arial"/>
                <w:color w:val="000000"/>
                <w:sz w:val="18"/>
                <w:szCs w:val="18"/>
              </w:rPr>
              <w:t>410.118</w:t>
            </w:r>
          </w:p>
        </w:tc>
        <w:tc>
          <w:tcPr>
            <w:tcW w:w="819" w:type="pct"/>
            <w:noWrap/>
            <w:vAlign w:val="center"/>
            <w:hideMark/>
          </w:tcPr>
          <w:p w14:paraId="5E794B45" w14:textId="77777777" w:rsidR="00382F5A" w:rsidRPr="005E37AD" w:rsidRDefault="00382F5A">
            <w:pPr>
              <w:jc w:val="right"/>
              <w:rPr>
                <w:rFonts w:ascii="Arial" w:hAnsi="Arial" w:cs="Arial"/>
                <w:color w:val="000000"/>
                <w:sz w:val="18"/>
                <w:szCs w:val="18"/>
              </w:rPr>
            </w:pPr>
            <w:r w:rsidRPr="005E37AD">
              <w:rPr>
                <w:rFonts w:ascii="Arial" w:hAnsi="Arial" w:cs="Arial"/>
                <w:color w:val="000000"/>
                <w:sz w:val="18"/>
                <w:szCs w:val="18"/>
              </w:rPr>
              <w:t>410.118</w:t>
            </w:r>
          </w:p>
        </w:tc>
      </w:tr>
      <w:tr w:rsidR="00382F5A" w:rsidRPr="005E37AD" w14:paraId="0161952F" w14:textId="77777777" w:rsidTr="005E37AD">
        <w:trPr>
          <w:trHeight w:val="232"/>
        </w:trPr>
        <w:tc>
          <w:tcPr>
            <w:tcW w:w="3362" w:type="pct"/>
            <w:noWrap/>
            <w:vAlign w:val="center"/>
            <w:hideMark/>
          </w:tcPr>
          <w:p w14:paraId="11BBAFF1" w14:textId="77777777" w:rsidR="00382F5A" w:rsidRPr="005E37AD" w:rsidRDefault="00382F5A">
            <w:pPr>
              <w:rPr>
                <w:rFonts w:ascii="Arial" w:hAnsi="Arial" w:cs="Arial"/>
                <w:color w:val="000000"/>
                <w:sz w:val="18"/>
                <w:szCs w:val="18"/>
              </w:rPr>
            </w:pPr>
            <w:r w:rsidRPr="005E37AD">
              <w:rPr>
                <w:rFonts w:ascii="Arial" w:hAnsi="Arial" w:cs="Arial"/>
                <w:color w:val="000000"/>
                <w:sz w:val="18"/>
                <w:szCs w:val="18"/>
              </w:rPr>
              <w:t>Fundo BB Referenciado DI LP Corporativo 600 mil (i)</w:t>
            </w:r>
          </w:p>
        </w:tc>
        <w:tc>
          <w:tcPr>
            <w:tcW w:w="819" w:type="pct"/>
            <w:noWrap/>
            <w:vAlign w:val="center"/>
            <w:hideMark/>
          </w:tcPr>
          <w:p w14:paraId="68595BEF" w14:textId="77777777" w:rsidR="00382F5A" w:rsidRPr="005E37AD" w:rsidRDefault="00382F5A">
            <w:pPr>
              <w:jc w:val="right"/>
              <w:rPr>
                <w:rFonts w:ascii="Arial" w:hAnsi="Arial" w:cs="Arial"/>
                <w:color w:val="000000"/>
                <w:sz w:val="18"/>
                <w:szCs w:val="18"/>
              </w:rPr>
            </w:pPr>
            <w:r w:rsidRPr="005E37AD">
              <w:rPr>
                <w:rFonts w:ascii="Arial" w:hAnsi="Arial" w:cs="Arial"/>
                <w:color w:val="000000"/>
                <w:sz w:val="18"/>
                <w:szCs w:val="18"/>
              </w:rPr>
              <w:t>52.111</w:t>
            </w:r>
          </w:p>
        </w:tc>
        <w:tc>
          <w:tcPr>
            <w:tcW w:w="819" w:type="pct"/>
            <w:noWrap/>
            <w:vAlign w:val="center"/>
            <w:hideMark/>
          </w:tcPr>
          <w:p w14:paraId="4728C02F" w14:textId="77777777" w:rsidR="00382F5A" w:rsidRPr="005E37AD" w:rsidRDefault="00382F5A">
            <w:pPr>
              <w:jc w:val="right"/>
              <w:rPr>
                <w:rFonts w:ascii="Arial" w:hAnsi="Arial" w:cs="Arial"/>
                <w:color w:val="000000"/>
                <w:sz w:val="18"/>
                <w:szCs w:val="18"/>
              </w:rPr>
            </w:pPr>
            <w:r w:rsidRPr="005E37AD">
              <w:rPr>
                <w:rFonts w:ascii="Arial" w:hAnsi="Arial" w:cs="Arial"/>
                <w:color w:val="000000"/>
                <w:sz w:val="18"/>
                <w:szCs w:val="18"/>
              </w:rPr>
              <w:t>50.665</w:t>
            </w:r>
          </w:p>
        </w:tc>
      </w:tr>
      <w:tr w:rsidR="00382F5A" w:rsidRPr="005E37AD" w14:paraId="1E6EA866" w14:textId="77777777" w:rsidTr="005E37AD">
        <w:trPr>
          <w:trHeight w:val="232"/>
        </w:trPr>
        <w:tc>
          <w:tcPr>
            <w:tcW w:w="3362" w:type="pct"/>
            <w:noWrap/>
            <w:vAlign w:val="center"/>
            <w:hideMark/>
          </w:tcPr>
          <w:p w14:paraId="17A4D1D7" w14:textId="48CE144B" w:rsidR="00382F5A" w:rsidRPr="005E37AD" w:rsidRDefault="00382F5A">
            <w:pPr>
              <w:rPr>
                <w:rFonts w:ascii="Arial" w:hAnsi="Arial" w:cs="Arial"/>
                <w:color w:val="000000"/>
                <w:sz w:val="18"/>
                <w:szCs w:val="18"/>
              </w:rPr>
            </w:pPr>
            <w:r w:rsidRPr="005E37AD">
              <w:rPr>
                <w:rFonts w:ascii="Arial" w:hAnsi="Arial" w:cs="Arial"/>
                <w:color w:val="000000"/>
                <w:sz w:val="18"/>
                <w:szCs w:val="18"/>
              </w:rPr>
              <w:t>Aplicações em Ações e Fundo de Investimentos (ii)</w:t>
            </w:r>
          </w:p>
        </w:tc>
        <w:tc>
          <w:tcPr>
            <w:tcW w:w="819" w:type="pct"/>
            <w:noWrap/>
            <w:vAlign w:val="center"/>
            <w:hideMark/>
          </w:tcPr>
          <w:p w14:paraId="2912ED90" w14:textId="77777777" w:rsidR="00382F5A" w:rsidRPr="005E37AD" w:rsidRDefault="00382F5A">
            <w:pPr>
              <w:jc w:val="right"/>
              <w:rPr>
                <w:rFonts w:ascii="Arial" w:hAnsi="Arial" w:cs="Arial"/>
                <w:color w:val="000000"/>
                <w:sz w:val="18"/>
                <w:szCs w:val="18"/>
              </w:rPr>
            </w:pPr>
            <w:r w:rsidRPr="005E37AD">
              <w:rPr>
                <w:rFonts w:ascii="Arial" w:hAnsi="Arial" w:cs="Arial"/>
                <w:color w:val="000000"/>
                <w:sz w:val="18"/>
                <w:szCs w:val="18"/>
              </w:rPr>
              <w:t>4.077</w:t>
            </w:r>
          </w:p>
        </w:tc>
        <w:tc>
          <w:tcPr>
            <w:tcW w:w="819" w:type="pct"/>
            <w:noWrap/>
            <w:vAlign w:val="center"/>
            <w:hideMark/>
          </w:tcPr>
          <w:p w14:paraId="56308517" w14:textId="77777777" w:rsidR="00382F5A" w:rsidRPr="005E37AD" w:rsidRDefault="00382F5A">
            <w:pPr>
              <w:jc w:val="right"/>
              <w:rPr>
                <w:rFonts w:ascii="Arial" w:hAnsi="Arial" w:cs="Arial"/>
                <w:color w:val="000000"/>
                <w:sz w:val="18"/>
                <w:szCs w:val="18"/>
              </w:rPr>
            </w:pPr>
            <w:r w:rsidRPr="005E37AD">
              <w:rPr>
                <w:rFonts w:ascii="Arial" w:hAnsi="Arial" w:cs="Arial"/>
                <w:color w:val="000000"/>
                <w:sz w:val="18"/>
                <w:szCs w:val="18"/>
              </w:rPr>
              <w:t>3.284</w:t>
            </w:r>
          </w:p>
        </w:tc>
      </w:tr>
      <w:tr w:rsidR="00382F5A" w:rsidRPr="005E37AD" w14:paraId="09B5B04A" w14:textId="77777777" w:rsidTr="005E37AD">
        <w:trPr>
          <w:trHeight w:val="232"/>
        </w:trPr>
        <w:tc>
          <w:tcPr>
            <w:tcW w:w="3362" w:type="pct"/>
            <w:noWrap/>
            <w:vAlign w:val="center"/>
            <w:hideMark/>
          </w:tcPr>
          <w:p w14:paraId="163F158B" w14:textId="77777777" w:rsidR="00382F5A" w:rsidRPr="005E37AD" w:rsidRDefault="00382F5A">
            <w:pPr>
              <w:rPr>
                <w:rFonts w:ascii="Arial" w:hAnsi="Arial" w:cs="Arial"/>
                <w:b/>
                <w:bCs/>
                <w:color w:val="000000"/>
                <w:sz w:val="18"/>
                <w:szCs w:val="18"/>
              </w:rPr>
            </w:pPr>
            <w:r w:rsidRPr="005E37AD">
              <w:rPr>
                <w:rFonts w:ascii="Arial" w:hAnsi="Arial" w:cs="Arial"/>
                <w:b/>
                <w:bCs/>
                <w:color w:val="000000"/>
                <w:sz w:val="18"/>
                <w:szCs w:val="18"/>
              </w:rPr>
              <w:t>Total</w:t>
            </w:r>
          </w:p>
        </w:tc>
        <w:tc>
          <w:tcPr>
            <w:tcW w:w="819" w:type="pct"/>
            <w:noWrap/>
            <w:vAlign w:val="center"/>
            <w:hideMark/>
          </w:tcPr>
          <w:p w14:paraId="0D2A29B9" w14:textId="77777777" w:rsidR="00382F5A" w:rsidRPr="005E37AD" w:rsidRDefault="00382F5A">
            <w:pPr>
              <w:jc w:val="right"/>
              <w:rPr>
                <w:rFonts w:ascii="Arial" w:hAnsi="Arial" w:cs="Arial"/>
                <w:b/>
                <w:bCs/>
                <w:color w:val="000000"/>
                <w:sz w:val="18"/>
                <w:szCs w:val="18"/>
              </w:rPr>
            </w:pPr>
            <w:r w:rsidRPr="005E37AD">
              <w:rPr>
                <w:rFonts w:ascii="Arial" w:hAnsi="Arial" w:cs="Arial"/>
                <w:b/>
                <w:bCs/>
                <w:color w:val="000000"/>
                <w:sz w:val="18"/>
                <w:szCs w:val="18"/>
              </w:rPr>
              <w:t>878.540</w:t>
            </w:r>
          </w:p>
        </w:tc>
        <w:tc>
          <w:tcPr>
            <w:tcW w:w="819" w:type="pct"/>
            <w:noWrap/>
            <w:vAlign w:val="center"/>
            <w:hideMark/>
          </w:tcPr>
          <w:p w14:paraId="258F68D6" w14:textId="77777777" w:rsidR="00382F5A" w:rsidRPr="005E37AD" w:rsidRDefault="00382F5A">
            <w:pPr>
              <w:jc w:val="right"/>
              <w:rPr>
                <w:rFonts w:ascii="Arial" w:hAnsi="Arial" w:cs="Arial"/>
                <w:b/>
                <w:bCs/>
                <w:color w:val="000000"/>
                <w:sz w:val="18"/>
                <w:szCs w:val="18"/>
              </w:rPr>
            </w:pPr>
            <w:r w:rsidRPr="005E37AD">
              <w:rPr>
                <w:rFonts w:ascii="Arial" w:hAnsi="Arial" w:cs="Arial"/>
                <w:b/>
                <w:bCs/>
                <w:color w:val="000000"/>
                <w:sz w:val="18"/>
                <w:szCs w:val="18"/>
              </w:rPr>
              <w:t>876.301</w:t>
            </w:r>
          </w:p>
        </w:tc>
      </w:tr>
      <w:tr w:rsidR="00382F5A" w:rsidRPr="005E37AD" w14:paraId="3A67DA1B" w14:textId="77777777" w:rsidTr="005E37AD">
        <w:trPr>
          <w:trHeight w:val="232"/>
        </w:trPr>
        <w:tc>
          <w:tcPr>
            <w:tcW w:w="3362" w:type="pct"/>
            <w:noWrap/>
            <w:vAlign w:val="center"/>
            <w:hideMark/>
          </w:tcPr>
          <w:p w14:paraId="1A38B27E" w14:textId="77777777" w:rsidR="00382F5A" w:rsidRPr="005E37AD" w:rsidRDefault="00382F5A">
            <w:pPr>
              <w:rPr>
                <w:rFonts w:ascii="Arial" w:hAnsi="Arial" w:cs="Arial"/>
                <w:b/>
                <w:bCs/>
                <w:color w:val="000000"/>
                <w:sz w:val="18"/>
                <w:szCs w:val="18"/>
              </w:rPr>
            </w:pPr>
            <w:r w:rsidRPr="005E37AD">
              <w:rPr>
                <w:rFonts w:ascii="Arial" w:hAnsi="Arial" w:cs="Arial"/>
                <w:b/>
                <w:bCs/>
                <w:color w:val="000000"/>
                <w:sz w:val="18"/>
                <w:szCs w:val="18"/>
              </w:rPr>
              <w:t>Circulante</w:t>
            </w:r>
          </w:p>
        </w:tc>
        <w:tc>
          <w:tcPr>
            <w:tcW w:w="819" w:type="pct"/>
            <w:noWrap/>
            <w:vAlign w:val="center"/>
            <w:hideMark/>
          </w:tcPr>
          <w:p w14:paraId="0C245AAD" w14:textId="77777777" w:rsidR="00382F5A" w:rsidRPr="005E37AD" w:rsidRDefault="00382F5A">
            <w:pPr>
              <w:jc w:val="right"/>
              <w:rPr>
                <w:rFonts w:ascii="Arial" w:hAnsi="Arial" w:cs="Arial"/>
                <w:b/>
                <w:bCs/>
                <w:color w:val="000000"/>
                <w:sz w:val="18"/>
                <w:szCs w:val="18"/>
              </w:rPr>
            </w:pPr>
            <w:r w:rsidRPr="005E37AD">
              <w:rPr>
                <w:rFonts w:ascii="Arial" w:hAnsi="Arial" w:cs="Arial"/>
                <w:b/>
                <w:bCs/>
                <w:color w:val="000000"/>
                <w:sz w:val="18"/>
                <w:szCs w:val="18"/>
              </w:rPr>
              <w:t>822.352</w:t>
            </w:r>
          </w:p>
        </w:tc>
        <w:tc>
          <w:tcPr>
            <w:tcW w:w="819" w:type="pct"/>
            <w:noWrap/>
            <w:vAlign w:val="center"/>
            <w:hideMark/>
          </w:tcPr>
          <w:p w14:paraId="69B75C96" w14:textId="77777777" w:rsidR="00382F5A" w:rsidRPr="005E37AD" w:rsidRDefault="00382F5A">
            <w:pPr>
              <w:jc w:val="right"/>
              <w:rPr>
                <w:rFonts w:ascii="Arial" w:hAnsi="Arial" w:cs="Arial"/>
                <w:b/>
                <w:bCs/>
                <w:color w:val="000000"/>
                <w:sz w:val="18"/>
                <w:szCs w:val="18"/>
              </w:rPr>
            </w:pPr>
            <w:r w:rsidRPr="005E37AD">
              <w:rPr>
                <w:rFonts w:ascii="Arial" w:hAnsi="Arial" w:cs="Arial"/>
                <w:b/>
                <w:bCs/>
                <w:color w:val="000000"/>
                <w:sz w:val="18"/>
                <w:szCs w:val="18"/>
              </w:rPr>
              <w:t>822.352</w:t>
            </w:r>
          </w:p>
        </w:tc>
      </w:tr>
      <w:tr w:rsidR="00382F5A" w14:paraId="22ABEE07" w14:textId="77777777" w:rsidTr="005E37AD">
        <w:trPr>
          <w:trHeight w:val="232"/>
        </w:trPr>
        <w:tc>
          <w:tcPr>
            <w:tcW w:w="3362" w:type="pct"/>
            <w:noWrap/>
            <w:vAlign w:val="center"/>
            <w:hideMark/>
          </w:tcPr>
          <w:p w14:paraId="3D272210" w14:textId="77777777" w:rsidR="00382F5A" w:rsidRPr="005E37AD" w:rsidRDefault="00382F5A">
            <w:pPr>
              <w:rPr>
                <w:rFonts w:ascii="Arial" w:hAnsi="Arial" w:cs="Arial"/>
                <w:b/>
                <w:bCs/>
                <w:color w:val="000000"/>
                <w:sz w:val="18"/>
                <w:szCs w:val="18"/>
              </w:rPr>
            </w:pPr>
            <w:r w:rsidRPr="005E37AD">
              <w:rPr>
                <w:rFonts w:ascii="Arial" w:hAnsi="Arial" w:cs="Arial"/>
                <w:b/>
                <w:bCs/>
                <w:color w:val="000000"/>
                <w:sz w:val="18"/>
                <w:szCs w:val="18"/>
              </w:rPr>
              <w:t>Não Circulante</w:t>
            </w:r>
          </w:p>
        </w:tc>
        <w:tc>
          <w:tcPr>
            <w:tcW w:w="819" w:type="pct"/>
            <w:noWrap/>
            <w:vAlign w:val="center"/>
            <w:hideMark/>
          </w:tcPr>
          <w:p w14:paraId="21529B01" w14:textId="77777777" w:rsidR="00382F5A" w:rsidRPr="005E37AD" w:rsidRDefault="00382F5A">
            <w:pPr>
              <w:jc w:val="right"/>
              <w:rPr>
                <w:rFonts w:ascii="Arial" w:hAnsi="Arial" w:cs="Arial"/>
                <w:b/>
                <w:bCs/>
                <w:color w:val="000000"/>
                <w:sz w:val="18"/>
                <w:szCs w:val="18"/>
              </w:rPr>
            </w:pPr>
            <w:r w:rsidRPr="005E37AD">
              <w:rPr>
                <w:rFonts w:ascii="Arial" w:hAnsi="Arial" w:cs="Arial"/>
                <w:b/>
                <w:bCs/>
                <w:color w:val="000000"/>
                <w:sz w:val="18"/>
                <w:szCs w:val="18"/>
              </w:rPr>
              <w:t>56.188</w:t>
            </w:r>
          </w:p>
        </w:tc>
        <w:tc>
          <w:tcPr>
            <w:tcW w:w="819" w:type="pct"/>
            <w:noWrap/>
            <w:vAlign w:val="center"/>
            <w:hideMark/>
          </w:tcPr>
          <w:p w14:paraId="79112B02" w14:textId="77777777" w:rsidR="00382F5A" w:rsidRDefault="00382F5A">
            <w:pPr>
              <w:jc w:val="right"/>
              <w:rPr>
                <w:rFonts w:ascii="Arial" w:hAnsi="Arial" w:cs="Arial"/>
                <w:b/>
                <w:bCs/>
                <w:color w:val="000000"/>
                <w:sz w:val="18"/>
                <w:szCs w:val="18"/>
              </w:rPr>
            </w:pPr>
            <w:r w:rsidRPr="005E37AD">
              <w:rPr>
                <w:rFonts w:ascii="Arial" w:hAnsi="Arial" w:cs="Arial"/>
                <w:b/>
                <w:bCs/>
                <w:color w:val="000000"/>
                <w:sz w:val="18"/>
                <w:szCs w:val="18"/>
              </w:rPr>
              <w:t>53.949</w:t>
            </w:r>
          </w:p>
        </w:tc>
      </w:tr>
    </w:tbl>
    <w:p w14:paraId="339D9A3C" w14:textId="77777777" w:rsidR="00382F5A" w:rsidRDefault="00382F5A" w:rsidP="00C441B9"/>
    <w:p w14:paraId="1F19BD8E" w14:textId="2E0E1813" w:rsidR="007E3D27" w:rsidRDefault="007E3D27" w:rsidP="00597FE5">
      <w:pPr>
        <w:spacing w:line="276" w:lineRule="auto"/>
        <w:jc w:val="both"/>
        <w:rPr>
          <w:rFonts w:ascii="Arial" w:hAnsi="Arial" w:cs="Arial"/>
          <w:sz w:val="22"/>
          <w:szCs w:val="22"/>
        </w:rPr>
      </w:pPr>
      <w:r w:rsidRPr="002A36CE">
        <w:rPr>
          <w:rFonts w:ascii="Arial" w:hAnsi="Arial" w:cs="Arial"/>
        </w:rPr>
        <w:lastRenderedPageBreak/>
        <w:t>(i)</w:t>
      </w:r>
      <w:r w:rsidRPr="002A36CE">
        <w:rPr>
          <w:rFonts w:ascii="Arial" w:hAnsi="Arial" w:cs="Arial"/>
          <w:b/>
        </w:rPr>
        <w:t xml:space="preserve"> </w:t>
      </w:r>
      <w:r w:rsidRPr="002A36CE">
        <w:rPr>
          <w:rFonts w:ascii="Arial" w:hAnsi="Arial" w:cs="Arial"/>
          <w:sz w:val="22"/>
          <w:szCs w:val="22"/>
        </w:rPr>
        <w:t>A T</w:t>
      </w:r>
      <w:r w:rsidR="0020439B" w:rsidRPr="002A36CE">
        <w:rPr>
          <w:rFonts w:ascii="Arial" w:hAnsi="Arial" w:cs="Arial"/>
          <w:sz w:val="22"/>
          <w:szCs w:val="22"/>
        </w:rPr>
        <w:t>elebras</w:t>
      </w:r>
      <w:r w:rsidRPr="002A36CE">
        <w:rPr>
          <w:rFonts w:ascii="Arial" w:hAnsi="Arial" w:cs="Arial"/>
          <w:sz w:val="22"/>
          <w:szCs w:val="22"/>
        </w:rPr>
        <w:t xml:space="preserve"> realizou aplicação em Fundo de Investimento de Renda Fixa com remuneração atrelada à taxa do CDI, como garantia da Transação Parcial firmada com a</w:t>
      </w:r>
      <w:r w:rsidR="00A909CB" w:rsidRPr="002A36CE">
        <w:rPr>
          <w:rFonts w:ascii="Arial" w:hAnsi="Arial" w:cs="Arial"/>
          <w:sz w:val="22"/>
          <w:szCs w:val="22"/>
        </w:rPr>
        <w:t xml:space="preserve"> Caixa de Previdência dos Funcionários do Banco do Brasil</w:t>
      </w:r>
      <w:r w:rsidRPr="002A36CE">
        <w:rPr>
          <w:rFonts w:ascii="Arial" w:hAnsi="Arial" w:cs="Arial"/>
          <w:sz w:val="22"/>
          <w:szCs w:val="22"/>
        </w:rPr>
        <w:t xml:space="preserve"> </w:t>
      </w:r>
      <w:r w:rsidR="00A909CB" w:rsidRPr="002A36CE">
        <w:rPr>
          <w:rFonts w:ascii="Arial" w:hAnsi="Arial" w:cs="Arial"/>
          <w:sz w:val="22"/>
          <w:szCs w:val="22"/>
        </w:rPr>
        <w:t>(</w:t>
      </w:r>
      <w:r w:rsidRPr="002A36CE">
        <w:rPr>
          <w:rFonts w:ascii="Arial" w:hAnsi="Arial" w:cs="Arial"/>
          <w:sz w:val="22"/>
          <w:szCs w:val="22"/>
        </w:rPr>
        <w:t>PREVI</w:t>
      </w:r>
      <w:r w:rsidR="00A909CB" w:rsidRPr="002A36CE">
        <w:rPr>
          <w:rFonts w:ascii="Arial" w:hAnsi="Arial" w:cs="Arial"/>
          <w:sz w:val="22"/>
          <w:szCs w:val="22"/>
        </w:rPr>
        <w:t>)</w:t>
      </w:r>
      <w:r w:rsidRPr="002A36CE">
        <w:rPr>
          <w:rFonts w:ascii="Arial" w:hAnsi="Arial" w:cs="Arial"/>
          <w:sz w:val="22"/>
          <w:szCs w:val="22"/>
        </w:rPr>
        <w:t>, em função de ação judicial com sentença transitada em julgado</w:t>
      </w:r>
      <w:r w:rsidR="0074043D">
        <w:rPr>
          <w:rFonts w:ascii="Arial" w:hAnsi="Arial" w:cs="Arial"/>
          <w:sz w:val="22"/>
          <w:szCs w:val="22"/>
        </w:rPr>
        <w:t>.</w:t>
      </w:r>
      <w:r w:rsidRPr="002A36CE">
        <w:rPr>
          <w:rFonts w:ascii="Arial" w:hAnsi="Arial" w:cs="Arial"/>
          <w:sz w:val="22"/>
          <w:szCs w:val="22"/>
        </w:rPr>
        <w:t xml:space="preserve"> (Nota Explicativa </w:t>
      </w:r>
      <w:r w:rsidR="0097172F" w:rsidRPr="002A36CE">
        <w:rPr>
          <w:rFonts w:ascii="Arial" w:hAnsi="Arial" w:cs="Arial"/>
          <w:sz w:val="22"/>
          <w:szCs w:val="22"/>
        </w:rPr>
        <w:t>2</w:t>
      </w:r>
      <w:r w:rsidR="007D3E88">
        <w:rPr>
          <w:rFonts w:ascii="Arial" w:hAnsi="Arial" w:cs="Arial"/>
          <w:sz w:val="22"/>
          <w:szCs w:val="22"/>
        </w:rPr>
        <w:t>0</w:t>
      </w:r>
      <w:r w:rsidRPr="002A36CE">
        <w:rPr>
          <w:rFonts w:ascii="Arial" w:hAnsi="Arial" w:cs="Arial"/>
          <w:sz w:val="22"/>
          <w:szCs w:val="22"/>
        </w:rPr>
        <w:t>)</w:t>
      </w:r>
      <w:r w:rsidR="00D541CA">
        <w:rPr>
          <w:rFonts w:ascii="Arial" w:hAnsi="Arial" w:cs="Arial"/>
          <w:sz w:val="22"/>
          <w:szCs w:val="22"/>
        </w:rPr>
        <w:t>.</w:t>
      </w:r>
    </w:p>
    <w:p w14:paraId="7052D85D" w14:textId="77A556CD" w:rsidR="00D541CA" w:rsidRDefault="00D541CA" w:rsidP="00D541CA">
      <w:pPr>
        <w:pStyle w:val="Corpodetexto"/>
        <w:numPr>
          <w:ilvl w:val="12"/>
          <w:numId w:val="0"/>
        </w:numPr>
        <w:spacing w:line="276" w:lineRule="auto"/>
        <w:rPr>
          <w:rFonts w:ascii="Arial" w:hAnsi="Arial" w:cs="Arial"/>
        </w:rPr>
      </w:pPr>
      <w:r w:rsidRPr="00BF13AF">
        <w:rPr>
          <w:rFonts w:ascii="Arial" w:hAnsi="Arial" w:cs="Arial"/>
        </w:rPr>
        <w:t xml:space="preserve">Em dezembro de 2025, a Telebras realizou o pagamento antecipado da dívida junto à PREVI. Em decorrência desse pagamento, a garantia previamente depositada será resgatada no decorrer do </w:t>
      </w:r>
      <w:r w:rsidR="00616404">
        <w:rPr>
          <w:rFonts w:ascii="Arial" w:hAnsi="Arial" w:cs="Arial"/>
        </w:rPr>
        <w:t>segundo</w:t>
      </w:r>
      <w:r w:rsidRPr="00BF13AF">
        <w:rPr>
          <w:rFonts w:ascii="Arial" w:hAnsi="Arial" w:cs="Arial"/>
        </w:rPr>
        <w:t xml:space="preserve"> trimestre de 2026.</w:t>
      </w:r>
    </w:p>
    <w:p w14:paraId="6344D61B" w14:textId="24ED4C67" w:rsidR="00644F45" w:rsidRPr="002A36CE" w:rsidRDefault="00644F45" w:rsidP="00597FE5">
      <w:pPr>
        <w:pStyle w:val="Corpodetexto"/>
        <w:numPr>
          <w:ilvl w:val="12"/>
          <w:numId w:val="0"/>
        </w:numPr>
        <w:tabs>
          <w:tab w:val="clear" w:pos="851"/>
        </w:tabs>
        <w:spacing w:before="0" w:after="0" w:line="276" w:lineRule="auto"/>
        <w:rPr>
          <w:rFonts w:ascii="Arial" w:hAnsi="Arial" w:cs="Arial"/>
        </w:rPr>
      </w:pPr>
      <w:r w:rsidRPr="002A36CE">
        <w:rPr>
          <w:rFonts w:ascii="Arial" w:hAnsi="Arial" w:cs="Arial"/>
        </w:rPr>
        <w:t xml:space="preserve">(ii) </w:t>
      </w:r>
      <w:r w:rsidR="00C269B5" w:rsidRPr="002A36CE">
        <w:rPr>
          <w:rFonts w:ascii="Arial" w:hAnsi="Arial" w:cs="Arial"/>
        </w:rPr>
        <w:t xml:space="preserve"> </w:t>
      </w:r>
      <w:r w:rsidRPr="002A36CE">
        <w:rPr>
          <w:rFonts w:ascii="Arial" w:hAnsi="Arial" w:cs="Arial"/>
        </w:rPr>
        <w:t xml:space="preserve">Representa investimentos em </w:t>
      </w:r>
      <w:r w:rsidR="000528B3">
        <w:rPr>
          <w:rFonts w:ascii="Arial" w:hAnsi="Arial" w:cs="Arial"/>
        </w:rPr>
        <w:t>t</w:t>
      </w:r>
      <w:r w:rsidR="00BA28BF" w:rsidRPr="002A36CE">
        <w:rPr>
          <w:rFonts w:ascii="Arial" w:hAnsi="Arial" w:cs="Arial"/>
        </w:rPr>
        <w:t>ítulos</w:t>
      </w:r>
      <w:r w:rsidRPr="002A36CE">
        <w:rPr>
          <w:rFonts w:ascii="Arial" w:hAnsi="Arial" w:cs="Arial"/>
        </w:rPr>
        <w:t xml:space="preserve"> mobiliários (ações) de empresas de telecomunicações e</w:t>
      </w:r>
      <w:r w:rsidR="00C269B5" w:rsidRPr="002A36CE">
        <w:rPr>
          <w:rFonts w:ascii="Arial" w:hAnsi="Arial" w:cs="Arial"/>
        </w:rPr>
        <w:t xml:space="preserve"> </w:t>
      </w:r>
      <w:r w:rsidR="00BA28BF" w:rsidRPr="002A36CE">
        <w:rPr>
          <w:rFonts w:ascii="Arial" w:hAnsi="Arial" w:cs="Arial"/>
        </w:rPr>
        <w:t>n</w:t>
      </w:r>
      <w:r w:rsidR="00C269B5" w:rsidRPr="002A36CE">
        <w:rPr>
          <w:rFonts w:ascii="Arial" w:hAnsi="Arial" w:cs="Arial"/>
        </w:rPr>
        <w:t>o</w:t>
      </w:r>
      <w:r w:rsidRPr="002A36CE">
        <w:rPr>
          <w:rFonts w:ascii="Arial" w:hAnsi="Arial" w:cs="Arial"/>
        </w:rPr>
        <w:t xml:space="preserve"> </w:t>
      </w:r>
      <w:r w:rsidR="00C95E89" w:rsidRPr="002A36CE">
        <w:rPr>
          <w:rFonts w:ascii="Arial" w:hAnsi="Arial" w:cs="Arial"/>
        </w:rPr>
        <w:t xml:space="preserve">Fundo de Investimento na Amazônia </w:t>
      </w:r>
      <w:r w:rsidR="0020439B" w:rsidRPr="002A36CE">
        <w:rPr>
          <w:rFonts w:ascii="Arial" w:hAnsi="Arial" w:cs="Arial"/>
        </w:rPr>
        <w:t>(</w:t>
      </w:r>
      <w:r w:rsidRPr="002A36CE">
        <w:rPr>
          <w:rFonts w:ascii="Arial" w:hAnsi="Arial" w:cs="Arial"/>
        </w:rPr>
        <w:t>F</w:t>
      </w:r>
      <w:r w:rsidR="0020439B" w:rsidRPr="002A36CE">
        <w:rPr>
          <w:rFonts w:ascii="Arial" w:hAnsi="Arial" w:cs="Arial"/>
        </w:rPr>
        <w:t>INAM)</w:t>
      </w:r>
      <w:r w:rsidR="00C269B5" w:rsidRPr="002A36CE">
        <w:rPr>
          <w:rFonts w:ascii="Arial" w:hAnsi="Arial" w:cs="Arial"/>
        </w:rPr>
        <w:t xml:space="preserve"> e</w:t>
      </w:r>
      <w:r w:rsidRPr="002A36CE">
        <w:rPr>
          <w:rFonts w:ascii="Arial" w:hAnsi="Arial" w:cs="Arial"/>
        </w:rPr>
        <w:t xml:space="preserve"> </w:t>
      </w:r>
      <w:r w:rsidR="004A1EFF" w:rsidRPr="002A36CE">
        <w:rPr>
          <w:rFonts w:ascii="Arial" w:hAnsi="Arial" w:cs="Arial"/>
        </w:rPr>
        <w:t>que são n</w:t>
      </w:r>
      <w:r w:rsidRPr="002A36CE">
        <w:rPr>
          <w:rFonts w:ascii="Arial" w:hAnsi="Arial" w:cs="Arial"/>
        </w:rPr>
        <w:t>egocia</w:t>
      </w:r>
      <w:r w:rsidR="004A1EFF" w:rsidRPr="002A36CE">
        <w:rPr>
          <w:rFonts w:ascii="Arial" w:hAnsi="Arial" w:cs="Arial"/>
        </w:rPr>
        <w:t>d</w:t>
      </w:r>
      <w:r w:rsidR="00BA28BF" w:rsidRPr="002A36CE">
        <w:rPr>
          <w:rFonts w:ascii="Arial" w:hAnsi="Arial" w:cs="Arial"/>
        </w:rPr>
        <w:t>o</w:t>
      </w:r>
      <w:r w:rsidR="004A1EFF" w:rsidRPr="002A36CE">
        <w:rPr>
          <w:rFonts w:ascii="Arial" w:hAnsi="Arial" w:cs="Arial"/>
        </w:rPr>
        <w:t>s</w:t>
      </w:r>
      <w:r w:rsidRPr="002A36CE">
        <w:rPr>
          <w:rFonts w:ascii="Arial" w:hAnsi="Arial" w:cs="Arial"/>
        </w:rPr>
        <w:t xml:space="preserve"> na Bolsa de Valores - Bovespa. Estes investimentos estão classificados como instrumentos financeiros na categoria de </w:t>
      </w:r>
      <w:r w:rsidR="00B70903" w:rsidRPr="002A36CE">
        <w:rPr>
          <w:rFonts w:ascii="Arial" w:hAnsi="Arial" w:cs="Arial"/>
        </w:rPr>
        <w:t xml:space="preserve">valor justo </w:t>
      </w:r>
      <w:r w:rsidR="00520CC9" w:rsidRPr="002A36CE">
        <w:rPr>
          <w:rFonts w:ascii="Arial" w:hAnsi="Arial" w:cs="Arial"/>
        </w:rPr>
        <w:t>por meio de outros resultados abrangentes.</w:t>
      </w:r>
      <w:r w:rsidRPr="002A36CE">
        <w:rPr>
          <w:rFonts w:ascii="Arial" w:hAnsi="Arial" w:cs="Arial"/>
        </w:rPr>
        <w:t xml:space="preserve"> </w:t>
      </w:r>
    </w:p>
    <w:p w14:paraId="0ED012AE" w14:textId="77777777" w:rsidR="005530FF" w:rsidRPr="00940142" w:rsidRDefault="005530FF" w:rsidP="00597FE5">
      <w:pPr>
        <w:pStyle w:val="Corpodetexto"/>
        <w:numPr>
          <w:ilvl w:val="12"/>
          <w:numId w:val="0"/>
        </w:numPr>
        <w:tabs>
          <w:tab w:val="clear" w:pos="851"/>
        </w:tabs>
        <w:spacing w:before="0" w:after="0" w:line="276" w:lineRule="auto"/>
        <w:rPr>
          <w:rFonts w:ascii="Arial" w:hAnsi="Arial" w:cs="Arial"/>
          <w:sz w:val="16"/>
          <w:szCs w:val="16"/>
        </w:rPr>
      </w:pPr>
    </w:p>
    <w:p w14:paraId="4B6FF746" w14:textId="12ADCB4A" w:rsidR="00F46D9C" w:rsidRDefault="005530FF" w:rsidP="00E614A9">
      <w:pPr>
        <w:pStyle w:val="Corpodetexto"/>
        <w:numPr>
          <w:ilvl w:val="12"/>
          <w:numId w:val="0"/>
        </w:numPr>
        <w:tabs>
          <w:tab w:val="clear" w:pos="851"/>
        </w:tabs>
        <w:spacing w:before="0" w:after="0" w:line="276" w:lineRule="auto"/>
        <w:rPr>
          <w:rFonts w:ascii="Arial" w:hAnsi="Arial" w:cs="Arial"/>
        </w:rPr>
      </w:pPr>
      <w:r w:rsidRPr="00980022">
        <w:rPr>
          <w:rFonts w:ascii="Arial" w:hAnsi="Arial" w:cs="Arial"/>
        </w:rPr>
        <w:t>(i</w:t>
      </w:r>
      <w:r w:rsidR="004F7EEB">
        <w:rPr>
          <w:rFonts w:ascii="Arial" w:hAnsi="Arial" w:cs="Arial"/>
        </w:rPr>
        <w:t>ii</w:t>
      </w:r>
      <w:r w:rsidRPr="00980022">
        <w:rPr>
          <w:rFonts w:ascii="Arial" w:hAnsi="Arial" w:cs="Arial"/>
        </w:rPr>
        <w:t>)</w:t>
      </w:r>
      <w:r w:rsidR="00E9178C" w:rsidRPr="00980022">
        <w:rPr>
          <w:rFonts w:ascii="Arial" w:hAnsi="Arial" w:cs="Arial"/>
        </w:rPr>
        <w:t xml:space="preserve"> </w:t>
      </w:r>
      <w:r w:rsidR="003E49E5" w:rsidRPr="00980022">
        <w:rPr>
          <w:rFonts w:ascii="Arial" w:hAnsi="Arial" w:cs="Arial"/>
        </w:rPr>
        <w:t>Em dezembro de 2019, a União destinou à Companhia o montante de R$</w:t>
      </w:r>
      <w:r w:rsidR="00896FD4" w:rsidRPr="00980022">
        <w:rPr>
          <w:rFonts w:ascii="Arial" w:hAnsi="Arial" w:cs="Arial"/>
        </w:rPr>
        <w:t xml:space="preserve"> </w:t>
      </w:r>
      <w:r w:rsidR="003E49E5" w:rsidRPr="00980022">
        <w:rPr>
          <w:rFonts w:ascii="Arial" w:hAnsi="Arial" w:cs="Arial"/>
        </w:rPr>
        <w:t>822</w:t>
      </w:r>
      <w:r w:rsidR="00E9178C" w:rsidRPr="00980022">
        <w:rPr>
          <w:rFonts w:ascii="Arial" w:hAnsi="Arial" w:cs="Arial"/>
        </w:rPr>
        <w:t>.352</w:t>
      </w:r>
      <w:r w:rsidR="003E49E5" w:rsidRPr="00980022">
        <w:rPr>
          <w:rFonts w:ascii="Arial" w:hAnsi="Arial" w:cs="Arial"/>
        </w:rPr>
        <w:t>, na forma de Adiantamento para Futuro Aumento de Capital (AFAC), conforme a Lei Orçamentária</w:t>
      </w:r>
      <w:r w:rsidR="00FF428D">
        <w:rPr>
          <w:rFonts w:ascii="Arial" w:hAnsi="Arial" w:cs="Arial"/>
        </w:rPr>
        <w:t xml:space="preserve"> Anual (LOA)</w:t>
      </w:r>
      <w:r w:rsidR="003E49E5" w:rsidRPr="00980022">
        <w:rPr>
          <w:rFonts w:ascii="Arial" w:hAnsi="Arial" w:cs="Arial"/>
        </w:rPr>
        <w:t xml:space="preserve"> então vigente.</w:t>
      </w:r>
      <w:r w:rsidR="00FF428D">
        <w:rPr>
          <w:rFonts w:ascii="Arial" w:hAnsi="Arial" w:cs="Arial"/>
        </w:rPr>
        <w:t xml:space="preserve"> </w:t>
      </w:r>
      <w:r w:rsidR="00FF428D" w:rsidRPr="00854738">
        <w:rPr>
          <w:rFonts w:ascii="Arial" w:hAnsi="Arial" w:cs="Arial"/>
        </w:rPr>
        <w:t>Esse</w:t>
      </w:r>
      <w:r w:rsidR="00B85F9A">
        <w:rPr>
          <w:rFonts w:ascii="Arial" w:hAnsi="Arial" w:cs="Arial"/>
        </w:rPr>
        <w:t>s</w:t>
      </w:r>
      <w:r w:rsidR="00FF428D" w:rsidRPr="00854738">
        <w:rPr>
          <w:rFonts w:ascii="Arial" w:hAnsi="Arial" w:cs="Arial"/>
        </w:rPr>
        <w:t xml:space="preserve"> recurso</w:t>
      </w:r>
      <w:r w:rsidR="00B85F9A">
        <w:rPr>
          <w:rFonts w:ascii="Arial" w:hAnsi="Arial" w:cs="Arial"/>
        </w:rPr>
        <w:t>s</w:t>
      </w:r>
      <w:r w:rsidR="00FF428D" w:rsidRPr="00854738">
        <w:rPr>
          <w:rFonts w:ascii="Arial" w:hAnsi="Arial" w:cs="Arial"/>
        </w:rPr>
        <w:t xml:space="preserve"> </w:t>
      </w:r>
      <w:r w:rsidR="00B85F9A">
        <w:rPr>
          <w:rFonts w:ascii="Arial" w:hAnsi="Arial" w:cs="Arial"/>
        </w:rPr>
        <w:t>estão sendo</w:t>
      </w:r>
      <w:r w:rsidR="00FF428D" w:rsidRPr="00854738">
        <w:rPr>
          <w:rFonts w:ascii="Arial" w:hAnsi="Arial" w:cs="Arial"/>
        </w:rPr>
        <w:t xml:space="preserve"> investi</w:t>
      </w:r>
      <w:r w:rsidR="00B85F9A">
        <w:rPr>
          <w:rFonts w:ascii="Arial" w:hAnsi="Arial" w:cs="Arial"/>
        </w:rPr>
        <w:t>dos</w:t>
      </w:r>
      <w:r w:rsidR="00FF428D" w:rsidRPr="00854738">
        <w:rPr>
          <w:rFonts w:ascii="Arial" w:hAnsi="Arial" w:cs="Arial"/>
        </w:rPr>
        <w:t xml:space="preserve"> de acordo com as especificações da LOA.</w:t>
      </w:r>
    </w:p>
    <w:p w14:paraId="557C89CD" w14:textId="77777777" w:rsidR="00E614A9" w:rsidRPr="00BF13AF" w:rsidRDefault="00E614A9" w:rsidP="00E614A9">
      <w:pPr>
        <w:pStyle w:val="Corpodetexto"/>
        <w:numPr>
          <w:ilvl w:val="12"/>
          <w:numId w:val="0"/>
        </w:numPr>
        <w:tabs>
          <w:tab w:val="clear" w:pos="851"/>
        </w:tabs>
        <w:spacing w:before="0" w:after="0" w:line="276" w:lineRule="auto"/>
        <w:rPr>
          <w:rFonts w:ascii="Arial" w:hAnsi="Arial" w:cs="Arial"/>
        </w:rPr>
      </w:pPr>
    </w:p>
    <w:p w14:paraId="66377763" w14:textId="77777777" w:rsidR="0003684D" w:rsidRPr="002A36CE" w:rsidRDefault="002850A1"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24" w:name="_Toc491337722"/>
      <w:bookmarkStart w:id="25" w:name="_Hlk506378374"/>
      <w:r w:rsidRPr="002A36CE">
        <w:rPr>
          <w:rFonts w:ascii="Arial" w:hAnsi="Arial" w:cs="Arial"/>
        </w:rPr>
        <w:t>INVESTIMENTOS</w:t>
      </w:r>
      <w:bookmarkEnd w:id="24"/>
    </w:p>
    <w:p w14:paraId="78EBF105" w14:textId="77777777" w:rsidR="0003684D" w:rsidRPr="00940142" w:rsidRDefault="0003684D" w:rsidP="00597FE5">
      <w:pPr>
        <w:spacing w:line="276" w:lineRule="auto"/>
        <w:rPr>
          <w:sz w:val="12"/>
          <w:szCs w:val="12"/>
        </w:rPr>
      </w:pPr>
    </w:p>
    <w:p w14:paraId="0E8A47C7" w14:textId="77777777" w:rsidR="00EE4F13" w:rsidRPr="002A36CE" w:rsidRDefault="00EE4F13"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26" w:name="_Toc491337723"/>
      <w:r w:rsidRPr="002A36CE">
        <w:rPr>
          <w:rFonts w:ascii="Arial" w:hAnsi="Arial" w:cs="Arial"/>
        </w:rPr>
        <w:t>Informações das investidas</w:t>
      </w:r>
      <w:bookmarkEnd w:id="26"/>
    </w:p>
    <w:p w14:paraId="69F0539D" w14:textId="3565D951" w:rsidR="00EE4F13" w:rsidRPr="005B1233" w:rsidRDefault="00EE4F13" w:rsidP="00597FE5">
      <w:pPr>
        <w:spacing w:line="276" w:lineRule="auto"/>
        <w:rPr>
          <w:color w:val="FF0000"/>
          <w:sz w:val="16"/>
          <w:szCs w:val="16"/>
        </w:rPr>
      </w:pPr>
    </w:p>
    <w:p w14:paraId="43C4A253" w14:textId="68C738F9" w:rsidR="00442A52" w:rsidRPr="002A36CE" w:rsidRDefault="00442A52" w:rsidP="00597FE5">
      <w:pPr>
        <w:pStyle w:val="Corpodetexto"/>
        <w:tabs>
          <w:tab w:val="clear" w:pos="851"/>
          <w:tab w:val="left" w:pos="0"/>
        </w:tabs>
        <w:spacing w:before="0" w:after="0" w:line="276" w:lineRule="auto"/>
        <w:rPr>
          <w:rFonts w:ascii="Arial" w:hAnsi="Arial" w:cs="Arial"/>
          <w:b/>
        </w:rPr>
      </w:pPr>
      <w:r w:rsidRPr="002A36CE">
        <w:rPr>
          <w:rFonts w:ascii="Arial" w:hAnsi="Arial" w:cs="Arial"/>
          <w:lang w:eastAsia="en-US"/>
        </w:rPr>
        <w:t>A Companhia detém participaç</w:t>
      </w:r>
      <w:r w:rsidR="00F32298" w:rsidRPr="002A36CE">
        <w:rPr>
          <w:rFonts w:ascii="Arial" w:hAnsi="Arial" w:cs="Arial"/>
          <w:lang w:eastAsia="en-US"/>
        </w:rPr>
        <w:t>ão</w:t>
      </w:r>
      <w:r w:rsidRPr="002A36CE">
        <w:rPr>
          <w:rFonts w:ascii="Arial" w:hAnsi="Arial" w:cs="Arial"/>
          <w:lang w:eastAsia="en-US"/>
        </w:rPr>
        <w:t xml:space="preserve"> societária </w:t>
      </w:r>
      <w:r w:rsidR="00954CF8" w:rsidRPr="002A36CE">
        <w:rPr>
          <w:rFonts w:ascii="Arial" w:hAnsi="Arial" w:cs="Arial"/>
          <w:lang w:eastAsia="en-US"/>
        </w:rPr>
        <w:t>na</w:t>
      </w:r>
      <w:r w:rsidRPr="002A36CE">
        <w:rPr>
          <w:rFonts w:ascii="Arial" w:hAnsi="Arial" w:cs="Arial"/>
          <w:lang w:eastAsia="en-US"/>
        </w:rPr>
        <w:t xml:space="preserve"> </w:t>
      </w:r>
      <w:r w:rsidR="005A13D5" w:rsidRPr="007C79D7">
        <w:rPr>
          <w:rFonts w:ascii="Arial" w:hAnsi="Arial" w:cs="Arial"/>
          <w:lang w:eastAsia="en-US"/>
        </w:rPr>
        <w:t>coligada</w:t>
      </w:r>
      <w:r w:rsidRPr="007C79D7">
        <w:rPr>
          <w:rFonts w:ascii="Arial" w:hAnsi="Arial" w:cs="Arial"/>
          <w:lang w:eastAsia="en-US"/>
        </w:rPr>
        <w:t>,</w:t>
      </w:r>
      <w:r w:rsidR="00954CF8" w:rsidRPr="007C79D7">
        <w:rPr>
          <w:rFonts w:ascii="Arial" w:hAnsi="Arial" w:cs="Arial"/>
          <w:lang w:eastAsia="en-US"/>
        </w:rPr>
        <w:t xml:space="preserve"> cuja</w:t>
      </w:r>
      <w:r w:rsidR="00FD29EA" w:rsidRPr="007C79D7">
        <w:rPr>
          <w:rFonts w:ascii="Arial" w:hAnsi="Arial" w:cs="Arial"/>
          <w:lang w:eastAsia="en-US"/>
        </w:rPr>
        <w:t>s</w:t>
      </w:r>
      <w:r w:rsidR="00954CF8" w:rsidRPr="002A36CE">
        <w:rPr>
          <w:rFonts w:ascii="Arial" w:hAnsi="Arial" w:cs="Arial"/>
          <w:lang w:eastAsia="en-US"/>
        </w:rPr>
        <w:t xml:space="preserve"> informaç</w:t>
      </w:r>
      <w:r w:rsidR="00E44C4F" w:rsidRPr="002A36CE">
        <w:rPr>
          <w:rFonts w:ascii="Arial" w:hAnsi="Arial" w:cs="Arial"/>
          <w:lang w:eastAsia="en-US"/>
        </w:rPr>
        <w:t>ões são</w:t>
      </w:r>
      <w:r w:rsidR="00954CF8" w:rsidRPr="002A36CE">
        <w:rPr>
          <w:rFonts w:ascii="Arial" w:hAnsi="Arial" w:cs="Arial"/>
          <w:lang w:eastAsia="en-US"/>
        </w:rPr>
        <w:t xml:space="preserve"> apresentada</w:t>
      </w:r>
      <w:r w:rsidR="00E44C4F" w:rsidRPr="002A36CE">
        <w:rPr>
          <w:rFonts w:ascii="Arial" w:hAnsi="Arial" w:cs="Arial"/>
          <w:lang w:eastAsia="en-US"/>
        </w:rPr>
        <w:t>s</w:t>
      </w:r>
      <w:r w:rsidR="00954CF8" w:rsidRPr="002A36CE">
        <w:rPr>
          <w:rFonts w:ascii="Arial" w:hAnsi="Arial" w:cs="Arial"/>
          <w:lang w:eastAsia="en-US"/>
        </w:rPr>
        <w:t xml:space="preserve"> a seguir:</w:t>
      </w:r>
    </w:p>
    <w:p w14:paraId="69942065" w14:textId="77777777" w:rsidR="00442A52" w:rsidRPr="00620688" w:rsidRDefault="00442A52" w:rsidP="00597FE5">
      <w:pPr>
        <w:pStyle w:val="Corpodetexto"/>
        <w:tabs>
          <w:tab w:val="clear" w:pos="851"/>
          <w:tab w:val="left" w:pos="0"/>
        </w:tabs>
        <w:spacing w:before="0" w:after="0" w:line="276" w:lineRule="auto"/>
        <w:rPr>
          <w:rFonts w:ascii="Arial" w:hAnsi="Arial" w:cs="Arial"/>
          <w:b/>
          <w:sz w:val="14"/>
          <w:szCs w:val="14"/>
        </w:rPr>
      </w:pPr>
    </w:p>
    <w:p w14:paraId="72AB9F26" w14:textId="04AE5B68" w:rsidR="00442A52" w:rsidRPr="002A36CE" w:rsidRDefault="00442A52" w:rsidP="005E47AD">
      <w:pPr>
        <w:autoSpaceDE w:val="0"/>
        <w:autoSpaceDN w:val="0"/>
        <w:adjustRightInd w:val="0"/>
        <w:spacing w:line="276" w:lineRule="auto"/>
        <w:jc w:val="both"/>
        <w:rPr>
          <w:rFonts w:ascii="Arial" w:eastAsia="Calibri" w:hAnsi="Arial" w:cs="Arial"/>
          <w:color w:val="000000"/>
          <w:sz w:val="22"/>
          <w:szCs w:val="22"/>
        </w:rPr>
      </w:pPr>
      <w:r w:rsidRPr="002A36CE">
        <w:rPr>
          <w:rFonts w:ascii="Arial" w:eastAsia="Calibri" w:hAnsi="Arial" w:cs="Arial"/>
          <w:b/>
          <w:color w:val="000000"/>
          <w:sz w:val="22"/>
          <w:szCs w:val="22"/>
        </w:rPr>
        <w:t>VISIONA TECNOLOGIA ESPACIAL S.A</w:t>
      </w:r>
      <w:r w:rsidRPr="002A36CE">
        <w:rPr>
          <w:rFonts w:ascii="Arial" w:eastAsia="Calibri" w:hAnsi="Arial" w:cs="Arial"/>
          <w:color w:val="000000"/>
          <w:sz w:val="22"/>
          <w:szCs w:val="22"/>
        </w:rPr>
        <w:t xml:space="preserve">. (“VISIONA” ou Coligada), </w:t>
      </w:r>
      <w:r w:rsidR="00893137">
        <w:rPr>
          <w:rFonts w:ascii="Arial" w:eastAsia="Calibri" w:hAnsi="Arial" w:cs="Arial"/>
          <w:color w:val="000000"/>
          <w:sz w:val="22"/>
          <w:szCs w:val="22"/>
        </w:rPr>
        <w:t>c</w:t>
      </w:r>
      <w:r w:rsidR="00AD7908" w:rsidRPr="002A36CE">
        <w:rPr>
          <w:rFonts w:ascii="Arial" w:eastAsia="Calibri" w:hAnsi="Arial" w:cs="Arial"/>
          <w:color w:val="000000"/>
          <w:sz w:val="22"/>
          <w:szCs w:val="22"/>
        </w:rPr>
        <w:t xml:space="preserve">onstituída em 14 de junho de 2011, </w:t>
      </w:r>
      <w:r w:rsidRPr="002A36CE">
        <w:rPr>
          <w:rFonts w:ascii="Arial" w:eastAsia="Calibri" w:hAnsi="Arial" w:cs="Arial"/>
          <w:color w:val="000000"/>
          <w:sz w:val="22"/>
          <w:szCs w:val="22"/>
        </w:rPr>
        <w:t>com sede na cidade de São José dos Campos, Estado de São Paulo, Brasil, tem por objeto atuar, no Brasil ou no exterior, nas atividades de pesquisa, especificação, projeto, desenvolvimento, certificação, fabricação, prestação de serviços de manutenção, de engenharia, modernização, seleção e contratação de fornecedores, integração, logística, treinamento, operação, comercialização, locação, importação e exportação de satélites, estações de terra e outros equipamentos e sistemas aeroespaciais, voltados, inclusive, para atividades relacionadas ao atendimento das necessidades do Governo Federal relativas ao plano de desenvolvimento de satélite brasileiro, em especial no âmbito do Programa Nacional de Banda Larga – PNBL, e à comunicação estratégica de defesa e governamental, no âmbito da Estratégia</w:t>
      </w:r>
      <w:r w:rsidR="00EB2A49" w:rsidRPr="002A36CE">
        <w:rPr>
          <w:rFonts w:ascii="Arial" w:eastAsia="Calibri" w:hAnsi="Arial" w:cs="Arial"/>
          <w:color w:val="000000"/>
          <w:sz w:val="22"/>
          <w:szCs w:val="22"/>
        </w:rPr>
        <w:t xml:space="preserve"> Nacional de Defesa, assim como</w:t>
      </w:r>
      <w:r w:rsidRPr="002A36CE">
        <w:rPr>
          <w:rFonts w:ascii="Arial" w:eastAsia="Calibri" w:hAnsi="Arial" w:cs="Arial"/>
          <w:color w:val="000000"/>
          <w:sz w:val="22"/>
          <w:szCs w:val="22"/>
        </w:rPr>
        <w:t xml:space="preserve"> o suporte logístico contratado para as atividades mencionadas. </w:t>
      </w:r>
    </w:p>
    <w:p w14:paraId="7BC3F8D3" w14:textId="6ED6C135" w:rsidR="003B0DCC" w:rsidRPr="002A36CE" w:rsidRDefault="003B0DCC" w:rsidP="00F709CB">
      <w:pPr>
        <w:pStyle w:val="Corpodetexto"/>
        <w:tabs>
          <w:tab w:val="clear" w:pos="851"/>
          <w:tab w:val="left" w:pos="0"/>
          <w:tab w:val="left" w:pos="9639"/>
        </w:tabs>
        <w:spacing w:before="0" w:after="0" w:line="276" w:lineRule="auto"/>
        <w:rPr>
          <w:rFonts w:ascii="Arial" w:eastAsia="Calibri" w:hAnsi="Arial" w:cs="Arial"/>
          <w:color w:val="000000"/>
        </w:rPr>
        <w:sectPr w:rsidR="003B0DCC" w:rsidRPr="002A36CE" w:rsidSect="006056D5">
          <w:footerReference w:type="default" r:id="rId37"/>
          <w:type w:val="continuous"/>
          <w:pgSz w:w="11906" w:h="16838" w:code="9"/>
          <w:pgMar w:top="848" w:right="849" w:bottom="993" w:left="1276" w:header="850" w:footer="907" w:gutter="0"/>
          <w:cols w:space="708"/>
          <w:docGrid w:linePitch="360"/>
        </w:sectPr>
      </w:pPr>
    </w:p>
    <w:p w14:paraId="41040AFA" w14:textId="3167F237" w:rsidR="003B0DCC" w:rsidRPr="00620688" w:rsidRDefault="003B0DCC" w:rsidP="00A57659">
      <w:pPr>
        <w:pStyle w:val="Corpodetexto"/>
        <w:tabs>
          <w:tab w:val="clear" w:pos="851"/>
          <w:tab w:val="left" w:pos="0"/>
        </w:tabs>
        <w:spacing w:before="0" w:after="0" w:line="276" w:lineRule="auto"/>
        <w:rPr>
          <w:rFonts w:ascii="Arial" w:eastAsia="Calibri" w:hAnsi="Arial" w:cs="Arial"/>
          <w:color w:val="000000"/>
          <w:sz w:val="14"/>
          <w:szCs w:val="14"/>
        </w:rPr>
      </w:pPr>
    </w:p>
    <w:p w14:paraId="6C416911" w14:textId="777B0B84" w:rsidR="006C0C13" w:rsidRDefault="006C0C13"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A coligada tem como acionistas as empresas Embraer Defesa e Segurança Participações S.A, que detém 51% do capital social e a Telecomunicações Brasileiras S.A com 49% do capital social. O controle da </w:t>
      </w:r>
      <w:r w:rsidR="00F41E51" w:rsidRPr="00EC70EB">
        <w:rPr>
          <w:rFonts w:ascii="Arial" w:eastAsia="Calibri" w:hAnsi="Arial" w:cs="Arial"/>
          <w:color w:val="000000"/>
        </w:rPr>
        <w:t>VISIONA</w:t>
      </w:r>
      <w:r w:rsidRPr="002A36CE">
        <w:rPr>
          <w:rFonts w:ascii="Arial" w:eastAsia="Calibri" w:hAnsi="Arial" w:cs="Arial"/>
          <w:color w:val="000000"/>
        </w:rPr>
        <w:t xml:space="preserve"> é exercido pela Embraer Defesa e Segurança Participações S.A.</w:t>
      </w:r>
    </w:p>
    <w:p w14:paraId="4675BCF7" w14:textId="77777777" w:rsidR="009674D9" w:rsidRPr="00620688" w:rsidRDefault="009674D9" w:rsidP="00A57659">
      <w:pPr>
        <w:pStyle w:val="Corpodetexto"/>
        <w:tabs>
          <w:tab w:val="clear" w:pos="851"/>
          <w:tab w:val="left" w:pos="0"/>
        </w:tabs>
        <w:spacing w:before="0" w:after="0" w:line="276" w:lineRule="auto"/>
        <w:rPr>
          <w:rFonts w:ascii="Arial" w:eastAsia="Calibri" w:hAnsi="Arial" w:cs="Arial"/>
          <w:color w:val="000000"/>
          <w:sz w:val="12"/>
          <w:szCs w:val="12"/>
        </w:rPr>
      </w:pPr>
    </w:p>
    <w:p w14:paraId="1B69A92E" w14:textId="0FEDBE8A" w:rsidR="004024FD" w:rsidRDefault="004024FD" w:rsidP="00A57659">
      <w:pPr>
        <w:pStyle w:val="Corpodetexto"/>
        <w:tabs>
          <w:tab w:val="clear" w:pos="851"/>
          <w:tab w:val="left" w:pos="0"/>
        </w:tabs>
        <w:spacing w:before="0" w:after="0" w:line="276" w:lineRule="auto"/>
        <w:rPr>
          <w:rFonts w:ascii="Arial" w:eastAsia="Calibri" w:hAnsi="Arial" w:cs="Arial"/>
          <w:color w:val="000000"/>
        </w:rPr>
      </w:pPr>
      <w:r w:rsidRPr="002A36CE">
        <w:rPr>
          <w:rFonts w:ascii="Arial" w:eastAsia="Calibri" w:hAnsi="Arial" w:cs="Arial"/>
          <w:color w:val="000000"/>
        </w:rPr>
        <w:t xml:space="preserve">Em </w:t>
      </w:r>
      <w:r w:rsidR="007A7575">
        <w:rPr>
          <w:rFonts w:ascii="Arial" w:eastAsia="Calibri" w:hAnsi="Arial" w:cs="Arial"/>
          <w:color w:val="000000"/>
        </w:rPr>
        <w:t>3</w:t>
      </w:r>
      <w:r w:rsidR="00EE4344">
        <w:rPr>
          <w:rFonts w:ascii="Arial" w:eastAsia="Calibri" w:hAnsi="Arial" w:cs="Arial"/>
          <w:color w:val="000000"/>
        </w:rPr>
        <w:t>1</w:t>
      </w:r>
      <w:r w:rsidR="007A7575">
        <w:rPr>
          <w:rFonts w:ascii="Arial" w:eastAsia="Calibri" w:hAnsi="Arial" w:cs="Arial"/>
          <w:color w:val="000000"/>
        </w:rPr>
        <w:t xml:space="preserve"> de </w:t>
      </w:r>
      <w:r w:rsidR="00BD6EB2">
        <w:rPr>
          <w:rFonts w:ascii="Arial" w:eastAsia="Calibri" w:hAnsi="Arial" w:cs="Arial"/>
          <w:color w:val="000000"/>
        </w:rPr>
        <w:t>março</w:t>
      </w:r>
      <w:r w:rsidRPr="002A36CE">
        <w:rPr>
          <w:rFonts w:ascii="Arial" w:eastAsia="Calibri" w:hAnsi="Arial" w:cs="Arial"/>
          <w:color w:val="000000"/>
        </w:rPr>
        <w:t xml:space="preserve"> de 20</w:t>
      </w:r>
      <w:r w:rsidR="00CE1F70">
        <w:rPr>
          <w:rFonts w:ascii="Arial" w:eastAsia="Calibri" w:hAnsi="Arial" w:cs="Arial"/>
          <w:color w:val="000000"/>
        </w:rPr>
        <w:t>2</w:t>
      </w:r>
      <w:r w:rsidR="00BD6EB2">
        <w:rPr>
          <w:rFonts w:ascii="Arial" w:eastAsia="Calibri" w:hAnsi="Arial" w:cs="Arial"/>
          <w:color w:val="000000"/>
        </w:rPr>
        <w:t>6</w:t>
      </w:r>
      <w:r w:rsidR="00CB7187">
        <w:rPr>
          <w:rFonts w:ascii="Arial" w:eastAsia="Calibri" w:hAnsi="Arial" w:cs="Arial"/>
          <w:color w:val="000000"/>
        </w:rPr>
        <w:t xml:space="preserve"> e dezembro de 202</w:t>
      </w:r>
      <w:r w:rsidR="00BD6EB2">
        <w:rPr>
          <w:rFonts w:ascii="Arial" w:eastAsia="Calibri" w:hAnsi="Arial" w:cs="Arial"/>
          <w:color w:val="000000"/>
        </w:rPr>
        <w:t>5</w:t>
      </w:r>
      <w:r w:rsidR="00A57659" w:rsidRPr="002A36CE">
        <w:rPr>
          <w:rFonts w:ascii="Arial" w:eastAsia="Calibri" w:hAnsi="Arial" w:cs="Arial"/>
          <w:color w:val="000000"/>
        </w:rPr>
        <w:t xml:space="preserve">, o capital social da coligada </w:t>
      </w:r>
      <w:r w:rsidR="00E52206" w:rsidRPr="002A36CE">
        <w:rPr>
          <w:rFonts w:ascii="Arial" w:eastAsia="Calibri" w:hAnsi="Arial" w:cs="Arial"/>
          <w:color w:val="000000"/>
        </w:rPr>
        <w:t>é de</w:t>
      </w:r>
      <w:r w:rsidR="00A57659" w:rsidRPr="002A36CE">
        <w:rPr>
          <w:rFonts w:ascii="Arial" w:eastAsia="Calibri" w:hAnsi="Arial" w:cs="Arial"/>
          <w:color w:val="000000"/>
        </w:rPr>
        <w:t xml:space="preserve"> R$ 75.</w:t>
      </w:r>
      <w:r w:rsidR="00A57659" w:rsidRPr="00D8257D">
        <w:rPr>
          <w:rFonts w:ascii="Arial" w:eastAsia="Calibri" w:hAnsi="Arial" w:cs="Arial"/>
        </w:rPr>
        <w:t>000</w:t>
      </w:r>
      <w:r w:rsidR="00CE5162">
        <w:rPr>
          <w:rFonts w:ascii="Arial" w:eastAsia="Calibri" w:hAnsi="Arial" w:cs="Arial"/>
        </w:rPr>
        <w:t>,</w:t>
      </w:r>
      <w:r w:rsidR="00744110" w:rsidRPr="00D8257D">
        <w:rPr>
          <w:rFonts w:ascii="Arial" w:eastAsia="Calibri" w:hAnsi="Arial" w:cs="Arial"/>
        </w:rPr>
        <w:t xml:space="preserve"> com um total de 75.000.000 </w:t>
      </w:r>
      <w:r w:rsidR="00744110" w:rsidRPr="002A36CE">
        <w:rPr>
          <w:rFonts w:ascii="Arial" w:eastAsia="Calibri" w:hAnsi="Arial" w:cs="Arial"/>
          <w:color w:val="000000"/>
        </w:rPr>
        <w:t xml:space="preserve">de ações ordinárias emitidas. Deste montante, a Telebras detém 36.750.000 </w:t>
      </w:r>
      <w:r w:rsidR="00CA7266">
        <w:rPr>
          <w:rFonts w:ascii="Arial" w:eastAsia="Calibri" w:hAnsi="Arial" w:cs="Arial"/>
          <w:color w:val="000000"/>
        </w:rPr>
        <w:t xml:space="preserve">de </w:t>
      </w:r>
      <w:r w:rsidR="00744110" w:rsidRPr="002A36CE">
        <w:rPr>
          <w:rFonts w:ascii="Arial" w:eastAsia="Calibri" w:hAnsi="Arial" w:cs="Arial"/>
          <w:color w:val="000000"/>
        </w:rPr>
        <w:t>ações.</w:t>
      </w:r>
    </w:p>
    <w:p w14:paraId="27289D93" w14:textId="77777777" w:rsidR="00352F14" w:rsidRDefault="00352F14" w:rsidP="00A57659">
      <w:pPr>
        <w:pStyle w:val="Corpodetexto"/>
        <w:tabs>
          <w:tab w:val="clear" w:pos="851"/>
          <w:tab w:val="left" w:pos="0"/>
        </w:tabs>
        <w:spacing w:before="0" w:after="0" w:line="276" w:lineRule="auto"/>
        <w:rPr>
          <w:rFonts w:ascii="Arial" w:eastAsia="Calibri" w:hAnsi="Arial" w:cs="Arial"/>
          <w:color w:val="000000"/>
        </w:rPr>
      </w:pPr>
    </w:p>
    <w:p w14:paraId="000E540E" w14:textId="77777777" w:rsidR="00352F14" w:rsidRDefault="00352F14" w:rsidP="00A57659">
      <w:pPr>
        <w:pStyle w:val="Corpodetexto"/>
        <w:tabs>
          <w:tab w:val="clear" w:pos="851"/>
          <w:tab w:val="left" w:pos="0"/>
        </w:tabs>
        <w:spacing w:before="0" w:after="0" w:line="276" w:lineRule="auto"/>
        <w:rPr>
          <w:rFonts w:ascii="Arial" w:eastAsia="Calibri" w:hAnsi="Arial" w:cs="Arial"/>
          <w:color w:val="000000"/>
        </w:rPr>
      </w:pPr>
    </w:p>
    <w:p w14:paraId="6DE04C8B" w14:textId="77777777" w:rsidR="00352F14" w:rsidRDefault="00352F14" w:rsidP="00A57659">
      <w:pPr>
        <w:pStyle w:val="Corpodetexto"/>
        <w:tabs>
          <w:tab w:val="clear" w:pos="851"/>
          <w:tab w:val="left" w:pos="0"/>
        </w:tabs>
        <w:spacing w:before="0" w:after="0" w:line="276" w:lineRule="auto"/>
        <w:rPr>
          <w:rFonts w:ascii="Arial" w:eastAsia="Calibri" w:hAnsi="Arial" w:cs="Arial"/>
          <w:color w:val="000000"/>
        </w:rPr>
      </w:pPr>
    </w:p>
    <w:p w14:paraId="2ECA5412" w14:textId="77777777" w:rsidR="00AD10D3" w:rsidRPr="00940142" w:rsidRDefault="00AD10D3" w:rsidP="00A57659">
      <w:pPr>
        <w:pStyle w:val="Corpodetexto"/>
        <w:tabs>
          <w:tab w:val="clear" w:pos="851"/>
          <w:tab w:val="left" w:pos="0"/>
        </w:tabs>
        <w:spacing w:before="0" w:after="0" w:line="276" w:lineRule="auto"/>
        <w:rPr>
          <w:rFonts w:ascii="Arial" w:eastAsia="Calibri" w:hAnsi="Arial" w:cs="Arial"/>
          <w:color w:val="000000"/>
          <w:sz w:val="14"/>
          <w:szCs w:val="14"/>
        </w:rPr>
      </w:pPr>
    </w:p>
    <w:p w14:paraId="49727281" w14:textId="4C9EF117" w:rsidR="00EE4F13" w:rsidRPr="002A36CE" w:rsidRDefault="00EE4F13" w:rsidP="009541E1">
      <w:pPr>
        <w:pStyle w:val="Ttulo2"/>
        <w:numPr>
          <w:ilvl w:val="1"/>
          <w:numId w:val="7"/>
        </w:numPr>
        <w:tabs>
          <w:tab w:val="clear" w:pos="284"/>
          <w:tab w:val="clear" w:pos="340"/>
          <w:tab w:val="left" w:pos="9639"/>
        </w:tabs>
        <w:spacing w:before="0" w:after="0"/>
        <w:ind w:left="851" w:hanging="851"/>
        <w:jc w:val="both"/>
        <w:rPr>
          <w:rFonts w:ascii="Arial" w:hAnsi="Arial" w:cs="Arial"/>
        </w:rPr>
      </w:pPr>
      <w:bookmarkStart w:id="27" w:name="_Toc491337726"/>
      <w:r w:rsidRPr="002A36CE">
        <w:rPr>
          <w:rFonts w:ascii="Arial" w:hAnsi="Arial" w:cs="Arial"/>
        </w:rPr>
        <w:lastRenderedPageBreak/>
        <w:t>Investimentos avaliados pelo método de equivalência patrimonial</w:t>
      </w:r>
      <w:bookmarkEnd w:id="27"/>
    </w:p>
    <w:p w14:paraId="5380D817" w14:textId="77777777" w:rsidR="00A379A8" w:rsidRPr="005B1233" w:rsidRDefault="00A379A8" w:rsidP="000424A3">
      <w:pPr>
        <w:rPr>
          <w:sz w:val="18"/>
          <w:szCs w:val="1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6"/>
        <w:gridCol w:w="1146"/>
        <w:gridCol w:w="990"/>
        <w:gridCol w:w="1109"/>
        <w:gridCol w:w="1109"/>
        <w:gridCol w:w="1017"/>
        <w:gridCol w:w="953"/>
        <w:gridCol w:w="951"/>
      </w:tblGrid>
      <w:tr w:rsidR="00E5109C" w:rsidRPr="00353879" w14:paraId="677CBF73" w14:textId="77777777" w:rsidTr="00EF35B1">
        <w:trPr>
          <w:trHeight w:val="264"/>
        </w:trPr>
        <w:tc>
          <w:tcPr>
            <w:tcW w:w="1281" w:type="pct"/>
            <w:vMerge w:val="restart"/>
            <w:shd w:val="clear" w:color="000000" w:fill="D9D9D9"/>
            <w:vAlign w:val="center"/>
            <w:hideMark/>
          </w:tcPr>
          <w:p w14:paraId="73178509" w14:textId="77777777" w:rsidR="00E5109C" w:rsidRPr="00353879" w:rsidRDefault="00E5109C" w:rsidP="00E5109C">
            <w:pPr>
              <w:rPr>
                <w:rFonts w:ascii="Arial" w:hAnsi="Arial" w:cs="Arial"/>
                <w:b/>
                <w:bCs/>
                <w:color w:val="000000"/>
                <w:sz w:val="16"/>
                <w:szCs w:val="16"/>
              </w:rPr>
            </w:pPr>
            <w:r w:rsidRPr="00353879">
              <w:rPr>
                <w:rFonts w:ascii="Arial" w:hAnsi="Arial" w:cs="Arial"/>
                <w:b/>
                <w:bCs/>
                <w:color w:val="000000"/>
                <w:sz w:val="16"/>
                <w:szCs w:val="16"/>
              </w:rPr>
              <w:t>Investida:</w:t>
            </w:r>
          </w:p>
        </w:tc>
        <w:tc>
          <w:tcPr>
            <w:tcW w:w="586" w:type="pct"/>
            <w:vMerge w:val="restart"/>
            <w:vAlign w:val="center"/>
            <w:hideMark/>
          </w:tcPr>
          <w:p w14:paraId="6857AB25" w14:textId="77777777" w:rsidR="00E5109C" w:rsidRPr="00353879" w:rsidRDefault="00E5109C" w:rsidP="00E5109C">
            <w:pPr>
              <w:jc w:val="center"/>
              <w:rPr>
                <w:rFonts w:ascii="Arial" w:hAnsi="Arial" w:cs="Arial"/>
                <w:b/>
                <w:bCs/>
                <w:color w:val="000000"/>
                <w:sz w:val="16"/>
                <w:szCs w:val="16"/>
              </w:rPr>
            </w:pPr>
            <w:r w:rsidRPr="00353879">
              <w:rPr>
                <w:rFonts w:ascii="Arial" w:hAnsi="Arial" w:cs="Arial"/>
                <w:b/>
                <w:bCs/>
                <w:color w:val="000000"/>
                <w:sz w:val="16"/>
                <w:szCs w:val="16"/>
              </w:rPr>
              <w:t xml:space="preserve"> Capital Social Integralizado </w:t>
            </w:r>
          </w:p>
        </w:tc>
        <w:tc>
          <w:tcPr>
            <w:tcW w:w="506" w:type="pct"/>
            <w:vMerge w:val="restart"/>
            <w:vAlign w:val="center"/>
            <w:hideMark/>
          </w:tcPr>
          <w:p w14:paraId="064D9478" w14:textId="77777777" w:rsidR="00E5109C" w:rsidRPr="00353879" w:rsidRDefault="00E5109C" w:rsidP="00E5109C">
            <w:pPr>
              <w:jc w:val="center"/>
              <w:rPr>
                <w:rFonts w:ascii="Arial" w:hAnsi="Arial" w:cs="Arial"/>
                <w:b/>
                <w:bCs/>
                <w:color w:val="000000"/>
                <w:sz w:val="16"/>
                <w:szCs w:val="16"/>
              </w:rPr>
            </w:pPr>
            <w:r w:rsidRPr="00353879">
              <w:rPr>
                <w:rFonts w:ascii="Arial" w:hAnsi="Arial" w:cs="Arial"/>
                <w:b/>
                <w:bCs/>
                <w:color w:val="000000"/>
                <w:sz w:val="16"/>
                <w:szCs w:val="16"/>
              </w:rPr>
              <w:t xml:space="preserve"> Patrimônio Líquido </w:t>
            </w:r>
          </w:p>
        </w:tc>
        <w:tc>
          <w:tcPr>
            <w:tcW w:w="567" w:type="pct"/>
            <w:vMerge w:val="restart"/>
            <w:vAlign w:val="center"/>
            <w:hideMark/>
          </w:tcPr>
          <w:p w14:paraId="694573E4" w14:textId="77777777" w:rsidR="00E5109C" w:rsidRPr="00353879" w:rsidRDefault="00E5109C" w:rsidP="00E5109C">
            <w:pPr>
              <w:jc w:val="center"/>
              <w:rPr>
                <w:rFonts w:ascii="Arial" w:hAnsi="Arial" w:cs="Arial"/>
                <w:b/>
                <w:bCs/>
                <w:color w:val="000000"/>
                <w:sz w:val="16"/>
                <w:szCs w:val="16"/>
              </w:rPr>
            </w:pPr>
            <w:r w:rsidRPr="00353879">
              <w:rPr>
                <w:rFonts w:ascii="Arial" w:hAnsi="Arial" w:cs="Arial"/>
                <w:b/>
                <w:bCs/>
                <w:color w:val="000000"/>
                <w:sz w:val="16"/>
                <w:szCs w:val="16"/>
              </w:rPr>
              <w:t xml:space="preserve"> Participação no Capital Social (%) </w:t>
            </w:r>
          </w:p>
        </w:tc>
        <w:tc>
          <w:tcPr>
            <w:tcW w:w="567" w:type="pct"/>
            <w:vMerge w:val="restart"/>
            <w:vAlign w:val="center"/>
            <w:hideMark/>
          </w:tcPr>
          <w:p w14:paraId="287BE9CA" w14:textId="77777777" w:rsidR="00E5109C" w:rsidRPr="00353879" w:rsidRDefault="00E5109C" w:rsidP="00E5109C">
            <w:pPr>
              <w:jc w:val="center"/>
              <w:rPr>
                <w:rFonts w:ascii="Arial" w:hAnsi="Arial" w:cs="Arial"/>
                <w:b/>
                <w:bCs/>
                <w:color w:val="000000"/>
                <w:sz w:val="16"/>
                <w:szCs w:val="16"/>
              </w:rPr>
            </w:pPr>
            <w:r w:rsidRPr="00353879">
              <w:rPr>
                <w:rFonts w:ascii="Arial" w:hAnsi="Arial" w:cs="Arial"/>
                <w:b/>
                <w:bCs/>
                <w:color w:val="000000"/>
                <w:sz w:val="16"/>
                <w:szCs w:val="16"/>
              </w:rPr>
              <w:t xml:space="preserve"> Participação nas Ações Ordinárias (%) </w:t>
            </w:r>
          </w:p>
        </w:tc>
        <w:tc>
          <w:tcPr>
            <w:tcW w:w="520" w:type="pct"/>
            <w:vMerge w:val="restart"/>
            <w:vAlign w:val="center"/>
            <w:hideMark/>
          </w:tcPr>
          <w:p w14:paraId="34C4BCCE" w14:textId="77777777" w:rsidR="00E5109C" w:rsidRPr="00353879" w:rsidRDefault="00E5109C" w:rsidP="00E5109C">
            <w:pPr>
              <w:jc w:val="center"/>
              <w:rPr>
                <w:rFonts w:ascii="Arial" w:hAnsi="Arial" w:cs="Arial"/>
                <w:b/>
                <w:bCs/>
                <w:color w:val="000000"/>
                <w:sz w:val="16"/>
                <w:szCs w:val="16"/>
              </w:rPr>
            </w:pPr>
            <w:r w:rsidRPr="00353879">
              <w:rPr>
                <w:rFonts w:ascii="Arial" w:hAnsi="Arial" w:cs="Arial"/>
                <w:b/>
                <w:bCs/>
                <w:color w:val="000000"/>
                <w:sz w:val="16"/>
                <w:szCs w:val="16"/>
              </w:rPr>
              <w:t xml:space="preserve"> Número de Ações Detidas pela TELEBRAS</w:t>
            </w:r>
          </w:p>
        </w:tc>
        <w:tc>
          <w:tcPr>
            <w:tcW w:w="973" w:type="pct"/>
            <w:gridSpan w:val="2"/>
            <w:noWrap/>
            <w:vAlign w:val="center"/>
            <w:hideMark/>
          </w:tcPr>
          <w:p w14:paraId="7A8BFD2E" w14:textId="77777777" w:rsidR="00E5109C" w:rsidRPr="00353879" w:rsidRDefault="00E5109C" w:rsidP="00E5109C">
            <w:pPr>
              <w:jc w:val="center"/>
              <w:rPr>
                <w:rFonts w:ascii="Arial" w:hAnsi="Arial" w:cs="Arial"/>
                <w:b/>
                <w:bCs/>
                <w:color w:val="000000"/>
                <w:sz w:val="16"/>
                <w:szCs w:val="16"/>
              </w:rPr>
            </w:pPr>
            <w:r w:rsidRPr="00353879">
              <w:rPr>
                <w:rFonts w:ascii="Arial" w:hAnsi="Arial" w:cs="Arial"/>
                <w:b/>
                <w:bCs/>
                <w:color w:val="000000"/>
                <w:sz w:val="16"/>
                <w:szCs w:val="16"/>
              </w:rPr>
              <w:t>Valor Contábil</w:t>
            </w:r>
          </w:p>
        </w:tc>
      </w:tr>
      <w:tr w:rsidR="00E5109C" w:rsidRPr="00353879" w14:paraId="5E30C3FA" w14:textId="77777777" w:rsidTr="00EF35B1">
        <w:trPr>
          <w:trHeight w:val="264"/>
        </w:trPr>
        <w:tc>
          <w:tcPr>
            <w:tcW w:w="1281" w:type="pct"/>
            <w:vMerge/>
            <w:vAlign w:val="center"/>
            <w:hideMark/>
          </w:tcPr>
          <w:p w14:paraId="37C994CA" w14:textId="77777777" w:rsidR="00E5109C" w:rsidRPr="00353879" w:rsidRDefault="00E5109C" w:rsidP="00E5109C">
            <w:pPr>
              <w:rPr>
                <w:rFonts w:ascii="Arial" w:hAnsi="Arial" w:cs="Arial"/>
                <w:b/>
                <w:bCs/>
                <w:color w:val="000000"/>
                <w:sz w:val="16"/>
                <w:szCs w:val="16"/>
              </w:rPr>
            </w:pPr>
          </w:p>
        </w:tc>
        <w:tc>
          <w:tcPr>
            <w:tcW w:w="586" w:type="pct"/>
            <w:vMerge/>
            <w:vAlign w:val="center"/>
            <w:hideMark/>
          </w:tcPr>
          <w:p w14:paraId="4B5DE672" w14:textId="77777777" w:rsidR="00E5109C" w:rsidRPr="00353879" w:rsidRDefault="00E5109C" w:rsidP="00E5109C">
            <w:pPr>
              <w:rPr>
                <w:rFonts w:ascii="Arial" w:hAnsi="Arial" w:cs="Arial"/>
                <w:b/>
                <w:bCs/>
                <w:color w:val="000000"/>
                <w:sz w:val="16"/>
                <w:szCs w:val="16"/>
              </w:rPr>
            </w:pPr>
          </w:p>
        </w:tc>
        <w:tc>
          <w:tcPr>
            <w:tcW w:w="506" w:type="pct"/>
            <w:vMerge/>
            <w:vAlign w:val="center"/>
            <w:hideMark/>
          </w:tcPr>
          <w:p w14:paraId="6C5E6DD1" w14:textId="77777777" w:rsidR="00E5109C" w:rsidRPr="00353879" w:rsidRDefault="00E5109C" w:rsidP="00E5109C">
            <w:pPr>
              <w:rPr>
                <w:rFonts w:ascii="Arial" w:hAnsi="Arial" w:cs="Arial"/>
                <w:b/>
                <w:bCs/>
                <w:color w:val="000000"/>
                <w:sz w:val="16"/>
                <w:szCs w:val="16"/>
              </w:rPr>
            </w:pPr>
          </w:p>
        </w:tc>
        <w:tc>
          <w:tcPr>
            <w:tcW w:w="567" w:type="pct"/>
            <w:vMerge/>
            <w:vAlign w:val="center"/>
            <w:hideMark/>
          </w:tcPr>
          <w:p w14:paraId="7DA7D2EC" w14:textId="77777777" w:rsidR="00E5109C" w:rsidRPr="00353879" w:rsidRDefault="00E5109C" w:rsidP="00E5109C">
            <w:pPr>
              <w:rPr>
                <w:rFonts w:ascii="Arial" w:hAnsi="Arial" w:cs="Arial"/>
                <w:b/>
                <w:bCs/>
                <w:color w:val="000000"/>
                <w:sz w:val="16"/>
                <w:szCs w:val="16"/>
              </w:rPr>
            </w:pPr>
          </w:p>
        </w:tc>
        <w:tc>
          <w:tcPr>
            <w:tcW w:w="567" w:type="pct"/>
            <w:vMerge/>
            <w:vAlign w:val="center"/>
            <w:hideMark/>
          </w:tcPr>
          <w:p w14:paraId="2A53AC6F" w14:textId="77777777" w:rsidR="00E5109C" w:rsidRPr="00353879" w:rsidRDefault="00E5109C" w:rsidP="00E5109C">
            <w:pPr>
              <w:rPr>
                <w:rFonts w:ascii="Arial" w:hAnsi="Arial" w:cs="Arial"/>
                <w:b/>
                <w:bCs/>
                <w:color w:val="000000"/>
                <w:sz w:val="16"/>
                <w:szCs w:val="16"/>
              </w:rPr>
            </w:pPr>
          </w:p>
        </w:tc>
        <w:tc>
          <w:tcPr>
            <w:tcW w:w="520" w:type="pct"/>
            <w:vMerge/>
            <w:vAlign w:val="center"/>
            <w:hideMark/>
          </w:tcPr>
          <w:p w14:paraId="670AEC2C" w14:textId="77777777" w:rsidR="00E5109C" w:rsidRPr="00353879" w:rsidRDefault="00E5109C" w:rsidP="00E5109C">
            <w:pPr>
              <w:rPr>
                <w:rFonts w:ascii="Arial" w:hAnsi="Arial" w:cs="Arial"/>
                <w:b/>
                <w:bCs/>
                <w:color w:val="000000"/>
                <w:sz w:val="16"/>
                <w:szCs w:val="16"/>
              </w:rPr>
            </w:pPr>
          </w:p>
        </w:tc>
        <w:tc>
          <w:tcPr>
            <w:tcW w:w="487" w:type="pct"/>
            <w:noWrap/>
            <w:vAlign w:val="center"/>
            <w:hideMark/>
          </w:tcPr>
          <w:p w14:paraId="291349A0" w14:textId="16A49EAF" w:rsidR="00E5109C" w:rsidRPr="00353879" w:rsidRDefault="00641453" w:rsidP="00395F60">
            <w:pPr>
              <w:jc w:val="center"/>
              <w:rPr>
                <w:rFonts w:ascii="Arial" w:hAnsi="Arial" w:cs="Arial"/>
                <w:b/>
                <w:bCs/>
                <w:color w:val="000000"/>
                <w:sz w:val="16"/>
                <w:szCs w:val="16"/>
              </w:rPr>
            </w:pPr>
            <w:r w:rsidRPr="00353879">
              <w:rPr>
                <w:rFonts w:ascii="Arial" w:hAnsi="Arial" w:cs="Arial"/>
                <w:b/>
                <w:bCs/>
                <w:color w:val="000000"/>
                <w:sz w:val="16"/>
                <w:szCs w:val="16"/>
              </w:rPr>
              <w:t>3</w:t>
            </w:r>
            <w:r w:rsidR="00E84D77" w:rsidRPr="00353879">
              <w:rPr>
                <w:rFonts w:ascii="Arial" w:hAnsi="Arial" w:cs="Arial"/>
                <w:b/>
                <w:bCs/>
                <w:color w:val="000000"/>
                <w:sz w:val="16"/>
                <w:szCs w:val="16"/>
              </w:rPr>
              <w:t>1</w:t>
            </w:r>
            <w:r w:rsidRPr="00353879">
              <w:rPr>
                <w:rFonts w:ascii="Arial" w:hAnsi="Arial" w:cs="Arial"/>
                <w:b/>
                <w:bCs/>
                <w:color w:val="000000"/>
                <w:sz w:val="16"/>
                <w:szCs w:val="16"/>
              </w:rPr>
              <w:t>/</w:t>
            </w:r>
            <w:r w:rsidR="00B536A4" w:rsidRPr="00353879">
              <w:rPr>
                <w:rFonts w:ascii="Arial" w:hAnsi="Arial" w:cs="Arial"/>
                <w:b/>
                <w:bCs/>
                <w:color w:val="000000"/>
                <w:sz w:val="16"/>
                <w:szCs w:val="16"/>
              </w:rPr>
              <w:t>03</w:t>
            </w:r>
            <w:r w:rsidRPr="00353879">
              <w:rPr>
                <w:rFonts w:ascii="Arial" w:hAnsi="Arial" w:cs="Arial"/>
                <w:b/>
                <w:bCs/>
                <w:color w:val="000000"/>
                <w:sz w:val="16"/>
                <w:szCs w:val="16"/>
              </w:rPr>
              <w:t>/202</w:t>
            </w:r>
            <w:r w:rsidR="00B536A4" w:rsidRPr="00353879">
              <w:rPr>
                <w:rFonts w:ascii="Arial" w:hAnsi="Arial" w:cs="Arial"/>
                <w:b/>
                <w:bCs/>
                <w:color w:val="000000"/>
                <w:sz w:val="16"/>
                <w:szCs w:val="16"/>
              </w:rPr>
              <w:t>6</w:t>
            </w:r>
          </w:p>
        </w:tc>
        <w:tc>
          <w:tcPr>
            <w:tcW w:w="486" w:type="pct"/>
            <w:noWrap/>
            <w:vAlign w:val="center"/>
            <w:hideMark/>
          </w:tcPr>
          <w:p w14:paraId="63FC3958" w14:textId="151B4B38" w:rsidR="00E5109C" w:rsidRPr="00353879" w:rsidRDefault="00E5109C" w:rsidP="00A379A8">
            <w:pPr>
              <w:jc w:val="center"/>
              <w:rPr>
                <w:rFonts w:ascii="Arial" w:hAnsi="Arial" w:cs="Arial"/>
                <w:b/>
                <w:bCs/>
                <w:color w:val="000000"/>
                <w:sz w:val="16"/>
                <w:szCs w:val="16"/>
              </w:rPr>
            </w:pPr>
            <w:r w:rsidRPr="00353879">
              <w:rPr>
                <w:rFonts w:ascii="Arial" w:hAnsi="Arial" w:cs="Arial"/>
                <w:b/>
                <w:bCs/>
                <w:color w:val="000000"/>
                <w:sz w:val="16"/>
                <w:szCs w:val="16"/>
              </w:rPr>
              <w:t>31/12/202</w:t>
            </w:r>
            <w:r w:rsidR="00B536A4" w:rsidRPr="00353879">
              <w:rPr>
                <w:rFonts w:ascii="Arial" w:hAnsi="Arial" w:cs="Arial"/>
                <w:b/>
                <w:bCs/>
                <w:color w:val="000000"/>
                <w:sz w:val="16"/>
                <w:szCs w:val="16"/>
              </w:rPr>
              <w:t>5</w:t>
            </w:r>
          </w:p>
        </w:tc>
      </w:tr>
      <w:tr w:rsidR="00B536A4" w:rsidRPr="00353879" w14:paraId="2C99848E" w14:textId="77777777" w:rsidTr="00EF35B1">
        <w:trPr>
          <w:trHeight w:val="264"/>
        </w:trPr>
        <w:tc>
          <w:tcPr>
            <w:tcW w:w="1281" w:type="pct"/>
            <w:noWrap/>
            <w:vAlign w:val="center"/>
            <w:hideMark/>
          </w:tcPr>
          <w:p w14:paraId="0FDB33F3" w14:textId="77777777" w:rsidR="00B536A4" w:rsidRPr="00353879" w:rsidRDefault="00B536A4" w:rsidP="00B536A4">
            <w:pPr>
              <w:rPr>
                <w:rFonts w:ascii="Arial" w:hAnsi="Arial" w:cs="Arial"/>
                <w:color w:val="000000"/>
                <w:sz w:val="16"/>
                <w:szCs w:val="16"/>
              </w:rPr>
            </w:pPr>
            <w:r w:rsidRPr="00353879">
              <w:rPr>
                <w:rFonts w:ascii="Arial" w:hAnsi="Arial" w:cs="Arial"/>
                <w:color w:val="000000"/>
                <w:sz w:val="16"/>
                <w:szCs w:val="16"/>
              </w:rPr>
              <w:t>Visiona Tecnologia Espacial S.A</w:t>
            </w:r>
          </w:p>
        </w:tc>
        <w:tc>
          <w:tcPr>
            <w:tcW w:w="586" w:type="pct"/>
            <w:noWrap/>
            <w:vAlign w:val="center"/>
            <w:hideMark/>
          </w:tcPr>
          <w:p w14:paraId="6764BADB"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75.000</w:t>
            </w:r>
          </w:p>
        </w:tc>
        <w:tc>
          <w:tcPr>
            <w:tcW w:w="506" w:type="pct"/>
            <w:noWrap/>
            <w:vAlign w:val="center"/>
            <w:hideMark/>
          </w:tcPr>
          <w:p w14:paraId="1E614BA3" w14:textId="4B9E7684"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154.102</w:t>
            </w:r>
          </w:p>
        </w:tc>
        <w:tc>
          <w:tcPr>
            <w:tcW w:w="567" w:type="pct"/>
            <w:noWrap/>
            <w:vAlign w:val="center"/>
            <w:hideMark/>
          </w:tcPr>
          <w:p w14:paraId="159F6B28"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49,00</w:t>
            </w:r>
          </w:p>
        </w:tc>
        <w:tc>
          <w:tcPr>
            <w:tcW w:w="567" w:type="pct"/>
            <w:noWrap/>
            <w:vAlign w:val="center"/>
            <w:hideMark/>
          </w:tcPr>
          <w:p w14:paraId="1FDEA730"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49,00</w:t>
            </w:r>
          </w:p>
        </w:tc>
        <w:tc>
          <w:tcPr>
            <w:tcW w:w="520" w:type="pct"/>
            <w:noWrap/>
            <w:vAlign w:val="center"/>
            <w:hideMark/>
          </w:tcPr>
          <w:p w14:paraId="3BC0A51E"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36.750.000</w:t>
            </w:r>
          </w:p>
        </w:tc>
        <w:tc>
          <w:tcPr>
            <w:tcW w:w="487" w:type="pct"/>
            <w:noWrap/>
            <w:vAlign w:val="center"/>
            <w:hideMark/>
          </w:tcPr>
          <w:p w14:paraId="688B5114" w14:textId="4688CE31" w:rsidR="00B536A4" w:rsidRPr="00353879" w:rsidRDefault="00353879" w:rsidP="00B536A4">
            <w:pPr>
              <w:jc w:val="right"/>
              <w:rPr>
                <w:rFonts w:ascii="Arial" w:hAnsi="Arial" w:cs="Arial"/>
                <w:color w:val="000000"/>
                <w:sz w:val="16"/>
                <w:szCs w:val="16"/>
              </w:rPr>
            </w:pPr>
            <w:r>
              <w:rPr>
                <w:rFonts w:ascii="Arial" w:hAnsi="Arial" w:cs="Arial"/>
                <w:color w:val="000000"/>
                <w:sz w:val="16"/>
                <w:szCs w:val="16"/>
              </w:rPr>
              <w:t>75.510</w:t>
            </w:r>
          </w:p>
        </w:tc>
        <w:tc>
          <w:tcPr>
            <w:tcW w:w="486" w:type="pct"/>
            <w:noWrap/>
            <w:vAlign w:val="center"/>
            <w:hideMark/>
          </w:tcPr>
          <w:p w14:paraId="43B25CA8" w14:textId="4FCC1B22"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76.332</w:t>
            </w:r>
          </w:p>
        </w:tc>
      </w:tr>
      <w:tr w:rsidR="00B536A4" w:rsidRPr="00E5109C" w14:paraId="5DB553C2" w14:textId="77777777" w:rsidTr="00EF35B1">
        <w:trPr>
          <w:trHeight w:val="264"/>
        </w:trPr>
        <w:tc>
          <w:tcPr>
            <w:tcW w:w="1281" w:type="pct"/>
            <w:noWrap/>
            <w:vAlign w:val="center"/>
            <w:hideMark/>
          </w:tcPr>
          <w:p w14:paraId="187F082A" w14:textId="77777777" w:rsidR="00B536A4" w:rsidRPr="00353879" w:rsidRDefault="00B536A4" w:rsidP="00B536A4">
            <w:pPr>
              <w:rPr>
                <w:rFonts w:ascii="Arial" w:hAnsi="Arial" w:cs="Arial"/>
                <w:b/>
                <w:bCs/>
                <w:color w:val="000000"/>
                <w:sz w:val="16"/>
                <w:szCs w:val="16"/>
              </w:rPr>
            </w:pPr>
            <w:r w:rsidRPr="00353879">
              <w:rPr>
                <w:rFonts w:ascii="Arial" w:hAnsi="Arial" w:cs="Arial"/>
                <w:b/>
                <w:bCs/>
                <w:color w:val="000000"/>
                <w:sz w:val="16"/>
                <w:szCs w:val="16"/>
              </w:rPr>
              <w:t>Total</w:t>
            </w:r>
          </w:p>
        </w:tc>
        <w:tc>
          <w:tcPr>
            <w:tcW w:w="586" w:type="pct"/>
            <w:shd w:val="clear" w:color="000000" w:fill="D9D9D9"/>
            <w:noWrap/>
            <w:vAlign w:val="center"/>
            <w:hideMark/>
          </w:tcPr>
          <w:p w14:paraId="5C68FF29"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 </w:t>
            </w:r>
          </w:p>
        </w:tc>
        <w:tc>
          <w:tcPr>
            <w:tcW w:w="506" w:type="pct"/>
            <w:shd w:val="clear" w:color="000000" w:fill="D9D9D9"/>
            <w:noWrap/>
            <w:vAlign w:val="center"/>
            <w:hideMark/>
          </w:tcPr>
          <w:p w14:paraId="4311A1CF"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 </w:t>
            </w:r>
          </w:p>
        </w:tc>
        <w:tc>
          <w:tcPr>
            <w:tcW w:w="567" w:type="pct"/>
            <w:shd w:val="clear" w:color="000000" w:fill="D9D9D9"/>
            <w:noWrap/>
            <w:vAlign w:val="center"/>
            <w:hideMark/>
          </w:tcPr>
          <w:p w14:paraId="16795AD8"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 </w:t>
            </w:r>
          </w:p>
        </w:tc>
        <w:tc>
          <w:tcPr>
            <w:tcW w:w="567" w:type="pct"/>
            <w:shd w:val="clear" w:color="000000" w:fill="D9D9D9"/>
            <w:noWrap/>
            <w:vAlign w:val="center"/>
            <w:hideMark/>
          </w:tcPr>
          <w:p w14:paraId="489EBF60"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 </w:t>
            </w:r>
          </w:p>
        </w:tc>
        <w:tc>
          <w:tcPr>
            <w:tcW w:w="520" w:type="pct"/>
            <w:shd w:val="clear" w:color="000000" w:fill="D9D9D9"/>
            <w:noWrap/>
            <w:vAlign w:val="center"/>
            <w:hideMark/>
          </w:tcPr>
          <w:p w14:paraId="0D20947A" w14:textId="77777777" w:rsidR="00B536A4" w:rsidRPr="00353879" w:rsidRDefault="00B536A4" w:rsidP="00B536A4">
            <w:pPr>
              <w:jc w:val="right"/>
              <w:rPr>
                <w:rFonts w:ascii="Arial" w:hAnsi="Arial" w:cs="Arial"/>
                <w:color w:val="000000"/>
                <w:sz w:val="16"/>
                <w:szCs w:val="16"/>
              </w:rPr>
            </w:pPr>
            <w:r w:rsidRPr="00353879">
              <w:rPr>
                <w:rFonts w:ascii="Arial" w:hAnsi="Arial" w:cs="Arial"/>
                <w:color w:val="000000"/>
                <w:sz w:val="16"/>
                <w:szCs w:val="16"/>
              </w:rPr>
              <w:t> </w:t>
            </w:r>
          </w:p>
        </w:tc>
        <w:tc>
          <w:tcPr>
            <w:tcW w:w="487" w:type="pct"/>
            <w:noWrap/>
            <w:vAlign w:val="center"/>
            <w:hideMark/>
          </w:tcPr>
          <w:p w14:paraId="35ECD48D" w14:textId="1998766A" w:rsidR="00B536A4" w:rsidRPr="00353879" w:rsidRDefault="00353879" w:rsidP="00B536A4">
            <w:pPr>
              <w:jc w:val="right"/>
              <w:rPr>
                <w:rFonts w:ascii="Arial" w:hAnsi="Arial" w:cs="Arial"/>
                <w:b/>
                <w:bCs/>
                <w:color w:val="000000"/>
                <w:sz w:val="16"/>
                <w:szCs w:val="16"/>
              </w:rPr>
            </w:pPr>
            <w:r>
              <w:rPr>
                <w:rFonts w:ascii="Arial" w:hAnsi="Arial" w:cs="Arial"/>
                <w:b/>
                <w:bCs/>
                <w:color w:val="000000"/>
                <w:sz w:val="16"/>
                <w:szCs w:val="16"/>
              </w:rPr>
              <w:t>75.510</w:t>
            </w:r>
          </w:p>
        </w:tc>
        <w:tc>
          <w:tcPr>
            <w:tcW w:w="486" w:type="pct"/>
            <w:noWrap/>
            <w:vAlign w:val="center"/>
            <w:hideMark/>
          </w:tcPr>
          <w:p w14:paraId="59A302F5" w14:textId="18927102" w:rsidR="00B536A4" w:rsidRPr="00E14D5B" w:rsidRDefault="00B536A4" w:rsidP="00B536A4">
            <w:pPr>
              <w:jc w:val="right"/>
              <w:rPr>
                <w:rFonts w:ascii="Arial" w:hAnsi="Arial" w:cs="Arial"/>
                <w:b/>
                <w:bCs/>
                <w:color w:val="000000"/>
                <w:sz w:val="16"/>
                <w:szCs w:val="16"/>
              </w:rPr>
            </w:pPr>
            <w:r w:rsidRPr="00353879">
              <w:rPr>
                <w:rFonts w:ascii="Arial" w:hAnsi="Arial" w:cs="Arial"/>
                <w:b/>
                <w:bCs/>
                <w:color w:val="000000"/>
                <w:sz w:val="16"/>
                <w:szCs w:val="16"/>
              </w:rPr>
              <w:t>76.332</w:t>
            </w:r>
          </w:p>
        </w:tc>
      </w:tr>
    </w:tbl>
    <w:p w14:paraId="5DCB6FFD" w14:textId="77777777" w:rsidR="00DC10A9" w:rsidRDefault="00DC10A9" w:rsidP="00814926">
      <w:pPr>
        <w:pStyle w:val="Corpodetexto"/>
        <w:tabs>
          <w:tab w:val="clear" w:pos="851"/>
          <w:tab w:val="left" w:pos="0"/>
        </w:tabs>
        <w:spacing w:before="0" w:after="0" w:line="276" w:lineRule="auto"/>
        <w:rPr>
          <w:rFonts w:ascii="Arial" w:eastAsia="Calibri" w:hAnsi="Arial" w:cs="Arial"/>
          <w:color w:val="000000"/>
        </w:rPr>
      </w:pPr>
    </w:p>
    <w:p w14:paraId="29E89AE0" w14:textId="4CF31799" w:rsidR="00814926" w:rsidRDefault="00814926" w:rsidP="00814926">
      <w:pPr>
        <w:pStyle w:val="Ttulo2"/>
        <w:numPr>
          <w:ilvl w:val="1"/>
          <w:numId w:val="7"/>
        </w:numPr>
        <w:tabs>
          <w:tab w:val="clear" w:pos="284"/>
          <w:tab w:val="clear" w:pos="340"/>
          <w:tab w:val="left" w:pos="9639"/>
        </w:tabs>
        <w:spacing w:before="0" w:after="0"/>
        <w:ind w:left="851" w:hanging="851"/>
        <w:jc w:val="both"/>
        <w:rPr>
          <w:rFonts w:ascii="Arial" w:hAnsi="Arial" w:cs="Arial"/>
        </w:rPr>
      </w:pPr>
      <w:r>
        <w:rPr>
          <w:rFonts w:ascii="Arial" w:hAnsi="Arial" w:cs="Arial"/>
        </w:rPr>
        <w:t xml:space="preserve"> Informações econômicas e financeiras resumidas</w:t>
      </w:r>
    </w:p>
    <w:p w14:paraId="21AAFB03" w14:textId="77777777" w:rsidR="00E94497" w:rsidRDefault="00E94497" w:rsidP="00E94497"/>
    <w:tbl>
      <w:tblPr>
        <w:tblW w:w="5000" w:type="pct"/>
        <w:tblCellMar>
          <w:left w:w="70" w:type="dxa"/>
          <w:right w:w="70" w:type="dxa"/>
        </w:tblCellMar>
        <w:tblLook w:val="04A0" w:firstRow="1" w:lastRow="0" w:firstColumn="1" w:lastColumn="0" w:noHBand="0" w:noVBand="1"/>
      </w:tblPr>
      <w:tblGrid>
        <w:gridCol w:w="3389"/>
        <w:gridCol w:w="1066"/>
        <w:gridCol w:w="1066"/>
        <w:gridCol w:w="1023"/>
        <w:gridCol w:w="1087"/>
        <w:gridCol w:w="1023"/>
        <w:gridCol w:w="1107"/>
      </w:tblGrid>
      <w:tr w:rsidR="00300936" w:rsidRPr="000E7F2F" w14:paraId="33D2C315" w14:textId="77777777" w:rsidTr="00300936">
        <w:trPr>
          <w:trHeight w:val="232"/>
        </w:trPr>
        <w:tc>
          <w:tcPr>
            <w:tcW w:w="1736"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0180319" w14:textId="77777777" w:rsidR="00300936" w:rsidRPr="000E7F2F" w:rsidRDefault="00300936">
            <w:pPr>
              <w:rPr>
                <w:rFonts w:ascii="Arial" w:hAnsi="Arial" w:cs="Arial"/>
                <w:b/>
                <w:bCs/>
                <w:color w:val="000000"/>
                <w:sz w:val="18"/>
                <w:szCs w:val="18"/>
              </w:rPr>
            </w:pPr>
            <w:r w:rsidRPr="000E7F2F">
              <w:rPr>
                <w:rFonts w:ascii="Arial" w:hAnsi="Arial" w:cs="Arial"/>
                <w:b/>
                <w:bCs/>
                <w:color w:val="000000"/>
                <w:sz w:val="18"/>
                <w:szCs w:val="18"/>
              </w:rPr>
              <w:t>Investida:</w:t>
            </w:r>
          </w:p>
        </w:tc>
        <w:tc>
          <w:tcPr>
            <w:tcW w:w="1616" w:type="pct"/>
            <w:gridSpan w:val="3"/>
            <w:tcBorders>
              <w:top w:val="single" w:sz="8" w:space="0" w:color="auto"/>
              <w:left w:val="nil"/>
              <w:bottom w:val="single" w:sz="8" w:space="0" w:color="auto"/>
              <w:right w:val="single" w:sz="8" w:space="0" w:color="000000"/>
            </w:tcBorders>
            <w:noWrap/>
            <w:vAlign w:val="center"/>
            <w:hideMark/>
          </w:tcPr>
          <w:p w14:paraId="243BA702" w14:textId="77777777" w:rsidR="00300936" w:rsidRPr="000E7F2F" w:rsidRDefault="00300936">
            <w:pPr>
              <w:jc w:val="center"/>
              <w:rPr>
                <w:rFonts w:ascii="Arial" w:hAnsi="Arial" w:cs="Arial"/>
                <w:b/>
                <w:bCs/>
                <w:color w:val="000000"/>
                <w:sz w:val="18"/>
                <w:szCs w:val="18"/>
              </w:rPr>
            </w:pPr>
            <w:r w:rsidRPr="000E7F2F">
              <w:rPr>
                <w:rFonts w:ascii="Arial" w:hAnsi="Arial" w:cs="Arial"/>
                <w:b/>
                <w:bCs/>
                <w:color w:val="000000"/>
                <w:sz w:val="18"/>
                <w:szCs w:val="18"/>
              </w:rPr>
              <w:t>31/03/2026</w:t>
            </w:r>
          </w:p>
        </w:tc>
        <w:tc>
          <w:tcPr>
            <w:tcW w:w="1081" w:type="pct"/>
            <w:gridSpan w:val="2"/>
            <w:tcBorders>
              <w:top w:val="single" w:sz="8" w:space="0" w:color="auto"/>
              <w:left w:val="nil"/>
              <w:bottom w:val="single" w:sz="8" w:space="0" w:color="auto"/>
              <w:right w:val="single" w:sz="8" w:space="0" w:color="000000"/>
            </w:tcBorders>
            <w:noWrap/>
            <w:vAlign w:val="center"/>
            <w:hideMark/>
          </w:tcPr>
          <w:p w14:paraId="1F82B1CC" w14:textId="77777777" w:rsidR="00300936" w:rsidRPr="000E7F2F" w:rsidRDefault="00300936">
            <w:pPr>
              <w:jc w:val="center"/>
              <w:rPr>
                <w:rFonts w:ascii="Arial" w:hAnsi="Arial" w:cs="Arial"/>
                <w:b/>
                <w:bCs/>
                <w:color w:val="000000"/>
                <w:sz w:val="18"/>
                <w:szCs w:val="18"/>
              </w:rPr>
            </w:pPr>
            <w:r w:rsidRPr="000E7F2F">
              <w:rPr>
                <w:rFonts w:ascii="Arial" w:hAnsi="Arial" w:cs="Arial"/>
                <w:b/>
                <w:bCs/>
                <w:color w:val="000000"/>
                <w:sz w:val="18"/>
                <w:szCs w:val="18"/>
              </w:rPr>
              <w:t>31/12/2025</w:t>
            </w:r>
          </w:p>
        </w:tc>
        <w:tc>
          <w:tcPr>
            <w:tcW w:w="568" w:type="pct"/>
            <w:tcBorders>
              <w:top w:val="single" w:sz="8" w:space="0" w:color="auto"/>
              <w:left w:val="nil"/>
              <w:bottom w:val="single" w:sz="8" w:space="0" w:color="auto"/>
              <w:right w:val="single" w:sz="8" w:space="0" w:color="auto"/>
            </w:tcBorders>
            <w:noWrap/>
            <w:vAlign w:val="center"/>
            <w:hideMark/>
          </w:tcPr>
          <w:p w14:paraId="73EBB02E" w14:textId="77777777" w:rsidR="00300936" w:rsidRPr="000E7F2F" w:rsidRDefault="00300936">
            <w:pPr>
              <w:jc w:val="right"/>
              <w:rPr>
                <w:rFonts w:ascii="Arial" w:hAnsi="Arial" w:cs="Arial"/>
                <w:b/>
                <w:bCs/>
                <w:color w:val="000000"/>
                <w:sz w:val="18"/>
                <w:szCs w:val="18"/>
              </w:rPr>
            </w:pPr>
            <w:r w:rsidRPr="000E7F2F">
              <w:rPr>
                <w:rFonts w:ascii="Arial" w:hAnsi="Arial" w:cs="Arial"/>
                <w:b/>
                <w:bCs/>
                <w:color w:val="000000"/>
                <w:sz w:val="18"/>
                <w:szCs w:val="18"/>
              </w:rPr>
              <w:t>31/03/2025</w:t>
            </w:r>
          </w:p>
        </w:tc>
      </w:tr>
      <w:tr w:rsidR="00300936" w:rsidRPr="000E7F2F" w14:paraId="695424B3" w14:textId="77777777" w:rsidTr="00300936">
        <w:trPr>
          <w:trHeight w:val="232"/>
        </w:trPr>
        <w:tc>
          <w:tcPr>
            <w:tcW w:w="1736" w:type="pct"/>
            <w:vMerge/>
            <w:tcBorders>
              <w:top w:val="single" w:sz="8" w:space="0" w:color="auto"/>
              <w:left w:val="single" w:sz="8" w:space="0" w:color="auto"/>
              <w:bottom w:val="single" w:sz="8" w:space="0" w:color="000000"/>
              <w:right w:val="single" w:sz="8" w:space="0" w:color="auto"/>
            </w:tcBorders>
            <w:vAlign w:val="center"/>
            <w:hideMark/>
          </w:tcPr>
          <w:p w14:paraId="3792C589" w14:textId="77777777" w:rsidR="00300936" w:rsidRPr="000E7F2F" w:rsidRDefault="00300936">
            <w:pPr>
              <w:rPr>
                <w:rFonts w:ascii="Arial" w:hAnsi="Arial" w:cs="Arial"/>
                <w:b/>
                <w:bCs/>
                <w:color w:val="000000"/>
                <w:sz w:val="18"/>
                <w:szCs w:val="18"/>
              </w:rPr>
            </w:pPr>
          </w:p>
        </w:tc>
        <w:tc>
          <w:tcPr>
            <w:tcW w:w="546" w:type="pct"/>
            <w:tcBorders>
              <w:top w:val="nil"/>
              <w:left w:val="nil"/>
              <w:bottom w:val="single" w:sz="8" w:space="0" w:color="auto"/>
              <w:right w:val="single" w:sz="8" w:space="0" w:color="auto"/>
            </w:tcBorders>
            <w:vAlign w:val="center"/>
            <w:hideMark/>
          </w:tcPr>
          <w:p w14:paraId="14B0E87F" w14:textId="77777777" w:rsidR="00300936" w:rsidRPr="000E7F2F" w:rsidRDefault="00300936">
            <w:pPr>
              <w:jc w:val="center"/>
              <w:rPr>
                <w:rFonts w:ascii="Arial" w:hAnsi="Arial" w:cs="Arial"/>
                <w:b/>
                <w:bCs/>
                <w:color w:val="000000"/>
                <w:sz w:val="18"/>
                <w:szCs w:val="18"/>
              </w:rPr>
            </w:pPr>
            <w:r w:rsidRPr="000E7F2F">
              <w:rPr>
                <w:rFonts w:ascii="Arial" w:hAnsi="Arial" w:cs="Arial"/>
                <w:b/>
                <w:bCs/>
                <w:color w:val="000000"/>
                <w:sz w:val="18"/>
                <w:szCs w:val="18"/>
              </w:rPr>
              <w:t>Ativo</w:t>
            </w:r>
          </w:p>
        </w:tc>
        <w:tc>
          <w:tcPr>
            <w:tcW w:w="546" w:type="pct"/>
            <w:tcBorders>
              <w:top w:val="nil"/>
              <w:left w:val="nil"/>
              <w:bottom w:val="single" w:sz="8" w:space="0" w:color="auto"/>
              <w:right w:val="single" w:sz="8" w:space="0" w:color="auto"/>
            </w:tcBorders>
            <w:vAlign w:val="center"/>
            <w:hideMark/>
          </w:tcPr>
          <w:p w14:paraId="61D40DCD" w14:textId="77777777" w:rsidR="00300936" w:rsidRPr="000E7F2F" w:rsidRDefault="00300936">
            <w:pPr>
              <w:jc w:val="center"/>
              <w:rPr>
                <w:rFonts w:ascii="Arial" w:hAnsi="Arial" w:cs="Arial"/>
                <w:b/>
                <w:bCs/>
                <w:color w:val="000000"/>
                <w:sz w:val="18"/>
                <w:szCs w:val="18"/>
              </w:rPr>
            </w:pPr>
            <w:r w:rsidRPr="000E7F2F">
              <w:rPr>
                <w:rFonts w:ascii="Arial" w:hAnsi="Arial" w:cs="Arial"/>
                <w:b/>
                <w:bCs/>
                <w:color w:val="000000"/>
                <w:sz w:val="18"/>
                <w:szCs w:val="18"/>
              </w:rPr>
              <w:t>Passivo Exigível</w:t>
            </w:r>
          </w:p>
        </w:tc>
        <w:tc>
          <w:tcPr>
            <w:tcW w:w="524" w:type="pct"/>
            <w:tcBorders>
              <w:top w:val="nil"/>
              <w:left w:val="nil"/>
              <w:bottom w:val="single" w:sz="8" w:space="0" w:color="auto"/>
              <w:right w:val="single" w:sz="8" w:space="0" w:color="auto"/>
            </w:tcBorders>
            <w:vAlign w:val="center"/>
            <w:hideMark/>
          </w:tcPr>
          <w:p w14:paraId="1F225E1F" w14:textId="77777777" w:rsidR="00300936" w:rsidRPr="000E7F2F" w:rsidRDefault="00300936">
            <w:pPr>
              <w:jc w:val="center"/>
              <w:rPr>
                <w:rFonts w:ascii="Arial" w:hAnsi="Arial" w:cs="Arial"/>
                <w:b/>
                <w:bCs/>
                <w:color w:val="000000"/>
                <w:sz w:val="18"/>
                <w:szCs w:val="18"/>
              </w:rPr>
            </w:pPr>
            <w:r w:rsidRPr="000E7F2F">
              <w:rPr>
                <w:rFonts w:ascii="Arial" w:hAnsi="Arial" w:cs="Arial"/>
                <w:b/>
                <w:bCs/>
                <w:color w:val="000000"/>
                <w:sz w:val="18"/>
                <w:szCs w:val="18"/>
              </w:rPr>
              <w:t>Receita Líquida</w:t>
            </w:r>
          </w:p>
        </w:tc>
        <w:tc>
          <w:tcPr>
            <w:tcW w:w="557" w:type="pct"/>
            <w:tcBorders>
              <w:top w:val="nil"/>
              <w:left w:val="nil"/>
              <w:bottom w:val="single" w:sz="8" w:space="0" w:color="auto"/>
              <w:right w:val="single" w:sz="8" w:space="0" w:color="auto"/>
            </w:tcBorders>
            <w:vAlign w:val="center"/>
            <w:hideMark/>
          </w:tcPr>
          <w:p w14:paraId="04818D47" w14:textId="77777777" w:rsidR="00300936" w:rsidRPr="000E7F2F" w:rsidRDefault="00300936">
            <w:pPr>
              <w:jc w:val="center"/>
              <w:rPr>
                <w:rFonts w:ascii="Arial" w:hAnsi="Arial" w:cs="Arial"/>
                <w:b/>
                <w:bCs/>
                <w:color w:val="000000"/>
                <w:sz w:val="18"/>
                <w:szCs w:val="18"/>
              </w:rPr>
            </w:pPr>
            <w:r w:rsidRPr="000E7F2F">
              <w:rPr>
                <w:rFonts w:ascii="Arial" w:hAnsi="Arial" w:cs="Arial"/>
                <w:b/>
                <w:bCs/>
                <w:color w:val="000000"/>
                <w:sz w:val="18"/>
                <w:szCs w:val="18"/>
              </w:rPr>
              <w:t>Ativo</w:t>
            </w:r>
          </w:p>
        </w:tc>
        <w:tc>
          <w:tcPr>
            <w:tcW w:w="524" w:type="pct"/>
            <w:tcBorders>
              <w:top w:val="nil"/>
              <w:left w:val="nil"/>
              <w:bottom w:val="single" w:sz="8" w:space="0" w:color="auto"/>
              <w:right w:val="single" w:sz="8" w:space="0" w:color="auto"/>
            </w:tcBorders>
            <w:vAlign w:val="center"/>
            <w:hideMark/>
          </w:tcPr>
          <w:p w14:paraId="7915913D" w14:textId="77777777" w:rsidR="00300936" w:rsidRPr="000E7F2F" w:rsidRDefault="00300936">
            <w:pPr>
              <w:jc w:val="center"/>
              <w:rPr>
                <w:rFonts w:ascii="Arial" w:hAnsi="Arial" w:cs="Arial"/>
                <w:b/>
                <w:bCs/>
                <w:color w:val="000000"/>
                <w:sz w:val="18"/>
                <w:szCs w:val="18"/>
              </w:rPr>
            </w:pPr>
            <w:r w:rsidRPr="000E7F2F">
              <w:rPr>
                <w:rFonts w:ascii="Arial" w:hAnsi="Arial" w:cs="Arial"/>
                <w:b/>
                <w:bCs/>
                <w:color w:val="000000"/>
                <w:sz w:val="18"/>
                <w:szCs w:val="18"/>
              </w:rPr>
              <w:t>Passivo Exigível</w:t>
            </w:r>
          </w:p>
        </w:tc>
        <w:tc>
          <w:tcPr>
            <w:tcW w:w="568" w:type="pct"/>
            <w:tcBorders>
              <w:top w:val="nil"/>
              <w:left w:val="nil"/>
              <w:bottom w:val="single" w:sz="8" w:space="0" w:color="auto"/>
              <w:right w:val="single" w:sz="8" w:space="0" w:color="auto"/>
            </w:tcBorders>
            <w:vAlign w:val="center"/>
            <w:hideMark/>
          </w:tcPr>
          <w:p w14:paraId="4B71D70F" w14:textId="77777777" w:rsidR="00300936" w:rsidRPr="000E7F2F" w:rsidRDefault="00300936">
            <w:pPr>
              <w:jc w:val="center"/>
              <w:rPr>
                <w:rFonts w:ascii="Arial" w:hAnsi="Arial" w:cs="Arial"/>
                <w:b/>
                <w:bCs/>
                <w:color w:val="000000"/>
                <w:sz w:val="18"/>
                <w:szCs w:val="18"/>
              </w:rPr>
            </w:pPr>
            <w:r w:rsidRPr="000E7F2F">
              <w:rPr>
                <w:rFonts w:ascii="Arial" w:hAnsi="Arial" w:cs="Arial"/>
                <w:b/>
                <w:bCs/>
                <w:color w:val="000000"/>
                <w:sz w:val="18"/>
                <w:szCs w:val="18"/>
              </w:rPr>
              <w:t>Receita Líquida</w:t>
            </w:r>
          </w:p>
        </w:tc>
      </w:tr>
      <w:tr w:rsidR="00300936" w14:paraId="105D6105" w14:textId="77777777" w:rsidTr="00300936">
        <w:trPr>
          <w:trHeight w:val="232"/>
        </w:trPr>
        <w:tc>
          <w:tcPr>
            <w:tcW w:w="1736" w:type="pct"/>
            <w:tcBorders>
              <w:top w:val="nil"/>
              <w:left w:val="single" w:sz="8" w:space="0" w:color="auto"/>
              <w:bottom w:val="single" w:sz="8" w:space="0" w:color="auto"/>
              <w:right w:val="single" w:sz="8" w:space="0" w:color="auto"/>
            </w:tcBorders>
            <w:noWrap/>
            <w:vAlign w:val="center"/>
            <w:hideMark/>
          </w:tcPr>
          <w:p w14:paraId="5C10E774" w14:textId="77777777" w:rsidR="00300936" w:rsidRPr="000E7F2F" w:rsidRDefault="00300936">
            <w:pPr>
              <w:rPr>
                <w:rFonts w:ascii="Arial" w:hAnsi="Arial" w:cs="Arial"/>
                <w:color w:val="000000"/>
                <w:sz w:val="18"/>
                <w:szCs w:val="18"/>
              </w:rPr>
            </w:pPr>
            <w:r w:rsidRPr="000E7F2F">
              <w:rPr>
                <w:rFonts w:ascii="Arial" w:hAnsi="Arial" w:cs="Arial"/>
                <w:color w:val="000000"/>
                <w:sz w:val="18"/>
                <w:szCs w:val="18"/>
              </w:rPr>
              <w:t>Visiona Tecnologia Espacial S.A</w:t>
            </w:r>
          </w:p>
        </w:tc>
        <w:tc>
          <w:tcPr>
            <w:tcW w:w="546" w:type="pct"/>
            <w:tcBorders>
              <w:top w:val="nil"/>
              <w:left w:val="nil"/>
              <w:bottom w:val="single" w:sz="8" w:space="0" w:color="auto"/>
              <w:right w:val="single" w:sz="8" w:space="0" w:color="auto"/>
            </w:tcBorders>
            <w:noWrap/>
            <w:vAlign w:val="center"/>
            <w:hideMark/>
          </w:tcPr>
          <w:p w14:paraId="0F8C33B9" w14:textId="77777777" w:rsidR="00300936" w:rsidRPr="000E7F2F" w:rsidRDefault="00300936">
            <w:pPr>
              <w:jc w:val="right"/>
              <w:rPr>
                <w:rFonts w:ascii="Arial" w:hAnsi="Arial" w:cs="Arial"/>
                <w:color w:val="000000"/>
                <w:sz w:val="18"/>
                <w:szCs w:val="18"/>
              </w:rPr>
            </w:pPr>
            <w:r w:rsidRPr="000E7F2F">
              <w:rPr>
                <w:rFonts w:ascii="Arial" w:hAnsi="Arial" w:cs="Arial"/>
                <w:color w:val="000000"/>
                <w:sz w:val="18"/>
                <w:szCs w:val="18"/>
              </w:rPr>
              <w:t>213.830</w:t>
            </w:r>
          </w:p>
        </w:tc>
        <w:tc>
          <w:tcPr>
            <w:tcW w:w="546" w:type="pct"/>
            <w:tcBorders>
              <w:top w:val="nil"/>
              <w:left w:val="nil"/>
              <w:bottom w:val="single" w:sz="8" w:space="0" w:color="auto"/>
              <w:right w:val="single" w:sz="8" w:space="0" w:color="auto"/>
            </w:tcBorders>
            <w:noWrap/>
            <w:vAlign w:val="center"/>
            <w:hideMark/>
          </w:tcPr>
          <w:p w14:paraId="10A8E6E0" w14:textId="77777777" w:rsidR="00300936" w:rsidRPr="000E7F2F" w:rsidRDefault="00300936">
            <w:pPr>
              <w:jc w:val="right"/>
              <w:rPr>
                <w:rFonts w:ascii="Arial" w:hAnsi="Arial" w:cs="Arial"/>
                <w:color w:val="000000"/>
                <w:sz w:val="18"/>
                <w:szCs w:val="18"/>
              </w:rPr>
            </w:pPr>
            <w:r w:rsidRPr="000E7F2F">
              <w:rPr>
                <w:rFonts w:ascii="Arial" w:hAnsi="Arial" w:cs="Arial"/>
                <w:color w:val="000000"/>
                <w:sz w:val="18"/>
                <w:szCs w:val="18"/>
              </w:rPr>
              <w:t>59.728</w:t>
            </w:r>
          </w:p>
        </w:tc>
        <w:tc>
          <w:tcPr>
            <w:tcW w:w="524" w:type="pct"/>
            <w:tcBorders>
              <w:top w:val="nil"/>
              <w:left w:val="nil"/>
              <w:bottom w:val="single" w:sz="8" w:space="0" w:color="auto"/>
              <w:right w:val="single" w:sz="8" w:space="0" w:color="auto"/>
            </w:tcBorders>
            <w:noWrap/>
            <w:vAlign w:val="center"/>
            <w:hideMark/>
          </w:tcPr>
          <w:p w14:paraId="3AADC85D" w14:textId="77777777" w:rsidR="00300936" w:rsidRPr="000E7F2F" w:rsidRDefault="00300936">
            <w:pPr>
              <w:jc w:val="right"/>
              <w:rPr>
                <w:rFonts w:ascii="Arial" w:hAnsi="Arial" w:cs="Arial"/>
                <w:color w:val="000000"/>
                <w:sz w:val="18"/>
                <w:szCs w:val="18"/>
              </w:rPr>
            </w:pPr>
            <w:r w:rsidRPr="000E7F2F">
              <w:rPr>
                <w:rFonts w:ascii="Arial" w:hAnsi="Arial" w:cs="Arial"/>
                <w:color w:val="000000"/>
                <w:sz w:val="18"/>
                <w:szCs w:val="18"/>
              </w:rPr>
              <w:t>1.291</w:t>
            </w:r>
          </w:p>
        </w:tc>
        <w:tc>
          <w:tcPr>
            <w:tcW w:w="557" w:type="pct"/>
            <w:tcBorders>
              <w:top w:val="nil"/>
              <w:left w:val="nil"/>
              <w:bottom w:val="single" w:sz="8" w:space="0" w:color="auto"/>
              <w:right w:val="single" w:sz="8" w:space="0" w:color="auto"/>
            </w:tcBorders>
            <w:noWrap/>
            <w:vAlign w:val="center"/>
            <w:hideMark/>
          </w:tcPr>
          <w:p w14:paraId="37EC58F9" w14:textId="77777777" w:rsidR="00300936" w:rsidRPr="000E7F2F" w:rsidRDefault="00300936">
            <w:pPr>
              <w:jc w:val="right"/>
              <w:rPr>
                <w:rFonts w:ascii="Arial" w:hAnsi="Arial" w:cs="Arial"/>
                <w:color w:val="000000"/>
                <w:sz w:val="18"/>
                <w:szCs w:val="18"/>
              </w:rPr>
            </w:pPr>
            <w:r w:rsidRPr="000E7F2F">
              <w:rPr>
                <w:rFonts w:ascii="Arial" w:hAnsi="Arial" w:cs="Arial"/>
                <w:color w:val="000000"/>
                <w:sz w:val="18"/>
                <w:szCs w:val="18"/>
              </w:rPr>
              <w:t>206.798</w:t>
            </w:r>
          </w:p>
        </w:tc>
        <w:tc>
          <w:tcPr>
            <w:tcW w:w="524" w:type="pct"/>
            <w:tcBorders>
              <w:top w:val="nil"/>
              <w:left w:val="nil"/>
              <w:bottom w:val="single" w:sz="8" w:space="0" w:color="auto"/>
              <w:right w:val="single" w:sz="8" w:space="0" w:color="auto"/>
            </w:tcBorders>
            <w:noWrap/>
            <w:vAlign w:val="center"/>
            <w:hideMark/>
          </w:tcPr>
          <w:p w14:paraId="011E2359" w14:textId="77777777" w:rsidR="00300936" w:rsidRPr="000E7F2F" w:rsidRDefault="00300936">
            <w:pPr>
              <w:jc w:val="right"/>
              <w:rPr>
                <w:rFonts w:ascii="Arial" w:hAnsi="Arial" w:cs="Arial"/>
                <w:color w:val="000000"/>
                <w:sz w:val="18"/>
                <w:szCs w:val="18"/>
              </w:rPr>
            </w:pPr>
            <w:r w:rsidRPr="000E7F2F">
              <w:rPr>
                <w:rFonts w:ascii="Arial" w:hAnsi="Arial" w:cs="Arial"/>
                <w:color w:val="000000"/>
                <w:sz w:val="18"/>
                <w:szCs w:val="18"/>
              </w:rPr>
              <w:t>51.017</w:t>
            </w:r>
          </w:p>
        </w:tc>
        <w:tc>
          <w:tcPr>
            <w:tcW w:w="568" w:type="pct"/>
            <w:tcBorders>
              <w:top w:val="nil"/>
              <w:left w:val="nil"/>
              <w:bottom w:val="single" w:sz="8" w:space="0" w:color="auto"/>
              <w:right w:val="single" w:sz="8" w:space="0" w:color="auto"/>
            </w:tcBorders>
            <w:noWrap/>
            <w:vAlign w:val="center"/>
            <w:hideMark/>
          </w:tcPr>
          <w:p w14:paraId="7C3ECD78" w14:textId="77777777" w:rsidR="00300936" w:rsidRDefault="00300936">
            <w:pPr>
              <w:jc w:val="right"/>
              <w:rPr>
                <w:rFonts w:ascii="Arial" w:hAnsi="Arial" w:cs="Arial"/>
                <w:color w:val="000000"/>
                <w:sz w:val="18"/>
                <w:szCs w:val="18"/>
              </w:rPr>
            </w:pPr>
            <w:r w:rsidRPr="000E7F2F">
              <w:rPr>
                <w:rFonts w:ascii="Arial" w:hAnsi="Arial" w:cs="Arial"/>
                <w:color w:val="000000"/>
                <w:sz w:val="18"/>
                <w:szCs w:val="18"/>
              </w:rPr>
              <w:t>1.419</w:t>
            </w:r>
          </w:p>
        </w:tc>
      </w:tr>
    </w:tbl>
    <w:p w14:paraId="7582544D" w14:textId="77777777" w:rsidR="00300936" w:rsidRDefault="00300936" w:rsidP="00E94497"/>
    <w:p w14:paraId="6F6CA3F7" w14:textId="2539A7F0" w:rsidR="00350044" w:rsidRPr="00350044" w:rsidRDefault="00350044" w:rsidP="009541E1">
      <w:pPr>
        <w:pStyle w:val="Ttulo2"/>
        <w:numPr>
          <w:ilvl w:val="1"/>
          <w:numId w:val="7"/>
        </w:numPr>
        <w:tabs>
          <w:tab w:val="clear" w:pos="284"/>
          <w:tab w:val="clear" w:pos="340"/>
        </w:tabs>
        <w:spacing w:before="0" w:after="0"/>
        <w:ind w:left="851" w:hanging="851"/>
        <w:jc w:val="both"/>
        <w:rPr>
          <w:rFonts w:ascii="Arial" w:hAnsi="Arial" w:cs="Arial"/>
        </w:rPr>
      </w:pPr>
      <w:r w:rsidRPr="00350044">
        <w:rPr>
          <w:rFonts w:ascii="Arial" w:hAnsi="Arial" w:cs="Arial"/>
        </w:rPr>
        <w:t>Informações econômicas e financeiras resumidas</w:t>
      </w:r>
    </w:p>
    <w:p w14:paraId="73E17F13" w14:textId="57BDB47B" w:rsidR="00F50336" w:rsidRDefault="00F50336" w:rsidP="00E561C6">
      <w:pPr>
        <w:rPr>
          <w:sz w:val="18"/>
          <w:szCs w:val="18"/>
        </w:rPr>
      </w:pPr>
    </w:p>
    <w:p w14:paraId="4D1F741F" w14:textId="77777777" w:rsidR="00B14C20" w:rsidRDefault="00B14C20" w:rsidP="00E561C6">
      <w:pPr>
        <w:rPr>
          <w:sz w:val="18"/>
          <w:szCs w:val="18"/>
        </w:rPr>
      </w:pPr>
    </w:p>
    <w:tbl>
      <w:tblPr>
        <w:tblW w:w="5000" w:type="pct"/>
        <w:tblCellMar>
          <w:left w:w="70" w:type="dxa"/>
          <w:right w:w="70" w:type="dxa"/>
        </w:tblCellMar>
        <w:tblLook w:val="04A0" w:firstRow="1" w:lastRow="0" w:firstColumn="1" w:lastColumn="0" w:noHBand="0" w:noVBand="1"/>
      </w:tblPr>
      <w:tblGrid>
        <w:gridCol w:w="4204"/>
        <w:gridCol w:w="1150"/>
        <w:gridCol w:w="1642"/>
        <w:gridCol w:w="1123"/>
        <w:gridCol w:w="1642"/>
      </w:tblGrid>
      <w:tr w:rsidR="00B14C20" w:rsidRPr="000E7F2F" w14:paraId="14D84C85" w14:textId="77777777" w:rsidTr="00B14C20">
        <w:trPr>
          <w:trHeight w:val="232"/>
        </w:trPr>
        <w:tc>
          <w:tcPr>
            <w:tcW w:w="2154"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55F947C" w14:textId="77777777" w:rsidR="00B14C20" w:rsidRPr="000E7F2F" w:rsidRDefault="00B14C20">
            <w:pPr>
              <w:rPr>
                <w:rFonts w:ascii="Arial" w:hAnsi="Arial" w:cs="Arial"/>
                <w:b/>
                <w:bCs/>
                <w:color w:val="000000"/>
                <w:sz w:val="18"/>
                <w:szCs w:val="18"/>
              </w:rPr>
            </w:pPr>
            <w:r w:rsidRPr="000E7F2F">
              <w:rPr>
                <w:rFonts w:ascii="Arial" w:hAnsi="Arial" w:cs="Arial"/>
                <w:b/>
                <w:bCs/>
                <w:color w:val="000000"/>
                <w:sz w:val="18"/>
                <w:szCs w:val="18"/>
              </w:rPr>
              <w:t>Investida:</w:t>
            </w:r>
          </w:p>
        </w:tc>
        <w:tc>
          <w:tcPr>
            <w:tcW w:w="1430" w:type="pct"/>
            <w:gridSpan w:val="2"/>
            <w:tcBorders>
              <w:top w:val="single" w:sz="8" w:space="0" w:color="auto"/>
              <w:left w:val="nil"/>
              <w:bottom w:val="single" w:sz="8" w:space="0" w:color="auto"/>
              <w:right w:val="single" w:sz="8" w:space="0" w:color="000000"/>
            </w:tcBorders>
            <w:noWrap/>
            <w:vAlign w:val="center"/>
            <w:hideMark/>
          </w:tcPr>
          <w:p w14:paraId="5ED02386" w14:textId="77777777" w:rsidR="00B14C20" w:rsidRPr="000E7F2F" w:rsidRDefault="00B14C20">
            <w:pPr>
              <w:jc w:val="center"/>
              <w:rPr>
                <w:rFonts w:ascii="Arial" w:hAnsi="Arial" w:cs="Arial"/>
                <w:b/>
                <w:bCs/>
                <w:color w:val="000000"/>
                <w:sz w:val="18"/>
                <w:szCs w:val="18"/>
              </w:rPr>
            </w:pPr>
            <w:r w:rsidRPr="000E7F2F">
              <w:rPr>
                <w:rFonts w:ascii="Arial" w:hAnsi="Arial" w:cs="Arial"/>
                <w:b/>
                <w:bCs/>
                <w:color w:val="000000"/>
                <w:sz w:val="18"/>
                <w:szCs w:val="18"/>
              </w:rPr>
              <w:t>31/03/2026</w:t>
            </w:r>
          </w:p>
        </w:tc>
        <w:tc>
          <w:tcPr>
            <w:tcW w:w="1416" w:type="pct"/>
            <w:gridSpan w:val="2"/>
            <w:tcBorders>
              <w:top w:val="single" w:sz="8" w:space="0" w:color="auto"/>
              <w:left w:val="nil"/>
              <w:bottom w:val="single" w:sz="8" w:space="0" w:color="auto"/>
              <w:right w:val="single" w:sz="8" w:space="0" w:color="000000"/>
            </w:tcBorders>
            <w:noWrap/>
            <w:vAlign w:val="center"/>
            <w:hideMark/>
          </w:tcPr>
          <w:p w14:paraId="71EFBAA5" w14:textId="77777777" w:rsidR="00B14C20" w:rsidRPr="000E7F2F" w:rsidRDefault="00B14C20">
            <w:pPr>
              <w:jc w:val="center"/>
              <w:rPr>
                <w:rFonts w:ascii="Arial" w:hAnsi="Arial" w:cs="Arial"/>
                <w:b/>
                <w:bCs/>
                <w:color w:val="000000"/>
                <w:sz w:val="18"/>
                <w:szCs w:val="18"/>
              </w:rPr>
            </w:pPr>
            <w:r w:rsidRPr="000E7F2F">
              <w:rPr>
                <w:rFonts w:ascii="Arial" w:hAnsi="Arial" w:cs="Arial"/>
                <w:b/>
                <w:bCs/>
                <w:color w:val="000000"/>
                <w:sz w:val="18"/>
                <w:szCs w:val="18"/>
              </w:rPr>
              <w:t>31/03/2025</w:t>
            </w:r>
          </w:p>
        </w:tc>
      </w:tr>
      <w:tr w:rsidR="00B14C20" w:rsidRPr="000E7F2F" w14:paraId="657148A1" w14:textId="77777777" w:rsidTr="00B14C20">
        <w:trPr>
          <w:trHeight w:val="232"/>
        </w:trPr>
        <w:tc>
          <w:tcPr>
            <w:tcW w:w="2154" w:type="pct"/>
            <w:vMerge/>
            <w:tcBorders>
              <w:top w:val="single" w:sz="8" w:space="0" w:color="auto"/>
              <w:left w:val="single" w:sz="8" w:space="0" w:color="auto"/>
              <w:bottom w:val="single" w:sz="8" w:space="0" w:color="000000"/>
              <w:right w:val="single" w:sz="8" w:space="0" w:color="auto"/>
            </w:tcBorders>
            <w:vAlign w:val="center"/>
            <w:hideMark/>
          </w:tcPr>
          <w:p w14:paraId="48FC5877" w14:textId="77777777" w:rsidR="00B14C20" w:rsidRPr="000E7F2F" w:rsidRDefault="00B14C20">
            <w:pPr>
              <w:rPr>
                <w:rFonts w:ascii="Arial" w:hAnsi="Arial" w:cs="Arial"/>
                <w:b/>
                <w:bCs/>
                <w:color w:val="000000"/>
                <w:sz w:val="18"/>
                <w:szCs w:val="18"/>
              </w:rPr>
            </w:pPr>
          </w:p>
        </w:tc>
        <w:tc>
          <w:tcPr>
            <w:tcW w:w="589" w:type="pct"/>
            <w:tcBorders>
              <w:top w:val="nil"/>
              <w:left w:val="nil"/>
              <w:bottom w:val="single" w:sz="8" w:space="0" w:color="auto"/>
              <w:right w:val="single" w:sz="8" w:space="0" w:color="auto"/>
            </w:tcBorders>
            <w:vAlign w:val="center"/>
            <w:hideMark/>
          </w:tcPr>
          <w:p w14:paraId="13DAB862" w14:textId="77777777" w:rsidR="00B14C20" w:rsidRPr="000E7F2F" w:rsidRDefault="00B14C20">
            <w:pPr>
              <w:jc w:val="center"/>
              <w:rPr>
                <w:rFonts w:ascii="Arial" w:hAnsi="Arial" w:cs="Arial"/>
                <w:b/>
                <w:bCs/>
                <w:color w:val="000000"/>
                <w:sz w:val="18"/>
                <w:szCs w:val="18"/>
              </w:rPr>
            </w:pPr>
            <w:r w:rsidRPr="000E7F2F">
              <w:rPr>
                <w:rFonts w:ascii="Arial" w:hAnsi="Arial" w:cs="Arial"/>
                <w:b/>
                <w:bCs/>
                <w:color w:val="000000"/>
                <w:sz w:val="18"/>
                <w:szCs w:val="18"/>
              </w:rPr>
              <w:t>Prejuízo Líquido do Período</w:t>
            </w:r>
          </w:p>
        </w:tc>
        <w:tc>
          <w:tcPr>
            <w:tcW w:w="841" w:type="pct"/>
            <w:tcBorders>
              <w:top w:val="nil"/>
              <w:left w:val="nil"/>
              <w:bottom w:val="single" w:sz="8" w:space="0" w:color="auto"/>
              <w:right w:val="single" w:sz="8" w:space="0" w:color="auto"/>
            </w:tcBorders>
            <w:vAlign w:val="center"/>
            <w:hideMark/>
          </w:tcPr>
          <w:p w14:paraId="48E03156" w14:textId="77777777" w:rsidR="00B14C20" w:rsidRPr="000E7F2F" w:rsidRDefault="00B14C20">
            <w:pPr>
              <w:jc w:val="center"/>
              <w:rPr>
                <w:rFonts w:ascii="Arial" w:hAnsi="Arial" w:cs="Arial"/>
                <w:b/>
                <w:bCs/>
                <w:color w:val="000000"/>
                <w:sz w:val="18"/>
                <w:szCs w:val="18"/>
              </w:rPr>
            </w:pPr>
            <w:r w:rsidRPr="000E7F2F">
              <w:rPr>
                <w:rFonts w:ascii="Arial" w:hAnsi="Arial" w:cs="Arial"/>
                <w:b/>
                <w:bCs/>
                <w:color w:val="000000"/>
                <w:sz w:val="18"/>
                <w:szCs w:val="18"/>
              </w:rPr>
              <w:t xml:space="preserve"> Resultado de Equivalência Patrimonial </w:t>
            </w:r>
          </w:p>
        </w:tc>
        <w:tc>
          <w:tcPr>
            <w:tcW w:w="575" w:type="pct"/>
            <w:tcBorders>
              <w:top w:val="nil"/>
              <w:left w:val="nil"/>
              <w:bottom w:val="single" w:sz="8" w:space="0" w:color="auto"/>
              <w:right w:val="single" w:sz="8" w:space="0" w:color="auto"/>
            </w:tcBorders>
            <w:vAlign w:val="center"/>
            <w:hideMark/>
          </w:tcPr>
          <w:p w14:paraId="5BD190C0" w14:textId="77777777" w:rsidR="00B14C20" w:rsidRPr="000E7F2F" w:rsidRDefault="00B14C20">
            <w:pPr>
              <w:jc w:val="center"/>
              <w:rPr>
                <w:rFonts w:ascii="Arial" w:hAnsi="Arial" w:cs="Arial"/>
                <w:b/>
                <w:bCs/>
                <w:color w:val="000000"/>
                <w:sz w:val="18"/>
                <w:szCs w:val="18"/>
              </w:rPr>
            </w:pPr>
            <w:r w:rsidRPr="000E7F2F">
              <w:rPr>
                <w:rFonts w:ascii="Arial" w:hAnsi="Arial" w:cs="Arial"/>
                <w:b/>
                <w:bCs/>
                <w:color w:val="000000"/>
                <w:sz w:val="18"/>
                <w:szCs w:val="18"/>
              </w:rPr>
              <w:t>Prejuízo Líquido do Período</w:t>
            </w:r>
          </w:p>
        </w:tc>
        <w:tc>
          <w:tcPr>
            <w:tcW w:w="841" w:type="pct"/>
            <w:tcBorders>
              <w:top w:val="nil"/>
              <w:left w:val="nil"/>
              <w:bottom w:val="single" w:sz="8" w:space="0" w:color="auto"/>
              <w:right w:val="single" w:sz="8" w:space="0" w:color="auto"/>
            </w:tcBorders>
            <w:vAlign w:val="center"/>
            <w:hideMark/>
          </w:tcPr>
          <w:p w14:paraId="11AAEDCB" w14:textId="77777777" w:rsidR="00B14C20" w:rsidRPr="000E7F2F" w:rsidRDefault="00B14C20">
            <w:pPr>
              <w:jc w:val="center"/>
              <w:rPr>
                <w:rFonts w:ascii="Arial" w:hAnsi="Arial" w:cs="Arial"/>
                <w:b/>
                <w:bCs/>
                <w:color w:val="000000"/>
                <w:sz w:val="18"/>
                <w:szCs w:val="18"/>
              </w:rPr>
            </w:pPr>
            <w:r w:rsidRPr="000E7F2F">
              <w:rPr>
                <w:rFonts w:ascii="Arial" w:hAnsi="Arial" w:cs="Arial"/>
                <w:b/>
                <w:bCs/>
                <w:color w:val="000000"/>
                <w:sz w:val="18"/>
                <w:szCs w:val="18"/>
              </w:rPr>
              <w:t xml:space="preserve"> Resultado de Equivalência Patrimonial </w:t>
            </w:r>
          </w:p>
        </w:tc>
      </w:tr>
      <w:tr w:rsidR="00B14C20" w14:paraId="6C33A187" w14:textId="77777777" w:rsidTr="00B14C20">
        <w:trPr>
          <w:trHeight w:val="232"/>
        </w:trPr>
        <w:tc>
          <w:tcPr>
            <w:tcW w:w="2154" w:type="pct"/>
            <w:tcBorders>
              <w:top w:val="nil"/>
              <w:left w:val="single" w:sz="8" w:space="0" w:color="auto"/>
              <w:bottom w:val="single" w:sz="8" w:space="0" w:color="auto"/>
              <w:right w:val="single" w:sz="8" w:space="0" w:color="auto"/>
            </w:tcBorders>
            <w:noWrap/>
            <w:vAlign w:val="center"/>
            <w:hideMark/>
          </w:tcPr>
          <w:p w14:paraId="45FC380E" w14:textId="77777777" w:rsidR="00B14C20" w:rsidRPr="000E7F2F" w:rsidRDefault="00B14C20">
            <w:pPr>
              <w:rPr>
                <w:rFonts w:ascii="Arial" w:hAnsi="Arial" w:cs="Arial"/>
                <w:color w:val="000000"/>
                <w:sz w:val="18"/>
                <w:szCs w:val="18"/>
              </w:rPr>
            </w:pPr>
            <w:r w:rsidRPr="000E7F2F">
              <w:rPr>
                <w:rFonts w:ascii="Arial" w:hAnsi="Arial" w:cs="Arial"/>
                <w:color w:val="000000"/>
                <w:sz w:val="18"/>
                <w:szCs w:val="18"/>
              </w:rPr>
              <w:t>Visiona Tecnologia Espacial S.A</w:t>
            </w:r>
          </w:p>
        </w:tc>
        <w:tc>
          <w:tcPr>
            <w:tcW w:w="589" w:type="pct"/>
            <w:tcBorders>
              <w:top w:val="nil"/>
              <w:left w:val="nil"/>
              <w:bottom w:val="single" w:sz="8" w:space="0" w:color="auto"/>
              <w:right w:val="single" w:sz="8" w:space="0" w:color="auto"/>
            </w:tcBorders>
            <w:noWrap/>
            <w:vAlign w:val="center"/>
            <w:hideMark/>
          </w:tcPr>
          <w:p w14:paraId="77FF5CAE" w14:textId="77777777" w:rsidR="00B14C20" w:rsidRPr="000E7F2F" w:rsidRDefault="00B14C20">
            <w:pPr>
              <w:jc w:val="right"/>
              <w:rPr>
                <w:rFonts w:ascii="Arial" w:hAnsi="Arial" w:cs="Arial"/>
                <w:color w:val="000000"/>
                <w:sz w:val="18"/>
                <w:szCs w:val="18"/>
              </w:rPr>
            </w:pPr>
            <w:r w:rsidRPr="000E7F2F">
              <w:rPr>
                <w:rFonts w:ascii="Arial" w:hAnsi="Arial" w:cs="Arial"/>
                <w:color w:val="000000"/>
                <w:sz w:val="18"/>
                <w:szCs w:val="18"/>
              </w:rPr>
              <w:t>(167)</w:t>
            </w:r>
          </w:p>
        </w:tc>
        <w:tc>
          <w:tcPr>
            <w:tcW w:w="841" w:type="pct"/>
            <w:tcBorders>
              <w:top w:val="nil"/>
              <w:left w:val="nil"/>
              <w:bottom w:val="single" w:sz="8" w:space="0" w:color="auto"/>
              <w:right w:val="single" w:sz="8" w:space="0" w:color="auto"/>
            </w:tcBorders>
            <w:noWrap/>
            <w:vAlign w:val="center"/>
            <w:hideMark/>
          </w:tcPr>
          <w:p w14:paraId="1A93791F" w14:textId="77777777" w:rsidR="00B14C20" w:rsidRPr="000E7F2F" w:rsidRDefault="00B14C20">
            <w:pPr>
              <w:jc w:val="right"/>
              <w:rPr>
                <w:rFonts w:ascii="Arial" w:hAnsi="Arial" w:cs="Arial"/>
                <w:color w:val="000000"/>
                <w:sz w:val="18"/>
                <w:szCs w:val="18"/>
              </w:rPr>
            </w:pPr>
            <w:r w:rsidRPr="000E7F2F">
              <w:rPr>
                <w:rFonts w:ascii="Arial" w:hAnsi="Arial" w:cs="Arial"/>
                <w:color w:val="000000"/>
                <w:sz w:val="18"/>
                <w:szCs w:val="18"/>
              </w:rPr>
              <w:t>(82)</w:t>
            </w:r>
          </w:p>
        </w:tc>
        <w:tc>
          <w:tcPr>
            <w:tcW w:w="575" w:type="pct"/>
            <w:tcBorders>
              <w:top w:val="nil"/>
              <w:left w:val="nil"/>
              <w:bottom w:val="single" w:sz="8" w:space="0" w:color="auto"/>
              <w:right w:val="single" w:sz="8" w:space="0" w:color="auto"/>
            </w:tcBorders>
            <w:noWrap/>
            <w:vAlign w:val="center"/>
            <w:hideMark/>
          </w:tcPr>
          <w:p w14:paraId="269A621F" w14:textId="77777777" w:rsidR="00B14C20" w:rsidRPr="000E7F2F" w:rsidRDefault="00B14C20">
            <w:pPr>
              <w:jc w:val="right"/>
              <w:rPr>
                <w:rFonts w:ascii="Arial" w:hAnsi="Arial" w:cs="Arial"/>
                <w:color w:val="000000"/>
                <w:sz w:val="18"/>
                <w:szCs w:val="18"/>
              </w:rPr>
            </w:pPr>
            <w:r w:rsidRPr="000E7F2F">
              <w:rPr>
                <w:rFonts w:ascii="Arial" w:hAnsi="Arial" w:cs="Arial"/>
                <w:color w:val="000000"/>
                <w:sz w:val="18"/>
                <w:szCs w:val="18"/>
              </w:rPr>
              <w:t>(1.461)</w:t>
            </w:r>
          </w:p>
        </w:tc>
        <w:tc>
          <w:tcPr>
            <w:tcW w:w="841" w:type="pct"/>
            <w:tcBorders>
              <w:top w:val="nil"/>
              <w:left w:val="nil"/>
              <w:bottom w:val="single" w:sz="8" w:space="0" w:color="auto"/>
              <w:right w:val="single" w:sz="8" w:space="0" w:color="auto"/>
            </w:tcBorders>
            <w:noWrap/>
            <w:vAlign w:val="center"/>
            <w:hideMark/>
          </w:tcPr>
          <w:p w14:paraId="0BB2FA29" w14:textId="77777777" w:rsidR="00B14C20" w:rsidRDefault="00B14C20">
            <w:pPr>
              <w:jc w:val="right"/>
              <w:rPr>
                <w:rFonts w:ascii="Arial" w:hAnsi="Arial" w:cs="Arial"/>
                <w:color w:val="000000"/>
                <w:sz w:val="18"/>
                <w:szCs w:val="18"/>
              </w:rPr>
            </w:pPr>
            <w:r w:rsidRPr="000E7F2F">
              <w:rPr>
                <w:rFonts w:ascii="Arial" w:hAnsi="Arial" w:cs="Arial"/>
                <w:color w:val="000000"/>
                <w:sz w:val="18"/>
                <w:szCs w:val="18"/>
              </w:rPr>
              <w:t>(716)</w:t>
            </w:r>
          </w:p>
        </w:tc>
      </w:tr>
    </w:tbl>
    <w:p w14:paraId="5AE9B622" w14:textId="77777777" w:rsidR="00B14C20" w:rsidRDefault="00B14C20" w:rsidP="00E561C6">
      <w:pPr>
        <w:rPr>
          <w:sz w:val="18"/>
          <w:szCs w:val="18"/>
        </w:rPr>
      </w:pPr>
    </w:p>
    <w:p w14:paraId="340FA016" w14:textId="77777777" w:rsidR="00EE4F13" w:rsidRPr="002A36CE" w:rsidRDefault="00EE4F13" w:rsidP="009541E1">
      <w:pPr>
        <w:pStyle w:val="Ttulo2"/>
        <w:numPr>
          <w:ilvl w:val="1"/>
          <w:numId w:val="7"/>
        </w:numPr>
        <w:tabs>
          <w:tab w:val="clear" w:pos="284"/>
          <w:tab w:val="clear" w:pos="340"/>
        </w:tabs>
        <w:spacing w:before="0" w:after="0"/>
        <w:ind w:left="709" w:hanging="709"/>
        <w:jc w:val="both"/>
        <w:rPr>
          <w:rFonts w:ascii="Arial" w:hAnsi="Arial" w:cs="Arial"/>
        </w:rPr>
      </w:pPr>
      <w:bookmarkStart w:id="28" w:name="_Toc491337729"/>
      <w:r w:rsidRPr="002A36CE">
        <w:rPr>
          <w:rFonts w:ascii="Arial" w:hAnsi="Arial" w:cs="Arial"/>
        </w:rPr>
        <w:t>Movimentação dos investimentos avaliados pelo método de equivalência patrimonial</w:t>
      </w:r>
      <w:bookmarkEnd w:id="28"/>
    </w:p>
    <w:p w14:paraId="2D2FF1EE" w14:textId="00D7173B" w:rsidR="00E50E94" w:rsidRPr="00D8396F" w:rsidRDefault="00E50E94" w:rsidP="00EE4F13">
      <w:pPr>
        <w:rPr>
          <w:sz w:val="6"/>
          <w:szCs w:val="6"/>
        </w:rPr>
      </w:pPr>
    </w:p>
    <w:p w14:paraId="56A2D7E6" w14:textId="3C9AD8C0" w:rsidR="0097373C" w:rsidRDefault="0097373C" w:rsidP="00EE4F13">
      <w:pPr>
        <w:rPr>
          <w:sz w:val="16"/>
          <w:szCs w:val="16"/>
        </w:rPr>
      </w:pPr>
    </w:p>
    <w:tbl>
      <w:tblPr>
        <w:tblW w:w="5000" w:type="pct"/>
        <w:tblCellMar>
          <w:left w:w="70" w:type="dxa"/>
          <w:right w:w="70" w:type="dxa"/>
        </w:tblCellMar>
        <w:tblLook w:val="04A0" w:firstRow="1" w:lastRow="0" w:firstColumn="1" w:lastColumn="0" w:noHBand="0" w:noVBand="1"/>
      </w:tblPr>
      <w:tblGrid>
        <w:gridCol w:w="7821"/>
        <w:gridCol w:w="1940"/>
      </w:tblGrid>
      <w:tr w:rsidR="00B1562B" w:rsidRPr="000E7F2F" w14:paraId="6FCA12C4" w14:textId="77777777" w:rsidTr="00B1562B">
        <w:trPr>
          <w:trHeight w:val="232"/>
        </w:trPr>
        <w:tc>
          <w:tcPr>
            <w:tcW w:w="400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E888CE" w14:textId="77777777" w:rsidR="00B1562B" w:rsidRPr="000E7F2F" w:rsidRDefault="00B1562B">
            <w:pPr>
              <w:rPr>
                <w:rFonts w:ascii="Calibri" w:hAnsi="Calibri" w:cs="Calibri"/>
                <w:color w:val="000000"/>
                <w:sz w:val="18"/>
                <w:szCs w:val="18"/>
              </w:rPr>
            </w:pPr>
            <w:r>
              <w:rPr>
                <w:rFonts w:ascii="Calibri" w:hAnsi="Calibri" w:cs="Calibri"/>
                <w:color w:val="000000"/>
                <w:sz w:val="18"/>
                <w:szCs w:val="18"/>
              </w:rPr>
              <w:t> </w:t>
            </w:r>
            <w:r w:rsidRPr="000E7F2F">
              <w:rPr>
                <w:rFonts w:ascii="Arial" w:hAnsi="Arial" w:cs="Arial"/>
                <w:b/>
                <w:bCs/>
                <w:color w:val="000000"/>
                <w:sz w:val="18"/>
                <w:szCs w:val="18"/>
              </w:rPr>
              <w:t>Composição:</w:t>
            </w:r>
          </w:p>
        </w:tc>
        <w:tc>
          <w:tcPr>
            <w:tcW w:w="994" w:type="pct"/>
            <w:tcBorders>
              <w:top w:val="single" w:sz="8" w:space="0" w:color="auto"/>
              <w:left w:val="nil"/>
              <w:bottom w:val="single" w:sz="8" w:space="0" w:color="auto"/>
              <w:right w:val="single" w:sz="8" w:space="0" w:color="auto"/>
            </w:tcBorders>
            <w:vAlign w:val="center"/>
            <w:hideMark/>
          </w:tcPr>
          <w:p w14:paraId="7DD50267" w14:textId="77777777" w:rsidR="00B1562B" w:rsidRPr="000E7F2F" w:rsidRDefault="00B1562B">
            <w:pPr>
              <w:jc w:val="center"/>
              <w:rPr>
                <w:rFonts w:ascii="Arial" w:hAnsi="Arial" w:cs="Arial"/>
                <w:b/>
                <w:bCs/>
                <w:color w:val="000000"/>
                <w:sz w:val="18"/>
                <w:szCs w:val="18"/>
              </w:rPr>
            </w:pPr>
            <w:r w:rsidRPr="000E7F2F">
              <w:rPr>
                <w:rFonts w:ascii="Arial" w:hAnsi="Arial" w:cs="Arial"/>
                <w:b/>
                <w:bCs/>
                <w:color w:val="000000"/>
                <w:sz w:val="18"/>
                <w:szCs w:val="18"/>
              </w:rPr>
              <w:t>31/03/2026</w:t>
            </w:r>
          </w:p>
        </w:tc>
      </w:tr>
      <w:tr w:rsidR="00B1562B" w:rsidRPr="000E7F2F" w14:paraId="26556984" w14:textId="77777777" w:rsidTr="00B1562B">
        <w:trPr>
          <w:trHeight w:val="232"/>
        </w:trPr>
        <w:tc>
          <w:tcPr>
            <w:tcW w:w="4006" w:type="pct"/>
            <w:tcBorders>
              <w:top w:val="nil"/>
              <w:left w:val="single" w:sz="8" w:space="0" w:color="auto"/>
              <w:bottom w:val="single" w:sz="8" w:space="0" w:color="auto"/>
              <w:right w:val="single" w:sz="8" w:space="0" w:color="auto"/>
            </w:tcBorders>
            <w:noWrap/>
            <w:vAlign w:val="center"/>
            <w:hideMark/>
          </w:tcPr>
          <w:p w14:paraId="363ED207" w14:textId="77777777" w:rsidR="00B1562B" w:rsidRPr="000E7F2F" w:rsidRDefault="00B1562B">
            <w:pPr>
              <w:rPr>
                <w:rFonts w:ascii="Arial" w:hAnsi="Arial" w:cs="Arial"/>
                <w:b/>
                <w:bCs/>
                <w:color w:val="000000"/>
                <w:sz w:val="18"/>
                <w:szCs w:val="18"/>
              </w:rPr>
            </w:pPr>
            <w:r w:rsidRPr="000E7F2F">
              <w:rPr>
                <w:rFonts w:ascii="Arial" w:hAnsi="Arial" w:cs="Arial"/>
                <w:b/>
                <w:bCs/>
                <w:color w:val="000000"/>
                <w:sz w:val="18"/>
                <w:szCs w:val="18"/>
              </w:rPr>
              <w:t>Saldo em 31 de dezembro de 2025</w:t>
            </w:r>
          </w:p>
        </w:tc>
        <w:tc>
          <w:tcPr>
            <w:tcW w:w="994" w:type="pct"/>
            <w:tcBorders>
              <w:top w:val="nil"/>
              <w:left w:val="nil"/>
              <w:bottom w:val="single" w:sz="8" w:space="0" w:color="auto"/>
              <w:right w:val="single" w:sz="8" w:space="0" w:color="auto"/>
            </w:tcBorders>
            <w:noWrap/>
            <w:vAlign w:val="center"/>
            <w:hideMark/>
          </w:tcPr>
          <w:p w14:paraId="230C34E1" w14:textId="77777777" w:rsidR="00B1562B" w:rsidRPr="000E7F2F" w:rsidRDefault="00B1562B">
            <w:pPr>
              <w:jc w:val="right"/>
              <w:rPr>
                <w:rFonts w:ascii="Arial" w:hAnsi="Arial" w:cs="Arial"/>
                <w:b/>
                <w:bCs/>
                <w:color w:val="000000"/>
                <w:sz w:val="18"/>
                <w:szCs w:val="18"/>
              </w:rPr>
            </w:pPr>
            <w:r w:rsidRPr="000E7F2F">
              <w:rPr>
                <w:rFonts w:ascii="Arial" w:hAnsi="Arial" w:cs="Arial"/>
                <w:b/>
                <w:bCs/>
                <w:color w:val="000000"/>
                <w:sz w:val="18"/>
                <w:szCs w:val="18"/>
              </w:rPr>
              <w:t xml:space="preserve">      76.332 </w:t>
            </w:r>
          </w:p>
        </w:tc>
      </w:tr>
      <w:tr w:rsidR="00B1562B" w:rsidRPr="000E7F2F" w14:paraId="1FB1B6D9" w14:textId="77777777" w:rsidTr="00B1562B">
        <w:trPr>
          <w:trHeight w:val="232"/>
        </w:trPr>
        <w:tc>
          <w:tcPr>
            <w:tcW w:w="4006" w:type="pct"/>
            <w:tcBorders>
              <w:top w:val="nil"/>
              <w:left w:val="single" w:sz="8" w:space="0" w:color="auto"/>
              <w:bottom w:val="single" w:sz="8" w:space="0" w:color="auto"/>
              <w:right w:val="single" w:sz="8" w:space="0" w:color="auto"/>
            </w:tcBorders>
            <w:vAlign w:val="center"/>
            <w:hideMark/>
          </w:tcPr>
          <w:p w14:paraId="35BDB543" w14:textId="77777777" w:rsidR="00B1562B" w:rsidRPr="000E7F2F" w:rsidRDefault="00B1562B">
            <w:pPr>
              <w:rPr>
                <w:rFonts w:ascii="Arial" w:hAnsi="Arial" w:cs="Arial"/>
                <w:color w:val="000000"/>
                <w:sz w:val="18"/>
                <w:szCs w:val="18"/>
              </w:rPr>
            </w:pPr>
            <w:r w:rsidRPr="000E7F2F">
              <w:rPr>
                <w:rFonts w:ascii="Arial" w:hAnsi="Arial" w:cs="Arial"/>
                <w:color w:val="000000"/>
                <w:sz w:val="18"/>
                <w:szCs w:val="18"/>
              </w:rPr>
              <w:t xml:space="preserve"> Resultado de Equivalência Patrimonial do Período</w:t>
            </w:r>
          </w:p>
        </w:tc>
        <w:tc>
          <w:tcPr>
            <w:tcW w:w="994" w:type="pct"/>
            <w:tcBorders>
              <w:top w:val="nil"/>
              <w:left w:val="nil"/>
              <w:bottom w:val="single" w:sz="8" w:space="0" w:color="auto"/>
              <w:right w:val="single" w:sz="8" w:space="0" w:color="auto"/>
            </w:tcBorders>
            <w:noWrap/>
            <w:vAlign w:val="center"/>
            <w:hideMark/>
          </w:tcPr>
          <w:p w14:paraId="49DF89AE" w14:textId="77777777" w:rsidR="00B1562B" w:rsidRPr="000E7F2F" w:rsidRDefault="00B1562B">
            <w:pPr>
              <w:jc w:val="right"/>
              <w:rPr>
                <w:rFonts w:ascii="Arial" w:hAnsi="Arial" w:cs="Arial"/>
                <w:color w:val="000000"/>
                <w:sz w:val="18"/>
                <w:szCs w:val="18"/>
              </w:rPr>
            </w:pPr>
            <w:r w:rsidRPr="000E7F2F">
              <w:rPr>
                <w:rFonts w:ascii="Arial" w:hAnsi="Arial" w:cs="Arial"/>
                <w:color w:val="000000"/>
                <w:sz w:val="18"/>
                <w:szCs w:val="18"/>
              </w:rPr>
              <w:t xml:space="preserve">            (82)</w:t>
            </w:r>
          </w:p>
        </w:tc>
      </w:tr>
      <w:tr w:rsidR="00B1562B" w:rsidRPr="000E7F2F" w14:paraId="778AEAE7" w14:textId="77777777" w:rsidTr="00B1562B">
        <w:trPr>
          <w:trHeight w:val="232"/>
        </w:trPr>
        <w:tc>
          <w:tcPr>
            <w:tcW w:w="4006" w:type="pct"/>
            <w:tcBorders>
              <w:top w:val="nil"/>
              <w:left w:val="single" w:sz="8" w:space="0" w:color="auto"/>
              <w:bottom w:val="single" w:sz="8" w:space="0" w:color="auto"/>
              <w:right w:val="single" w:sz="8" w:space="0" w:color="auto"/>
            </w:tcBorders>
            <w:noWrap/>
            <w:vAlign w:val="center"/>
            <w:hideMark/>
          </w:tcPr>
          <w:p w14:paraId="7FC0661D" w14:textId="77777777" w:rsidR="00B1562B" w:rsidRPr="000E7F2F" w:rsidRDefault="00B1562B">
            <w:pPr>
              <w:rPr>
                <w:rFonts w:ascii="Arial" w:hAnsi="Arial" w:cs="Arial"/>
                <w:color w:val="000000"/>
                <w:sz w:val="18"/>
                <w:szCs w:val="18"/>
              </w:rPr>
            </w:pPr>
            <w:r w:rsidRPr="000E7F2F">
              <w:rPr>
                <w:rFonts w:ascii="Arial" w:hAnsi="Arial" w:cs="Arial"/>
                <w:color w:val="000000"/>
                <w:sz w:val="18"/>
                <w:szCs w:val="18"/>
              </w:rPr>
              <w:t xml:space="preserve"> Equivalência Patrimonial Reflexa - PL de Coligadas</w:t>
            </w:r>
          </w:p>
        </w:tc>
        <w:tc>
          <w:tcPr>
            <w:tcW w:w="994" w:type="pct"/>
            <w:tcBorders>
              <w:top w:val="nil"/>
              <w:left w:val="nil"/>
              <w:bottom w:val="single" w:sz="8" w:space="0" w:color="auto"/>
              <w:right w:val="single" w:sz="8" w:space="0" w:color="auto"/>
            </w:tcBorders>
            <w:noWrap/>
            <w:vAlign w:val="center"/>
            <w:hideMark/>
          </w:tcPr>
          <w:p w14:paraId="131A6B16" w14:textId="77777777" w:rsidR="00B1562B" w:rsidRPr="000E7F2F" w:rsidRDefault="00B1562B">
            <w:pPr>
              <w:jc w:val="right"/>
              <w:rPr>
                <w:rFonts w:ascii="Arial" w:hAnsi="Arial" w:cs="Arial"/>
                <w:color w:val="000000"/>
                <w:sz w:val="18"/>
                <w:szCs w:val="18"/>
              </w:rPr>
            </w:pPr>
            <w:r w:rsidRPr="000E7F2F">
              <w:rPr>
                <w:rFonts w:ascii="Arial" w:hAnsi="Arial" w:cs="Arial"/>
                <w:color w:val="000000"/>
                <w:sz w:val="18"/>
                <w:szCs w:val="18"/>
              </w:rPr>
              <w:t xml:space="preserve">          (740)</w:t>
            </w:r>
          </w:p>
        </w:tc>
      </w:tr>
      <w:tr w:rsidR="00B1562B" w14:paraId="4A15559A" w14:textId="77777777" w:rsidTr="00B1562B">
        <w:trPr>
          <w:trHeight w:val="232"/>
        </w:trPr>
        <w:tc>
          <w:tcPr>
            <w:tcW w:w="4006" w:type="pct"/>
            <w:tcBorders>
              <w:top w:val="nil"/>
              <w:left w:val="single" w:sz="8" w:space="0" w:color="auto"/>
              <w:bottom w:val="single" w:sz="8" w:space="0" w:color="auto"/>
              <w:right w:val="single" w:sz="8" w:space="0" w:color="auto"/>
            </w:tcBorders>
            <w:noWrap/>
            <w:vAlign w:val="center"/>
            <w:hideMark/>
          </w:tcPr>
          <w:p w14:paraId="27629DCD" w14:textId="77777777" w:rsidR="00B1562B" w:rsidRPr="000E7F2F" w:rsidRDefault="00B1562B">
            <w:pPr>
              <w:rPr>
                <w:rFonts w:ascii="Arial" w:hAnsi="Arial" w:cs="Arial"/>
                <w:b/>
                <w:bCs/>
                <w:color w:val="000000"/>
                <w:sz w:val="18"/>
                <w:szCs w:val="18"/>
              </w:rPr>
            </w:pPr>
            <w:r w:rsidRPr="000E7F2F">
              <w:rPr>
                <w:rFonts w:ascii="Arial" w:hAnsi="Arial" w:cs="Arial"/>
                <w:b/>
                <w:bCs/>
                <w:color w:val="000000"/>
                <w:sz w:val="18"/>
                <w:szCs w:val="18"/>
              </w:rPr>
              <w:t>Saldo em 31 de março de 2026</w:t>
            </w:r>
          </w:p>
        </w:tc>
        <w:tc>
          <w:tcPr>
            <w:tcW w:w="994" w:type="pct"/>
            <w:tcBorders>
              <w:top w:val="nil"/>
              <w:left w:val="nil"/>
              <w:bottom w:val="single" w:sz="8" w:space="0" w:color="auto"/>
              <w:right w:val="single" w:sz="8" w:space="0" w:color="auto"/>
            </w:tcBorders>
            <w:noWrap/>
            <w:vAlign w:val="center"/>
            <w:hideMark/>
          </w:tcPr>
          <w:p w14:paraId="0D4C7AF2" w14:textId="77777777" w:rsidR="00B1562B" w:rsidRDefault="00B1562B">
            <w:pPr>
              <w:jc w:val="right"/>
              <w:rPr>
                <w:rFonts w:ascii="Arial" w:hAnsi="Arial" w:cs="Arial"/>
                <w:b/>
                <w:bCs/>
                <w:color w:val="000000"/>
                <w:sz w:val="18"/>
                <w:szCs w:val="18"/>
              </w:rPr>
            </w:pPr>
            <w:r w:rsidRPr="000E7F2F">
              <w:rPr>
                <w:rFonts w:ascii="Arial" w:hAnsi="Arial" w:cs="Arial"/>
                <w:b/>
                <w:bCs/>
                <w:color w:val="000000"/>
                <w:sz w:val="18"/>
                <w:szCs w:val="18"/>
              </w:rPr>
              <w:t xml:space="preserve">      75.510</w:t>
            </w:r>
            <w:r>
              <w:rPr>
                <w:rFonts w:ascii="Arial" w:hAnsi="Arial" w:cs="Arial"/>
                <w:b/>
                <w:bCs/>
                <w:color w:val="000000"/>
                <w:sz w:val="18"/>
                <w:szCs w:val="18"/>
              </w:rPr>
              <w:t xml:space="preserve"> </w:t>
            </w:r>
          </w:p>
        </w:tc>
      </w:tr>
    </w:tbl>
    <w:p w14:paraId="4DC90946" w14:textId="77777777" w:rsidR="00B1562B" w:rsidRDefault="00B1562B" w:rsidP="00EE4F13">
      <w:pPr>
        <w:rPr>
          <w:sz w:val="16"/>
          <w:szCs w:val="16"/>
        </w:rPr>
      </w:pPr>
    </w:p>
    <w:p w14:paraId="6C8A9A78" w14:textId="6AF27F21" w:rsidR="00C3125E" w:rsidRPr="002A36CE" w:rsidRDefault="00C3125E" w:rsidP="009541E1">
      <w:pPr>
        <w:pStyle w:val="Ttulo2"/>
        <w:numPr>
          <w:ilvl w:val="1"/>
          <w:numId w:val="7"/>
        </w:numPr>
        <w:tabs>
          <w:tab w:val="clear" w:pos="284"/>
          <w:tab w:val="clear" w:pos="340"/>
        </w:tabs>
        <w:spacing w:before="0" w:after="0"/>
        <w:ind w:left="851" w:hanging="851"/>
        <w:jc w:val="both"/>
        <w:rPr>
          <w:rFonts w:ascii="Arial" w:hAnsi="Arial" w:cs="Arial"/>
        </w:rPr>
      </w:pPr>
      <w:bookmarkStart w:id="29" w:name="_Toc491337730"/>
      <w:r w:rsidRPr="002A36CE">
        <w:rPr>
          <w:rFonts w:ascii="Arial" w:hAnsi="Arial" w:cs="Arial"/>
        </w:rPr>
        <w:t>Informações contábeis da coligada</w:t>
      </w:r>
      <w:bookmarkEnd w:id="29"/>
    </w:p>
    <w:p w14:paraId="1C54E9E7" w14:textId="77777777" w:rsidR="00C3125E" w:rsidRPr="002A36CE" w:rsidRDefault="00C3125E" w:rsidP="00C3125E"/>
    <w:p w14:paraId="009E0396" w14:textId="0CBA3D99" w:rsidR="00C3125E" w:rsidRPr="002A36CE" w:rsidRDefault="00C3125E" w:rsidP="009541E1">
      <w:pPr>
        <w:pStyle w:val="Ttulo2"/>
        <w:numPr>
          <w:ilvl w:val="2"/>
          <w:numId w:val="7"/>
        </w:numPr>
        <w:tabs>
          <w:tab w:val="clear" w:pos="284"/>
          <w:tab w:val="clear" w:pos="340"/>
        </w:tabs>
        <w:spacing w:before="0" w:after="0"/>
        <w:ind w:left="851" w:hanging="851"/>
        <w:jc w:val="both"/>
        <w:rPr>
          <w:rFonts w:ascii="Arial" w:hAnsi="Arial" w:cs="Arial"/>
        </w:rPr>
      </w:pPr>
      <w:bookmarkStart w:id="30" w:name="_Toc491337731"/>
      <w:r w:rsidRPr="002A36CE">
        <w:rPr>
          <w:rFonts w:ascii="Arial" w:hAnsi="Arial" w:cs="Arial"/>
        </w:rPr>
        <w:t>Visiona Tecnologia Espacial S.A</w:t>
      </w:r>
      <w:bookmarkEnd w:id="30"/>
    </w:p>
    <w:p w14:paraId="3A2F75A9" w14:textId="4D4A010E" w:rsidR="00F60F69" w:rsidRDefault="00F60F69" w:rsidP="00B10E0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DB687B" w:rsidRPr="000E7F2F" w14:paraId="006AB767" w14:textId="77777777" w:rsidTr="000E7F2F">
        <w:trPr>
          <w:trHeight w:val="232"/>
          <w:tblHeader/>
        </w:trPr>
        <w:tc>
          <w:tcPr>
            <w:tcW w:w="3022" w:type="pct"/>
            <w:shd w:val="clear" w:color="000000" w:fill="D9D9D9"/>
            <w:noWrap/>
            <w:vAlign w:val="center"/>
            <w:hideMark/>
          </w:tcPr>
          <w:p w14:paraId="558121A0" w14:textId="77777777" w:rsidR="00DB687B" w:rsidRPr="000E7F2F" w:rsidRDefault="00DB687B">
            <w:pPr>
              <w:rPr>
                <w:rFonts w:ascii="Arial" w:hAnsi="Arial" w:cs="Arial"/>
                <w:color w:val="000000"/>
                <w:sz w:val="18"/>
                <w:szCs w:val="18"/>
              </w:rPr>
            </w:pPr>
            <w:r>
              <w:rPr>
                <w:rFonts w:ascii="Arial" w:hAnsi="Arial" w:cs="Arial"/>
                <w:color w:val="000000"/>
                <w:sz w:val="18"/>
                <w:szCs w:val="18"/>
              </w:rPr>
              <w:t> </w:t>
            </w:r>
            <w:r w:rsidRPr="000E7F2F">
              <w:rPr>
                <w:rFonts w:ascii="Arial" w:hAnsi="Arial" w:cs="Arial"/>
                <w:b/>
                <w:bCs/>
                <w:color w:val="000000"/>
                <w:sz w:val="18"/>
                <w:szCs w:val="18"/>
              </w:rPr>
              <w:t xml:space="preserve">Balanço Patrimonial </w:t>
            </w:r>
          </w:p>
        </w:tc>
        <w:tc>
          <w:tcPr>
            <w:tcW w:w="989" w:type="pct"/>
            <w:noWrap/>
            <w:vAlign w:val="center"/>
            <w:hideMark/>
          </w:tcPr>
          <w:p w14:paraId="55F3E9EA" w14:textId="77777777" w:rsidR="00DB687B" w:rsidRPr="000E7F2F" w:rsidRDefault="00DB687B">
            <w:pPr>
              <w:jc w:val="center"/>
              <w:rPr>
                <w:rFonts w:ascii="Arial" w:hAnsi="Arial" w:cs="Arial"/>
                <w:b/>
                <w:bCs/>
                <w:color w:val="000000"/>
                <w:sz w:val="18"/>
                <w:szCs w:val="18"/>
              </w:rPr>
            </w:pPr>
            <w:r w:rsidRPr="000E7F2F">
              <w:rPr>
                <w:rFonts w:ascii="Arial" w:hAnsi="Arial" w:cs="Arial"/>
                <w:b/>
                <w:bCs/>
                <w:color w:val="000000"/>
                <w:sz w:val="18"/>
                <w:szCs w:val="18"/>
                <w:lang w:eastAsia="en-US"/>
              </w:rPr>
              <w:t>31/03/2026</w:t>
            </w:r>
          </w:p>
        </w:tc>
        <w:tc>
          <w:tcPr>
            <w:tcW w:w="989" w:type="pct"/>
            <w:noWrap/>
            <w:vAlign w:val="center"/>
            <w:hideMark/>
          </w:tcPr>
          <w:p w14:paraId="09619A57" w14:textId="77777777" w:rsidR="00DB687B" w:rsidRPr="000E7F2F" w:rsidRDefault="00DB687B">
            <w:pPr>
              <w:jc w:val="center"/>
              <w:rPr>
                <w:rFonts w:ascii="Arial" w:hAnsi="Arial" w:cs="Arial"/>
                <w:b/>
                <w:bCs/>
                <w:color w:val="000000"/>
                <w:sz w:val="18"/>
                <w:szCs w:val="18"/>
              </w:rPr>
            </w:pPr>
            <w:r w:rsidRPr="000E7F2F">
              <w:rPr>
                <w:rFonts w:ascii="Arial" w:hAnsi="Arial" w:cs="Arial"/>
                <w:b/>
                <w:bCs/>
                <w:color w:val="000000"/>
                <w:sz w:val="18"/>
                <w:szCs w:val="18"/>
                <w:lang w:eastAsia="en-US"/>
              </w:rPr>
              <w:t>31/12/2025</w:t>
            </w:r>
          </w:p>
        </w:tc>
      </w:tr>
      <w:tr w:rsidR="00DB687B" w:rsidRPr="000E7F2F" w14:paraId="2A754FFD" w14:textId="77777777" w:rsidTr="00DB687B">
        <w:trPr>
          <w:trHeight w:val="232"/>
        </w:trPr>
        <w:tc>
          <w:tcPr>
            <w:tcW w:w="3022" w:type="pct"/>
            <w:noWrap/>
            <w:vAlign w:val="center"/>
            <w:hideMark/>
          </w:tcPr>
          <w:p w14:paraId="190A9BF3"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t xml:space="preserve">Ativo </w:t>
            </w:r>
          </w:p>
        </w:tc>
        <w:tc>
          <w:tcPr>
            <w:tcW w:w="989" w:type="pct"/>
            <w:noWrap/>
            <w:vAlign w:val="center"/>
            <w:hideMark/>
          </w:tcPr>
          <w:p w14:paraId="470D6F3A"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 </w:t>
            </w:r>
          </w:p>
        </w:tc>
        <w:tc>
          <w:tcPr>
            <w:tcW w:w="989" w:type="pct"/>
            <w:noWrap/>
            <w:vAlign w:val="center"/>
            <w:hideMark/>
          </w:tcPr>
          <w:p w14:paraId="6970E104"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 </w:t>
            </w:r>
          </w:p>
        </w:tc>
      </w:tr>
      <w:tr w:rsidR="00794BB1" w:rsidRPr="000E7F2F" w14:paraId="1B12C604" w14:textId="77777777" w:rsidTr="00DB687B">
        <w:trPr>
          <w:trHeight w:val="232"/>
        </w:trPr>
        <w:tc>
          <w:tcPr>
            <w:tcW w:w="3022" w:type="pct"/>
            <w:noWrap/>
            <w:vAlign w:val="center"/>
            <w:hideMark/>
          </w:tcPr>
          <w:p w14:paraId="718A6836" w14:textId="77777777" w:rsidR="00794BB1" w:rsidRPr="000E7F2F" w:rsidRDefault="00794BB1" w:rsidP="00794BB1">
            <w:pPr>
              <w:rPr>
                <w:rFonts w:ascii="Arial" w:hAnsi="Arial" w:cs="Arial"/>
                <w:b/>
                <w:bCs/>
                <w:color w:val="000000"/>
                <w:sz w:val="18"/>
                <w:szCs w:val="18"/>
              </w:rPr>
            </w:pPr>
            <w:r w:rsidRPr="000E7F2F">
              <w:rPr>
                <w:rFonts w:ascii="Arial" w:hAnsi="Arial" w:cs="Arial"/>
                <w:b/>
                <w:bCs/>
                <w:color w:val="000000"/>
                <w:sz w:val="18"/>
                <w:szCs w:val="18"/>
              </w:rPr>
              <w:t>Circulante</w:t>
            </w:r>
          </w:p>
        </w:tc>
        <w:tc>
          <w:tcPr>
            <w:tcW w:w="989" w:type="pct"/>
            <w:noWrap/>
            <w:vAlign w:val="center"/>
            <w:hideMark/>
          </w:tcPr>
          <w:p w14:paraId="65CCCE82" w14:textId="77777777" w:rsidR="00794BB1" w:rsidRPr="000E7F2F" w:rsidRDefault="00794BB1" w:rsidP="00794BB1">
            <w:pPr>
              <w:jc w:val="right"/>
              <w:rPr>
                <w:rFonts w:ascii="Arial" w:hAnsi="Arial" w:cs="Arial"/>
                <w:b/>
                <w:bCs/>
                <w:color w:val="000000"/>
                <w:sz w:val="18"/>
                <w:szCs w:val="18"/>
              </w:rPr>
            </w:pPr>
            <w:r w:rsidRPr="000E7F2F">
              <w:rPr>
                <w:rFonts w:ascii="Arial" w:hAnsi="Arial" w:cs="Arial"/>
                <w:b/>
                <w:bCs/>
                <w:color w:val="000000"/>
                <w:sz w:val="18"/>
                <w:szCs w:val="18"/>
              </w:rPr>
              <w:t>178.270</w:t>
            </w:r>
          </w:p>
        </w:tc>
        <w:tc>
          <w:tcPr>
            <w:tcW w:w="989" w:type="pct"/>
            <w:noWrap/>
            <w:vAlign w:val="center"/>
            <w:hideMark/>
          </w:tcPr>
          <w:p w14:paraId="7D1B4AD5" w14:textId="7C7BE38B" w:rsidR="00794BB1" w:rsidRPr="000E7F2F" w:rsidRDefault="00794BB1" w:rsidP="00794BB1">
            <w:pPr>
              <w:jc w:val="right"/>
              <w:rPr>
                <w:rFonts w:ascii="Arial" w:hAnsi="Arial" w:cs="Arial"/>
                <w:b/>
                <w:bCs/>
                <w:color w:val="000000"/>
                <w:sz w:val="18"/>
                <w:szCs w:val="18"/>
              </w:rPr>
            </w:pPr>
            <w:r>
              <w:rPr>
                <w:rFonts w:ascii="Arial" w:hAnsi="Arial" w:cs="Arial"/>
                <w:b/>
                <w:bCs/>
                <w:color w:val="000000"/>
                <w:sz w:val="18"/>
                <w:szCs w:val="18"/>
              </w:rPr>
              <w:t>165.058</w:t>
            </w:r>
          </w:p>
        </w:tc>
      </w:tr>
      <w:tr w:rsidR="00794BB1" w:rsidRPr="000E7F2F" w14:paraId="29A8C07B" w14:textId="77777777" w:rsidTr="00DB687B">
        <w:trPr>
          <w:trHeight w:val="232"/>
        </w:trPr>
        <w:tc>
          <w:tcPr>
            <w:tcW w:w="3022" w:type="pct"/>
            <w:noWrap/>
            <w:vAlign w:val="center"/>
            <w:hideMark/>
          </w:tcPr>
          <w:p w14:paraId="3A434C03" w14:textId="77777777" w:rsidR="00794BB1" w:rsidRPr="000E7F2F" w:rsidRDefault="00794BB1" w:rsidP="00794BB1">
            <w:pPr>
              <w:rPr>
                <w:rFonts w:ascii="Arial" w:hAnsi="Arial" w:cs="Arial"/>
                <w:b/>
                <w:bCs/>
                <w:color w:val="000000"/>
                <w:sz w:val="18"/>
                <w:szCs w:val="18"/>
              </w:rPr>
            </w:pPr>
            <w:r w:rsidRPr="000E7F2F">
              <w:rPr>
                <w:rFonts w:ascii="Arial" w:hAnsi="Arial" w:cs="Arial"/>
                <w:b/>
                <w:bCs/>
                <w:color w:val="000000"/>
                <w:sz w:val="18"/>
                <w:szCs w:val="18"/>
              </w:rPr>
              <w:t>Não Circulante</w:t>
            </w:r>
          </w:p>
        </w:tc>
        <w:tc>
          <w:tcPr>
            <w:tcW w:w="989" w:type="pct"/>
            <w:noWrap/>
            <w:vAlign w:val="center"/>
            <w:hideMark/>
          </w:tcPr>
          <w:p w14:paraId="42C7F0A6" w14:textId="77777777" w:rsidR="00794BB1" w:rsidRPr="000E7F2F" w:rsidRDefault="00794BB1" w:rsidP="00794BB1">
            <w:pPr>
              <w:jc w:val="right"/>
              <w:rPr>
                <w:rFonts w:ascii="Arial" w:hAnsi="Arial" w:cs="Arial"/>
                <w:b/>
                <w:bCs/>
                <w:color w:val="000000"/>
                <w:sz w:val="18"/>
                <w:szCs w:val="18"/>
              </w:rPr>
            </w:pPr>
            <w:r w:rsidRPr="000E7F2F">
              <w:rPr>
                <w:rFonts w:ascii="Arial" w:hAnsi="Arial" w:cs="Arial"/>
                <w:b/>
                <w:bCs/>
                <w:color w:val="000000"/>
                <w:sz w:val="18"/>
                <w:szCs w:val="18"/>
              </w:rPr>
              <w:t>35.560</w:t>
            </w:r>
          </w:p>
        </w:tc>
        <w:tc>
          <w:tcPr>
            <w:tcW w:w="989" w:type="pct"/>
            <w:noWrap/>
            <w:vAlign w:val="center"/>
            <w:hideMark/>
          </w:tcPr>
          <w:p w14:paraId="0B67D6D1" w14:textId="0B92518A" w:rsidR="00794BB1" w:rsidRPr="000E7F2F" w:rsidRDefault="00794BB1" w:rsidP="00794BB1">
            <w:pPr>
              <w:jc w:val="right"/>
              <w:rPr>
                <w:rFonts w:ascii="Arial" w:hAnsi="Arial" w:cs="Arial"/>
                <w:b/>
                <w:bCs/>
                <w:color w:val="000000"/>
                <w:sz w:val="18"/>
                <w:szCs w:val="18"/>
              </w:rPr>
            </w:pPr>
            <w:r>
              <w:rPr>
                <w:rFonts w:ascii="Arial" w:hAnsi="Arial" w:cs="Arial"/>
                <w:b/>
                <w:bCs/>
                <w:color w:val="000000"/>
                <w:sz w:val="18"/>
                <w:szCs w:val="18"/>
              </w:rPr>
              <w:t>41.740</w:t>
            </w:r>
          </w:p>
        </w:tc>
      </w:tr>
      <w:tr w:rsidR="00794BB1" w:rsidRPr="000E7F2F" w14:paraId="4F997765" w14:textId="77777777" w:rsidTr="00DB687B">
        <w:trPr>
          <w:trHeight w:val="232"/>
        </w:trPr>
        <w:tc>
          <w:tcPr>
            <w:tcW w:w="3022" w:type="pct"/>
            <w:noWrap/>
            <w:vAlign w:val="center"/>
            <w:hideMark/>
          </w:tcPr>
          <w:p w14:paraId="49ECFD22" w14:textId="77777777" w:rsidR="00794BB1" w:rsidRPr="000E7F2F" w:rsidRDefault="00794BB1" w:rsidP="00794BB1">
            <w:pPr>
              <w:rPr>
                <w:rFonts w:ascii="Arial" w:hAnsi="Arial" w:cs="Arial"/>
                <w:color w:val="000000"/>
                <w:sz w:val="18"/>
                <w:szCs w:val="18"/>
              </w:rPr>
            </w:pPr>
            <w:r w:rsidRPr="000E7F2F">
              <w:rPr>
                <w:rFonts w:ascii="Arial" w:hAnsi="Arial" w:cs="Arial"/>
                <w:color w:val="000000"/>
                <w:sz w:val="18"/>
                <w:szCs w:val="18"/>
              </w:rPr>
              <w:t xml:space="preserve"> Realizável a Longo Prazo</w:t>
            </w:r>
          </w:p>
        </w:tc>
        <w:tc>
          <w:tcPr>
            <w:tcW w:w="989" w:type="pct"/>
            <w:noWrap/>
            <w:vAlign w:val="center"/>
            <w:hideMark/>
          </w:tcPr>
          <w:p w14:paraId="23B7E203" w14:textId="77777777" w:rsidR="00794BB1" w:rsidRPr="000E7F2F" w:rsidRDefault="00794BB1" w:rsidP="00794BB1">
            <w:pPr>
              <w:jc w:val="right"/>
              <w:rPr>
                <w:rFonts w:ascii="Arial" w:hAnsi="Arial" w:cs="Arial"/>
                <w:color w:val="000000"/>
                <w:sz w:val="18"/>
                <w:szCs w:val="18"/>
              </w:rPr>
            </w:pPr>
            <w:r w:rsidRPr="000E7F2F">
              <w:rPr>
                <w:rFonts w:ascii="Arial" w:hAnsi="Arial" w:cs="Arial"/>
                <w:color w:val="000000"/>
                <w:sz w:val="18"/>
                <w:szCs w:val="18"/>
              </w:rPr>
              <w:t>699</w:t>
            </w:r>
          </w:p>
        </w:tc>
        <w:tc>
          <w:tcPr>
            <w:tcW w:w="989" w:type="pct"/>
            <w:noWrap/>
            <w:vAlign w:val="center"/>
            <w:hideMark/>
          </w:tcPr>
          <w:p w14:paraId="60664CB4" w14:textId="781F0866" w:rsidR="00794BB1" w:rsidRPr="000E7F2F" w:rsidRDefault="00794BB1" w:rsidP="00794BB1">
            <w:pPr>
              <w:jc w:val="right"/>
              <w:rPr>
                <w:rFonts w:ascii="Arial" w:hAnsi="Arial" w:cs="Arial"/>
                <w:color w:val="000000"/>
                <w:sz w:val="18"/>
                <w:szCs w:val="18"/>
              </w:rPr>
            </w:pPr>
            <w:r>
              <w:rPr>
                <w:rFonts w:ascii="Arial" w:hAnsi="Arial" w:cs="Arial"/>
                <w:color w:val="000000"/>
                <w:sz w:val="18"/>
                <w:szCs w:val="18"/>
              </w:rPr>
              <w:t>767</w:t>
            </w:r>
          </w:p>
        </w:tc>
      </w:tr>
      <w:tr w:rsidR="00DB687B" w:rsidRPr="000E7F2F" w14:paraId="37B48E16" w14:textId="77777777" w:rsidTr="00DB687B">
        <w:trPr>
          <w:trHeight w:val="232"/>
        </w:trPr>
        <w:tc>
          <w:tcPr>
            <w:tcW w:w="3022" w:type="pct"/>
            <w:noWrap/>
            <w:vAlign w:val="center"/>
            <w:hideMark/>
          </w:tcPr>
          <w:p w14:paraId="4D864E02" w14:textId="77777777" w:rsidR="00DB687B" w:rsidRPr="000E7F2F" w:rsidRDefault="00DB687B">
            <w:pPr>
              <w:rPr>
                <w:rFonts w:ascii="Arial" w:hAnsi="Arial" w:cs="Arial"/>
                <w:color w:val="000000"/>
                <w:sz w:val="18"/>
                <w:szCs w:val="18"/>
              </w:rPr>
            </w:pPr>
            <w:r w:rsidRPr="000E7F2F">
              <w:rPr>
                <w:rFonts w:ascii="Arial" w:hAnsi="Arial" w:cs="Arial"/>
                <w:color w:val="000000"/>
                <w:sz w:val="18"/>
                <w:szCs w:val="18"/>
              </w:rPr>
              <w:t xml:space="preserve"> Investimento</w:t>
            </w:r>
          </w:p>
        </w:tc>
        <w:tc>
          <w:tcPr>
            <w:tcW w:w="989" w:type="pct"/>
            <w:noWrap/>
            <w:vAlign w:val="center"/>
            <w:hideMark/>
          </w:tcPr>
          <w:p w14:paraId="346B8748"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27.930</w:t>
            </w:r>
          </w:p>
        </w:tc>
        <w:tc>
          <w:tcPr>
            <w:tcW w:w="989" w:type="pct"/>
            <w:noWrap/>
            <w:vAlign w:val="center"/>
            <w:hideMark/>
          </w:tcPr>
          <w:p w14:paraId="1C31A5DB"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29.362</w:t>
            </w:r>
          </w:p>
        </w:tc>
      </w:tr>
      <w:tr w:rsidR="00DB687B" w:rsidRPr="000E7F2F" w14:paraId="2374587F" w14:textId="77777777" w:rsidTr="00DB687B">
        <w:trPr>
          <w:trHeight w:val="232"/>
        </w:trPr>
        <w:tc>
          <w:tcPr>
            <w:tcW w:w="3022" w:type="pct"/>
            <w:noWrap/>
            <w:vAlign w:val="center"/>
            <w:hideMark/>
          </w:tcPr>
          <w:p w14:paraId="24BBBF6E" w14:textId="77777777" w:rsidR="00DB687B" w:rsidRPr="000E7F2F" w:rsidRDefault="00DB687B">
            <w:pPr>
              <w:rPr>
                <w:rFonts w:ascii="Arial" w:hAnsi="Arial" w:cs="Arial"/>
                <w:color w:val="000000"/>
                <w:sz w:val="18"/>
                <w:szCs w:val="18"/>
              </w:rPr>
            </w:pPr>
            <w:r w:rsidRPr="000E7F2F">
              <w:rPr>
                <w:rFonts w:ascii="Arial" w:hAnsi="Arial" w:cs="Arial"/>
                <w:color w:val="000000"/>
                <w:sz w:val="18"/>
                <w:szCs w:val="18"/>
              </w:rPr>
              <w:t xml:space="preserve"> Imobilizado</w:t>
            </w:r>
          </w:p>
        </w:tc>
        <w:tc>
          <w:tcPr>
            <w:tcW w:w="989" w:type="pct"/>
            <w:noWrap/>
            <w:vAlign w:val="center"/>
            <w:hideMark/>
          </w:tcPr>
          <w:p w14:paraId="51ABA5D8"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6.006</w:t>
            </w:r>
          </w:p>
        </w:tc>
        <w:tc>
          <w:tcPr>
            <w:tcW w:w="989" w:type="pct"/>
            <w:noWrap/>
            <w:vAlign w:val="center"/>
            <w:hideMark/>
          </w:tcPr>
          <w:p w14:paraId="410622DD"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10.196</w:t>
            </w:r>
          </w:p>
        </w:tc>
      </w:tr>
      <w:tr w:rsidR="00DB687B" w:rsidRPr="000E7F2F" w14:paraId="66BDBD2F" w14:textId="77777777" w:rsidTr="00DB687B">
        <w:trPr>
          <w:trHeight w:val="232"/>
        </w:trPr>
        <w:tc>
          <w:tcPr>
            <w:tcW w:w="3022" w:type="pct"/>
            <w:noWrap/>
            <w:vAlign w:val="center"/>
            <w:hideMark/>
          </w:tcPr>
          <w:p w14:paraId="4173BC4E" w14:textId="77777777" w:rsidR="00DB687B" w:rsidRPr="000E7F2F" w:rsidRDefault="00DB687B">
            <w:pPr>
              <w:rPr>
                <w:rFonts w:ascii="Arial" w:hAnsi="Arial" w:cs="Arial"/>
                <w:color w:val="000000"/>
                <w:sz w:val="18"/>
                <w:szCs w:val="18"/>
              </w:rPr>
            </w:pPr>
            <w:r w:rsidRPr="000E7F2F">
              <w:rPr>
                <w:rFonts w:ascii="Arial" w:hAnsi="Arial" w:cs="Arial"/>
                <w:color w:val="000000"/>
                <w:sz w:val="18"/>
                <w:szCs w:val="18"/>
              </w:rPr>
              <w:t xml:space="preserve"> Intangível</w:t>
            </w:r>
          </w:p>
        </w:tc>
        <w:tc>
          <w:tcPr>
            <w:tcW w:w="989" w:type="pct"/>
            <w:noWrap/>
            <w:vAlign w:val="center"/>
            <w:hideMark/>
          </w:tcPr>
          <w:p w14:paraId="100BD0B5"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925</w:t>
            </w:r>
          </w:p>
        </w:tc>
        <w:tc>
          <w:tcPr>
            <w:tcW w:w="989" w:type="pct"/>
            <w:noWrap/>
            <w:vAlign w:val="center"/>
            <w:hideMark/>
          </w:tcPr>
          <w:p w14:paraId="30527776"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1.415</w:t>
            </w:r>
          </w:p>
        </w:tc>
      </w:tr>
      <w:tr w:rsidR="00DB687B" w:rsidRPr="000E7F2F" w14:paraId="6375B75D" w14:textId="77777777" w:rsidTr="00DB687B">
        <w:trPr>
          <w:trHeight w:val="232"/>
        </w:trPr>
        <w:tc>
          <w:tcPr>
            <w:tcW w:w="3022" w:type="pct"/>
            <w:noWrap/>
            <w:vAlign w:val="center"/>
            <w:hideMark/>
          </w:tcPr>
          <w:p w14:paraId="180FB3AE"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t>Total</w:t>
            </w:r>
          </w:p>
        </w:tc>
        <w:tc>
          <w:tcPr>
            <w:tcW w:w="989" w:type="pct"/>
            <w:noWrap/>
            <w:vAlign w:val="center"/>
            <w:hideMark/>
          </w:tcPr>
          <w:p w14:paraId="2D6CDA80"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213.830</w:t>
            </w:r>
          </w:p>
        </w:tc>
        <w:tc>
          <w:tcPr>
            <w:tcW w:w="989" w:type="pct"/>
            <w:noWrap/>
            <w:vAlign w:val="center"/>
            <w:hideMark/>
          </w:tcPr>
          <w:p w14:paraId="4407347F"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206.798</w:t>
            </w:r>
          </w:p>
        </w:tc>
      </w:tr>
      <w:tr w:rsidR="00DB687B" w:rsidRPr="000E7F2F" w14:paraId="55DE78EB" w14:textId="77777777" w:rsidTr="00DB687B">
        <w:trPr>
          <w:trHeight w:val="232"/>
        </w:trPr>
        <w:tc>
          <w:tcPr>
            <w:tcW w:w="3022" w:type="pct"/>
            <w:noWrap/>
            <w:vAlign w:val="center"/>
            <w:hideMark/>
          </w:tcPr>
          <w:p w14:paraId="360852B6"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t>Passivo</w:t>
            </w:r>
          </w:p>
        </w:tc>
        <w:tc>
          <w:tcPr>
            <w:tcW w:w="989" w:type="pct"/>
            <w:noWrap/>
            <w:vAlign w:val="center"/>
            <w:hideMark/>
          </w:tcPr>
          <w:p w14:paraId="7859E77B"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w:t>
            </w:r>
          </w:p>
        </w:tc>
        <w:tc>
          <w:tcPr>
            <w:tcW w:w="989" w:type="pct"/>
            <w:noWrap/>
            <w:vAlign w:val="center"/>
            <w:hideMark/>
          </w:tcPr>
          <w:p w14:paraId="2C1251F2"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w:t>
            </w:r>
          </w:p>
        </w:tc>
      </w:tr>
      <w:tr w:rsidR="00CB5F44" w:rsidRPr="000E7F2F" w14:paraId="6BEF0371" w14:textId="77777777" w:rsidTr="00DB687B">
        <w:trPr>
          <w:trHeight w:val="232"/>
        </w:trPr>
        <w:tc>
          <w:tcPr>
            <w:tcW w:w="3022" w:type="pct"/>
            <w:noWrap/>
            <w:vAlign w:val="center"/>
            <w:hideMark/>
          </w:tcPr>
          <w:p w14:paraId="52D1BE90" w14:textId="77777777" w:rsidR="00CB5F44" w:rsidRPr="000E7F2F" w:rsidRDefault="00CB5F44" w:rsidP="00CB5F44">
            <w:pPr>
              <w:rPr>
                <w:rFonts w:ascii="Arial" w:hAnsi="Arial" w:cs="Arial"/>
                <w:color w:val="000000"/>
                <w:sz w:val="18"/>
                <w:szCs w:val="18"/>
              </w:rPr>
            </w:pPr>
            <w:r w:rsidRPr="000E7F2F">
              <w:rPr>
                <w:rFonts w:ascii="Arial" w:hAnsi="Arial" w:cs="Arial"/>
                <w:color w:val="000000"/>
                <w:sz w:val="18"/>
                <w:szCs w:val="18"/>
              </w:rPr>
              <w:t>Circulante</w:t>
            </w:r>
          </w:p>
        </w:tc>
        <w:tc>
          <w:tcPr>
            <w:tcW w:w="989" w:type="pct"/>
            <w:noWrap/>
            <w:vAlign w:val="center"/>
            <w:hideMark/>
          </w:tcPr>
          <w:p w14:paraId="5388896E" w14:textId="5F9AD2D8" w:rsidR="00CB5F44" w:rsidRPr="000E7F2F" w:rsidRDefault="00CB5F44" w:rsidP="00CB5F44">
            <w:pPr>
              <w:jc w:val="right"/>
              <w:rPr>
                <w:rFonts w:ascii="Arial" w:hAnsi="Arial" w:cs="Arial"/>
                <w:color w:val="000000"/>
                <w:sz w:val="18"/>
                <w:szCs w:val="18"/>
              </w:rPr>
            </w:pPr>
            <w:r>
              <w:rPr>
                <w:rFonts w:ascii="Arial" w:hAnsi="Arial" w:cs="Arial"/>
                <w:color w:val="000000"/>
                <w:sz w:val="18"/>
                <w:szCs w:val="18"/>
              </w:rPr>
              <w:t>53.111</w:t>
            </w:r>
          </w:p>
        </w:tc>
        <w:tc>
          <w:tcPr>
            <w:tcW w:w="989" w:type="pct"/>
            <w:noWrap/>
            <w:vAlign w:val="center"/>
            <w:hideMark/>
          </w:tcPr>
          <w:p w14:paraId="380D291D" w14:textId="3D1E3A7C" w:rsidR="00CB5F44" w:rsidRPr="000E7F2F" w:rsidRDefault="00CB5F44" w:rsidP="00CB5F44">
            <w:pPr>
              <w:jc w:val="right"/>
              <w:rPr>
                <w:rFonts w:ascii="Arial" w:hAnsi="Arial" w:cs="Arial"/>
                <w:color w:val="000000"/>
                <w:sz w:val="18"/>
                <w:szCs w:val="18"/>
              </w:rPr>
            </w:pPr>
            <w:r>
              <w:rPr>
                <w:rFonts w:ascii="Arial" w:hAnsi="Arial" w:cs="Arial"/>
                <w:color w:val="000000"/>
                <w:sz w:val="18"/>
                <w:szCs w:val="18"/>
              </w:rPr>
              <w:t>44.265</w:t>
            </w:r>
          </w:p>
        </w:tc>
      </w:tr>
      <w:tr w:rsidR="00CB5F44" w:rsidRPr="000E7F2F" w14:paraId="29CE3BEC" w14:textId="77777777" w:rsidTr="00DB687B">
        <w:trPr>
          <w:trHeight w:val="232"/>
        </w:trPr>
        <w:tc>
          <w:tcPr>
            <w:tcW w:w="3022" w:type="pct"/>
            <w:noWrap/>
            <w:vAlign w:val="center"/>
            <w:hideMark/>
          </w:tcPr>
          <w:p w14:paraId="4B63F1F2" w14:textId="77777777" w:rsidR="00CB5F44" w:rsidRPr="000E7F2F" w:rsidRDefault="00CB5F44" w:rsidP="00CB5F44">
            <w:pPr>
              <w:rPr>
                <w:rFonts w:ascii="Arial" w:hAnsi="Arial" w:cs="Arial"/>
                <w:color w:val="000000"/>
                <w:sz w:val="18"/>
                <w:szCs w:val="18"/>
              </w:rPr>
            </w:pPr>
            <w:r w:rsidRPr="000E7F2F">
              <w:rPr>
                <w:rFonts w:ascii="Arial" w:hAnsi="Arial" w:cs="Arial"/>
                <w:color w:val="000000"/>
                <w:sz w:val="18"/>
                <w:szCs w:val="18"/>
              </w:rPr>
              <w:t>Não Circulante</w:t>
            </w:r>
          </w:p>
        </w:tc>
        <w:tc>
          <w:tcPr>
            <w:tcW w:w="989" w:type="pct"/>
            <w:noWrap/>
            <w:vAlign w:val="center"/>
            <w:hideMark/>
          </w:tcPr>
          <w:p w14:paraId="5445C055" w14:textId="303C9B83" w:rsidR="00CB5F44" w:rsidRPr="000E7F2F" w:rsidRDefault="00CB5F44" w:rsidP="00CB5F44">
            <w:pPr>
              <w:jc w:val="right"/>
              <w:rPr>
                <w:rFonts w:ascii="Arial" w:hAnsi="Arial" w:cs="Arial"/>
                <w:color w:val="000000"/>
                <w:sz w:val="18"/>
                <w:szCs w:val="18"/>
              </w:rPr>
            </w:pPr>
            <w:r>
              <w:rPr>
                <w:rFonts w:ascii="Arial" w:hAnsi="Arial" w:cs="Arial"/>
                <w:color w:val="000000"/>
                <w:sz w:val="18"/>
                <w:szCs w:val="18"/>
              </w:rPr>
              <w:t>6.617</w:t>
            </w:r>
          </w:p>
        </w:tc>
        <w:tc>
          <w:tcPr>
            <w:tcW w:w="989" w:type="pct"/>
            <w:noWrap/>
            <w:vAlign w:val="center"/>
            <w:hideMark/>
          </w:tcPr>
          <w:p w14:paraId="12F05A8B" w14:textId="0B618D70" w:rsidR="00CB5F44" w:rsidRPr="000E7F2F" w:rsidRDefault="00CB5F44" w:rsidP="00CB5F44">
            <w:pPr>
              <w:jc w:val="right"/>
              <w:rPr>
                <w:rFonts w:ascii="Arial" w:hAnsi="Arial" w:cs="Arial"/>
                <w:color w:val="000000"/>
                <w:sz w:val="18"/>
                <w:szCs w:val="18"/>
              </w:rPr>
            </w:pPr>
            <w:r>
              <w:rPr>
                <w:rFonts w:ascii="Arial" w:hAnsi="Arial" w:cs="Arial"/>
                <w:color w:val="000000"/>
                <w:sz w:val="18"/>
                <w:szCs w:val="18"/>
              </w:rPr>
              <w:t>6.753</w:t>
            </w:r>
          </w:p>
        </w:tc>
      </w:tr>
      <w:tr w:rsidR="00CB5F44" w:rsidRPr="000E7F2F" w14:paraId="7AFAB193" w14:textId="77777777" w:rsidTr="00DB687B">
        <w:trPr>
          <w:trHeight w:val="232"/>
        </w:trPr>
        <w:tc>
          <w:tcPr>
            <w:tcW w:w="3022" w:type="pct"/>
            <w:noWrap/>
            <w:vAlign w:val="center"/>
            <w:hideMark/>
          </w:tcPr>
          <w:p w14:paraId="67DD93C4" w14:textId="77777777" w:rsidR="00CB5F44" w:rsidRPr="000E7F2F" w:rsidRDefault="00CB5F44" w:rsidP="00CB5F44">
            <w:pPr>
              <w:rPr>
                <w:rFonts w:ascii="Arial" w:hAnsi="Arial" w:cs="Arial"/>
                <w:color w:val="000000"/>
                <w:sz w:val="18"/>
                <w:szCs w:val="18"/>
              </w:rPr>
            </w:pPr>
            <w:r w:rsidRPr="000E7F2F">
              <w:rPr>
                <w:rFonts w:ascii="Arial" w:hAnsi="Arial" w:cs="Arial"/>
                <w:color w:val="000000"/>
                <w:sz w:val="18"/>
                <w:szCs w:val="18"/>
              </w:rPr>
              <w:t>Patrimônio Líquido</w:t>
            </w:r>
          </w:p>
        </w:tc>
        <w:tc>
          <w:tcPr>
            <w:tcW w:w="989" w:type="pct"/>
            <w:noWrap/>
            <w:vAlign w:val="center"/>
            <w:hideMark/>
          </w:tcPr>
          <w:p w14:paraId="3A7AA789" w14:textId="7DD07331" w:rsidR="00CB5F44" w:rsidRPr="000E7F2F" w:rsidRDefault="00CB5F44" w:rsidP="00CB5F44">
            <w:pPr>
              <w:jc w:val="right"/>
              <w:rPr>
                <w:rFonts w:ascii="Arial" w:hAnsi="Arial" w:cs="Arial"/>
                <w:color w:val="000000"/>
                <w:sz w:val="18"/>
                <w:szCs w:val="18"/>
              </w:rPr>
            </w:pPr>
            <w:r>
              <w:rPr>
                <w:rFonts w:ascii="Arial" w:hAnsi="Arial" w:cs="Arial"/>
                <w:color w:val="000000"/>
                <w:sz w:val="18"/>
                <w:szCs w:val="18"/>
              </w:rPr>
              <w:t>154.102</w:t>
            </w:r>
          </w:p>
        </w:tc>
        <w:tc>
          <w:tcPr>
            <w:tcW w:w="989" w:type="pct"/>
            <w:noWrap/>
            <w:vAlign w:val="center"/>
            <w:hideMark/>
          </w:tcPr>
          <w:p w14:paraId="0E7A0ABD" w14:textId="717C963F" w:rsidR="00CB5F44" w:rsidRPr="000E7F2F" w:rsidRDefault="00CB5F44" w:rsidP="00CB5F44">
            <w:pPr>
              <w:jc w:val="right"/>
              <w:rPr>
                <w:rFonts w:ascii="Arial" w:hAnsi="Arial" w:cs="Arial"/>
                <w:color w:val="000000"/>
                <w:sz w:val="18"/>
                <w:szCs w:val="18"/>
              </w:rPr>
            </w:pPr>
            <w:r>
              <w:rPr>
                <w:rFonts w:ascii="Arial" w:hAnsi="Arial" w:cs="Arial"/>
                <w:color w:val="000000"/>
                <w:sz w:val="18"/>
                <w:szCs w:val="18"/>
              </w:rPr>
              <w:t>155.780</w:t>
            </w:r>
          </w:p>
        </w:tc>
      </w:tr>
      <w:tr w:rsidR="00DB687B" w14:paraId="01AA88A4" w14:textId="77777777" w:rsidTr="00DB687B">
        <w:trPr>
          <w:trHeight w:val="232"/>
        </w:trPr>
        <w:tc>
          <w:tcPr>
            <w:tcW w:w="3022" w:type="pct"/>
            <w:noWrap/>
            <w:vAlign w:val="center"/>
            <w:hideMark/>
          </w:tcPr>
          <w:p w14:paraId="7E7B4817"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t>Total</w:t>
            </w:r>
          </w:p>
        </w:tc>
        <w:tc>
          <w:tcPr>
            <w:tcW w:w="989" w:type="pct"/>
            <w:noWrap/>
            <w:vAlign w:val="center"/>
            <w:hideMark/>
          </w:tcPr>
          <w:p w14:paraId="5A898594"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213.830</w:t>
            </w:r>
          </w:p>
        </w:tc>
        <w:tc>
          <w:tcPr>
            <w:tcW w:w="989" w:type="pct"/>
            <w:noWrap/>
            <w:vAlign w:val="center"/>
            <w:hideMark/>
          </w:tcPr>
          <w:p w14:paraId="68D655E8" w14:textId="77777777" w:rsidR="00DB687B" w:rsidRDefault="00DB687B">
            <w:pPr>
              <w:jc w:val="right"/>
              <w:rPr>
                <w:rFonts w:ascii="Arial" w:hAnsi="Arial" w:cs="Arial"/>
                <w:b/>
                <w:bCs/>
                <w:color w:val="000000"/>
                <w:sz w:val="18"/>
                <w:szCs w:val="18"/>
              </w:rPr>
            </w:pPr>
            <w:r w:rsidRPr="000E7F2F">
              <w:rPr>
                <w:rFonts w:ascii="Arial" w:hAnsi="Arial" w:cs="Arial"/>
                <w:b/>
                <w:bCs/>
                <w:color w:val="000000"/>
                <w:sz w:val="18"/>
                <w:szCs w:val="18"/>
              </w:rPr>
              <w:t>206.798</w:t>
            </w:r>
          </w:p>
        </w:tc>
      </w:tr>
    </w:tbl>
    <w:p w14:paraId="7C9339B5" w14:textId="77777777" w:rsidR="00DB687B" w:rsidRDefault="00DB687B" w:rsidP="00B10E09">
      <w:pPr>
        <w:rPr>
          <w:sz w:val="18"/>
          <w:szCs w:val="18"/>
        </w:rPr>
      </w:pPr>
    </w:p>
    <w:p w14:paraId="200C9155" w14:textId="77777777" w:rsidR="00FF3E8A" w:rsidRDefault="00FF3E8A" w:rsidP="00B10E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5"/>
        <w:gridCol w:w="1628"/>
        <w:gridCol w:w="1628"/>
      </w:tblGrid>
      <w:tr w:rsidR="00DB687B" w:rsidRPr="000E7F2F" w14:paraId="56281CBC" w14:textId="77777777" w:rsidTr="00DB687B">
        <w:trPr>
          <w:trHeight w:val="232"/>
          <w:tblHeader/>
        </w:trPr>
        <w:tc>
          <w:tcPr>
            <w:tcW w:w="3333" w:type="pct"/>
            <w:shd w:val="clear" w:color="000000" w:fill="D9D9D9"/>
            <w:noWrap/>
            <w:vAlign w:val="center"/>
            <w:hideMark/>
          </w:tcPr>
          <w:p w14:paraId="04F4D98B"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lastRenderedPageBreak/>
              <w:t>Demonstração do Resultado do Exercício</w:t>
            </w:r>
          </w:p>
        </w:tc>
        <w:tc>
          <w:tcPr>
            <w:tcW w:w="833" w:type="pct"/>
            <w:noWrap/>
            <w:vAlign w:val="center"/>
            <w:hideMark/>
          </w:tcPr>
          <w:p w14:paraId="404A594D" w14:textId="77777777" w:rsidR="00DB687B" w:rsidRPr="000E7F2F" w:rsidRDefault="00DB687B">
            <w:pPr>
              <w:jc w:val="center"/>
              <w:rPr>
                <w:rFonts w:ascii="Arial" w:hAnsi="Arial" w:cs="Arial"/>
                <w:b/>
                <w:bCs/>
                <w:color w:val="000000"/>
                <w:sz w:val="18"/>
                <w:szCs w:val="18"/>
              </w:rPr>
            </w:pPr>
            <w:r w:rsidRPr="000E7F2F">
              <w:rPr>
                <w:rFonts w:ascii="Arial" w:hAnsi="Arial" w:cs="Arial"/>
                <w:b/>
                <w:bCs/>
                <w:color w:val="000000"/>
                <w:sz w:val="18"/>
                <w:szCs w:val="18"/>
                <w:lang w:eastAsia="en-US"/>
              </w:rPr>
              <w:t>31/03/2026</w:t>
            </w:r>
          </w:p>
        </w:tc>
        <w:tc>
          <w:tcPr>
            <w:tcW w:w="833" w:type="pct"/>
            <w:noWrap/>
            <w:vAlign w:val="center"/>
            <w:hideMark/>
          </w:tcPr>
          <w:p w14:paraId="7F50B476" w14:textId="77777777" w:rsidR="00DB687B" w:rsidRPr="000E7F2F" w:rsidRDefault="00DB687B">
            <w:pPr>
              <w:jc w:val="center"/>
              <w:rPr>
                <w:rFonts w:ascii="Arial" w:hAnsi="Arial" w:cs="Arial"/>
                <w:b/>
                <w:bCs/>
                <w:color w:val="000000"/>
                <w:sz w:val="18"/>
                <w:szCs w:val="18"/>
              </w:rPr>
            </w:pPr>
            <w:r w:rsidRPr="000E7F2F">
              <w:rPr>
                <w:rFonts w:ascii="Arial" w:hAnsi="Arial" w:cs="Arial"/>
                <w:b/>
                <w:bCs/>
                <w:color w:val="000000"/>
                <w:sz w:val="18"/>
                <w:szCs w:val="18"/>
                <w:lang w:eastAsia="en-US"/>
              </w:rPr>
              <w:t>31/03/2025</w:t>
            </w:r>
          </w:p>
        </w:tc>
      </w:tr>
      <w:tr w:rsidR="00DB687B" w:rsidRPr="000E7F2F" w14:paraId="0904A4FF" w14:textId="77777777" w:rsidTr="00DB687B">
        <w:trPr>
          <w:trHeight w:val="232"/>
        </w:trPr>
        <w:tc>
          <w:tcPr>
            <w:tcW w:w="3333" w:type="pct"/>
            <w:noWrap/>
            <w:vAlign w:val="center"/>
            <w:hideMark/>
          </w:tcPr>
          <w:p w14:paraId="5BE33A87"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t>Receita Operacional Líquida</w:t>
            </w:r>
          </w:p>
        </w:tc>
        <w:tc>
          <w:tcPr>
            <w:tcW w:w="833" w:type="pct"/>
            <w:noWrap/>
            <w:vAlign w:val="center"/>
            <w:hideMark/>
          </w:tcPr>
          <w:p w14:paraId="37492BE7"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1.291 </w:t>
            </w:r>
          </w:p>
        </w:tc>
        <w:tc>
          <w:tcPr>
            <w:tcW w:w="833" w:type="pct"/>
            <w:noWrap/>
            <w:vAlign w:val="center"/>
            <w:hideMark/>
          </w:tcPr>
          <w:p w14:paraId="0D26151D"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1.419 </w:t>
            </w:r>
          </w:p>
        </w:tc>
      </w:tr>
      <w:tr w:rsidR="00DB687B" w:rsidRPr="000E7F2F" w14:paraId="0367BEBE" w14:textId="77777777" w:rsidTr="00DB687B">
        <w:trPr>
          <w:trHeight w:val="232"/>
        </w:trPr>
        <w:tc>
          <w:tcPr>
            <w:tcW w:w="3333" w:type="pct"/>
            <w:noWrap/>
            <w:vAlign w:val="center"/>
            <w:hideMark/>
          </w:tcPr>
          <w:p w14:paraId="123A8B9A" w14:textId="77777777" w:rsidR="00DB687B" w:rsidRPr="000E7F2F" w:rsidRDefault="00DB687B">
            <w:pPr>
              <w:rPr>
                <w:rFonts w:ascii="Arial" w:hAnsi="Arial" w:cs="Arial"/>
                <w:color w:val="000000"/>
                <w:sz w:val="18"/>
                <w:szCs w:val="18"/>
              </w:rPr>
            </w:pPr>
            <w:r w:rsidRPr="000E7F2F">
              <w:rPr>
                <w:rFonts w:ascii="Arial" w:hAnsi="Arial" w:cs="Arial"/>
                <w:color w:val="000000"/>
                <w:sz w:val="18"/>
                <w:szCs w:val="18"/>
              </w:rPr>
              <w:t>Custo dos Produtos Vendidos e Serviços Prestados</w:t>
            </w:r>
          </w:p>
        </w:tc>
        <w:tc>
          <w:tcPr>
            <w:tcW w:w="833" w:type="pct"/>
            <w:noWrap/>
            <w:vAlign w:val="center"/>
            <w:hideMark/>
          </w:tcPr>
          <w:p w14:paraId="6B0A58ED"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(917)</w:t>
            </w:r>
          </w:p>
        </w:tc>
        <w:tc>
          <w:tcPr>
            <w:tcW w:w="833" w:type="pct"/>
            <w:noWrap/>
            <w:vAlign w:val="center"/>
            <w:hideMark/>
          </w:tcPr>
          <w:p w14:paraId="07026EF7"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(919)</w:t>
            </w:r>
          </w:p>
        </w:tc>
      </w:tr>
      <w:tr w:rsidR="00DB687B" w:rsidRPr="000E7F2F" w14:paraId="66CDE64F" w14:textId="77777777" w:rsidTr="00DB687B">
        <w:trPr>
          <w:trHeight w:val="232"/>
        </w:trPr>
        <w:tc>
          <w:tcPr>
            <w:tcW w:w="3333" w:type="pct"/>
            <w:noWrap/>
            <w:vAlign w:val="center"/>
            <w:hideMark/>
          </w:tcPr>
          <w:p w14:paraId="3E0D3DAA"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t>Lucro Bruto</w:t>
            </w:r>
          </w:p>
        </w:tc>
        <w:tc>
          <w:tcPr>
            <w:tcW w:w="833" w:type="pct"/>
            <w:noWrap/>
            <w:vAlign w:val="center"/>
            <w:hideMark/>
          </w:tcPr>
          <w:p w14:paraId="1D0376E8"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 xml:space="preserve">           374 </w:t>
            </w:r>
          </w:p>
        </w:tc>
        <w:tc>
          <w:tcPr>
            <w:tcW w:w="833" w:type="pct"/>
            <w:noWrap/>
            <w:vAlign w:val="center"/>
            <w:hideMark/>
          </w:tcPr>
          <w:p w14:paraId="28F55516"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 xml:space="preserve">           500 </w:t>
            </w:r>
          </w:p>
        </w:tc>
      </w:tr>
      <w:tr w:rsidR="00DB687B" w:rsidRPr="000E7F2F" w14:paraId="73BA7798" w14:textId="77777777" w:rsidTr="00DB687B">
        <w:trPr>
          <w:trHeight w:val="232"/>
        </w:trPr>
        <w:tc>
          <w:tcPr>
            <w:tcW w:w="3333" w:type="pct"/>
            <w:noWrap/>
            <w:vAlign w:val="center"/>
            <w:hideMark/>
          </w:tcPr>
          <w:p w14:paraId="0409632F" w14:textId="77777777" w:rsidR="00DB687B" w:rsidRPr="000E7F2F" w:rsidRDefault="00DB687B">
            <w:pPr>
              <w:rPr>
                <w:rFonts w:ascii="Arial" w:hAnsi="Arial" w:cs="Arial"/>
                <w:color w:val="000000"/>
                <w:sz w:val="18"/>
                <w:szCs w:val="18"/>
              </w:rPr>
            </w:pPr>
            <w:r w:rsidRPr="000E7F2F">
              <w:rPr>
                <w:rFonts w:ascii="Arial" w:hAnsi="Arial" w:cs="Arial"/>
                <w:color w:val="000000"/>
                <w:sz w:val="18"/>
                <w:szCs w:val="18"/>
              </w:rPr>
              <w:t>Despesas Operacionais</w:t>
            </w:r>
          </w:p>
        </w:tc>
        <w:tc>
          <w:tcPr>
            <w:tcW w:w="833" w:type="pct"/>
            <w:noWrap/>
            <w:vAlign w:val="center"/>
            <w:hideMark/>
          </w:tcPr>
          <w:p w14:paraId="772EA690"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(4.204)</w:t>
            </w:r>
          </w:p>
        </w:tc>
        <w:tc>
          <w:tcPr>
            <w:tcW w:w="833" w:type="pct"/>
            <w:noWrap/>
            <w:vAlign w:val="center"/>
            <w:hideMark/>
          </w:tcPr>
          <w:p w14:paraId="53B8CDC2"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(3.851)</w:t>
            </w:r>
          </w:p>
        </w:tc>
      </w:tr>
      <w:tr w:rsidR="00DB687B" w:rsidRPr="000E7F2F" w14:paraId="32BEB6A5" w14:textId="77777777" w:rsidTr="00DB687B">
        <w:trPr>
          <w:trHeight w:val="232"/>
        </w:trPr>
        <w:tc>
          <w:tcPr>
            <w:tcW w:w="3333" w:type="pct"/>
            <w:noWrap/>
            <w:vAlign w:val="center"/>
            <w:hideMark/>
          </w:tcPr>
          <w:p w14:paraId="538B068B" w14:textId="77777777" w:rsidR="00DB687B" w:rsidRPr="000E7F2F" w:rsidRDefault="00DB687B">
            <w:pPr>
              <w:rPr>
                <w:rFonts w:ascii="Arial" w:hAnsi="Arial" w:cs="Arial"/>
                <w:color w:val="000000"/>
                <w:sz w:val="18"/>
                <w:szCs w:val="18"/>
              </w:rPr>
            </w:pPr>
            <w:r w:rsidRPr="000E7F2F">
              <w:rPr>
                <w:rFonts w:ascii="Arial" w:hAnsi="Arial" w:cs="Arial"/>
                <w:color w:val="000000"/>
                <w:sz w:val="18"/>
                <w:szCs w:val="18"/>
              </w:rPr>
              <w:t>Outras Receitas (Despesas) Operacionais</w:t>
            </w:r>
          </w:p>
        </w:tc>
        <w:tc>
          <w:tcPr>
            <w:tcW w:w="833" w:type="pct"/>
            <w:noWrap/>
            <w:vAlign w:val="center"/>
            <w:hideMark/>
          </w:tcPr>
          <w:p w14:paraId="1786D3F2"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(332)</w:t>
            </w:r>
          </w:p>
        </w:tc>
        <w:tc>
          <w:tcPr>
            <w:tcW w:w="833" w:type="pct"/>
            <w:noWrap/>
            <w:vAlign w:val="center"/>
            <w:hideMark/>
          </w:tcPr>
          <w:p w14:paraId="2A7DAF66"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(540)</w:t>
            </w:r>
          </w:p>
        </w:tc>
      </w:tr>
      <w:tr w:rsidR="00DB687B" w:rsidRPr="000E7F2F" w14:paraId="329E5B7F" w14:textId="77777777" w:rsidTr="00DB687B">
        <w:trPr>
          <w:trHeight w:val="232"/>
        </w:trPr>
        <w:tc>
          <w:tcPr>
            <w:tcW w:w="3333" w:type="pct"/>
            <w:noWrap/>
            <w:vAlign w:val="center"/>
            <w:hideMark/>
          </w:tcPr>
          <w:p w14:paraId="5971A292" w14:textId="77777777" w:rsidR="00DB687B" w:rsidRPr="000E7F2F" w:rsidRDefault="00DB687B">
            <w:pPr>
              <w:rPr>
                <w:rFonts w:ascii="Arial" w:hAnsi="Arial" w:cs="Arial"/>
                <w:color w:val="000000"/>
                <w:sz w:val="18"/>
                <w:szCs w:val="18"/>
              </w:rPr>
            </w:pPr>
            <w:r w:rsidRPr="000E7F2F">
              <w:rPr>
                <w:rFonts w:ascii="Arial" w:hAnsi="Arial" w:cs="Arial"/>
                <w:color w:val="000000"/>
                <w:sz w:val="18"/>
                <w:szCs w:val="18"/>
              </w:rPr>
              <w:t>Equivalência Patrimonial</w:t>
            </w:r>
          </w:p>
        </w:tc>
        <w:tc>
          <w:tcPr>
            <w:tcW w:w="833" w:type="pct"/>
            <w:noWrap/>
            <w:vAlign w:val="center"/>
            <w:hideMark/>
          </w:tcPr>
          <w:p w14:paraId="77769194"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79 </w:t>
            </w:r>
          </w:p>
        </w:tc>
        <w:tc>
          <w:tcPr>
            <w:tcW w:w="833" w:type="pct"/>
            <w:noWrap/>
            <w:vAlign w:val="center"/>
            <w:hideMark/>
          </w:tcPr>
          <w:p w14:paraId="1ABBD31A"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1.100 </w:t>
            </w:r>
          </w:p>
        </w:tc>
      </w:tr>
      <w:tr w:rsidR="00DB687B" w:rsidRPr="000E7F2F" w14:paraId="39F4188C" w14:textId="77777777" w:rsidTr="00DB687B">
        <w:trPr>
          <w:trHeight w:val="232"/>
        </w:trPr>
        <w:tc>
          <w:tcPr>
            <w:tcW w:w="3333" w:type="pct"/>
            <w:noWrap/>
            <w:vAlign w:val="center"/>
            <w:hideMark/>
          </w:tcPr>
          <w:p w14:paraId="0028E2D2"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t>Resultado antes do Resultado Financeiro</w:t>
            </w:r>
          </w:p>
        </w:tc>
        <w:tc>
          <w:tcPr>
            <w:tcW w:w="833" w:type="pct"/>
            <w:noWrap/>
            <w:vAlign w:val="center"/>
            <w:hideMark/>
          </w:tcPr>
          <w:p w14:paraId="3B9230EF"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 xml:space="preserve">       (4.083)</w:t>
            </w:r>
          </w:p>
        </w:tc>
        <w:tc>
          <w:tcPr>
            <w:tcW w:w="833" w:type="pct"/>
            <w:noWrap/>
            <w:vAlign w:val="center"/>
            <w:hideMark/>
          </w:tcPr>
          <w:p w14:paraId="726C25D4"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 xml:space="preserve">       (2.791)</w:t>
            </w:r>
          </w:p>
        </w:tc>
      </w:tr>
      <w:tr w:rsidR="00DB687B" w:rsidRPr="000E7F2F" w14:paraId="18044480" w14:textId="77777777" w:rsidTr="00DB687B">
        <w:trPr>
          <w:trHeight w:val="232"/>
        </w:trPr>
        <w:tc>
          <w:tcPr>
            <w:tcW w:w="3333" w:type="pct"/>
            <w:noWrap/>
            <w:vAlign w:val="center"/>
            <w:hideMark/>
          </w:tcPr>
          <w:p w14:paraId="645E874D" w14:textId="77777777" w:rsidR="00DB687B" w:rsidRPr="000E7F2F" w:rsidRDefault="00DB687B">
            <w:pPr>
              <w:rPr>
                <w:rFonts w:ascii="Arial" w:hAnsi="Arial" w:cs="Arial"/>
                <w:color w:val="000000"/>
                <w:sz w:val="18"/>
                <w:szCs w:val="18"/>
              </w:rPr>
            </w:pPr>
            <w:r w:rsidRPr="000E7F2F">
              <w:rPr>
                <w:rFonts w:ascii="Arial" w:hAnsi="Arial" w:cs="Arial"/>
                <w:color w:val="000000"/>
                <w:sz w:val="18"/>
                <w:szCs w:val="18"/>
              </w:rPr>
              <w:t>Resultado Financeiro</w:t>
            </w:r>
          </w:p>
        </w:tc>
        <w:tc>
          <w:tcPr>
            <w:tcW w:w="833" w:type="pct"/>
            <w:noWrap/>
            <w:vAlign w:val="center"/>
            <w:hideMark/>
          </w:tcPr>
          <w:p w14:paraId="19798A03"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3.916 </w:t>
            </w:r>
          </w:p>
        </w:tc>
        <w:tc>
          <w:tcPr>
            <w:tcW w:w="833" w:type="pct"/>
            <w:noWrap/>
            <w:vAlign w:val="center"/>
            <w:hideMark/>
          </w:tcPr>
          <w:p w14:paraId="66B06449" w14:textId="77777777" w:rsidR="00DB687B" w:rsidRPr="000E7F2F" w:rsidRDefault="00DB687B">
            <w:pPr>
              <w:jc w:val="right"/>
              <w:rPr>
                <w:rFonts w:ascii="Arial" w:hAnsi="Arial" w:cs="Arial"/>
                <w:color w:val="000000"/>
                <w:sz w:val="18"/>
                <w:szCs w:val="18"/>
              </w:rPr>
            </w:pPr>
            <w:r w:rsidRPr="000E7F2F">
              <w:rPr>
                <w:rFonts w:ascii="Arial" w:hAnsi="Arial" w:cs="Arial"/>
                <w:color w:val="000000"/>
                <w:sz w:val="18"/>
                <w:szCs w:val="18"/>
              </w:rPr>
              <w:t xml:space="preserve">        1.330 </w:t>
            </w:r>
          </w:p>
        </w:tc>
      </w:tr>
      <w:tr w:rsidR="00DB687B" w14:paraId="2B3A1272" w14:textId="77777777" w:rsidTr="00DB687B">
        <w:trPr>
          <w:trHeight w:val="232"/>
        </w:trPr>
        <w:tc>
          <w:tcPr>
            <w:tcW w:w="3333" w:type="pct"/>
            <w:noWrap/>
            <w:vAlign w:val="center"/>
            <w:hideMark/>
          </w:tcPr>
          <w:p w14:paraId="76C49F44" w14:textId="77777777" w:rsidR="00DB687B" w:rsidRPr="000E7F2F" w:rsidRDefault="00DB687B">
            <w:pPr>
              <w:rPr>
                <w:rFonts w:ascii="Arial" w:hAnsi="Arial" w:cs="Arial"/>
                <w:b/>
                <w:bCs/>
                <w:color w:val="000000"/>
                <w:sz w:val="18"/>
                <w:szCs w:val="18"/>
              </w:rPr>
            </w:pPr>
            <w:r w:rsidRPr="000E7F2F">
              <w:rPr>
                <w:rFonts w:ascii="Arial" w:hAnsi="Arial" w:cs="Arial"/>
                <w:b/>
                <w:bCs/>
                <w:color w:val="000000"/>
                <w:sz w:val="18"/>
                <w:szCs w:val="18"/>
              </w:rPr>
              <w:t>Prejuízo Líquido do Período</w:t>
            </w:r>
          </w:p>
        </w:tc>
        <w:tc>
          <w:tcPr>
            <w:tcW w:w="833" w:type="pct"/>
            <w:noWrap/>
            <w:vAlign w:val="center"/>
            <w:hideMark/>
          </w:tcPr>
          <w:p w14:paraId="701ED974" w14:textId="77777777" w:rsidR="00DB687B" w:rsidRPr="000E7F2F" w:rsidRDefault="00DB687B">
            <w:pPr>
              <w:jc w:val="right"/>
              <w:rPr>
                <w:rFonts w:ascii="Arial" w:hAnsi="Arial" w:cs="Arial"/>
                <w:b/>
                <w:bCs/>
                <w:color w:val="000000"/>
                <w:sz w:val="18"/>
                <w:szCs w:val="18"/>
              </w:rPr>
            </w:pPr>
            <w:r w:rsidRPr="000E7F2F">
              <w:rPr>
                <w:rFonts w:ascii="Arial" w:hAnsi="Arial" w:cs="Arial"/>
                <w:b/>
                <w:bCs/>
                <w:color w:val="000000"/>
                <w:sz w:val="18"/>
                <w:szCs w:val="18"/>
              </w:rPr>
              <w:t xml:space="preserve">          (167)</w:t>
            </w:r>
          </w:p>
        </w:tc>
        <w:tc>
          <w:tcPr>
            <w:tcW w:w="833" w:type="pct"/>
            <w:noWrap/>
            <w:vAlign w:val="center"/>
            <w:hideMark/>
          </w:tcPr>
          <w:p w14:paraId="6A892AC1" w14:textId="77777777" w:rsidR="00DB687B" w:rsidRDefault="00DB687B">
            <w:pPr>
              <w:jc w:val="right"/>
              <w:rPr>
                <w:rFonts w:ascii="Arial" w:hAnsi="Arial" w:cs="Arial"/>
                <w:b/>
                <w:bCs/>
                <w:color w:val="000000"/>
                <w:sz w:val="18"/>
                <w:szCs w:val="18"/>
              </w:rPr>
            </w:pPr>
            <w:r w:rsidRPr="000E7F2F">
              <w:rPr>
                <w:rFonts w:ascii="Arial" w:hAnsi="Arial" w:cs="Arial"/>
                <w:b/>
                <w:bCs/>
                <w:color w:val="000000"/>
                <w:sz w:val="18"/>
                <w:szCs w:val="18"/>
              </w:rPr>
              <w:t xml:space="preserve">       (1.461)</w:t>
            </w:r>
          </w:p>
        </w:tc>
      </w:tr>
    </w:tbl>
    <w:bookmarkEnd w:id="25"/>
    <w:p w14:paraId="4BF4EE5F" w14:textId="6D4906E4" w:rsidR="00647FE5" w:rsidRDefault="00647FE5" w:rsidP="009541E1">
      <w:pPr>
        <w:pStyle w:val="Ttulo2"/>
        <w:numPr>
          <w:ilvl w:val="0"/>
          <w:numId w:val="7"/>
        </w:numPr>
        <w:tabs>
          <w:tab w:val="clear" w:pos="284"/>
          <w:tab w:val="clear" w:pos="340"/>
        </w:tabs>
        <w:spacing w:after="0" w:line="276" w:lineRule="auto"/>
        <w:ind w:left="851" w:hanging="851"/>
        <w:jc w:val="both"/>
        <w:rPr>
          <w:rFonts w:ascii="Arial" w:hAnsi="Arial" w:cs="Arial"/>
        </w:rPr>
      </w:pPr>
      <w:r w:rsidRPr="002A36CE">
        <w:rPr>
          <w:rFonts w:ascii="Arial" w:hAnsi="Arial" w:cs="Arial"/>
        </w:rPr>
        <w:t>IMOBILIZADO</w:t>
      </w:r>
    </w:p>
    <w:p w14:paraId="2063033C" w14:textId="77777777" w:rsidR="00647FE5" w:rsidRPr="00680B8C" w:rsidRDefault="00647FE5" w:rsidP="00597FE5">
      <w:pPr>
        <w:spacing w:line="276" w:lineRule="auto"/>
        <w:jc w:val="both"/>
        <w:rPr>
          <w:rFonts w:ascii="Arial" w:hAnsi="Arial" w:cs="Arial"/>
          <w:sz w:val="4"/>
          <w:szCs w:val="4"/>
        </w:rPr>
      </w:pPr>
    </w:p>
    <w:p w14:paraId="223BCB52" w14:textId="50C81ABD" w:rsidR="005D7D60" w:rsidRPr="00D8257D" w:rsidRDefault="00020758" w:rsidP="00597FE5">
      <w:pPr>
        <w:spacing w:line="276" w:lineRule="auto"/>
        <w:jc w:val="both"/>
        <w:rPr>
          <w:rFonts w:ascii="Arial" w:hAnsi="Arial" w:cs="Arial"/>
          <w:sz w:val="22"/>
          <w:szCs w:val="22"/>
        </w:rPr>
      </w:pPr>
      <w:r w:rsidRPr="002A36CE">
        <w:rPr>
          <w:rFonts w:ascii="Arial" w:hAnsi="Arial" w:cs="Arial"/>
          <w:sz w:val="22"/>
          <w:szCs w:val="22"/>
        </w:rPr>
        <w:t>No imobilizado estão os</w:t>
      </w:r>
      <w:r w:rsidR="005D7D60" w:rsidRPr="002A36CE">
        <w:rPr>
          <w:rFonts w:ascii="Arial" w:hAnsi="Arial" w:cs="Arial"/>
          <w:sz w:val="22"/>
          <w:szCs w:val="22"/>
        </w:rPr>
        <w:t xml:space="preserve"> bens destinados à manutenção das atividades da Telebr</w:t>
      </w:r>
      <w:r w:rsidR="00422ABC" w:rsidRPr="002A36CE">
        <w:rPr>
          <w:rFonts w:ascii="Arial" w:hAnsi="Arial" w:cs="Arial"/>
          <w:sz w:val="22"/>
          <w:szCs w:val="22"/>
        </w:rPr>
        <w:t>a</w:t>
      </w:r>
      <w:r w:rsidR="005D7D60" w:rsidRPr="002A36CE">
        <w:rPr>
          <w:rFonts w:ascii="Arial" w:hAnsi="Arial" w:cs="Arial"/>
          <w:sz w:val="22"/>
          <w:szCs w:val="22"/>
        </w:rPr>
        <w:t>s e registrados ao custo de aquisição, deduzid</w:t>
      </w:r>
      <w:r w:rsidR="00E5185E" w:rsidRPr="002A36CE">
        <w:rPr>
          <w:rFonts w:ascii="Arial" w:hAnsi="Arial" w:cs="Arial"/>
          <w:sz w:val="22"/>
          <w:szCs w:val="22"/>
        </w:rPr>
        <w:t>o</w:t>
      </w:r>
      <w:r w:rsidR="005D7D60" w:rsidRPr="002A36CE">
        <w:rPr>
          <w:rFonts w:ascii="Arial" w:hAnsi="Arial" w:cs="Arial"/>
          <w:sz w:val="22"/>
          <w:szCs w:val="22"/>
        </w:rPr>
        <w:t>s das respectivas depreciações calculadas pelo método linear, mediante aplicação de taxas que considera</w:t>
      </w:r>
      <w:r w:rsidR="00851386">
        <w:rPr>
          <w:rFonts w:ascii="Arial" w:hAnsi="Arial" w:cs="Arial"/>
          <w:sz w:val="22"/>
          <w:szCs w:val="22"/>
        </w:rPr>
        <w:t>m</w:t>
      </w:r>
      <w:r w:rsidR="005D7D60" w:rsidRPr="002A36CE">
        <w:rPr>
          <w:rFonts w:ascii="Arial" w:hAnsi="Arial" w:cs="Arial"/>
          <w:sz w:val="22"/>
          <w:szCs w:val="22"/>
        </w:rPr>
        <w:t xml:space="preserve"> a vida útil econômica dos bens</w:t>
      </w:r>
      <w:r w:rsidR="00B06BF9" w:rsidRPr="002A36CE">
        <w:rPr>
          <w:rFonts w:ascii="Arial" w:hAnsi="Arial" w:cs="Arial"/>
          <w:sz w:val="22"/>
          <w:szCs w:val="22"/>
        </w:rPr>
        <w:t xml:space="preserve"> e de provisão para redução ao valor recuperável quando houve</w:t>
      </w:r>
      <w:r w:rsidR="00DC5E2A" w:rsidRPr="002A36CE">
        <w:rPr>
          <w:rFonts w:ascii="Arial" w:hAnsi="Arial" w:cs="Arial"/>
          <w:sz w:val="22"/>
          <w:szCs w:val="22"/>
        </w:rPr>
        <w:t>r</w:t>
      </w:r>
      <w:r w:rsidR="00B06BF9" w:rsidRPr="002A36CE">
        <w:rPr>
          <w:rFonts w:ascii="Arial" w:hAnsi="Arial" w:cs="Arial"/>
          <w:sz w:val="22"/>
          <w:szCs w:val="22"/>
        </w:rPr>
        <w:t xml:space="preserve"> indicação de </w:t>
      </w:r>
      <w:r w:rsidR="00DC5E2A" w:rsidRPr="002A36CE">
        <w:rPr>
          <w:rFonts w:ascii="Arial" w:hAnsi="Arial" w:cs="Arial"/>
          <w:sz w:val="22"/>
          <w:szCs w:val="22"/>
        </w:rPr>
        <w:t>que</w:t>
      </w:r>
      <w:r w:rsidR="00BE0D2E" w:rsidRPr="002A36CE">
        <w:rPr>
          <w:rFonts w:ascii="Arial" w:hAnsi="Arial" w:cs="Arial"/>
          <w:sz w:val="22"/>
          <w:szCs w:val="22"/>
        </w:rPr>
        <w:t xml:space="preserve"> o</w:t>
      </w:r>
      <w:r w:rsidR="00B06BF9" w:rsidRPr="002A36CE">
        <w:rPr>
          <w:rFonts w:ascii="Arial" w:hAnsi="Arial" w:cs="Arial"/>
          <w:sz w:val="22"/>
          <w:szCs w:val="22"/>
        </w:rPr>
        <w:t xml:space="preserve"> valor contábil dos bens </w:t>
      </w:r>
      <w:r w:rsidR="00020E87">
        <w:rPr>
          <w:rFonts w:ascii="Arial" w:hAnsi="Arial" w:cs="Arial"/>
          <w:sz w:val="22"/>
          <w:szCs w:val="22"/>
        </w:rPr>
        <w:t>esteja</w:t>
      </w:r>
      <w:r w:rsidR="00B06BF9" w:rsidRPr="002A36CE">
        <w:rPr>
          <w:rFonts w:ascii="Arial" w:hAnsi="Arial" w:cs="Arial"/>
          <w:sz w:val="22"/>
          <w:szCs w:val="22"/>
        </w:rPr>
        <w:t xml:space="preserve"> superior </w:t>
      </w:r>
      <w:r w:rsidR="00B06BF9" w:rsidRPr="00D8257D">
        <w:rPr>
          <w:rFonts w:ascii="Arial" w:hAnsi="Arial" w:cs="Arial"/>
          <w:sz w:val="22"/>
          <w:szCs w:val="22"/>
        </w:rPr>
        <w:t>ao valor de recuperação</w:t>
      </w:r>
      <w:r w:rsidR="005D7D60" w:rsidRPr="00D8257D">
        <w:rPr>
          <w:rFonts w:ascii="Arial" w:hAnsi="Arial" w:cs="Arial"/>
          <w:sz w:val="22"/>
          <w:szCs w:val="22"/>
        </w:rPr>
        <w:t>.</w:t>
      </w:r>
      <w:r w:rsidR="00947F21" w:rsidRPr="00D8257D">
        <w:rPr>
          <w:rFonts w:ascii="Arial" w:hAnsi="Arial" w:cs="Arial"/>
          <w:sz w:val="22"/>
          <w:szCs w:val="22"/>
        </w:rPr>
        <w:t xml:space="preserve"> </w:t>
      </w:r>
      <w:r w:rsidR="005D7D60" w:rsidRPr="00D8257D">
        <w:rPr>
          <w:rFonts w:ascii="Arial" w:hAnsi="Arial" w:cs="Arial"/>
          <w:sz w:val="22"/>
          <w:szCs w:val="22"/>
        </w:rPr>
        <w:t>O</w:t>
      </w:r>
      <w:r w:rsidR="00B06BF9" w:rsidRPr="00D8257D">
        <w:rPr>
          <w:rFonts w:ascii="Arial" w:hAnsi="Arial" w:cs="Arial"/>
          <w:sz w:val="22"/>
          <w:szCs w:val="22"/>
        </w:rPr>
        <w:t xml:space="preserve"> valor contábil do imobilizado em </w:t>
      </w:r>
      <w:r w:rsidR="007A7575">
        <w:rPr>
          <w:rFonts w:ascii="Arial" w:hAnsi="Arial" w:cs="Arial"/>
          <w:sz w:val="22"/>
          <w:szCs w:val="22"/>
        </w:rPr>
        <w:t>3</w:t>
      </w:r>
      <w:r w:rsidR="005D7883">
        <w:rPr>
          <w:rFonts w:ascii="Arial" w:hAnsi="Arial" w:cs="Arial"/>
          <w:sz w:val="22"/>
          <w:szCs w:val="22"/>
        </w:rPr>
        <w:t>1</w:t>
      </w:r>
      <w:r w:rsidR="007A7575">
        <w:rPr>
          <w:rFonts w:ascii="Arial" w:hAnsi="Arial" w:cs="Arial"/>
          <w:sz w:val="22"/>
          <w:szCs w:val="22"/>
        </w:rPr>
        <w:t xml:space="preserve"> de </w:t>
      </w:r>
      <w:r w:rsidR="000E7F2F">
        <w:rPr>
          <w:rFonts w:ascii="Arial" w:hAnsi="Arial" w:cs="Arial"/>
          <w:sz w:val="22"/>
          <w:szCs w:val="22"/>
        </w:rPr>
        <w:t>março</w:t>
      </w:r>
      <w:r w:rsidR="00B06BF9" w:rsidRPr="00D8257D">
        <w:rPr>
          <w:rFonts w:ascii="Arial" w:hAnsi="Arial" w:cs="Arial"/>
          <w:sz w:val="22"/>
          <w:szCs w:val="22"/>
        </w:rPr>
        <w:t xml:space="preserve"> de 20</w:t>
      </w:r>
      <w:r w:rsidR="00F75555" w:rsidRPr="00D8257D">
        <w:rPr>
          <w:rFonts w:ascii="Arial" w:hAnsi="Arial" w:cs="Arial"/>
          <w:sz w:val="22"/>
          <w:szCs w:val="22"/>
        </w:rPr>
        <w:t>2</w:t>
      </w:r>
      <w:r w:rsidR="000E7F2F">
        <w:rPr>
          <w:rFonts w:ascii="Arial" w:hAnsi="Arial" w:cs="Arial"/>
          <w:sz w:val="22"/>
          <w:szCs w:val="22"/>
        </w:rPr>
        <w:t>6</w:t>
      </w:r>
      <w:r w:rsidR="00B06BF9" w:rsidRPr="00D8257D">
        <w:rPr>
          <w:rFonts w:ascii="Arial" w:hAnsi="Arial" w:cs="Arial"/>
          <w:sz w:val="22"/>
          <w:szCs w:val="22"/>
        </w:rPr>
        <w:t xml:space="preserve"> era </w:t>
      </w:r>
      <w:r w:rsidR="00B06BF9" w:rsidRPr="00A75FD3">
        <w:rPr>
          <w:rFonts w:ascii="Arial" w:hAnsi="Arial" w:cs="Arial"/>
          <w:sz w:val="22"/>
          <w:szCs w:val="22"/>
        </w:rPr>
        <w:t xml:space="preserve">de R$ </w:t>
      </w:r>
      <w:r w:rsidR="005D7883">
        <w:rPr>
          <w:rFonts w:ascii="Arial" w:hAnsi="Arial" w:cs="Arial"/>
          <w:sz w:val="22"/>
          <w:szCs w:val="22"/>
        </w:rPr>
        <w:t>1.</w:t>
      </w:r>
      <w:r w:rsidR="000E7F2F">
        <w:rPr>
          <w:rFonts w:ascii="Arial" w:hAnsi="Arial" w:cs="Arial"/>
          <w:sz w:val="22"/>
          <w:szCs w:val="22"/>
        </w:rPr>
        <w:t>644.303</w:t>
      </w:r>
      <w:r w:rsidR="00A75FD3">
        <w:rPr>
          <w:rFonts w:ascii="Arial" w:hAnsi="Arial" w:cs="Arial"/>
          <w:sz w:val="22"/>
          <w:szCs w:val="22"/>
        </w:rPr>
        <w:t xml:space="preserve"> </w:t>
      </w:r>
      <w:r w:rsidR="00B06BF9" w:rsidRPr="00D8257D">
        <w:rPr>
          <w:rFonts w:ascii="Arial" w:hAnsi="Arial" w:cs="Arial"/>
          <w:sz w:val="22"/>
          <w:szCs w:val="22"/>
        </w:rPr>
        <w:t xml:space="preserve">(R$ </w:t>
      </w:r>
      <w:r w:rsidR="000E7F2F">
        <w:rPr>
          <w:rFonts w:ascii="Arial" w:hAnsi="Arial" w:cs="Arial"/>
          <w:sz w:val="22"/>
          <w:szCs w:val="22"/>
        </w:rPr>
        <w:t>1.697.499</w:t>
      </w:r>
      <w:r w:rsidR="00B06BF9" w:rsidRPr="00D8257D">
        <w:rPr>
          <w:rFonts w:ascii="Arial" w:hAnsi="Arial" w:cs="Arial"/>
          <w:sz w:val="22"/>
          <w:szCs w:val="22"/>
        </w:rPr>
        <w:t xml:space="preserve"> em 31 de dezembro de 20</w:t>
      </w:r>
      <w:r w:rsidR="006731FB">
        <w:rPr>
          <w:rFonts w:ascii="Arial" w:hAnsi="Arial" w:cs="Arial"/>
          <w:sz w:val="22"/>
          <w:szCs w:val="22"/>
        </w:rPr>
        <w:t>2</w:t>
      </w:r>
      <w:r w:rsidR="000E7F2F">
        <w:rPr>
          <w:rFonts w:ascii="Arial" w:hAnsi="Arial" w:cs="Arial"/>
          <w:sz w:val="22"/>
          <w:szCs w:val="22"/>
        </w:rPr>
        <w:t>5</w:t>
      </w:r>
      <w:r w:rsidR="00B06BF9" w:rsidRPr="00D8257D">
        <w:rPr>
          <w:rFonts w:ascii="Arial" w:hAnsi="Arial" w:cs="Arial"/>
          <w:sz w:val="22"/>
          <w:szCs w:val="22"/>
        </w:rPr>
        <w:t>).</w:t>
      </w:r>
      <w:r w:rsidR="005D7D60" w:rsidRPr="00D8257D">
        <w:rPr>
          <w:rFonts w:ascii="Arial" w:hAnsi="Arial" w:cs="Arial"/>
          <w:sz w:val="22"/>
          <w:szCs w:val="22"/>
        </w:rPr>
        <w:t xml:space="preserve"> </w:t>
      </w:r>
    </w:p>
    <w:p w14:paraId="6030C0E2" w14:textId="77777777" w:rsidR="009E4427" w:rsidRDefault="009E4427" w:rsidP="00E14EE5">
      <w:pPr>
        <w:spacing w:line="276" w:lineRule="auto"/>
        <w:jc w:val="both"/>
        <w:rPr>
          <w:rFonts w:ascii="Arial" w:hAnsi="Arial" w:cs="Arial"/>
          <w:sz w:val="22"/>
          <w:szCs w:val="22"/>
        </w:rPr>
      </w:pPr>
    </w:p>
    <w:p w14:paraId="211B2EFD" w14:textId="305AEC90" w:rsidR="005D7883" w:rsidRPr="005D7883" w:rsidRDefault="005D7883" w:rsidP="005D7883">
      <w:pPr>
        <w:spacing w:line="276" w:lineRule="auto"/>
        <w:jc w:val="both"/>
        <w:rPr>
          <w:rFonts w:ascii="Arial" w:hAnsi="Arial" w:cs="Arial"/>
          <w:sz w:val="22"/>
          <w:szCs w:val="22"/>
        </w:rPr>
      </w:pPr>
      <w:r w:rsidRPr="005D7883">
        <w:rPr>
          <w:rFonts w:ascii="Arial" w:hAnsi="Arial" w:cs="Arial"/>
          <w:sz w:val="22"/>
          <w:szCs w:val="22"/>
        </w:rPr>
        <w:t xml:space="preserve">Em 31 de </w:t>
      </w:r>
      <w:r w:rsidR="000E7F2F">
        <w:rPr>
          <w:rFonts w:ascii="Arial" w:hAnsi="Arial" w:cs="Arial"/>
          <w:sz w:val="22"/>
          <w:szCs w:val="22"/>
        </w:rPr>
        <w:t>março</w:t>
      </w:r>
      <w:r w:rsidRPr="005D7883">
        <w:rPr>
          <w:rFonts w:ascii="Arial" w:hAnsi="Arial" w:cs="Arial"/>
          <w:sz w:val="22"/>
          <w:szCs w:val="22"/>
        </w:rPr>
        <w:t xml:space="preserve"> de 202</w:t>
      </w:r>
      <w:r w:rsidR="00032158">
        <w:rPr>
          <w:rFonts w:ascii="Arial" w:hAnsi="Arial" w:cs="Arial"/>
          <w:sz w:val="22"/>
          <w:szCs w:val="22"/>
        </w:rPr>
        <w:t>6</w:t>
      </w:r>
      <w:r w:rsidRPr="005D7883">
        <w:rPr>
          <w:rFonts w:ascii="Arial" w:hAnsi="Arial" w:cs="Arial"/>
          <w:sz w:val="22"/>
          <w:szCs w:val="22"/>
        </w:rPr>
        <w:t>, os ativos da Companhia não apresentavam indícios de perda ao valor recuperável (</w:t>
      </w:r>
      <w:r w:rsidRPr="005D7883">
        <w:rPr>
          <w:rFonts w:ascii="Arial" w:hAnsi="Arial" w:cs="Arial"/>
          <w:i/>
          <w:iCs/>
          <w:sz w:val="22"/>
          <w:szCs w:val="22"/>
        </w:rPr>
        <w:t>impairment</w:t>
      </w:r>
      <w:r w:rsidRPr="005D7883">
        <w:rPr>
          <w:rFonts w:ascii="Arial" w:hAnsi="Arial" w:cs="Arial"/>
          <w:sz w:val="22"/>
          <w:szCs w:val="22"/>
        </w:rPr>
        <w:t>), conforme indicado no laudo de avaliação elaborado com base nas informações disponíveis até 30 de novembro de 2025.</w:t>
      </w:r>
    </w:p>
    <w:p w14:paraId="37F5975A" w14:textId="77777777" w:rsidR="009E3B77" w:rsidRPr="00620688" w:rsidRDefault="009E3B77" w:rsidP="00E14EE5">
      <w:pPr>
        <w:spacing w:line="276" w:lineRule="auto"/>
        <w:jc w:val="both"/>
        <w:rPr>
          <w:rFonts w:ascii="Arial" w:hAnsi="Arial" w:cs="Arial"/>
          <w:sz w:val="12"/>
          <w:szCs w:val="12"/>
        </w:rPr>
      </w:pPr>
    </w:p>
    <w:p w14:paraId="09DE6E13" w14:textId="77777777" w:rsidR="00EE4344" w:rsidRPr="00EE4344" w:rsidRDefault="00EE4344" w:rsidP="00EE4344">
      <w:pPr>
        <w:spacing w:line="276" w:lineRule="auto"/>
        <w:jc w:val="both"/>
        <w:rPr>
          <w:rFonts w:ascii="Arial" w:hAnsi="Arial" w:cs="Arial"/>
          <w:sz w:val="22"/>
          <w:szCs w:val="22"/>
        </w:rPr>
      </w:pPr>
      <w:r w:rsidRPr="00EE4344">
        <w:rPr>
          <w:rFonts w:ascii="Arial" w:hAnsi="Arial" w:cs="Arial"/>
          <w:sz w:val="22"/>
          <w:szCs w:val="22"/>
        </w:rPr>
        <w:t>Os especialistas da Companhia (engenheiros) estabeleceram, por meio de laudo técnico, que a vida útil econômica do Satélite Geoestacionário de Defesa e Comunicações Estratégicas (SGDC) é de 17 (dezessete) anos a partir de sua entrada em operação, ocorrida em julho de 2018.</w:t>
      </w:r>
    </w:p>
    <w:p w14:paraId="04D88233" w14:textId="77777777" w:rsidR="00EE4344" w:rsidRPr="00620688" w:rsidRDefault="00EE4344" w:rsidP="00A92408">
      <w:pPr>
        <w:spacing w:line="276" w:lineRule="auto"/>
        <w:jc w:val="both"/>
        <w:rPr>
          <w:rFonts w:ascii="Arial" w:hAnsi="Arial" w:cs="Arial"/>
          <w:sz w:val="14"/>
          <w:szCs w:val="14"/>
        </w:rPr>
      </w:pPr>
    </w:p>
    <w:p w14:paraId="3CF37B8D" w14:textId="2F53859A" w:rsidR="00A92408" w:rsidRDefault="00A92408" w:rsidP="00A92408">
      <w:pPr>
        <w:spacing w:line="276" w:lineRule="auto"/>
        <w:jc w:val="both"/>
        <w:rPr>
          <w:rFonts w:ascii="Arial" w:hAnsi="Arial" w:cs="Arial"/>
          <w:bCs/>
          <w:snapToGrid w:val="0"/>
          <w:sz w:val="22"/>
          <w:szCs w:val="22"/>
        </w:rPr>
      </w:pPr>
      <w:r w:rsidRPr="003A1311">
        <w:rPr>
          <w:rFonts w:ascii="Arial" w:hAnsi="Arial" w:cs="Arial"/>
          <w:bCs/>
          <w:snapToGrid w:val="0"/>
          <w:sz w:val="22"/>
          <w:szCs w:val="22"/>
        </w:rPr>
        <w:t>A Companhia não possui bens dados em garantia</w:t>
      </w:r>
      <w:r w:rsidR="000A352B" w:rsidRPr="003A1311">
        <w:rPr>
          <w:rFonts w:ascii="Arial" w:hAnsi="Arial" w:cs="Arial"/>
          <w:bCs/>
          <w:snapToGrid w:val="0"/>
          <w:sz w:val="22"/>
          <w:szCs w:val="22"/>
        </w:rPr>
        <w:t>,</w:t>
      </w:r>
      <w:r w:rsidRPr="003A1311">
        <w:rPr>
          <w:rFonts w:ascii="Arial" w:hAnsi="Arial" w:cs="Arial"/>
          <w:bCs/>
          <w:snapToGrid w:val="0"/>
          <w:sz w:val="22"/>
          <w:szCs w:val="22"/>
        </w:rPr>
        <w:t xml:space="preserve"> relativo</w:t>
      </w:r>
      <w:r w:rsidR="002B70CA" w:rsidRPr="003A1311">
        <w:rPr>
          <w:rFonts w:ascii="Arial" w:hAnsi="Arial" w:cs="Arial"/>
          <w:bCs/>
          <w:snapToGrid w:val="0"/>
          <w:sz w:val="22"/>
          <w:szCs w:val="22"/>
        </w:rPr>
        <w:t>s</w:t>
      </w:r>
      <w:r w:rsidRPr="003A1311">
        <w:rPr>
          <w:rFonts w:ascii="Arial" w:hAnsi="Arial" w:cs="Arial"/>
          <w:bCs/>
          <w:snapToGrid w:val="0"/>
          <w:sz w:val="22"/>
          <w:szCs w:val="22"/>
        </w:rPr>
        <w:t xml:space="preserve"> à penhora ou aval em defesa de processos judiciais.</w:t>
      </w:r>
    </w:p>
    <w:p w14:paraId="7E44224B" w14:textId="608BA632" w:rsidR="00D33A93" w:rsidRDefault="00D33A93" w:rsidP="00A92408">
      <w:pPr>
        <w:spacing w:line="276" w:lineRule="auto"/>
        <w:jc w:val="both"/>
        <w:rPr>
          <w:rFonts w:ascii="Arial" w:hAnsi="Arial" w:cs="Arial"/>
          <w:bCs/>
          <w:snapToGrid w:val="0"/>
          <w:sz w:val="16"/>
          <w:szCs w:val="16"/>
        </w:rPr>
      </w:pPr>
    </w:p>
    <w:p w14:paraId="0D77163E" w14:textId="7DF2428F" w:rsidR="009B7AB6" w:rsidRDefault="006E12E4" w:rsidP="009541E1">
      <w:pPr>
        <w:pStyle w:val="Ttulo2"/>
        <w:numPr>
          <w:ilvl w:val="1"/>
          <w:numId w:val="7"/>
        </w:numPr>
        <w:tabs>
          <w:tab w:val="clear" w:pos="284"/>
          <w:tab w:val="clear" w:pos="340"/>
        </w:tabs>
        <w:spacing w:before="0" w:after="0"/>
        <w:ind w:left="851" w:hanging="851"/>
        <w:jc w:val="both"/>
        <w:rPr>
          <w:rFonts w:ascii="Arial" w:hAnsi="Arial" w:cs="Arial"/>
        </w:rPr>
      </w:pPr>
      <w:bookmarkStart w:id="31" w:name="_Toc491337736"/>
      <w:r w:rsidRPr="007171F6">
        <w:rPr>
          <w:rFonts w:ascii="Arial" w:hAnsi="Arial" w:cs="Arial"/>
        </w:rPr>
        <w:t xml:space="preserve">Movimentação do imobilizado </w:t>
      </w:r>
      <w:bookmarkEnd w:id="31"/>
    </w:p>
    <w:p w14:paraId="51F07424" w14:textId="187790E3" w:rsidR="00455383" w:rsidRDefault="00455383" w:rsidP="00455383"/>
    <w:tbl>
      <w:tblPr>
        <w:tblW w:w="5000" w:type="pct"/>
        <w:tblLayout w:type="fixed"/>
        <w:tblCellMar>
          <w:left w:w="70" w:type="dxa"/>
          <w:right w:w="70" w:type="dxa"/>
        </w:tblCellMar>
        <w:tblLook w:val="04A0" w:firstRow="1" w:lastRow="0" w:firstColumn="1" w:lastColumn="0" w:noHBand="0" w:noVBand="1"/>
      </w:tblPr>
      <w:tblGrid>
        <w:gridCol w:w="2156"/>
        <w:gridCol w:w="677"/>
        <w:gridCol w:w="711"/>
        <w:gridCol w:w="850"/>
        <w:gridCol w:w="664"/>
        <w:gridCol w:w="752"/>
        <w:gridCol w:w="885"/>
        <w:gridCol w:w="834"/>
        <w:gridCol w:w="692"/>
        <w:gridCol w:w="850"/>
        <w:gridCol w:w="700"/>
      </w:tblGrid>
      <w:tr w:rsidR="00455383" w:rsidRPr="00B46B81" w14:paraId="4CB4F0BB" w14:textId="77777777" w:rsidTr="00702892">
        <w:trPr>
          <w:trHeight w:val="227"/>
          <w:tblHeader/>
        </w:trPr>
        <w:tc>
          <w:tcPr>
            <w:tcW w:w="110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E81C2" w14:textId="77777777" w:rsidR="00455383" w:rsidRPr="00B46B81" w:rsidRDefault="00455383" w:rsidP="00047615">
            <w:pPr>
              <w:rPr>
                <w:rFonts w:ascii="Arial" w:hAnsi="Arial" w:cs="Arial"/>
                <w:b/>
                <w:bCs/>
                <w:color w:val="000000"/>
                <w:sz w:val="10"/>
                <w:szCs w:val="10"/>
              </w:rPr>
            </w:pPr>
            <w:r w:rsidRPr="00B46B81">
              <w:rPr>
                <w:rFonts w:ascii="Arial" w:hAnsi="Arial" w:cs="Arial"/>
                <w:b/>
                <w:bCs/>
                <w:color w:val="000000"/>
                <w:sz w:val="10"/>
                <w:szCs w:val="10"/>
              </w:rPr>
              <w:t>Composição: </w:t>
            </w:r>
          </w:p>
        </w:tc>
        <w:tc>
          <w:tcPr>
            <w:tcW w:w="3897" w:type="pct"/>
            <w:gridSpan w:val="10"/>
            <w:tcBorders>
              <w:top w:val="single" w:sz="4" w:space="0" w:color="auto"/>
              <w:left w:val="nil"/>
              <w:bottom w:val="single" w:sz="4" w:space="0" w:color="auto"/>
              <w:right w:val="single" w:sz="4" w:space="0" w:color="auto"/>
            </w:tcBorders>
            <w:noWrap/>
            <w:vAlign w:val="center"/>
            <w:hideMark/>
          </w:tcPr>
          <w:p w14:paraId="2C04BC34"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Imobilizado</w:t>
            </w:r>
          </w:p>
        </w:tc>
      </w:tr>
      <w:tr w:rsidR="00455383" w:rsidRPr="00B46B81" w14:paraId="423D7A82"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5484079B" w14:textId="77777777" w:rsidR="00455383" w:rsidRPr="00B46B81" w:rsidRDefault="00455383" w:rsidP="00047615">
            <w:pPr>
              <w:rPr>
                <w:rFonts w:ascii="Arial" w:hAnsi="Arial" w:cs="Arial"/>
                <w:b/>
                <w:bCs/>
                <w:color w:val="000000"/>
                <w:sz w:val="10"/>
                <w:szCs w:val="10"/>
              </w:rPr>
            </w:pPr>
          </w:p>
        </w:tc>
        <w:tc>
          <w:tcPr>
            <w:tcW w:w="2749" w:type="pct"/>
            <w:gridSpan w:val="7"/>
            <w:tcBorders>
              <w:top w:val="single" w:sz="4" w:space="0" w:color="auto"/>
              <w:left w:val="nil"/>
              <w:bottom w:val="single" w:sz="4" w:space="0" w:color="auto"/>
              <w:right w:val="single" w:sz="4" w:space="0" w:color="auto"/>
            </w:tcBorders>
            <w:noWrap/>
            <w:vAlign w:val="center"/>
            <w:hideMark/>
          </w:tcPr>
          <w:p w14:paraId="68249EB2"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Bens e Instalações em Serviço</w:t>
            </w:r>
          </w:p>
        </w:tc>
        <w:tc>
          <w:tcPr>
            <w:tcW w:w="354" w:type="pct"/>
            <w:vMerge w:val="restart"/>
            <w:tcBorders>
              <w:top w:val="nil"/>
              <w:left w:val="single" w:sz="4" w:space="0" w:color="auto"/>
              <w:bottom w:val="single" w:sz="4" w:space="0" w:color="auto"/>
              <w:right w:val="single" w:sz="4" w:space="0" w:color="auto"/>
            </w:tcBorders>
            <w:vAlign w:val="center"/>
            <w:hideMark/>
          </w:tcPr>
          <w:p w14:paraId="5FE90740"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Direito de Uso de Ativo</w:t>
            </w:r>
          </w:p>
        </w:tc>
        <w:tc>
          <w:tcPr>
            <w:tcW w:w="435" w:type="pct"/>
            <w:vMerge w:val="restart"/>
            <w:tcBorders>
              <w:top w:val="nil"/>
              <w:left w:val="single" w:sz="4" w:space="0" w:color="auto"/>
              <w:bottom w:val="single" w:sz="4" w:space="0" w:color="auto"/>
              <w:right w:val="single" w:sz="4" w:space="0" w:color="auto"/>
            </w:tcBorders>
            <w:vAlign w:val="center"/>
            <w:hideMark/>
          </w:tcPr>
          <w:p w14:paraId="09C8145F"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Imobilizado em Andamento</w:t>
            </w:r>
          </w:p>
        </w:tc>
        <w:tc>
          <w:tcPr>
            <w:tcW w:w="358" w:type="pct"/>
            <w:vMerge w:val="restart"/>
            <w:tcBorders>
              <w:top w:val="nil"/>
              <w:left w:val="single" w:sz="4" w:space="0" w:color="auto"/>
              <w:bottom w:val="single" w:sz="4" w:space="0" w:color="auto"/>
              <w:right w:val="single" w:sz="4" w:space="0" w:color="auto"/>
            </w:tcBorders>
            <w:vAlign w:val="center"/>
            <w:hideMark/>
          </w:tcPr>
          <w:p w14:paraId="5BC22620"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Total</w:t>
            </w:r>
          </w:p>
        </w:tc>
      </w:tr>
      <w:tr w:rsidR="00455383" w:rsidRPr="00B46B81" w14:paraId="4EDBDE48" w14:textId="77777777" w:rsidTr="00DD43FB">
        <w:trPr>
          <w:trHeight w:val="227"/>
          <w:tblHeader/>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4B91A1BF" w14:textId="77777777" w:rsidR="00455383" w:rsidRPr="00B46B81" w:rsidRDefault="00455383" w:rsidP="00047615">
            <w:pPr>
              <w:rPr>
                <w:rFonts w:ascii="Arial" w:hAnsi="Arial" w:cs="Arial"/>
                <w:b/>
                <w:bCs/>
                <w:color w:val="000000"/>
                <w:sz w:val="10"/>
                <w:szCs w:val="10"/>
              </w:rPr>
            </w:pPr>
          </w:p>
        </w:tc>
        <w:tc>
          <w:tcPr>
            <w:tcW w:w="346" w:type="pct"/>
            <w:tcBorders>
              <w:top w:val="nil"/>
              <w:left w:val="nil"/>
              <w:bottom w:val="single" w:sz="4" w:space="0" w:color="auto"/>
              <w:right w:val="single" w:sz="4" w:space="0" w:color="auto"/>
            </w:tcBorders>
            <w:vAlign w:val="center"/>
            <w:hideMark/>
          </w:tcPr>
          <w:p w14:paraId="2CF6F208"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Instalações Prediais - Benf. em Prop. de Terceiros</w:t>
            </w:r>
          </w:p>
        </w:tc>
        <w:tc>
          <w:tcPr>
            <w:tcW w:w="364" w:type="pct"/>
            <w:tcBorders>
              <w:top w:val="nil"/>
              <w:left w:val="nil"/>
              <w:bottom w:val="single" w:sz="4" w:space="0" w:color="auto"/>
              <w:right w:val="single" w:sz="4" w:space="0" w:color="auto"/>
            </w:tcBorders>
            <w:vAlign w:val="center"/>
            <w:hideMark/>
          </w:tcPr>
          <w:p w14:paraId="18AFE7FD"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Mobiliário</w:t>
            </w:r>
          </w:p>
        </w:tc>
        <w:tc>
          <w:tcPr>
            <w:tcW w:w="435" w:type="pct"/>
            <w:tcBorders>
              <w:top w:val="nil"/>
              <w:left w:val="nil"/>
              <w:bottom w:val="single" w:sz="4" w:space="0" w:color="auto"/>
              <w:right w:val="single" w:sz="4" w:space="0" w:color="auto"/>
            </w:tcBorders>
            <w:vAlign w:val="center"/>
            <w:hideMark/>
          </w:tcPr>
          <w:p w14:paraId="2F638889"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Infraestrutura</w:t>
            </w:r>
          </w:p>
        </w:tc>
        <w:tc>
          <w:tcPr>
            <w:tcW w:w="340" w:type="pct"/>
            <w:tcBorders>
              <w:top w:val="nil"/>
              <w:left w:val="nil"/>
              <w:bottom w:val="single" w:sz="4" w:space="0" w:color="auto"/>
              <w:right w:val="single" w:sz="4" w:space="0" w:color="auto"/>
            </w:tcBorders>
            <w:vAlign w:val="center"/>
            <w:hideMark/>
          </w:tcPr>
          <w:p w14:paraId="1879CF61"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Equip. de Data Center</w:t>
            </w:r>
          </w:p>
        </w:tc>
        <w:tc>
          <w:tcPr>
            <w:tcW w:w="385" w:type="pct"/>
            <w:tcBorders>
              <w:top w:val="nil"/>
              <w:left w:val="nil"/>
              <w:bottom w:val="single" w:sz="4" w:space="0" w:color="auto"/>
              <w:right w:val="single" w:sz="4" w:space="0" w:color="auto"/>
            </w:tcBorders>
            <w:vAlign w:val="center"/>
            <w:hideMark/>
          </w:tcPr>
          <w:p w14:paraId="14158D63"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Equip. de Tecnologia de Informação</w:t>
            </w:r>
          </w:p>
        </w:tc>
        <w:tc>
          <w:tcPr>
            <w:tcW w:w="453" w:type="pct"/>
            <w:tcBorders>
              <w:top w:val="nil"/>
              <w:left w:val="nil"/>
              <w:bottom w:val="single" w:sz="4" w:space="0" w:color="auto"/>
              <w:right w:val="single" w:sz="4" w:space="0" w:color="auto"/>
            </w:tcBorders>
            <w:vAlign w:val="center"/>
            <w:hideMark/>
          </w:tcPr>
          <w:p w14:paraId="19DDDDF1"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Equip. de Transmissão / Comunicação de Dados</w:t>
            </w:r>
          </w:p>
        </w:tc>
        <w:tc>
          <w:tcPr>
            <w:tcW w:w="427" w:type="pct"/>
            <w:tcBorders>
              <w:top w:val="nil"/>
              <w:left w:val="nil"/>
              <w:bottom w:val="single" w:sz="4" w:space="0" w:color="auto"/>
              <w:right w:val="single" w:sz="4" w:space="0" w:color="auto"/>
            </w:tcBorders>
            <w:vAlign w:val="center"/>
            <w:hideMark/>
          </w:tcPr>
          <w:p w14:paraId="6F982B42" w14:textId="77777777" w:rsidR="00455383" w:rsidRPr="00B46B81" w:rsidRDefault="00455383" w:rsidP="00047615">
            <w:pPr>
              <w:jc w:val="center"/>
              <w:rPr>
                <w:rFonts w:ascii="Arial" w:hAnsi="Arial" w:cs="Arial"/>
                <w:b/>
                <w:bCs/>
                <w:color w:val="000000"/>
                <w:sz w:val="10"/>
                <w:szCs w:val="10"/>
              </w:rPr>
            </w:pPr>
            <w:r w:rsidRPr="00B46B81">
              <w:rPr>
                <w:rFonts w:ascii="Arial" w:hAnsi="Arial" w:cs="Arial"/>
                <w:b/>
                <w:bCs/>
                <w:color w:val="000000"/>
                <w:sz w:val="10"/>
                <w:szCs w:val="10"/>
              </w:rPr>
              <w:t>Outros Equipamentos</w:t>
            </w:r>
          </w:p>
        </w:tc>
        <w:tc>
          <w:tcPr>
            <w:tcW w:w="354" w:type="pct"/>
            <w:vMerge/>
            <w:tcBorders>
              <w:top w:val="nil"/>
              <w:left w:val="single" w:sz="4" w:space="0" w:color="auto"/>
              <w:bottom w:val="single" w:sz="4" w:space="0" w:color="auto"/>
              <w:right w:val="single" w:sz="4" w:space="0" w:color="auto"/>
            </w:tcBorders>
            <w:vAlign w:val="center"/>
            <w:hideMark/>
          </w:tcPr>
          <w:p w14:paraId="3BC07278" w14:textId="77777777" w:rsidR="00455383" w:rsidRPr="00B46B81" w:rsidRDefault="00455383" w:rsidP="00047615">
            <w:pPr>
              <w:rPr>
                <w:rFonts w:ascii="Arial" w:hAnsi="Arial" w:cs="Arial"/>
                <w:b/>
                <w:bCs/>
                <w:color w:val="000000"/>
                <w:sz w:val="10"/>
                <w:szCs w:val="10"/>
              </w:rPr>
            </w:pPr>
          </w:p>
        </w:tc>
        <w:tc>
          <w:tcPr>
            <w:tcW w:w="435" w:type="pct"/>
            <w:vMerge/>
            <w:tcBorders>
              <w:top w:val="nil"/>
              <w:left w:val="single" w:sz="4" w:space="0" w:color="auto"/>
              <w:bottom w:val="single" w:sz="4" w:space="0" w:color="auto"/>
              <w:right w:val="single" w:sz="4" w:space="0" w:color="auto"/>
            </w:tcBorders>
            <w:vAlign w:val="center"/>
            <w:hideMark/>
          </w:tcPr>
          <w:p w14:paraId="60F44A39" w14:textId="77777777" w:rsidR="00455383" w:rsidRPr="00B46B81" w:rsidRDefault="00455383" w:rsidP="00047615">
            <w:pPr>
              <w:rPr>
                <w:rFonts w:ascii="Arial" w:hAnsi="Arial" w:cs="Arial"/>
                <w:b/>
                <w:bCs/>
                <w:color w:val="000000"/>
                <w:sz w:val="10"/>
                <w:szCs w:val="10"/>
              </w:rPr>
            </w:pPr>
          </w:p>
        </w:tc>
        <w:tc>
          <w:tcPr>
            <w:tcW w:w="358" w:type="pct"/>
            <w:vMerge/>
            <w:tcBorders>
              <w:top w:val="nil"/>
              <w:left w:val="single" w:sz="4" w:space="0" w:color="auto"/>
              <w:bottom w:val="single" w:sz="4" w:space="0" w:color="auto"/>
              <w:right w:val="single" w:sz="4" w:space="0" w:color="auto"/>
            </w:tcBorders>
            <w:vAlign w:val="center"/>
            <w:hideMark/>
          </w:tcPr>
          <w:p w14:paraId="16D04460" w14:textId="77777777" w:rsidR="00455383" w:rsidRPr="00B46B81" w:rsidRDefault="00455383" w:rsidP="00047615">
            <w:pPr>
              <w:rPr>
                <w:rFonts w:ascii="Arial" w:hAnsi="Arial" w:cs="Arial"/>
                <w:b/>
                <w:bCs/>
                <w:color w:val="000000"/>
                <w:sz w:val="10"/>
                <w:szCs w:val="10"/>
              </w:rPr>
            </w:pPr>
          </w:p>
        </w:tc>
      </w:tr>
      <w:tr w:rsidR="000D3762" w:rsidRPr="00B46B81" w14:paraId="798A77E4"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63EB4DF7" w14:textId="76F4F482"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Custo de Aquisição</w:t>
            </w:r>
          </w:p>
        </w:tc>
        <w:tc>
          <w:tcPr>
            <w:tcW w:w="346" w:type="pct"/>
            <w:tcBorders>
              <w:top w:val="nil"/>
              <w:left w:val="nil"/>
              <w:bottom w:val="single" w:sz="4" w:space="0" w:color="auto"/>
              <w:right w:val="single" w:sz="4" w:space="0" w:color="auto"/>
            </w:tcBorders>
            <w:vAlign w:val="center"/>
            <w:hideMark/>
          </w:tcPr>
          <w:p w14:paraId="551AE674" w14:textId="130DEBDA"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vAlign w:val="center"/>
            <w:hideMark/>
          </w:tcPr>
          <w:p w14:paraId="0407D54C" w14:textId="48166040"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vAlign w:val="center"/>
            <w:hideMark/>
          </w:tcPr>
          <w:p w14:paraId="3B8E8054" w14:textId="06CA8162"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noWrap/>
            <w:vAlign w:val="center"/>
            <w:hideMark/>
          </w:tcPr>
          <w:p w14:paraId="64DDE770" w14:textId="19E2B196" w:rsidR="000D3762" w:rsidRPr="00B46B81" w:rsidRDefault="000D3762" w:rsidP="000D3762">
            <w:pPr>
              <w:rPr>
                <w:rFonts w:ascii="Arial" w:hAnsi="Arial" w:cs="Arial"/>
                <w:color w:val="000000"/>
                <w:sz w:val="10"/>
                <w:szCs w:val="10"/>
              </w:rPr>
            </w:pPr>
            <w:r w:rsidRPr="00B46B81">
              <w:rPr>
                <w:rFonts w:ascii="Arial" w:hAnsi="Arial" w:cs="Arial"/>
                <w:color w:val="000000"/>
                <w:sz w:val="10"/>
                <w:szCs w:val="10"/>
              </w:rPr>
              <w:t> </w:t>
            </w:r>
          </w:p>
        </w:tc>
        <w:tc>
          <w:tcPr>
            <w:tcW w:w="385" w:type="pct"/>
            <w:tcBorders>
              <w:top w:val="nil"/>
              <w:left w:val="nil"/>
              <w:bottom w:val="single" w:sz="4" w:space="0" w:color="auto"/>
              <w:right w:val="single" w:sz="4" w:space="0" w:color="auto"/>
            </w:tcBorders>
            <w:vAlign w:val="center"/>
            <w:hideMark/>
          </w:tcPr>
          <w:p w14:paraId="3004941F" w14:textId="71568AF9"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vAlign w:val="center"/>
            <w:hideMark/>
          </w:tcPr>
          <w:p w14:paraId="3AB33A56" w14:textId="4BA8A923"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vAlign w:val="center"/>
            <w:hideMark/>
          </w:tcPr>
          <w:p w14:paraId="08D1BD41" w14:textId="25340E37"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vAlign w:val="center"/>
            <w:hideMark/>
          </w:tcPr>
          <w:p w14:paraId="71560914" w14:textId="25A62ECE"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vAlign w:val="center"/>
            <w:hideMark/>
          </w:tcPr>
          <w:p w14:paraId="0CA73363" w14:textId="055BFBF8"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vAlign w:val="center"/>
            <w:hideMark/>
          </w:tcPr>
          <w:p w14:paraId="056B1ED5" w14:textId="442ADF02"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w:t>
            </w:r>
          </w:p>
        </w:tc>
      </w:tr>
      <w:tr w:rsidR="000D3762" w:rsidRPr="00B46B81" w14:paraId="60895A52"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50264D9A" w14:textId="6D1C10E7"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Saldo em 31 de dezembro de 2025</w:t>
            </w:r>
          </w:p>
        </w:tc>
        <w:tc>
          <w:tcPr>
            <w:tcW w:w="346" w:type="pct"/>
            <w:tcBorders>
              <w:top w:val="nil"/>
              <w:left w:val="nil"/>
              <w:bottom w:val="single" w:sz="4" w:space="0" w:color="auto"/>
              <w:right w:val="single" w:sz="4" w:space="0" w:color="auto"/>
            </w:tcBorders>
            <w:noWrap/>
            <w:vAlign w:val="center"/>
            <w:hideMark/>
          </w:tcPr>
          <w:p w14:paraId="687BFCD0" w14:textId="5B0FE208"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287.684</w:t>
            </w:r>
          </w:p>
        </w:tc>
        <w:tc>
          <w:tcPr>
            <w:tcW w:w="364" w:type="pct"/>
            <w:tcBorders>
              <w:top w:val="nil"/>
              <w:left w:val="nil"/>
              <w:bottom w:val="single" w:sz="4" w:space="0" w:color="auto"/>
              <w:right w:val="single" w:sz="4" w:space="0" w:color="auto"/>
            </w:tcBorders>
            <w:noWrap/>
            <w:vAlign w:val="center"/>
            <w:hideMark/>
          </w:tcPr>
          <w:p w14:paraId="779E98AB" w14:textId="5D9790F6"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3.301</w:t>
            </w:r>
          </w:p>
        </w:tc>
        <w:tc>
          <w:tcPr>
            <w:tcW w:w="435" w:type="pct"/>
            <w:tcBorders>
              <w:top w:val="nil"/>
              <w:left w:val="nil"/>
              <w:bottom w:val="single" w:sz="4" w:space="0" w:color="auto"/>
              <w:right w:val="single" w:sz="4" w:space="0" w:color="auto"/>
            </w:tcBorders>
            <w:noWrap/>
            <w:vAlign w:val="center"/>
            <w:hideMark/>
          </w:tcPr>
          <w:p w14:paraId="1A53C18C" w14:textId="30395B6F"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305.021</w:t>
            </w:r>
          </w:p>
        </w:tc>
        <w:tc>
          <w:tcPr>
            <w:tcW w:w="340" w:type="pct"/>
            <w:tcBorders>
              <w:top w:val="nil"/>
              <w:left w:val="nil"/>
              <w:bottom w:val="single" w:sz="4" w:space="0" w:color="auto"/>
              <w:right w:val="single" w:sz="4" w:space="0" w:color="auto"/>
            </w:tcBorders>
            <w:noWrap/>
            <w:vAlign w:val="center"/>
            <w:hideMark/>
          </w:tcPr>
          <w:p w14:paraId="1A34E138" w14:textId="6D4394A1"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8.243</w:t>
            </w:r>
          </w:p>
        </w:tc>
        <w:tc>
          <w:tcPr>
            <w:tcW w:w="385" w:type="pct"/>
            <w:tcBorders>
              <w:top w:val="nil"/>
              <w:left w:val="nil"/>
              <w:bottom w:val="single" w:sz="4" w:space="0" w:color="auto"/>
              <w:right w:val="single" w:sz="4" w:space="0" w:color="auto"/>
            </w:tcBorders>
            <w:noWrap/>
            <w:vAlign w:val="center"/>
            <w:hideMark/>
          </w:tcPr>
          <w:p w14:paraId="79B0CE26" w14:textId="11DFECD8"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24.421</w:t>
            </w:r>
          </w:p>
        </w:tc>
        <w:tc>
          <w:tcPr>
            <w:tcW w:w="453" w:type="pct"/>
            <w:tcBorders>
              <w:top w:val="nil"/>
              <w:left w:val="nil"/>
              <w:bottom w:val="single" w:sz="4" w:space="0" w:color="auto"/>
              <w:right w:val="single" w:sz="4" w:space="0" w:color="auto"/>
            </w:tcBorders>
            <w:noWrap/>
            <w:vAlign w:val="center"/>
            <w:hideMark/>
          </w:tcPr>
          <w:p w14:paraId="0EE17979" w14:textId="1C2D8B8B"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2.917.111</w:t>
            </w:r>
          </w:p>
        </w:tc>
        <w:tc>
          <w:tcPr>
            <w:tcW w:w="427" w:type="pct"/>
            <w:tcBorders>
              <w:top w:val="nil"/>
              <w:left w:val="nil"/>
              <w:bottom w:val="single" w:sz="4" w:space="0" w:color="auto"/>
              <w:right w:val="single" w:sz="4" w:space="0" w:color="auto"/>
            </w:tcBorders>
            <w:noWrap/>
            <w:vAlign w:val="center"/>
            <w:hideMark/>
          </w:tcPr>
          <w:p w14:paraId="7AFDDF8F" w14:textId="64163846"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noWrap/>
            <w:vAlign w:val="center"/>
            <w:hideMark/>
          </w:tcPr>
          <w:p w14:paraId="78767186" w14:textId="329E29B1"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68.569</w:t>
            </w:r>
          </w:p>
        </w:tc>
        <w:tc>
          <w:tcPr>
            <w:tcW w:w="435" w:type="pct"/>
            <w:tcBorders>
              <w:top w:val="nil"/>
              <w:left w:val="nil"/>
              <w:bottom w:val="single" w:sz="4" w:space="0" w:color="auto"/>
              <w:right w:val="single" w:sz="4" w:space="0" w:color="auto"/>
            </w:tcBorders>
            <w:noWrap/>
            <w:vAlign w:val="center"/>
            <w:hideMark/>
          </w:tcPr>
          <w:p w14:paraId="72EE1631" w14:textId="66B7CE6B"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28.618</w:t>
            </w:r>
          </w:p>
        </w:tc>
        <w:tc>
          <w:tcPr>
            <w:tcW w:w="358" w:type="pct"/>
            <w:tcBorders>
              <w:top w:val="nil"/>
              <w:left w:val="nil"/>
              <w:bottom w:val="single" w:sz="4" w:space="0" w:color="auto"/>
              <w:right w:val="single" w:sz="4" w:space="0" w:color="auto"/>
            </w:tcBorders>
            <w:noWrap/>
            <w:vAlign w:val="center"/>
            <w:hideMark/>
          </w:tcPr>
          <w:p w14:paraId="32D64106" w14:textId="4A39E88C"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3.644.124</w:t>
            </w:r>
          </w:p>
        </w:tc>
      </w:tr>
      <w:tr w:rsidR="000D3762" w:rsidRPr="00B46B81" w14:paraId="0AD5E0BA"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05ADF26" w14:textId="1B809283" w:rsidR="000D3762" w:rsidRPr="00B46B81" w:rsidRDefault="000D3762" w:rsidP="000D3762">
            <w:pPr>
              <w:rPr>
                <w:rFonts w:ascii="Arial" w:hAnsi="Arial" w:cs="Arial"/>
                <w:color w:val="000000"/>
                <w:sz w:val="10"/>
                <w:szCs w:val="10"/>
              </w:rPr>
            </w:pPr>
            <w:r w:rsidRPr="00B46B81">
              <w:rPr>
                <w:rFonts w:ascii="Arial" w:hAnsi="Arial" w:cs="Arial"/>
                <w:color w:val="000000"/>
                <w:sz w:val="10"/>
                <w:szCs w:val="10"/>
              </w:rPr>
              <w:t xml:space="preserve"> Adições - CPC 6(R2) / IFRS 16</w:t>
            </w:r>
          </w:p>
        </w:tc>
        <w:tc>
          <w:tcPr>
            <w:tcW w:w="346" w:type="pct"/>
            <w:tcBorders>
              <w:top w:val="nil"/>
              <w:left w:val="nil"/>
              <w:bottom w:val="single" w:sz="4" w:space="0" w:color="auto"/>
              <w:right w:val="single" w:sz="4" w:space="0" w:color="auto"/>
            </w:tcBorders>
            <w:noWrap/>
            <w:vAlign w:val="center"/>
            <w:hideMark/>
          </w:tcPr>
          <w:p w14:paraId="092F62BD" w14:textId="36FD4042"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79EBAD65" w14:textId="371B5208"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6167F97F" w14:textId="2029502B"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6CDB5613" w14:textId="3BD1716C"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3582080C" w14:textId="2B941FC8"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587B72A0" w14:textId="063D8F81"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12E93BCB" w14:textId="41DD7E61"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18A7A228" w14:textId="443E05F5"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1.515</w:t>
            </w:r>
          </w:p>
        </w:tc>
        <w:tc>
          <w:tcPr>
            <w:tcW w:w="435" w:type="pct"/>
            <w:tcBorders>
              <w:top w:val="nil"/>
              <w:left w:val="nil"/>
              <w:bottom w:val="single" w:sz="4" w:space="0" w:color="auto"/>
              <w:right w:val="single" w:sz="4" w:space="0" w:color="auto"/>
            </w:tcBorders>
            <w:noWrap/>
            <w:vAlign w:val="center"/>
            <w:hideMark/>
          </w:tcPr>
          <w:p w14:paraId="72048FFA" w14:textId="70A9905F"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3414538C" w14:textId="11870FC1"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1.515</w:t>
            </w:r>
          </w:p>
        </w:tc>
      </w:tr>
      <w:tr w:rsidR="000D3762" w:rsidRPr="00B46B81" w14:paraId="3B53007D"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4A1B0242" w14:textId="508FA150" w:rsidR="000D3762" w:rsidRPr="00B46B81" w:rsidRDefault="000D3762" w:rsidP="000D3762">
            <w:pPr>
              <w:rPr>
                <w:rFonts w:ascii="Arial" w:hAnsi="Arial" w:cs="Arial"/>
                <w:color w:val="000000"/>
                <w:sz w:val="10"/>
                <w:szCs w:val="10"/>
              </w:rPr>
            </w:pPr>
            <w:r w:rsidRPr="00B46B81">
              <w:rPr>
                <w:rFonts w:ascii="Arial" w:hAnsi="Arial" w:cs="Arial"/>
                <w:color w:val="000000"/>
                <w:sz w:val="10"/>
                <w:szCs w:val="10"/>
              </w:rPr>
              <w:t xml:space="preserve"> Aquisições/Adições</w:t>
            </w:r>
          </w:p>
        </w:tc>
        <w:tc>
          <w:tcPr>
            <w:tcW w:w="346" w:type="pct"/>
            <w:tcBorders>
              <w:top w:val="nil"/>
              <w:left w:val="nil"/>
              <w:bottom w:val="single" w:sz="4" w:space="0" w:color="auto"/>
              <w:right w:val="single" w:sz="4" w:space="0" w:color="auto"/>
            </w:tcBorders>
            <w:noWrap/>
            <w:vAlign w:val="center"/>
            <w:hideMark/>
          </w:tcPr>
          <w:p w14:paraId="09326AC8" w14:textId="0C64F90D"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6E373519" w14:textId="2A526343"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56FCF3FF" w14:textId="3F6E4EA3"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4129577A" w14:textId="70CD82D0"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6A0DB4FD" w14:textId="5071476F"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2AE54DAA" w14:textId="1C0ADFB6"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39E140FC" w14:textId="5720DE7B"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1186CF4D" w14:textId="695DF6CA"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7BCB88F2" w14:textId="05DD0CF1"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8.761</w:t>
            </w:r>
          </w:p>
        </w:tc>
        <w:tc>
          <w:tcPr>
            <w:tcW w:w="358" w:type="pct"/>
            <w:tcBorders>
              <w:top w:val="nil"/>
              <w:left w:val="nil"/>
              <w:bottom w:val="single" w:sz="4" w:space="0" w:color="auto"/>
              <w:right w:val="single" w:sz="4" w:space="0" w:color="auto"/>
            </w:tcBorders>
            <w:noWrap/>
            <w:vAlign w:val="center"/>
            <w:hideMark/>
          </w:tcPr>
          <w:p w14:paraId="4A51B329" w14:textId="796B6C08"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8.761</w:t>
            </w:r>
          </w:p>
        </w:tc>
      </w:tr>
      <w:tr w:rsidR="000D3762" w:rsidRPr="00B46B81" w14:paraId="7D3E0FF9"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tcPr>
          <w:p w14:paraId="7A469805" w14:textId="44802417" w:rsidR="000D3762" w:rsidRPr="00B46B81" w:rsidRDefault="000D3762" w:rsidP="000D3762">
            <w:pPr>
              <w:rPr>
                <w:rFonts w:ascii="Arial" w:hAnsi="Arial" w:cs="Arial"/>
                <w:color w:val="000000"/>
                <w:sz w:val="10"/>
                <w:szCs w:val="10"/>
              </w:rPr>
            </w:pPr>
            <w:r w:rsidRPr="00B46B81">
              <w:rPr>
                <w:rFonts w:ascii="Arial" w:hAnsi="Arial" w:cs="Arial"/>
                <w:color w:val="000000"/>
                <w:sz w:val="10"/>
                <w:szCs w:val="10"/>
              </w:rPr>
              <w:t xml:space="preserve"> Transferências Internas no Imobilizado</w:t>
            </w:r>
          </w:p>
        </w:tc>
        <w:tc>
          <w:tcPr>
            <w:tcW w:w="346" w:type="pct"/>
            <w:tcBorders>
              <w:top w:val="nil"/>
              <w:left w:val="nil"/>
              <w:bottom w:val="single" w:sz="4" w:space="0" w:color="auto"/>
              <w:right w:val="single" w:sz="4" w:space="0" w:color="auto"/>
            </w:tcBorders>
            <w:noWrap/>
            <w:vAlign w:val="center"/>
          </w:tcPr>
          <w:p w14:paraId="0142E524" w14:textId="1CD6B48D"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289</w:t>
            </w:r>
          </w:p>
        </w:tc>
        <w:tc>
          <w:tcPr>
            <w:tcW w:w="364" w:type="pct"/>
            <w:tcBorders>
              <w:top w:val="nil"/>
              <w:left w:val="nil"/>
              <w:bottom w:val="single" w:sz="4" w:space="0" w:color="auto"/>
              <w:right w:val="single" w:sz="4" w:space="0" w:color="auto"/>
            </w:tcBorders>
            <w:noWrap/>
            <w:vAlign w:val="center"/>
          </w:tcPr>
          <w:p w14:paraId="7E5D4A26" w14:textId="713B5E5C"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tcPr>
          <w:p w14:paraId="5BF29D39" w14:textId="4BE69CCD"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3.502</w:t>
            </w:r>
          </w:p>
        </w:tc>
        <w:tc>
          <w:tcPr>
            <w:tcW w:w="340" w:type="pct"/>
            <w:tcBorders>
              <w:top w:val="nil"/>
              <w:left w:val="nil"/>
              <w:bottom w:val="single" w:sz="4" w:space="0" w:color="auto"/>
              <w:right w:val="single" w:sz="4" w:space="0" w:color="auto"/>
            </w:tcBorders>
            <w:noWrap/>
            <w:vAlign w:val="center"/>
          </w:tcPr>
          <w:p w14:paraId="05867E09" w14:textId="316D56DC"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tcPr>
          <w:p w14:paraId="139DC915" w14:textId="7A2B5200"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11</w:t>
            </w:r>
          </w:p>
        </w:tc>
        <w:tc>
          <w:tcPr>
            <w:tcW w:w="453" w:type="pct"/>
            <w:tcBorders>
              <w:top w:val="nil"/>
              <w:left w:val="nil"/>
              <w:bottom w:val="single" w:sz="4" w:space="0" w:color="auto"/>
              <w:right w:val="single" w:sz="4" w:space="0" w:color="auto"/>
            </w:tcBorders>
            <w:noWrap/>
            <w:vAlign w:val="center"/>
          </w:tcPr>
          <w:p w14:paraId="2737EBBE" w14:textId="6F10C49A"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18.561</w:t>
            </w:r>
          </w:p>
        </w:tc>
        <w:tc>
          <w:tcPr>
            <w:tcW w:w="427" w:type="pct"/>
            <w:tcBorders>
              <w:top w:val="nil"/>
              <w:left w:val="nil"/>
              <w:bottom w:val="single" w:sz="4" w:space="0" w:color="auto"/>
              <w:right w:val="single" w:sz="4" w:space="0" w:color="auto"/>
            </w:tcBorders>
            <w:noWrap/>
            <w:vAlign w:val="center"/>
          </w:tcPr>
          <w:p w14:paraId="275BABF2" w14:textId="2206B6EF"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tcPr>
          <w:p w14:paraId="02E0272E" w14:textId="288B0C43"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tcPr>
          <w:p w14:paraId="6C4BAF07" w14:textId="47118FBB"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(22.362)</w:t>
            </w:r>
          </w:p>
        </w:tc>
        <w:tc>
          <w:tcPr>
            <w:tcW w:w="358" w:type="pct"/>
            <w:tcBorders>
              <w:top w:val="nil"/>
              <w:left w:val="nil"/>
              <w:bottom w:val="single" w:sz="4" w:space="0" w:color="auto"/>
              <w:right w:val="single" w:sz="4" w:space="0" w:color="auto"/>
            </w:tcBorders>
            <w:noWrap/>
            <w:vAlign w:val="center"/>
          </w:tcPr>
          <w:p w14:paraId="2E869CE7" w14:textId="7EBEC47F"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1</w:t>
            </w:r>
          </w:p>
        </w:tc>
      </w:tr>
      <w:tr w:rsidR="000D3762" w:rsidRPr="00B46B81" w14:paraId="18717D8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tcPr>
          <w:p w14:paraId="72FA7524" w14:textId="4A048E69" w:rsidR="000D3762" w:rsidRPr="00B46B81" w:rsidRDefault="000D3762" w:rsidP="000D3762">
            <w:pPr>
              <w:rPr>
                <w:rFonts w:ascii="Arial" w:hAnsi="Arial" w:cs="Arial"/>
                <w:b/>
                <w:bCs/>
                <w:color w:val="000000"/>
                <w:sz w:val="10"/>
                <w:szCs w:val="10"/>
              </w:rPr>
            </w:pPr>
            <w:r w:rsidRPr="00B46B81">
              <w:rPr>
                <w:rFonts w:ascii="Arial" w:hAnsi="Arial" w:cs="Arial"/>
                <w:color w:val="000000"/>
                <w:sz w:val="10"/>
                <w:szCs w:val="10"/>
              </w:rPr>
              <w:t>Transferências para o Intangível</w:t>
            </w:r>
          </w:p>
        </w:tc>
        <w:tc>
          <w:tcPr>
            <w:tcW w:w="346" w:type="pct"/>
            <w:tcBorders>
              <w:top w:val="nil"/>
              <w:left w:val="nil"/>
              <w:bottom w:val="single" w:sz="4" w:space="0" w:color="auto"/>
              <w:right w:val="single" w:sz="4" w:space="0" w:color="auto"/>
            </w:tcBorders>
            <w:noWrap/>
            <w:vAlign w:val="center"/>
          </w:tcPr>
          <w:p w14:paraId="0D6CE4A3" w14:textId="1CE30DD4"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 </w:t>
            </w:r>
          </w:p>
        </w:tc>
        <w:tc>
          <w:tcPr>
            <w:tcW w:w="364" w:type="pct"/>
            <w:tcBorders>
              <w:top w:val="nil"/>
              <w:left w:val="nil"/>
              <w:bottom w:val="single" w:sz="4" w:space="0" w:color="auto"/>
              <w:right w:val="single" w:sz="4" w:space="0" w:color="auto"/>
            </w:tcBorders>
            <w:noWrap/>
            <w:vAlign w:val="center"/>
          </w:tcPr>
          <w:p w14:paraId="258C03AE" w14:textId="1770EF61"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 </w:t>
            </w:r>
          </w:p>
        </w:tc>
        <w:tc>
          <w:tcPr>
            <w:tcW w:w="435" w:type="pct"/>
            <w:tcBorders>
              <w:top w:val="nil"/>
              <w:left w:val="nil"/>
              <w:bottom w:val="single" w:sz="4" w:space="0" w:color="auto"/>
              <w:right w:val="single" w:sz="4" w:space="0" w:color="auto"/>
            </w:tcBorders>
            <w:noWrap/>
            <w:vAlign w:val="center"/>
          </w:tcPr>
          <w:p w14:paraId="0775E21C" w14:textId="16F9FDD4"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 </w:t>
            </w:r>
          </w:p>
        </w:tc>
        <w:tc>
          <w:tcPr>
            <w:tcW w:w="340" w:type="pct"/>
            <w:tcBorders>
              <w:top w:val="nil"/>
              <w:left w:val="nil"/>
              <w:bottom w:val="single" w:sz="4" w:space="0" w:color="auto"/>
              <w:right w:val="single" w:sz="4" w:space="0" w:color="auto"/>
            </w:tcBorders>
            <w:noWrap/>
            <w:vAlign w:val="center"/>
          </w:tcPr>
          <w:p w14:paraId="507012FA" w14:textId="741ECE4D"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 </w:t>
            </w:r>
          </w:p>
        </w:tc>
        <w:tc>
          <w:tcPr>
            <w:tcW w:w="385" w:type="pct"/>
            <w:tcBorders>
              <w:top w:val="nil"/>
              <w:left w:val="nil"/>
              <w:bottom w:val="single" w:sz="4" w:space="0" w:color="auto"/>
              <w:right w:val="single" w:sz="4" w:space="0" w:color="auto"/>
            </w:tcBorders>
            <w:noWrap/>
            <w:vAlign w:val="center"/>
          </w:tcPr>
          <w:p w14:paraId="7694F39C" w14:textId="319D48AB"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 </w:t>
            </w:r>
          </w:p>
        </w:tc>
        <w:tc>
          <w:tcPr>
            <w:tcW w:w="453" w:type="pct"/>
            <w:tcBorders>
              <w:top w:val="nil"/>
              <w:left w:val="nil"/>
              <w:bottom w:val="single" w:sz="4" w:space="0" w:color="auto"/>
              <w:right w:val="single" w:sz="4" w:space="0" w:color="auto"/>
            </w:tcBorders>
            <w:noWrap/>
            <w:vAlign w:val="center"/>
          </w:tcPr>
          <w:p w14:paraId="4B528C00" w14:textId="765D27D7"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 </w:t>
            </w:r>
          </w:p>
        </w:tc>
        <w:tc>
          <w:tcPr>
            <w:tcW w:w="427" w:type="pct"/>
            <w:tcBorders>
              <w:top w:val="nil"/>
              <w:left w:val="nil"/>
              <w:bottom w:val="single" w:sz="4" w:space="0" w:color="auto"/>
              <w:right w:val="single" w:sz="4" w:space="0" w:color="auto"/>
            </w:tcBorders>
            <w:noWrap/>
            <w:vAlign w:val="center"/>
          </w:tcPr>
          <w:p w14:paraId="38D1BE3B" w14:textId="7F4319C1"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 </w:t>
            </w:r>
          </w:p>
        </w:tc>
        <w:tc>
          <w:tcPr>
            <w:tcW w:w="354" w:type="pct"/>
            <w:tcBorders>
              <w:top w:val="nil"/>
              <w:left w:val="nil"/>
              <w:bottom w:val="single" w:sz="4" w:space="0" w:color="auto"/>
              <w:right w:val="single" w:sz="4" w:space="0" w:color="auto"/>
            </w:tcBorders>
            <w:noWrap/>
            <w:vAlign w:val="center"/>
          </w:tcPr>
          <w:p w14:paraId="617BBC4B" w14:textId="4B4EF6E7"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tcPr>
          <w:p w14:paraId="62F3616F" w14:textId="7BD4FA7C"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(2.424)</w:t>
            </w:r>
          </w:p>
        </w:tc>
        <w:tc>
          <w:tcPr>
            <w:tcW w:w="358" w:type="pct"/>
            <w:tcBorders>
              <w:top w:val="nil"/>
              <w:left w:val="nil"/>
              <w:bottom w:val="single" w:sz="4" w:space="0" w:color="auto"/>
              <w:right w:val="single" w:sz="4" w:space="0" w:color="auto"/>
            </w:tcBorders>
            <w:noWrap/>
            <w:vAlign w:val="center"/>
          </w:tcPr>
          <w:p w14:paraId="2DEDD783" w14:textId="20D146EF"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(2.424)</w:t>
            </w:r>
          </w:p>
        </w:tc>
      </w:tr>
      <w:tr w:rsidR="000D3762" w:rsidRPr="00B46B81" w14:paraId="245AA8DF"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02D65FD0" w14:textId="32C9320B"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Saldo em 31 de março de 2026</w:t>
            </w:r>
          </w:p>
        </w:tc>
        <w:tc>
          <w:tcPr>
            <w:tcW w:w="346" w:type="pct"/>
            <w:tcBorders>
              <w:top w:val="nil"/>
              <w:left w:val="nil"/>
              <w:bottom w:val="single" w:sz="4" w:space="0" w:color="auto"/>
              <w:right w:val="single" w:sz="4" w:space="0" w:color="auto"/>
            </w:tcBorders>
            <w:noWrap/>
            <w:vAlign w:val="center"/>
            <w:hideMark/>
          </w:tcPr>
          <w:p w14:paraId="752664A8" w14:textId="4EE82002"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287.973</w:t>
            </w:r>
          </w:p>
        </w:tc>
        <w:tc>
          <w:tcPr>
            <w:tcW w:w="364" w:type="pct"/>
            <w:tcBorders>
              <w:top w:val="nil"/>
              <w:left w:val="nil"/>
              <w:bottom w:val="single" w:sz="4" w:space="0" w:color="auto"/>
              <w:right w:val="single" w:sz="4" w:space="0" w:color="auto"/>
            </w:tcBorders>
            <w:noWrap/>
            <w:vAlign w:val="center"/>
            <w:hideMark/>
          </w:tcPr>
          <w:p w14:paraId="5CF086C7" w14:textId="1679F9D5"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3.301</w:t>
            </w:r>
          </w:p>
        </w:tc>
        <w:tc>
          <w:tcPr>
            <w:tcW w:w="435" w:type="pct"/>
            <w:tcBorders>
              <w:top w:val="nil"/>
              <w:left w:val="nil"/>
              <w:bottom w:val="single" w:sz="4" w:space="0" w:color="auto"/>
              <w:right w:val="single" w:sz="4" w:space="0" w:color="auto"/>
            </w:tcBorders>
            <w:noWrap/>
            <w:vAlign w:val="center"/>
            <w:hideMark/>
          </w:tcPr>
          <w:p w14:paraId="126F79E8" w14:textId="16A6A53F"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308.523</w:t>
            </w:r>
          </w:p>
        </w:tc>
        <w:tc>
          <w:tcPr>
            <w:tcW w:w="340" w:type="pct"/>
            <w:tcBorders>
              <w:top w:val="nil"/>
              <w:left w:val="nil"/>
              <w:bottom w:val="single" w:sz="4" w:space="0" w:color="auto"/>
              <w:right w:val="single" w:sz="4" w:space="0" w:color="auto"/>
            </w:tcBorders>
            <w:noWrap/>
            <w:vAlign w:val="center"/>
            <w:hideMark/>
          </w:tcPr>
          <w:p w14:paraId="59A46530" w14:textId="28AD50DF"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8.243</w:t>
            </w:r>
          </w:p>
        </w:tc>
        <w:tc>
          <w:tcPr>
            <w:tcW w:w="385" w:type="pct"/>
            <w:tcBorders>
              <w:top w:val="nil"/>
              <w:left w:val="nil"/>
              <w:bottom w:val="single" w:sz="4" w:space="0" w:color="auto"/>
              <w:right w:val="single" w:sz="4" w:space="0" w:color="auto"/>
            </w:tcBorders>
            <w:noWrap/>
            <w:vAlign w:val="center"/>
            <w:hideMark/>
          </w:tcPr>
          <w:p w14:paraId="12CACD37" w14:textId="69A5E9FE"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24.432</w:t>
            </w:r>
          </w:p>
        </w:tc>
        <w:tc>
          <w:tcPr>
            <w:tcW w:w="453" w:type="pct"/>
            <w:tcBorders>
              <w:top w:val="nil"/>
              <w:left w:val="nil"/>
              <w:bottom w:val="single" w:sz="4" w:space="0" w:color="auto"/>
              <w:right w:val="single" w:sz="4" w:space="0" w:color="auto"/>
            </w:tcBorders>
            <w:noWrap/>
            <w:vAlign w:val="center"/>
            <w:hideMark/>
          </w:tcPr>
          <w:p w14:paraId="092F643E" w14:textId="536F9361"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2.935.672</w:t>
            </w:r>
          </w:p>
        </w:tc>
        <w:tc>
          <w:tcPr>
            <w:tcW w:w="427" w:type="pct"/>
            <w:tcBorders>
              <w:top w:val="nil"/>
              <w:left w:val="nil"/>
              <w:bottom w:val="single" w:sz="4" w:space="0" w:color="auto"/>
              <w:right w:val="single" w:sz="4" w:space="0" w:color="auto"/>
            </w:tcBorders>
            <w:noWrap/>
            <w:vAlign w:val="center"/>
            <w:hideMark/>
          </w:tcPr>
          <w:p w14:paraId="7A2546E8" w14:textId="12D37E94"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noWrap/>
            <w:vAlign w:val="center"/>
            <w:hideMark/>
          </w:tcPr>
          <w:p w14:paraId="031E2ED1" w14:textId="16019BBF"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70.084</w:t>
            </w:r>
          </w:p>
        </w:tc>
        <w:tc>
          <w:tcPr>
            <w:tcW w:w="435" w:type="pct"/>
            <w:tcBorders>
              <w:top w:val="nil"/>
              <w:left w:val="nil"/>
              <w:bottom w:val="single" w:sz="4" w:space="0" w:color="auto"/>
              <w:right w:val="single" w:sz="4" w:space="0" w:color="auto"/>
            </w:tcBorders>
            <w:noWrap/>
            <w:vAlign w:val="center"/>
            <w:hideMark/>
          </w:tcPr>
          <w:p w14:paraId="37F6B735" w14:textId="367333F1"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12.593</w:t>
            </w:r>
          </w:p>
        </w:tc>
        <w:tc>
          <w:tcPr>
            <w:tcW w:w="358" w:type="pct"/>
            <w:tcBorders>
              <w:top w:val="nil"/>
              <w:left w:val="nil"/>
              <w:bottom w:val="single" w:sz="4" w:space="0" w:color="auto"/>
              <w:right w:val="single" w:sz="4" w:space="0" w:color="auto"/>
            </w:tcBorders>
            <w:noWrap/>
            <w:vAlign w:val="center"/>
            <w:hideMark/>
          </w:tcPr>
          <w:p w14:paraId="0EDF3756" w14:textId="197321F8"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3.651.977</w:t>
            </w:r>
          </w:p>
        </w:tc>
      </w:tr>
      <w:tr w:rsidR="000D3762" w:rsidRPr="00B46B81" w14:paraId="77CC99E6"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450D498E" w14:textId="0039BD66"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 xml:space="preserve"> Depreciação Acumulada </w:t>
            </w:r>
          </w:p>
        </w:tc>
        <w:tc>
          <w:tcPr>
            <w:tcW w:w="346" w:type="pct"/>
            <w:tcBorders>
              <w:top w:val="nil"/>
              <w:left w:val="nil"/>
              <w:bottom w:val="single" w:sz="4" w:space="0" w:color="auto"/>
              <w:right w:val="single" w:sz="4" w:space="0" w:color="auto"/>
            </w:tcBorders>
            <w:noWrap/>
            <w:vAlign w:val="center"/>
            <w:hideMark/>
          </w:tcPr>
          <w:p w14:paraId="29CB9E8F" w14:textId="6E808DD5"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c>
          <w:tcPr>
            <w:tcW w:w="364" w:type="pct"/>
            <w:tcBorders>
              <w:top w:val="nil"/>
              <w:left w:val="nil"/>
              <w:bottom w:val="single" w:sz="4" w:space="0" w:color="auto"/>
              <w:right w:val="single" w:sz="4" w:space="0" w:color="auto"/>
            </w:tcBorders>
            <w:noWrap/>
            <w:vAlign w:val="center"/>
            <w:hideMark/>
          </w:tcPr>
          <w:p w14:paraId="038EA2DA" w14:textId="02B78161"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noWrap/>
            <w:vAlign w:val="center"/>
            <w:hideMark/>
          </w:tcPr>
          <w:p w14:paraId="120A42F0" w14:textId="5C9398A4"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c>
          <w:tcPr>
            <w:tcW w:w="340" w:type="pct"/>
            <w:tcBorders>
              <w:top w:val="nil"/>
              <w:left w:val="nil"/>
              <w:bottom w:val="single" w:sz="4" w:space="0" w:color="auto"/>
              <w:right w:val="single" w:sz="4" w:space="0" w:color="auto"/>
            </w:tcBorders>
            <w:noWrap/>
            <w:vAlign w:val="center"/>
            <w:hideMark/>
          </w:tcPr>
          <w:p w14:paraId="2EB6BE71" w14:textId="183F660B"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w:t>
            </w:r>
          </w:p>
        </w:tc>
        <w:tc>
          <w:tcPr>
            <w:tcW w:w="385" w:type="pct"/>
            <w:tcBorders>
              <w:top w:val="nil"/>
              <w:left w:val="nil"/>
              <w:bottom w:val="single" w:sz="4" w:space="0" w:color="auto"/>
              <w:right w:val="single" w:sz="4" w:space="0" w:color="auto"/>
            </w:tcBorders>
            <w:noWrap/>
            <w:vAlign w:val="center"/>
            <w:hideMark/>
          </w:tcPr>
          <w:p w14:paraId="33B4B2F1" w14:textId="01AEE97F"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c>
          <w:tcPr>
            <w:tcW w:w="453" w:type="pct"/>
            <w:tcBorders>
              <w:top w:val="nil"/>
              <w:left w:val="nil"/>
              <w:bottom w:val="single" w:sz="4" w:space="0" w:color="auto"/>
              <w:right w:val="single" w:sz="4" w:space="0" w:color="auto"/>
            </w:tcBorders>
            <w:noWrap/>
            <w:vAlign w:val="center"/>
            <w:hideMark/>
          </w:tcPr>
          <w:p w14:paraId="3641A2BD" w14:textId="76D877EE"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c>
          <w:tcPr>
            <w:tcW w:w="427" w:type="pct"/>
            <w:tcBorders>
              <w:top w:val="nil"/>
              <w:left w:val="nil"/>
              <w:bottom w:val="single" w:sz="4" w:space="0" w:color="auto"/>
              <w:right w:val="single" w:sz="4" w:space="0" w:color="auto"/>
            </w:tcBorders>
            <w:noWrap/>
            <w:vAlign w:val="center"/>
            <w:hideMark/>
          </w:tcPr>
          <w:p w14:paraId="0F0D08AD" w14:textId="1D8D2055"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c>
          <w:tcPr>
            <w:tcW w:w="354" w:type="pct"/>
            <w:tcBorders>
              <w:top w:val="nil"/>
              <w:left w:val="nil"/>
              <w:bottom w:val="single" w:sz="4" w:space="0" w:color="auto"/>
              <w:right w:val="single" w:sz="4" w:space="0" w:color="auto"/>
            </w:tcBorders>
            <w:noWrap/>
            <w:vAlign w:val="center"/>
            <w:hideMark/>
          </w:tcPr>
          <w:p w14:paraId="02128A6D" w14:textId="011545D3"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c>
          <w:tcPr>
            <w:tcW w:w="435" w:type="pct"/>
            <w:tcBorders>
              <w:top w:val="nil"/>
              <w:left w:val="nil"/>
              <w:bottom w:val="single" w:sz="4" w:space="0" w:color="auto"/>
              <w:right w:val="single" w:sz="4" w:space="0" w:color="auto"/>
            </w:tcBorders>
            <w:noWrap/>
            <w:vAlign w:val="center"/>
            <w:hideMark/>
          </w:tcPr>
          <w:p w14:paraId="1C552635" w14:textId="18CA85D8"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noWrap/>
            <w:vAlign w:val="center"/>
            <w:hideMark/>
          </w:tcPr>
          <w:p w14:paraId="09A771FD" w14:textId="613FA009"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w:t>
            </w:r>
          </w:p>
        </w:tc>
      </w:tr>
      <w:tr w:rsidR="000D3762" w:rsidRPr="00B46B81" w14:paraId="56DDF4F0"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7F390616" w14:textId="43D82194"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Saldo em 31 de dezembro de 2025</w:t>
            </w:r>
          </w:p>
        </w:tc>
        <w:tc>
          <w:tcPr>
            <w:tcW w:w="346" w:type="pct"/>
            <w:tcBorders>
              <w:top w:val="nil"/>
              <w:left w:val="nil"/>
              <w:bottom w:val="single" w:sz="4" w:space="0" w:color="auto"/>
              <w:right w:val="single" w:sz="4" w:space="0" w:color="auto"/>
            </w:tcBorders>
            <w:noWrap/>
            <w:vAlign w:val="center"/>
            <w:hideMark/>
          </w:tcPr>
          <w:p w14:paraId="49AB6BCF" w14:textId="200D27EE"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(140.614)</w:t>
            </w:r>
          </w:p>
        </w:tc>
        <w:tc>
          <w:tcPr>
            <w:tcW w:w="364" w:type="pct"/>
            <w:tcBorders>
              <w:top w:val="nil"/>
              <w:left w:val="nil"/>
              <w:bottom w:val="single" w:sz="4" w:space="0" w:color="auto"/>
              <w:right w:val="single" w:sz="4" w:space="0" w:color="auto"/>
            </w:tcBorders>
            <w:noWrap/>
            <w:vAlign w:val="center"/>
            <w:hideMark/>
          </w:tcPr>
          <w:p w14:paraId="5053BABE" w14:textId="22BAB058"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(2.781)</w:t>
            </w:r>
          </w:p>
        </w:tc>
        <w:tc>
          <w:tcPr>
            <w:tcW w:w="435" w:type="pct"/>
            <w:tcBorders>
              <w:top w:val="nil"/>
              <w:left w:val="nil"/>
              <w:bottom w:val="single" w:sz="4" w:space="0" w:color="auto"/>
              <w:right w:val="single" w:sz="4" w:space="0" w:color="auto"/>
            </w:tcBorders>
            <w:noWrap/>
            <w:vAlign w:val="center"/>
            <w:hideMark/>
          </w:tcPr>
          <w:p w14:paraId="372FDCFF" w14:textId="36F1A919"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(163.341)</w:t>
            </w:r>
          </w:p>
        </w:tc>
        <w:tc>
          <w:tcPr>
            <w:tcW w:w="340" w:type="pct"/>
            <w:tcBorders>
              <w:top w:val="nil"/>
              <w:left w:val="nil"/>
              <w:bottom w:val="single" w:sz="4" w:space="0" w:color="auto"/>
              <w:right w:val="single" w:sz="4" w:space="0" w:color="auto"/>
            </w:tcBorders>
            <w:noWrap/>
            <w:vAlign w:val="center"/>
            <w:hideMark/>
          </w:tcPr>
          <w:p w14:paraId="423DF189" w14:textId="0CD106D2"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(4.919)</w:t>
            </w:r>
          </w:p>
        </w:tc>
        <w:tc>
          <w:tcPr>
            <w:tcW w:w="385" w:type="pct"/>
            <w:tcBorders>
              <w:top w:val="nil"/>
              <w:left w:val="nil"/>
              <w:bottom w:val="single" w:sz="4" w:space="0" w:color="auto"/>
              <w:right w:val="single" w:sz="4" w:space="0" w:color="auto"/>
            </w:tcBorders>
            <w:noWrap/>
            <w:vAlign w:val="center"/>
            <w:hideMark/>
          </w:tcPr>
          <w:p w14:paraId="5D67F8DF" w14:textId="6656EC86"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(19.942)</w:t>
            </w:r>
          </w:p>
        </w:tc>
        <w:tc>
          <w:tcPr>
            <w:tcW w:w="453" w:type="pct"/>
            <w:tcBorders>
              <w:top w:val="nil"/>
              <w:left w:val="nil"/>
              <w:bottom w:val="single" w:sz="4" w:space="0" w:color="auto"/>
              <w:right w:val="single" w:sz="4" w:space="0" w:color="auto"/>
            </w:tcBorders>
            <w:noWrap/>
            <w:vAlign w:val="center"/>
            <w:hideMark/>
          </w:tcPr>
          <w:p w14:paraId="78C3769F" w14:textId="7944842B"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(1.564.593)</w:t>
            </w:r>
          </w:p>
        </w:tc>
        <w:tc>
          <w:tcPr>
            <w:tcW w:w="427" w:type="pct"/>
            <w:tcBorders>
              <w:top w:val="nil"/>
              <w:left w:val="nil"/>
              <w:bottom w:val="single" w:sz="4" w:space="0" w:color="auto"/>
              <w:right w:val="single" w:sz="4" w:space="0" w:color="auto"/>
            </w:tcBorders>
            <w:noWrap/>
            <w:vAlign w:val="center"/>
            <w:hideMark/>
          </w:tcPr>
          <w:p w14:paraId="7DAABC60" w14:textId="1A313933"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noWrap/>
            <w:vAlign w:val="center"/>
            <w:hideMark/>
          </w:tcPr>
          <w:p w14:paraId="1A09B094" w14:textId="64DCD54D"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(49.279)</w:t>
            </w:r>
          </w:p>
        </w:tc>
        <w:tc>
          <w:tcPr>
            <w:tcW w:w="435" w:type="pct"/>
            <w:tcBorders>
              <w:top w:val="nil"/>
              <w:left w:val="nil"/>
              <w:bottom w:val="single" w:sz="4" w:space="0" w:color="auto"/>
              <w:right w:val="single" w:sz="4" w:space="0" w:color="auto"/>
            </w:tcBorders>
            <w:noWrap/>
            <w:vAlign w:val="center"/>
            <w:hideMark/>
          </w:tcPr>
          <w:p w14:paraId="00C7E16E" w14:textId="3A71CDCD"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0F1FED44" w14:textId="49BC6B38"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(1.946.625)</w:t>
            </w:r>
          </w:p>
        </w:tc>
      </w:tr>
      <w:tr w:rsidR="000D3762" w:rsidRPr="00B46B81" w14:paraId="488461DD"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C0A791D" w14:textId="70B185EE" w:rsidR="000D3762" w:rsidRPr="00B46B81" w:rsidRDefault="000D3762" w:rsidP="000D3762">
            <w:pPr>
              <w:rPr>
                <w:rFonts w:ascii="Arial" w:hAnsi="Arial" w:cs="Arial"/>
                <w:color w:val="000000"/>
                <w:sz w:val="10"/>
                <w:szCs w:val="10"/>
              </w:rPr>
            </w:pPr>
            <w:r w:rsidRPr="00B46B81">
              <w:rPr>
                <w:rFonts w:ascii="Arial" w:hAnsi="Arial" w:cs="Arial"/>
                <w:color w:val="000000"/>
                <w:sz w:val="10"/>
                <w:szCs w:val="10"/>
              </w:rPr>
              <w:t>Depreciação CPC 6 (R2) / IFRS 16</w:t>
            </w:r>
          </w:p>
        </w:tc>
        <w:tc>
          <w:tcPr>
            <w:tcW w:w="346" w:type="pct"/>
            <w:tcBorders>
              <w:top w:val="nil"/>
              <w:left w:val="nil"/>
              <w:bottom w:val="single" w:sz="4" w:space="0" w:color="auto"/>
              <w:right w:val="single" w:sz="4" w:space="0" w:color="auto"/>
            </w:tcBorders>
            <w:noWrap/>
            <w:vAlign w:val="center"/>
            <w:hideMark/>
          </w:tcPr>
          <w:p w14:paraId="58D50821" w14:textId="781E9778"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64" w:type="pct"/>
            <w:tcBorders>
              <w:top w:val="nil"/>
              <w:left w:val="nil"/>
              <w:bottom w:val="single" w:sz="4" w:space="0" w:color="auto"/>
              <w:right w:val="single" w:sz="4" w:space="0" w:color="auto"/>
            </w:tcBorders>
            <w:noWrap/>
            <w:vAlign w:val="center"/>
            <w:hideMark/>
          </w:tcPr>
          <w:p w14:paraId="7FA5B579" w14:textId="1E84328B"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132FDAD8" w14:textId="5063E97F"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40" w:type="pct"/>
            <w:tcBorders>
              <w:top w:val="nil"/>
              <w:left w:val="nil"/>
              <w:bottom w:val="single" w:sz="4" w:space="0" w:color="auto"/>
              <w:right w:val="single" w:sz="4" w:space="0" w:color="auto"/>
            </w:tcBorders>
            <w:noWrap/>
            <w:vAlign w:val="center"/>
            <w:hideMark/>
          </w:tcPr>
          <w:p w14:paraId="2DEB5BEC" w14:textId="68146877"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85" w:type="pct"/>
            <w:tcBorders>
              <w:top w:val="nil"/>
              <w:left w:val="nil"/>
              <w:bottom w:val="single" w:sz="4" w:space="0" w:color="auto"/>
              <w:right w:val="single" w:sz="4" w:space="0" w:color="auto"/>
            </w:tcBorders>
            <w:noWrap/>
            <w:vAlign w:val="center"/>
            <w:hideMark/>
          </w:tcPr>
          <w:p w14:paraId="39324334" w14:textId="6946A24C"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53" w:type="pct"/>
            <w:tcBorders>
              <w:top w:val="nil"/>
              <w:left w:val="nil"/>
              <w:bottom w:val="single" w:sz="4" w:space="0" w:color="auto"/>
              <w:right w:val="single" w:sz="4" w:space="0" w:color="auto"/>
            </w:tcBorders>
            <w:noWrap/>
            <w:vAlign w:val="center"/>
            <w:hideMark/>
          </w:tcPr>
          <w:p w14:paraId="5848ECE5" w14:textId="3A4E0E53"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27" w:type="pct"/>
            <w:tcBorders>
              <w:top w:val="nil"/>
              <w:left w:val="nil"/>
              <w:bottom w:val="single" w:sz="4" w:space="0" w:color="auto"/>
              <w:right w:val="single" w:sz="4" w:space="0" w:color="auto"/>
            </w:tcBorders>
            <w:noWrap/>
            <w:vAlign w:val="center"/>
            <w:hideMark/>
          </w:tcPr>
          <w:p w14:paraId="00B4E037" w14:textId="0F80D1CF"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360A5B59" w14:textId="2D4DE992"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(1.544)</w:t>
            </w:r>
          </w:p>
        </w:tc>
        <w:tc>
          <w:tcPr>
            <w:tcW w:w="435" w:type="pct"/>
            <w:tcBorders>
              <w:top w:val="nil"/>
              <w:left w:val="nil"/>
              <w:bottom w:val="single" w:sz="4" w:space="0" w:color="auto"/>
              <w:right w:val="single" w:sz="4" w:space="0" w:color="auto"/>
            </w:tcBorders>
            <w:noWrap/>
            <w:vAlign w:val="center"/>
            <w:hideMark/>
          </w:tcPr>
          <w:p w14:paraId="465F361B" w14:textId="0CDE094F"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4DAB87C5" w14:textId="57CF67DC"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(1.544)</w:t>
            </w:r>
          </w:p>
        </w:tc>
      </w:tr>
      <w:tr w:rsidR="000D3762" w:rsidRPr="00B46B81" w14:paraId="469526FC"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9AB3833" w14:textId="34303A10" w:rsidR="000D3762" w:rsidRPr="00B46B81" w:rsidRDefault="000D3762" w:rsidP="000D3762">
            <w:pPr>
              <w:rPr>
                <w:rFonts w:ascii="Arial" w:hAnsi="Arial" w:cs="Arial"/>
                <w:color w:val="000000"/>
                <w:sz w:val="10"/>
                <w:szCs w:val="10"/>
              </w:rPr>
            </w:pPr>
            <w:r w:rsidRPr="00B46B81">
              <w:rPr>
                <w:rFonts w:ascii="Arial" w:hAnsi="Arial" w:cs="Arial"/>
                <w:color w:val="000000"/>
                <w:sz w:val="10"/>
                <w:szCs w:val="10"/>
              </w:rPr>
              <w:t xml:space="preserve">Depreciação e Amortização </w:t>
            </w:r>
          </w:p>
        </w:tc>
        <w:tc>
          <w:tcPr>
            <w:tcW w:w="346" w:type="pct"/>
            <w:tcBorders>
              <w:top w:val="nil"/>
              <w:left w:val="nil"/>
              <w:bottom w:val="single" w:sz="4" w:space="0" w:color="auto"/>
              <w:right w:val="single" w:sz="4" w:space="0" w:color="auto"/>
            </w:tcBorders>
            <w:noWrap/>
            <w:vAlign w:val="center"/>
            <w:hideMark/>
          </w:tcPr>
          <w:p w14:paraId="5897B8FE" w14:textId="0A04B005"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(3.883)</w:t>
            </w:r>
          </w:p>
        </w:tc>
        <w:tc>
          <w:tcPr>
            <w:tcW w:w="364" w:type="pct"/>
            <w:tcBorders>
              <w:top w:val="nil"/>
              <w:left w:val="nil"/>
              <w:bottom w:val="single" w:sz="4" w:space="0" w:color="auto"/>
              <w:right w:val="single" w:sz="4" w:space="0" w:color="auto"/>
            </w:tcBorders>
            <w:noWrap/>
            <w:vAlign w:val="center"/>
            <w:hideMark/>
          </w:tcPr>
          <w:p w14:paraId="4FA0D884" w14:textId="142EE8F4"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(32)</w:t>
            </w:r>
          </w:p>
        </w:tc>
        <w:tc>
          <w:tcPr>
            <w:tcW w:w="435" w:type="pct"/>
            <w:tcBorders>
              <w:top w:val="nil"/>
              <w:left w:val="nil"/>
              <w:bottom w:val="single" w:sz="4" w:space="0" w:color="auto"/>
              <w:right w:val="single" w:sz="4" w:space="0" w:color="auto"/>
            </w:tcBorders>
            <w:noWrap/>
            <w:vAlign w:val="center"/>
            <w:hideMark/>
          </w:tcPr>
          <w:p w14:paraId="689F1D89" w14:textId="5DC3B139"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(6.265)</w:t>
            </w:r>
          </w:p>
        </w:tc>
        <w:tc>
          <w:tcPr>
            <w:tcW w:w="340" w:type="pct"/>
            <w:tcBorders>
              <w:top w:val="nil"/>
              <w:left w:val="nil"/>
              <w:bottom w:val="single" w:sz="4" w:space="0" w:color="auto"/>
              <w:right w:val="single" w:sz="4" w:space="0" w:color="auto"/>
            </w:tcBorders>
            <w:noWrap/>
            <w:vAlign w:val="center"/>
            <w:hideMark/>
          </w:tcPr>
          <w:p w14:paraId="3B3D0BF4" w14:textId="4AFD20E3"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(233)</w:t>
            </w:r>
          </w:p>
        </w:tc>
        <w:tc>
          <w:tcPr>
            <w:tcW w:w="385" w:type="pct"/>
            <w:tcBorders>
              <w:top w:val="nil"/>
              <w:left w:val="nil"/>
              <w:bottom w:val="single" w:sz="4" w:space="0" w:color="auto"/>
              <w:right w:val="single" w:sz="4" w:space="0" w:color="auto"/>
            </w:tcBorders>
            <w:noWrap/>
            <w:vAlign w:val="center"/>
            <w:hideMark/>
          </w:tcPr>
          <w:p w14:paraId="30005ACC" w14:textId="11154C26"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(491)</w:t>
            </w:r>
          </w:p>
        </w:tc>
        <w:tc>
          <w:tcPr>
            <w:tcW w:w="453" w:type="pct"/>
            <w:tcBorders>
              <w:top w:val="nil"/>
              <w:left w:val="nil"/>
              <w:bottom w:val="single" w:sz="4" w:space="0" w:color="auto"/>
              <w:right w:val="single" w:sz="4" w:space="0" w:color="auto"/>
            </w:tcBorders>
            <w:noWrap/>
            <w:vAlign w:val="center"/>
            <w:hideMark/>
          </w:tcPr>
          <w:p w14:paraId="18A7FEB5" w14:textId="05115C61"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(48.601)</w:t>
            </w:r>
          </w:p>
        </w:tc>
        <w:tc>
          <w:tcPr>
            <w:tcW w:w="427" w:type="pct"/>
            <w:tcBorders>
              <w:top w:val="nil"/>
              <w:left w:val="nil"/>
              <w:bottom w:val="single" w:sz="4" w:space="0" w:color="auto"/>
              <w:right w:val="single" w:sz="4" w:space="0" w:color="auto"/>
            </w:tcBorders>
            <w:noWrap/>
            <w:vAlign w:val="center"/>
            <w:hideMark/>
          </w:tcPr>
          <w:p w14:paraId="7FE31AE0" w14:textId="70932E5B"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468AFB43" w14:textId="4203248F"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435" w:type="pct"/>
            <w:tcBorders>
              <w:top w:val="nil"/>
              <w:left w:val="nil"/>
              <w:bottom w:val="single" w:sz="4" w:space="0" w:color="auto"/>
              <w:right w:val="single" w:sz="4" w:space="0" w:color="auto"/>
            </w:tcBorders>
            <w:noWrap/>
            <w:vAlign w:val="center"/>
            <w:hideMark/>
          </w:tcPr>
          <w:p w14:paraId="5CD604CB" w14:textId="0EC40B1A" w:rsidR="000D3762" w:rsidRPr="00B46B81" w:rsidRDefault="000D3762" w:rsidP="000D3762">
            <w:pPr>
              <w:jc w:val="right"/>
              <w:rPr>
                <w:rFonts w:ascii="Arial" w:hAnsi="Arial" w:cs="Arial"/>
                <w:color w:val="000000"/>
                <w:sz w:val="10"/>
                <w:szCs w:val="10"/>
              </w:rPr>
            </w:pPr>
            <w:r w:rsidRPr="00B46B81">
              <w:rPr>
                <w:rFonts w:ascii="Arial" w:hAnsi="Arial" w:cs="Arial"/>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1982B637" w14:textId="70D89EA3" w:rsidR="000D3762" w:rsidRPr="00B46B81" w:rsidRDefault="000D3762" w:rsidP="000D3762">
            <w:pPr>
              <w:jc w:val="right"/>
              <w:rPr>
                <w:rFonts w:ascii="Arial" w:hAnsi="Arial" w:cs="Arial"/>
                <w:b/>
                <w:bCs/>
                <w:color w:val="000000"/>
                <w:sz w:val="10"/>
                <w:szCs w:val="10"/>
              </w:rPr>
            </w:pPr>
            <w:r w:rsidRPr="00B46B81">
              <w:rPr>
                <w:rFonts w:ascii="Arial" w:hAnsi="Arial" w:cs="Arial"/>
                <w:color w:val="000000"/>
                <w:sz w:val="10"/>
                <w:szCs w:val="10"/>
              </w:rPr>
              <w:t>(59.505)</w:t>
            </w:r>
          </w:p>
        </w:tc>
      </w:tr>
      <w:tr w:rsidR="000D3762" w:rsidRPr="00B46B81" w14:paraId="24920CB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6FF0FE42" w14:textId="6A1715A9"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Saldo em 31 de março de 2026</w:t>
            </w:r>
          </w:p>
        </w:tc>
        <w:tc>
          <w:tcPr>
            <w:tcW w:w="346" w:type="pct"/>
            <w:tcBorders>
              <w:top w:val="nil"/>
              <w:left w:val="nil"/>
              <w:bottom w:val="single" w:sz="4" w:space="0" w:color="auto"/>
              <w:right w:val="single" w:sz="4" w:space="0" w:color="auto"/>
            </w:tcBorders>
            <w:noWrap/>
            <w:vAlign w:val="center"/>
            <w:hideMark/>
          </w:tcPr>
          <w:p w14:paraId="0B571F05" w14:textId="25DDB2FA"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(144.497)</w:t>
            </w:r>
          </w:p>
        </w:tc>
        <w:tc>
          <w:tcPr>
            <w:tcW w:w="364" w:type="pct"/>
            <w:tcBorders>
              <w:top w:val="nil"/>
              <w:left w:val="nil"/>
              <w:bottom w:val="single" w:sz="4" w:space="0" w:color="auto"/>
              <w:right w:val="single" w:sz="4" w:space="0" w:color="auto"/>
            </w:tcBorders>
            <w:noWrap/>
            <w:vAlign w:val="center"/>
            <w:hideMark/>
          </w:tcPr>
          <w:p w14:paraId="284DABCE" w14:textId="27A2EFC5"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(2.813)</w:t>
            </w:r>
          </w:p>
        </w:tc>
        <w:tc>
          <w:tcPr>
            <w:tcW w:w="435" w:type="pct"/>
            <w:tcBorders>
              <w:top w:val="nil"/>
              <w:left w:val="nil"/>
              <w:bottom w:val="single" w:sz="4" w:space="0" w:color="auto"/>
              <w:right w:val="single" w:sz="4" w:space="0" w:color="auto"/>
            </w:tcBorders>
            <w:noWrap/>
            <w:vAlign w:val="center"/>
            <w:hideMark/>
          </w:tcPr>
          <w:p w14:paraId="46C4BF06" w14:textId="7B24522B"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(169.606)</w:t>
            </w:r>
          </w:p>
        </w:tc>
        <w:tc>
          <w:tcPr>
            <w:tcW w:w="340" w:type="pct"/>
            <w:tcBorders>
              <w:top w:val="nil"/>
              <w:left w:val="nil"/>
              <w:bottom w:val="single" w:sz="4" w:space="0" w:color="auto"/>
              <w:right w:val="single" w:sz="4" w:space="0" w:color="auto"/>
            </w:tcBorders>
            <w:noWrap/>
            <w:vAlign w:val="center"/>
            <w:hideMark/>
          </w:tcPr>
          <w:p w14:paraId="04E12412" w14:textId="03053456"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(5.152)</w:t>
            </w:r>
          </w:p>
        </w:tc>
        <w:tc>
          <w:tcPr>
            <w:tcW w:w="385" w:type="pct"/>
            <w:tcBorders>
              <w:top w:val="nil"/>
              <w:left w:val="nil"/>
              <w:bottom w:val="single" w:sz="4" w:space="0" w:color="auto"/>
              <w:right w:val="single" w:sz="4" w:space="0" w:color="auto"/>
            </w:tcBorders>
            <w:noWrap/>
            <w:vAlign w:val="center"/>
            <w:hideMark/>
          </w:tcPr>
          <w:p w14:paraId="4C3186AD" w14:textId="415FDFF5"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(20.433)</w:t>
            </w:r>
          </w:p>
        </w:tc>
        <w:tc>
          <w:tcPr>
            <w:tcW w:w="453" w:type="pct"/>
            <w:tcBorders>
              <w:top w:val="nil"/>
              <w:left w:val="nil"/>
              <w:bottom w:val="single" w:sz="4" w:space="0" w:color="auto"/>
              <w:right w:val="single" w:sz="4" w:space="0" w:color="auto"/>
            </w:tcBorders>
            <w:noWrap/>
            <w:vAlign w:val="center"/>
            <w:hideMark/>
          </w:tcPr>
          <w:p w14:paraId="23088745" w14:textId="56EFFAB0"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(1.613.194)</w:t>
            </w:r>
          </w:p>
        </w:tc>
        <w:tc>
          <w:tcPr>
            <w:tcW w:w="427" w:type="pct"/>
            <w:tcBorders>
              <w:top w:val="nil"/>
              <w:left w:val="nil"/>
              <w:bottom w:val="single" w:sz="4" w:space="0" w:color="auto"/>
              <w:right w:val="single" w:sz="4" w:space="0" w:color="auto"/>
            </w:tcBorders>
            <w:noWrap/>
            <w:vAlign w:val="center"/>
            <w:hideMark/>
          </w:tcPr>
          <w:p w14:paraId="193A358A" w14:textId="40E8CB6E"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(1.156)</w:t>
            </w:r>
          </w:p>
        </w:tc>
        <w:tc>
          <w:tcPr>
            <w:tcW w:w="354" w:type="pct"/>
            <w:tcBorders>
              <w:top w:val="nil"/>
              <w:left w:val="nil"/>
              <w:bottom w:val="single" w:sz="4" w:space="0" w:color="auto"/>
              <w:right w:val="single" w:sz="4" w:space="0" w:color="auto"/>
            </w:tcBorders>
            <w:noWrap/>
            <w:vAlign w:val="center"/>
            <w:hideMark/>
          </w:tcPr>
          <w:p w14:paraId="6924AFF2" w14:textId="15DBF365"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(50.823)</w:t>
            </w:r>
          </w:p>
        </w:tc>
        <w:tc>
          <w:tcPr>
            <w:tcW w:w="435" w:type="pct"/>
            <w:tcBorders>
              <w:top w:val="nil"/>
              <w:left w:val="nil"/>
              <w:bottom w:val="single" w:sz="4" w:space="0" w:color="auto"/>
              <w:right w:val="single" w:sz="4" w:space="0" w:color="auto"/>
            </w:tcBorders>
            <w:noWrap/>
            <w:vAlign w:val="center"/>
            <w:hideMark/>
          </w:tcPr>
          <w:p w14:paraId="3F7EB553" w14:textId="6E9F9134"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xml:space="preserve">                           - </w:t>
            </w:r>
          </w:p>
        </w:tc>
        <w:tc>
          <w:tcPr>
            <w:tcW w:w="358" w:type="pct"/>
            <w:tcBorders>
              <w:top w:val="nil"/>
              <w:left w:val="nil"/>
              <w:bottom w:val="single" w:sz="4" w:space="0" w:color="auto"/>
              <w:right w:val="single" w:sz="4" w:space="0" w:color="auto"/>
            </w:tcBorders>
            <w:noWrap/>
            <w:vAlign w:val="center"/>
            <w:hideMark/>
          </w:tcPr>
          <w:p w14:paraId="7AFF05E5" w14:textId="607D7DCF"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(2.007.674)</w:t>
            </w:r>
          </w:p>
        </w:tc>
      </w:tr>
      <w:tr w:rsidR="000D3762" w:rsidRPr="00B46B81" w14:paraId="2D5A149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1FF93E4" w14:textId="29A8E522"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Valor Contábil em 31 de março de 2026</w:t>
            </w:r>
          </w:p>
        </w:tc>
        <w:tc>
          <w:tcPr>
            <w:tcW w:w="346" w:type="pct"/>
            <w:tcBorders>
              <w:top w:val="nil"/>
              <w:left w:val="nil"/>
              <w:bottom w:val="single" w:sz="4" w:space="0" w:color="auto"/>
              <w:right w:val="single" w:sz="4" w:space="0" w:color="auto"/>
            </w:tcBorders>
            <w:noWrap/>
            <w:vAlign w:val="center"/>
            <w:hideMark/>
          </w:tcPr>
          <w:p w14:paraId="14D95484" w14:textId="57C5536D"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143.476</w:t>
            </w:r>
          </w:p>
        </w:tc>
        <w:tc>
          <w:tcPr>
            <w:tcW w:w="364" w:type="pct"/>
            <w:tcBorders>
              <w:top w:val="nil"/>
              <w:left w:val="nil"/>
              <w:bottom w:val="single" w:sz="4" w:space="0" w:color="auto"/>
              <w:right w:val="single" w:sz="4" w:space="0" w:color="auto"/>
            </w:tcBorders>
            <w:noWrap/>
            <w:vAlign w:val="center"/>
            <w:hideMark/>
          </w:tcPr>
          <w:p w14:paraId="708C18C1" w14:textId="50B2C3AB"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488</w:t>
            </w:r>
          </w:p>
        </w:tc>
        <w:tc>
          <w:tcPr>
            <w:tcW w:w="435" w:type="pct"/>
            <w:tcBorders>
              <w:top w:val="nil"/>
              <w:left w:val="nil"/>
              <w:bottom w:val="single" w:sz="4" w:space="0" w:color="auto"/>
              <w:right w:val="single" w:sz="4" w:space="0" w:color="auto"/>
            </w:tcBorders>
            <w:noWrap/>
            <w:vAlign w:val="center"/>
            <w:hideMark/>
          </w:tcPr>
          <w:p w14:paraId="499E84EC" w14:textId="004E8C3C"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138.917</w:t>
            </w:r>
          </w:p>
        </w:tc>
        <w:tc>
          <w:tcPr>
            <w:tcW w:w="340" w:type="pct"/>
            <w:tcBorders>
              <w:top w:val="nil"/>
              <w:left w:val="nil"/>
              <w:bottom w:val="single" w:sz="4" w:space="0" w:color="auto"/>
              <w:right w:val="single" w:sz="4" w:space="0" w:color="auto"/>
            </w:tcBorders>
            <w:noWrap/>
            <w:vAlign w:val="center"/>
            <w:hideMark/>
          </w:tcPr>
          <w:p w14:paraId="615E1F49" w14:textId="58F60BB9"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3.091</w:t>
            </w:r>
          </w:p>
        </w:tc>
        <w:tc>
          <w:tcPr>
            <w:tcW w:w="385" w:type="pct"/>
            <w:tcBorders>
              <w:top w:val="nil"/>
              <w:left w:val="nil"/>
              <w:bottom w:val="single" w:sz="4" w:space="0" w:color="auto"/>
              <w:right w:val="single" w:sz="4" w:space="0" w:color="auto"/>
            </w:tcBorders>
            <w:noWrap/>
            <w:vAlign w:val="center"/>
            <w:hideMark/>
          </w:tcPr>
          <w:p w14:paraId="72E30D48" w14:textId="350DCF76"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3.999</w:t>
            </w:r>
          </w:p>
        </w:tc>
        <w:tc>
          <w:tcPr>
            <w:tcW w:w="453" w:type="pct"/>
            <w:tcBorders>
              <w:top w:val="nil"/>
              <w:left w:val="nil"/>
              <w:bottom w:val="single" w:sz="4" w:space="0" w:color="auto"/>
              <w:right w:val="single" w:sz="4" w:space="0" w:color="auto"/>
            </w:tcBorders>
            <w:noWrap/>
            <w:vAlign w:val="center"/>
            <w:hideMark/>
          </w:tcPr>
          <w:p w14:paraId="0B81743A" w14:textId="45ACFC5C"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1.322.478</w:t>
            </w:r>
          </w:p>
        </w:tc>
        <w:tc>
          <w:tcPr>
            <w:tcW w:w="427" w:type="pct"/>
            <w:tcBorders>
              <w:top w:val="nil"/>
              <w:left w:val="nil"/>
              <w:bottom w:val="single" w:sz="4" w:space="0" w:color="auto"/>
              <w:right w:val="single" w:sz="4" w:space="0" w:color="auto"/>
            </w:tcBorders>
            <w:noWrap/>
            <w:vAlign w:val="center"/>
            <w:hideMark/>
          </w:tcPr>
          <w:p w14:paraId="00548C4C" w14:textId="57F36214"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4696EE11" w14:textId="26E4D430"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19.261</w:t>
            </w:r>
          </w:p>
        </w:tc>
        <w:tc>
          <w:tcPr>
            <w:tcW w:w="435" w:type="pct"/>
            <w:tcBorders>
              <w:top w:val="nil"/>
              <w:left w:val="nil"/>
              <w:bottom w:val="single" w:sz="4" w:space="0" w:color="auto"/>
              <w:right w:val="single" w:sz="4" w:space="0" w:color="auto"/>
            </w:tcBorders>
            <w:noWrap/>
            <w:vAlign w:val="center"/>
            <w:hideMark/>
          </w:tcPr>
          <w:p w14:paraId="2737CD55" w14:textId="0E0B0CAE"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12.593</w:t>
            </w:r>
          </w:p>
        </w:tc>
        <w:tc>
          <w:tcPr>
            <w:tcW w:w="358" w:type="pct"/>
            <w:tcBorders>
              <w:top w:val="nil"/>
              <w:left w:val="nil"/>
              <w:bottom w:val="single" w:sz="4" w:space="0" w:color="auto"/>
              <w:right w:val="single" w:sz="4" w:space="0" w:color="auto"/>
            </w:tcBorders>
            <w:noWrap/>
            <w:vAlign w:val="center"/>
            <w:hideMark/>
          </w:tcPr>
          <w:p w14:paraId="22CCFEDC" w14:textId="5C8B4736"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1.644.303</w:t>
            </w:r>
          </w:p>
        </w:tc>
      </w:tr>
      <w:tr w:rsidR="000D3762" w:rsidRPr="00B46B81" w14:paraId="2315CF0E"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73D5AAF1" w14:textId="05340FF0" w:rsidR="000D3762" w:rsidRPr="00B46B81" w:rsidRDefault="000D3762" w:rsidP="000D3762">
            <w:pPr>
              <w:rPr>
                <w:rFonts w:ascii="Arial" w:hAnsi="Arial" w:cs="Arial"/>
                <w:b/>
                <w:bCs/>
                <w:color w:val="000000"/>
                <w:sz w:val="10"/>
                <w:szCs w:val="10"/>
              </w:rPr>
            </w:pPr>
            <w:r w:rsidRPr="00B46B81">
              <w:rPr>
                <w:rFonts w:ascii="Arial" w:hAnsi="Arial" w:cs="Arial"/>
                <w:b/>
                <w:bCs/>
                <w:color w:val="000000"/>
                <w:sz w:val="10"/>
                <w:szCs w:val="10"/>
              </w:rPr>
              <w:t>Valor Contábil em 31 de dezembro de 2025</w:t>
            </w:r>
          </w:p>
        </w:tc>
        <w:tc>
          <w:tcPr>
            <w:tcW w:w="346" w:type="pct"/>
            <w:tcBorders>
              <w:top w:val="nil"/>
              <w:left w:val="nil"/>
              <w:bottom w:val="single" w:sz="4" w:space="0" w:color="auto"/>
              <w:right w:val="single" w:sz="4" w:space="0" w:color="auto"/>
            </w:tcBorders>
            <w:noWrap/>
            <w:vAlign w:val="center"/>
            <w:hideMark/>
          </w:tcPr>
          <w:p w14:paraId="670BCC92" w14:textId="683434C2"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147.070</w:t>
            </w:r>
          </w:p>
        </w:tc>
        <w:tc>
          <w:tcPr>
            <w:tcW w:w="364" w:type="pct"/>
            <w:tcBorders>
              <w:top w:val="nil"/>
              <w:left w:val="nil"/>
              <w:bottom w:val="single" w:sz="4" w:space="0" w:color="auto"/>
              <w:right w:val="single" w:sz="4" w:space="0" w:color="auto"/>
            </w:tcBorders>
            <w:noWrap/>
            <w:vAlign w:val="center"/>
            <w:hideMark/>
          </w:tcPr>
          <w:p w14:paraId="4AB3E1F8" w14:textId="5E964D3A"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520</w:t>
            </w:r>
          </w:p>
        </w:tc>
        <w:tc>
          <w:tcPr>
            <w:tcW w:w="435" w:type="pct"/>
            <w:tcBorders>
              <w:top w:val="nil"/>
              <w:left w:val="nil"/>
              <w:bottom w:val="single" w:sz="4" w:space="0" w:color="auto"/>
              <w:right w:val="single" w:sz="4" w:space="0" w:color="auto"/>
            </w:tcBorders>
            <w:noWrap/>
            <w:vAlign w:val="center"/>
            <w:hideMark/>
          </w:tcPr>
          <w:p w14:paraId="71F0B444" w14:textId="55B2ECC7"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141.680</w:t>
            </w:r>
          </w:p>
        </w:tc>
        <w:tc>
          <w:tcPr>
            <w:tcW w:w="340" w:type="pct"/>
            <w:tcBorders>
              <w:top w:val="nil"/>
              <w:left w:val="nil"/>
              <w:bottom w:val="single" w:sz="4" w:space="0" w:color="auto"/>
              <w:right w:val="single" w:sz="4" w:space="0" w:color="auto"/>
            </w:tcBorders>
            <w:noWrap/>
            <w:vAlign w:val="center"/>
            <w:hideMark/>
          </w:tcPr>
          <w:p w14:paraId="3A40985A" w14:textId="44AF3393"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3.324</w:t>
            </w:r>
          </w:p>
        </w:tc>
        <w:tc>
          <w:tcPr>
            <w:tcW w:w="385" w:type="pct"/>
            <w:tcBorders>
              <w:top w:val="nil"/>
              <w:left w:val="nil"/>
              <w:bottom w:val="single" w:sz="4" w:space="0" w:color="auto"/>
              <w:right w:val="single" w:sz="4" w:space="0" w:color="auto"/>
            </w:tcBorders>
            <w:noWrap/>
            <w:vAlign w:val="center"/>
            <w:hideMark/>
          </w:tcPr>
          <w:p w14:paraId="5B219414" w14:textId="78F611D4"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4.479</w:t>
            </w:r>
          </w:p>
        </w:tc>
        <w:tc>
          <w:tcPr>
            <w:tcW w:w="453" w:type="pct"/>
            <w:tcBorders>
              <w:top w:val="nil"/>
              <w:left w:val="nil"/>
              <w:bottom w:val="single" w:sz="4" w:space="0" w:color="auto"/>
              <w:right w:val="single" w:sz="4" w:space="0" w:color="auto"/>
            </w:tcBorders>
            <w:noWrap/>
            <w:vAlign w:val="center"/>
            <w:hideMark/>
          </w:tcPr>
          <w:p w14:paraId="323AA5DF" w14:textId="70D031AD"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1.352.518</w:t>
            </w:r>
          </w:p>
        </w:tc>
        <w:tc>
          <w:tcPr>
            <w:tcW w:w="427" w:type="pct"/>
            <w:tcBorders>
              <w:top w:val="nil"/>
              <w:left w:val="nil"/>
              <w:bottom w:val="single" w:sz="4" w:space="0" w:color="auto"/>
              <w:right w:val="single" w:sz="4" w:space="0" w:color="auto"/>
            </w:tcBorders>
            <w:noWrap/>
            <w:vAlign w:val="center"/>
            <w:hideMark/>
          </w:tcPr>
          <w:p w14:paraId="0EFA375A" w14:textId="14BF8529"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 xml:space="preserve">                           - </w:t>
            </w:r>
          </w:p>
        </w:tc>
        <w:tc>
          <w:tcPr>
            <w:tcW w:w="354" w:type="pct"/>
            <w:tcBorders>
              <w:top w:val="nil"/>
              <w:left w:val="nil"/>
              <w:bottom w:val="single" w:sz="4" w:space="0" w:color="auto"/>
              <w:right w:val="single" w:sz="4" w:space="0" w:color="auto"/>
            </w:tcBorders>
            <w:noWrap/>
            <w:vAlign w:val="center"/>
            <w:hideMark/>
          </w:tcPr>
          <w:p w14:paraId="302A3B48" w14:textId="2A685298"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19.290</w:t>
            </w:r>
          </w:p>
        </w:tc>
        <w:tc>
          <w:tcPr>
            <w:tcW w:w="435" w:type="pct"/>
            <w:tcBorders>
              <w:top w:val="nil"/>
              <w:left w:val="nil"/>
              <w:bottom w:val="single" w:sz="4" w:space="0" w:color="auto"/>
              <w:right w:val="single" w:sz="4" w:space="0" w:color="auto"/>
            </w:tcBorders>
            <w:noWrap/>
            <w:vAlign w:val="center"/>
            <w:hideMark/>
          </w:tcPr>
          <w:p w14:paraId="5F310CD9" w14:textId="3EE0358E"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28.618</w:t>
            </w:r>
          </w:p>
        </w:tc>
        <w:tc>
          <w:tcPr>
            <w:tcW w:w="358" w:type="pct"/>
            <w:tcBorders>
              <w:top w:val="nil"/>
              <w:left w:val="nil"/>
              <w:bottom w:val="single" w:sz="4" w:space="0" w:color="auto"/>
              <w:right w:val="single" w:sz="4" w:space="0" w:color="auto"/>
            </w:tcBorders>
            <w:noWrap/>
            <w:vAlign w:val="center"/>
            <w:hideMark/>
          </w:tcPr>
          <w:p w14:paraId="77C6DCE9" w14:textId="74B3E260" w:rsidR="000D3762" w:rsidRPr="00B46B81" w:rsidRDefault="000D3762" w:rsidP="000D3762">
            <w:pPr>
              <w:jc w:val="right"/>
              <w:rPr>
                <w:rFonts w:ascii="Arial" w:hAnsi="Arial" w:cs="Arial"/>
                <w:b/>
                <w:bCs/>
                <w:color w:val="000000"/>
                <w:sz w:val="10"/>
                <w:szCs w:val="10"/>
              </w:rPr>
            </w:pPr>
            <w:r w:rsidRPr="00B46B81">
              <w:rPr>
                <w:rFonts w:ascii="Arial" w:hAnsi="Arial" w:cs="Arial"/>
                <w:b/>
                <w:bCs/>
                <w:color w:val="000000"/>
                <w:sz w:val="10"/>
                <w:szCs w:val="10"/>
              </w:rPr>
              <w:t>1.697.499</w:t>
            </w:r>
          </w:p>
        </w:tc>
      </w:tr>
      <w:tr w:rsidR="005A46E9" w:rsidRPr="00B434EC" w14:paraId="2395BF25" w14:textId="77777777" w:rsidTr="00DD43FB">
        <w:trPr>
          <w:trHeight w:val="227"/>
        </w:trPr>
        <w:tc>
          <w:tcPr>
            <w:tcW w:w="1103" w:type="pct"/>
            <w:tcBorders>
              <w:top w:val="nil"/>
              <w:left w:val="single" w:sz="4" w:space="0" w:color="auto"/>
              <w:bottom w:val="single" w:sz="4" w:space="0" w:color="auto"/>
              <w:right w:val="single" w:sz="4" w:space="0" w:color="auto"/>
            </w:tcBorders>
            <w:noWrap/>
            <w:vAlign w:val="center"/>
            <w:hideMark/>
          </w:tcPr>
          <w:p w14:paraId="16B52208" w14:textId="638CD552" w:rsidR="005A46E9" w:rsidRPr="00B46B81" w:rsidRDefault="005A46E9" w:rsidP="005A46E9">
            <w:pPr>
              <w:rPr>
                <w:rFonts w:ascii="Arial" w:hAnsi="Arial" w:cs="Arial"/>
                <w:b/>
                <w:bCs/>
                <w:color w:val="000000"/>
                <w:sz w:val="10"/>
                <w:szCs w:val="10"/>
              </w:rPr>
            </w:pPr>
            <w:r w:rsidRPr="00B46B81">
              <w:rPr>
                <w:rFonts w:ascii="Arial" w:hAnsi="Arial" w:cs="Arial"/>
                <w:b/>
                <w:bCs/>
                <w:color w:val="000000"/>
                <w:sz w:val="10"/>
                <w:szCs w:val="10"/>
              </w:rPr>
              <w:t xml:space="preserve">Taxa Anual de Depreciação </w:t>
            </w:r>
          </w:p>
        </w:tc>
        <w:tc>
          <w:tcPr>
            <w:tcW w:w="346" w:type="pct"/>
            <w:tcBorders>
              <w:top w:val="nil"/>
              <w:left w:val="nil"/>
              <w:bottom w:val="single" w:sz="4" w:space="0" w:color="auto"/>
              <w:right w:val="single" w:sz="4" w:space="0" w:color="auto"/>
            </w:tcBorders>
            <w:noWrap/>
            <w:vAlign w:val="center"/>
            <w:hideMark/>
          </w:tcPr>
          <w:p w14:paraId="3DE74D7F" w14:textId="3C4166AE" w:rsidR="005A46E9" w:rsidRPr="00B46B81" w:rsidRDefault="005A46E9" w:rsidP="005A46E9">
            <w:pPr>
              <w:jc w:val="center"/>
              <w:rPr>
                <w:rFonts w:ascii="Arial" w:hAnsi="Arial" w:cs="Arial"/>
                <w:b/>
                <w:bCs/>
                <w:color w:val="000000"/>
                <w:sz w:val="10"/>
                <w:szCs w:val="10"/>
              </w:rPr>
            </w:pPr>
            <w:r w:rsidRPr="00B46B81">
              <w:rPr>
                <w:rFonts w:ascii="Arial" w:hAnsi="Arial" w:cs="Arial"/>
                <w:b/>
                <w:bCs/>
                <w:color w:val="000000"/>
                <w:sz w:val="10"/>
                <w:szCs w:val="10"/>
              </w:rPr>
              <w:t>16,60%</w:t>
            </w:r>
          </w:p>
        </w:tc>
        <w:tc>
          <w:tcPr>
            <w:tcW w:w="364" w:type="pct"/>
            <w:tcBorders>
              <w:top w:val="nil"/>
              <w:left w:val="nil"/>
              <w:bottom w:val="single" w:sz="4" w:space="0" w:color="auto"/>
              <w:right w:val="single" w:sz="4" w:space="0" w:color="auto"/>
            </w:tcBorders>
            <w:noWrap/>
            <w:vAlign w:val="center"/>
            <w:hideMark/>
          </w:tcPr>
          <w:p w14:paraId="6D94CAA4" w14:textId="6DAF59EE" w:rsidR="005A46E9" w:rsidRPr="00B46B81" w:rsidRDefault="005A46E9" w:rsidP="005A46E9">
            <w:pPr>
              <w:jc w:val="center"/>
              <w:rPr>
                <w:rFonts w:ascii="Arial" w:hAnsi="Arial" w:cs="Arial"/>
                <w:b/>
                <w:bCs/>
                <w:color w:val="000000"/>
                <w:sz w:val="10"/>
                <w:szCs w:val="10"/>
              </w:rPr>
            </w:pPr>
            <w:r w:rsidRPr="00B46B81">
              <w:rPr>
                <w:rFonts w:ascii="Arial" w:hAnsi="Arial" w:cs="Arial"/>
                <w:b/>
                <w:bCs/>
                <w:color w:val="000000"/>
                <w:sz w:val="10"/>
                <w:szCs w:val="10"/>
              </w:rPr>
              <w:t>10,00%</w:t>
            </w:r>
          </w:p>
        </w:tc>
        <w:tc>
          <w:tcPr>
            <w:tcW w:w="435" w:type="pct"/>
            <w:tcBorders>
              <w:top w:val="nil"/>
              <w:left w:val="nil"/>
              <w:bottom w:val="single" w:sz="4" w:space="0" w:color="auto"/>
              <w:right w:val="single" w:sz="4" w:space="0" w:color="auto"/>
            </w:tcBorders>
            <w:noWrap/>
            <w:vAlign w:val="center"/>
            <w:hideMark/>
          </w:tcPr>
          <w:p w14:paraId="002ED6B0" w14:textId="2F71EE82" w:rsidR="005A46E9" w:rsidRPr="00B46B81" w:rsidRDefault="005A46E9" w:rsidP="005A46E9">
            <w:pPr>
              <w:jc w:val="center"/>
              <w:rPr>
                <w:rFonts w:ascii="Arial" w:hAnsi="Arial" w:cs="Arial"/>
                <w:b/>
                <w:bCs/>
                <w:color w:val="000000"/>
                <w:sz w:val="10"/>
                <w:szCs w:val="10"/>
              </w:rPr>
            </w:pPr>
            <w:r w:rsidRPr="00B46B81">
              <w:rPr>
                <w:rFonts w:ascii="Arial" w:hAnsi="Arial" w:cs="Arial"/>
                <w:b/>
                <w:bCs/>
                <w:color w:val="000000"/>
                <w:sz w:val="10"/>
                <w:szCs w:val="10"/>
              </w:rPr>
              <w:t>De 5,0% a  20,0%</w:t>
            </w:r>
          </w:p>
        </w:tc>
        <w:tc>
          <w:tcPr>
            <w:tcW w:w="340" w:type="pct"/>
            <w:tcBorders>
              <w:top w:val="nil"/>
              <w:left w:val="nil"/>
              <w:bottom w:val="single" w:sz="4" w:space="0" w:color="auto"/>
              <w:right w:val="single" w:sz="4" w:space="0" w:color="auto"/>
            </w:tcBorders>
            <w:noWrap/>
            <w:vAlign w:val="center"/>
            <w:hideMark/>
          </w:tcPr>
          <w:p w14:paraId="1FEEE100" w14:textId="2CD353AF" w:rsidR="005A46E9" w:rsidRPr="00B46B81" w:rsidRDefault="005A46E9" w:rsidP="005A46E9">
            <w:pPr>
              <w:jc w:val="center"/>
              <w:rPr>
                <w:rFonts w:ascii="Arial" w:hAnsi="Arial" w:cs="Arial"/>
                <w:b/>
                <w:bCs/>
                <w:color w:val="000000"/>
                <w:sz w:val="10"/>
                <w:szCs w:val="10"/>
              </w:rPr>
            </w:pPr>
            <w:r w:rsidRPr="00B46B81">
              <w:rPr>
                <w:rFonts w:ascii="Arial" w:hAnsi="Arial" w:cs="Arial"/>
                <w:b/>
                <w:bCs/>
                <w:color w:val="000000"/>
                <w:sz w:val="10"/>
                <w:szCs w:val="10"/>
              </w:rPr>
              <w:t>20,00%</w:t>
            </w:r>
          </w:p>
        </w:tc>
        <w:tc>
          <w:tcPr>
            <w:tcW w:w="385" w:type="pct"/>
            <w:tcBorders>
              <w:top w:val="nil"/>
              <w:left w:val="nil"/>
              <w:bottom w:val="single" w:sz="4" w:space="0" w:color="auto"/>
              <w:right w:val="single" w:sz="4" w:space="0" w:color="auto"/>
            </w:tcBorders>
            <w:noWrap/>
            <w:vAlign w:val="center"/>
            <w:hideMark/>
          </w:tcPr>
          <w:p w14:paraId="2A3A8648" w14:textId="65A7A4F5" w:rsidR="005A46E9" w:rsidRPr="00B46B81" w:rsidRDefault="005A46E9" w:rsidP="005A46E9">
            <w:pPr>
              <w:jc w:val="center"/>
              <w:rPr>
                <w:rFonts w:ascii="Arial" w:hAnsi="Arial" w:cs="Arial"/>
                <w:b/>
                <w:bCs/>
                <w:color w:val="000000"/>
                <w:sz w:val="10"/>
                <w:szCs w:val="10"/>
              </w:rPr>
            </w:pPr>
            <w:r w:rsidRPr="00B46B81">
              <w:rPr>
                <w:rFonts w:ascii="Arial" w:hAnsi="Arial" w:cs="Arial"/>
                <w:b/>
                <w:bCs/>
                <w:color w:val="000000"/>
                <w:sz w:val="10"/>
                <w:szCs w:val="10"/>
              </w:rPr>
              <w:t>20,00%</w:t>
            </w:r>
          </w:p>
        </w:tc>
        <w:tc>
          <w:tcPr>
            <w:tcW w:w="453" w:type="pct"/>
            <w:tcBorders>
              <w:top w:val="nil"/>
              <w:left w:val="nil"/>
              <w:bottom w:val="single" w:sz="4" w:space="0" w:color="auto"/>
              <w:right w:val="single" w:sz="4" w:space="0" w:color="auto"/>
            </w:tcBorders>
            <w:noWrap/>
            <w:vAlign w:val="center"/>
            <w:hideMark/>
          </w:tcPr>
          <w:p w14:paraId="223E52BF" w14:textId="4B729F69" w:rsidR="005A46E9" w:rsidRPr="00B46B81" w:rsidRDefault="005A46E9" w:rsidP="005A46E9">
            <w:pPr>
              <w:jc w:val="center"/>
              <w:rPr>
                <w:rFonts w:ascii="Arial" w:hAnsi="Arial" w:cs="Arial"/>
                <w:b/>
                <w:bCs/>
                <w:color w:val="000000"/>
                <w:sz w:val="10"/>
                <w:szCs w:val="10"/>
              </w:rPr>
            </w:pPr>
            <w:r w:rsidRPr="00B46B81">
              <w:rPr>
                <w:rFonts w:ascii="Arial" w:hAnsi="Arial" w:cs="Arial"/>
                <w:b/>
                <w:bCs/>
                <w:color w:val="000000"/>
                <w:sz w:val="10"/>
                <w:szCs w:val="10"/>
              </w:rPr>
              <w:t>De 10,0% a 20,0%</w:t>
            </w:r>
          </w:p>
        </w:tc>
        <w:tc>
          <w:tcPr>
            <w:tcW w:w="427" w:type="pct"/>
            <w:tcBorders>
              <w:top w:val="nil"/>
              <w:left w:val="nil"/>
              <w:bottom w:val="single" w:sz="4" w:space="0" w:color="auto"/>
              <w:right w:val="single" w:sz="4" w:space="0" w:color="auto"/>
            </w:tcBorders>
            <w:noWrap/>
            <w:vAlign w:val="center"/>
            <w:hideMark/>
          </w:tcPr>
          <w:p w14:paraId="4BF93404" w14:textId="32DD6D26" w:rsidR="005A46E9" w:rsidRPr="00B46B81" w:rsidRDefault="005A46E9" w:rsidP="005A46E9">
            <w:pPr>
              <w:jc w:val="center"/>
              <w:rPr>
                <w:rFonts w:ascii="Arial" w:hAnsi="Arial" w:cs="Arial"/>
                <w:b/>
                <w:bCs/>
                <w:color w:val="000000"/>
                <w:sz w:val="10"/>
                <w:szCs w:val="10"/>
              </w:rPr>
            </w:pPr>
            <w:r w:rsidRPr="00B46B81">
              <w:rPr>
                <w:rFonts w:ascii="Arial" w:hAnsi="Arial" w:cs="Arial"/>
                <w:b/>
                <w:bCs/>
                <w:color w:val="000000"/>
                <w:sz w:val="10"/>
                <w:szCs w:val="10"/>
              </w:rPr>
              <w:t>20,00%</w:t>
            </w:r>
          </w:p>
        </w:tc>
        <w:tc>
          <w:tcPr>
            <w:tcW w:w="354" w:type="pct"/>
            <w:tcBorders>
              <w:top w:val="nil"/>
              <w:left w:val="nil"/>
              <w:bottom w:val="single" w:sz="4" w:space="0" w:color="auto"/>
              <w:right w:val="single" w:sz="4" w:space="0" w:color="auto"/>
            </w:tcBorders>
            <w:noWrap/>
            <w:vAlign w:val="center"/>
            <w:hideMark/>
          </w:tcPr>
          <w:p w14:paraId="324D53FF" w14:textId="6A178ACE" w:rsidR="005A46E9" w:rsidRPr="00260412" w:rsidRDefault="005A46E9" w:rsidP="005A46E9">
            <w:pPr>
              <w:jc w:val="center"/>
              <w:rPr>
                <w:rFonts w:ascii="Arial" w:hAnsi="Arial" w:cs="Arial"/>
                <w:b/>
                <w:bCs/>
                <w:color w:val="000000"/>
                <w:sz w:val="10"/>
                <w:szCs w:val="10"/>
              </w:rPr>
            </w:pPr>
            <w:r w:rsidRPr="00B46B81">
              <w:rPr>
                <w:rFonts w:ascii="Arial" w:hAnsi="Arial" w:cs="Arial"/>
                <w:b/>
                <w:bCs/>
                <w:color w:val="000000"/>
                <w:sz w:val="10"/>
                <w:szCs w:val="10"/>
              </w:rPr>
              <w:t>De 6,6% a 20,0%</w:t>
            </w:r>
          </w:p>
        </w:tc>
        <w:tc>
          <w:tcPr>
            <w:tcW w:w="435" w:type="pct"/>
            <w:tcBorders>
              <w:top w:val="nil"/>
              <w:left w:val="nil"/>
              <w:bottom w:val="single" w:sz="4" w:space="0" w:color="auto"/>
              <w:right w:val="single" w:sz="4" w:space="0" w:color="auto"/>
            </w:tcBorders>
            <w:shd w:val="clear" w:color="000000" w:fill="D9D9D9"/>
            <w:noWrap/>
            <w:vAlign w:val="center"/>
            <w:hideMark/>
          </w:tcPr>
          <w:p w14:paraId="5B9C2F9B" w14:textId="1FB2371A" w:rsidR="005A46E9" w:rsidRPr="00260412" w:rsidRDefault="005A46E9" w:rsidP="005A46E9">
            <w:pPr>
              <w:jc w:val="right"/>
              <w:rPr>
                <w:rFonts w:ascii="Arial" w:hAnsi="Arial" w:cs="Arial"/>
                <w:b/>
                <w:bCs/>
                <w:color w:val="000000"/>
                <w:sz w:val="10"/>
                <w:szCs w:val="10"/>
              </w:rPr>
            </w:pPr>
            <w:r>
              <w:rPr>
                <w:rFonts w:ascii="Arial" w:hAnsi="Arial" w:cs="Arial"/>
                <w:b/>
                <w:bCs/>
                <w:color w:val="000000"/>
                <w:sz w:val="10"/>
                <w:szCs w:val="10"/>
              </w:rPr>
              <w:t> </w:t>
            </w:r>
          </w:p>
        </w:tc>
        <w:tc>
          <w:tcPr>
            <w:tcW w:w="358" w:type="pct"/>
            <w:tcBorders>
              <w:top w:val="nil"/>
              <w:left w:val="nil"/>
              <w:bottom w:val="single" w:sz="4" w:space="0" w:color="auto"/>
              <w:right w:val="single" w:sz="4" w:space="0" w:color="auto"/>
            </w:tcBorders>
            <w:shd w:val="clear" w:color="000000" w:fill="D9D9D9"/>
            <w:noWrap/>
            <w:vAlign w:val="center"/>
            <w:hideMark/>
          </w:tcPr>
          <w:p w14:paraId="11DB4293" w14:textId="66FEC301" w:rsidR="005A46E9" w:rsidRPr="00260412" w:rsidRDefault="005A46E9" w:rsidP="005A46E9">
            <w:pPr>
              <w:jc w:val="right"/>
              <w:rPr>
                <w:rFonts w:ascii="Arial" w:hAnsi="Arial" w:cs="Arial"/>
                <w:b/>
                <w:bCs/>
                <w:color w:val="000000"/>
                <w:sz w:val="10"/>
                <w:szCs w:val="10"/>
              </w:rPr>
            </w:pPr>
            <w:r>
              <w:rPr>
                <w:rFonts w:ascii="Arial" w:hAnsi="Arial" w:cs="Arial"/>
                <w:b/>
                <w:bCs/>
                <w:color w:val="000000"/>
                <w:sz w:val="10"/>
                <w:szCs w:val="10"/>
              </w:rPr>
              <w:t> </w:t>
            </w:r>
          </w:p>
        </w:tc>
      </w:tr>
    </w:tbl>
    <w:p w14:paraId="477BC001" w14:textId="5E979EC9" w:rsidR="00935A95" w:rsidRPr="00BA7857" w:rsidRDefault="00935A95" w:rsidP="009541E1">
      <w:pPr>
        <w:pStyle w:val="Ttulo2"/>
        <w:numPr>
          <w:ilvl w:val="1"/>
          <w:numId w:val="7"/>
        </w:numPr>
        <w:tabs>
          <w:tab w:val="clear" w:pos="284"/>
          <w:tab w:val="clear" w:pos="340"/>
        </w:tabs>
        <w:spacing w:before="0" w:after="0"/>
        <w:ind w:left="851" w:hanging="851"/>
        <w:jc w:val="both"/>
        <w:rPr>
          <w:rFonts w:ascii="Arial" w:hAnsi="Arial" w:cs="Arial"/>
        </w:rPr>
      </w:pPr>
      <w:r w:rsidRPr="00BA7857">
        <w:rPr>
          <w:rFonts w:ascii="Arial" w:hAnsi="Arial" w:cs="Arial"/>
        </w:rPr>
        <w:lastRenderedPageBreak/>
        <w:t>Bens totalmente depreciados</w:t>
      </w:r>
    </w:p>
    <w:p w14:paraId="7181BDBA" w14:textId="77777777" w:rsidR="00935A95" w:rsidRPr="00BA7857" w:rsidRDefault="00935A95" w:rsidP="00935A95"/>
    <w:p w14:paraId="2C502D3D" w14:textId="1F923E52" w:rsidR="00E757E3" w:rsidRDefault="00E757E3" w:rsidP="00E757E3">
      <w:pPr>
        <w:spacing w:line="276" w:lineRule="auto"/>
        <w:jc w:val="both"/>
        <w:rPr>
          <w:rFonts w:ascii="Arial" w:hAnsi="Arial" w:cs="Arial"/>
          <w:snapToGrid w:val="0"/>
          <w:sz w:val="22"/>
          <w:szCs w:val="22"/>
        </w:rPr>
      </w:pPr>
      <w:r w:rsidRPr="00B46B81">
        <w:rPr>
          <w:rFonts w:ascii="Arial" w:hAnsi="Arial" w:cs="Arial"/>
          <w:snapToGrid w:val="0"/>
          <w:sz w:val="22"/>
          <w:szCs w:val="22"/>
        </w:rPr>
        <w:t xml:space="preserve">Em 31 de </w:t>
      </w:r>
      <w:r w:rsidR="005A3637" w:rsidRPr="00B46B81">
        <w:rPr>
          <w:rFonts w:ascii="Arial" w:hAnsi="Arial" w:cs="Arial"/>
          <w:snapToGrid w:val="0"/>
          <w:sz w:val="22"/>
          <w:szCs w:val="22"/>
        </w:rPr>
        <w:t>março</w:t>
      </w:r>
      <w:r w:rsidRPr="00B46B81">
        <w:rPr>
          <w:rFonts w:ascii="Arial" w:hAnsi="Arial" w:cs="Arial"/>
          <w:snapToGrid w:val="0"/>
          <w:sz w:val="22"/>
          <w:szCs w:val="22"/>
        </w:rPr>
        <w:t xml:space="preserve"> de 202</w:t>
      </w:r>
      <w:r w:rsidR="005A3637" w:rsidRPr="00B46B81">
        <w:rPr>
          <w:rFonts w:ascii="Arial" w:hAnsi="Arial" w:cs="Arial"/>
          <w:snapToGrid w:val="0"/>
          <w:sz w:val="22"/>
          <w:szCs w:val="22"/>
        </w:rPr>
        <w:t>6</w:t>
      </w:r>
      <w:r w:rsidRPr="00B46B81">
        <w:rPr>
          <w:rFonts w:ascii="Arial" w:hAnsi="Arial" w:cs="Arial"/>
          <w:snapToGrid w:val="0"/>
          <w:sz w:val="22"/>
          <w:szCs w:val="22"/>
        </w:rPr>
        <w:t xml:space="preserve">, o imobilizado apresenta saldo de R$ </w:t>
      </w:r>
      <w:r w:rsidR="005A3637" w:rsidRPr="00B46B81">
        <w:rPr>
          <w:rFonts w:ascii="Arial" w:hAnsi="Arial" w:cs="Arial"/>
          <w:snapToGrid w:val="0"/>
          <w:sz w:val="22"/>
          <w:szCs w:val="22"/>
        </w:rPr>
        <w:t>525.369</w:t>
      </w:r>
      <w:r w:rsidRPr="00B46B81">
        <w:rPr>
          <w:rFonts w:ascii="Arial" w:hAnsi="Arial" w:cs="Arial"/>
          <w:snapToGrid w:val="0"/>
          <w:sz w:val="22"/>
          <w:szCs w:val="22"/>
        </w:rPr>
        <w:t xml:space="preserve"> (R$ </w:t>
      </w:r>
      <w:r w:rsidR="005A3637" w:rsidRPr="00B46B81">
        <w:rPr>
          <w:rFonts w:ascii="Arial" w:hAnsi="Arial" w:cs="Arial"/>
          <w:snapToGrid w:val="0"/>
          <w:sz w:val="22"/>
          <w:szCs w:val="22"/>
        </w:rPr>
        <w:t>502.100</w:t>
      </w:r>
      <w:r w:rsidRPr="00B46B81">
        <w:rPr>
          <w:rFonts w:ascii="Arial" w:hAnsi="Arial" w:cs="Arial"/>
          <w:snapToGrid w:val="0"/>
          <w:sz w:val="22"/>
          <w:szCs w:val="22"/>
        </w:rPr>
        <w:t xml:space="preserve"> em </w:t>
      </w:r>
      <w:r w:rsidR="005A3637" w:rsidRPr="00B46B81">
        <w:rPr>
          <w:rFonts w:ascii="Arial" w:hAnsi="Arial" w:cs="Arial"/>
          <w:snapToGrid w:val="0"/>
          <w:sz w:val="22"/>
          <w:szCs w:val="22"/>
        </w:rPr>
        <w:t>31 de dezembro de 202</w:t>
      </w:r>
      <w:r w:rsidR="0025758B">
        <w:rPr>
          <w:rFonts w:ascii="Arial" w:hAnsi="Arial" w:cs="Arial"/>
          <w:snapToGrid w:val="0"/>
          <w:sz w:val="22"/>
          <w:szCs w:val="22"/>
        </w:rPr>
        <w:t>5</w:t>
      </w:r>
      <w:r w:rsidRPr="00B46B81">
        <w:rPr>
          <w:rFonts w:ascii="Arial" w:hAnsi="Arial" w:cs="Arial"/>
          <w:snapToGrid w:val="0"/>
          <w:sz w:val="22"/>
          <w:szCs w:val="22"/>
        </w:rPr>
        <w:t>), registrado ao custo de aquisição, referente a bens totalmente depreciados. Esses bens estão distribuídos nos seguintes grupos:</w:t>
      </w:r>
    </w:p>
    <w:p w14:paraId="1693ED80" w14:textId="77777777" w:rsidR="005A3637" w:rsidRDefault="005A3637" w:rsidP="00E757E3">
      <w:pPr>
        <w:spacing w:line="276" w:lineRule="auto"/>
        <w:jc w:val="both"/>
        <w:rPr>
          <w:rFonts w:ascii="Arial" w:hAnsi="Arial" w:cs="Arial"/>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6"/>
        <w:gridCol w:w="1419"/>
        <w:gridCol w:w="1366"/>
      </w:tblGrid>
      <w:tr w:rsidR="005A3637" w:rsidRPr="00B46B81" w14:paraId="68ABEC69" w14:textId="77777777" w:rsidTr="00B46B81">
        <w:trPr>
          <w:trHeight w:val="232"/>
        </w:trPr>
        <w:tc>
          <w:tcPr>
            <w:tcW w:w="3575" w:type="pct"/>
            <w:shd w:val="clear" w:color="000000" w:fill="D9D9D9"/>
            <w:noWrap/>
            <w:vAlign w:val="center"/>
            <w:hideMark/>
          </w:tcPr>
          <w:p w14:paraId="358AB118" w14:textId="77777777" w:rsidR="005A3637" w:rsidRPr="00B46B81" w:rsidRDefault="005A3637">
            <w:pPr>
              <w:rPr>
                <w:rFonts w:ascii="Arial" w:hAnsi="Arial" w:cs="Arial"/>
                <w:b/>
                <w:bCs/>
                <w:color w:val="000000"/>
                <w:sz w:val="18"/>
                <w:szCs w:val="18"/>
              </w:rPr>
            </w:pPr>
            <w:r>
              <w:rPr>
                <w:rFonts w:ascii="Arial" w:hAnsi="Arial" w:cs="Arial"/>
                <w:b/>
                <w:bCs/>
                <w:color w:val="000000"/>
                <w:sz w:val="18"/>
                <w:szCs w:val="18"/>
              </w:rPr>
              <w:t> </w:t>
            </w:r>
            <w:r w:rsidRPr="00B46B81">
              <w:rPr>
                <w:rFonts w:ascii="Arial" w:hAnsi="Arial" w:cs="Arial"/>
                <w:b/>
                <w:bCs/>
                <w:color w:val="000000"/>
                <w:sz w:val="18"/>
                <w:szCs w:val="18"/>
              </w:rPr>
              <w:t>Ativos:</w:t>
            </w:r>
          </w:p>
        </w:tc>
        <w:tc>
          <w:tcPr>
            <w:tcW w:w="726" w:type="pct"/>
            <w:noWrap/>
            <w:vAlign w:val="center"/>
            <w:hideMark/>
          </w:tcPr>
          <w:p w14:paraId="24B8B7D8" w14:textId="77777777" w:rsidR="005A3637" w:rsidRPr="00B46B81" w:rsidRDefault="005A3637">
            <w:pPr>
              <w:jc w:val="right"/>
              <w:rPr>
                <w:rFonts w:ascii="Arial" w:hAnsi="Arial" w:cs="Arial"/>
                <w:b/>
                <w:bCs/>
                <w:color w:val="000000"/>
                <w:sz w:val="18"/>
                <w:szCs w:val="18"/>
              </w:rPr>
            </w:pPr>
            <w:r w:rsidRPr="00B46B81">
              <w:rPr>
                <w:rFonts w:ascii="Arial" w:hAnsi="Arial" w:cs="Arial"/>
                <w:b/>
                <w:bCs/>
                <w:color w:val="000000"/>
                <w:sz w:val="18"/>
                <w:szCs w:val="18"/>
              </w:rPr>
              <w:t>31/03/2026</w:t>
            </w:r>
          </w:p>
        </w:tc>
        <w:tc>
          <w:tcPr>
            <w:tcW w:w="700" w:type="pct"/>
            <w:noWrap/>
            <w:vAlign w:val="center"/>
            <w:hideMark/>
          </w:tcPr>
          <w:p w14:paraId="5D718FF1" w14:textId="77777777" w:rsidR="005A3637" w:rsidRPr="00B46B81" w:rsidRDefault="005A3637">
            <w:pPr>
              <w:jc w:val="right"/>
              <w:rPr>
                <w:rFonts w:ascii="Arial" w:hAnsi="Arial" w:cs="Arial"/>
                <w:b/>
                <w:bCs/>
                <w:color w:val="000000"/>
                <w:sz w:val="18"/>
                <w:szCs w:val="18"/>
              </w:rPr>
            </w:pPr>
            <w:r w:rsidRPr="00B46B81">
              <w:rPr>
                <w:rFonts w:ascii="Arial" w:hAnsi="Arial" w:cs="Arial"/>
                <w:b/>
                <w:bCs/>
                <w:color w:val="000000"/>
                <w:sz w:val="18"/>
                <w:szCs w:val="18"/>
              </w:rPr>
              <w:t>31/12/2025</w:t>
            </w:r>
          </w:p>
        </w:tc>
      </w:tr>
      <w:tr w:rsidR="005A3637" w:rsidRPr="00B46B81" w14:paraId="51739D4D" w14:textId="77777777" w:rsidTr="00B46B81">
        <w:trPr>
          <w:trHeight w:val="232"/>
        </w:trPr>
        <w:tc>
          <w:tcPr>
            <w:tcW w:w="3575" w:type="pct"/>
            <w:noWrap/>
            <w:vAlign w:val="center"/>
            <w:hideMark/>
          </w:tcPr>
          <w:p w14:paraId="26996C83" w14:textId="77777777" w:rsidR="005A3637" w:rsidRPr="00B46B81" w:rsidRDefault="005A3637">
            <w:pPr>
              <w:rPr>
                <w:rFonts w:ascii="Arial" w:hAnsi="Arial" w:cs="Arial"/>
                <w:color w:val="000000"/>
                <w:sz w:val="18"/>
                <w:szCs w:val="18"/>
              </w:rPr>
            </w:pPr>
            <w:r w:rsidRPr="00B46B81">
              <w:rPr>
                <w:rFonts w:ascii="Arial" w:hAnsi="Arial" w:cs="Arial"/>
                <w:color w:val="000000"/>
                <w:sz w:val="18"/>
                <w:szCs w:val="18"/>
              </w:rPr>
              <w:t>Equipamentos de Transmissão e Comunicação de Dados</w:t>
            </w:r>
          </w:p>
        </w:tc>
        <w:tc>
          <w:tcPr>
            <w:tcW w:w="726" w:type="pct"/>
            <w:noWrap/>
            <w:vAlign w:val="center"/>
            <w:hideMark/>
          </w:tcPr>
          <w:p w14:paraId="66E4946F"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411.900</w:t>
            </w:r>
          </w:p>
        </w:tc>
        <w:tc>
          <w:tcPr>
            <w:tcW w:w="700" w:type="pct"/>
            <w:noWrap/>
            <w:vAlign w:val="center"/>
            <w:hideMark/>
          </w:tcPr>
          <w:p w14:paraId="6A1F6507"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389.316</w:t>
            </w:r>
          </w:p>
        </w:tc>
      </w:tr>
      <w:tr w:rsidR="005A3637" w:rsidRPr="00B46B81" w14:paraId="7A7DC9DA" w14:textId="77777777" w:rsidTr="00B46B81">
        <w:trPr>
          <w:trHeight w:val="232"/>
        </w:trPr>
        <w:tc>
          <w:tcPr>
            <w:tcW w:w="3575" w:type="pct"/>
            <w:noWrap/>
            <w:vAlign w:val="center"/>
            <w:hideMark/>
          </w:tcPr>
          <w:p w14:paraId="5B66720E" w14:textId="77777777" w:rsidR="005A3637" w:rsidRPr="00B46B81" w:rsidRDefault="005A3637">
            <w:pPr>
              <w:rPr>
                <w:rFonts w:ascii="Arial" w:hAnsi="Arial" w:cs="Arial"/>
                <w:color w:val="000000"/>
                <w:sz w:val="18"/>
                <w:szCs w:val="18"/>
              </w:rPr>
            </w:pPr>
            <w:r w:rsidRPr="00B46B81">
              <w:rPr>
                <w:rFonts w:ascii="Arial" w:hAnsi="Arial" w:cs="Arial"/>
                <w:color w:val="000000"/>
                <w:sz w:val="18"/>
                <w:szCs w:val="18"/>
              </w:rPr>
              <w:t>Benfeitorias em Propriedade de Terceiros</w:t>
            </w:r>
          </w:p>
        </w:tc>
        <w:tc>
          <w:tcPr>
            <w:tcW w:w="726" w:type="pct"/>
            <w:noWrap/>
            <w:vAlign w:val="center"/>
            <w:hideMark/>
          </w:tcPr>
          <w:p w14:paraId="0432702F"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57.780</w:t>
            </w:r>
          </w:p>
        </w:tc>
        <w:tc>
          <w:tcPr>
            <w:tcW w:w="700" w:type="pct"/>
            <w:noWrap/>
            <w:vAlign w:val="center"/>
            <w:hideMark/>
          </w:tcPr>
          <w:p w14:paraId="1E068089"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57.780</w:t>
            </w:r>
          </w:p>
        </w:tc>
      </w:tr>
      <w:tr w:rsidR="005A3637" w:rsidRPr="00B46B81" w14:paraId="217AFCFA" w14:textId="77777777" w:rsidTr="00B46B81">
        <w:trPr>
          <w:trHeight w:val="232"/>
        </w:trPr>
        <w:tc>
          <w:tcPr>
            <w:tcW w:w="3575" w:type="pct"/>
            <w:noWrap/>
            <w:vAlign w:val="center"/>
            <w:hideMark/>
          </w:tcPr>
          <w:p w14:paraId="46B5B857" w14:textId="77777777" w:rsidR="005A3637" w:rsidRPr="00B46B81" w:rsidRDefault="005A3637">
            <w:pPr>
              <w:rPr>
                <w:rFonts w:ascii="Arial" w:hAnsi="Arial" w:cs="Arial"/>
                <w:color w:val="000000"/>
                <w:sz w:val="18"/>
                <w:szCs w:val="18"/>
              </w:rPr>
            </w:pPr>
            <w:r w:rsidRPr="00B46B81">
              <w:rPr>
                <w:rFonts w:ascii="Arial" w:hAnsi="Arial" w:cs="Arial"/>
                <w:color w:val="000000"/>
                <w:sz w:val="18"/>
                <w:szCs w:val="18"/>
              </w:rPr>
              <w:t>Equipamentos de Infraestrutura</w:t>
            </w:r>
          </w:p>
        </w:tc>
        <w:tc>
          <w:tcPr>
            <w:tcW w:w="726" w:type="pct"/>
            <w:noWrap/>
            <w:vAlign w:val="center"/>
            <w:hideMark/>
          </w:tcPr>
          <w:p w14:paraId="446DBD18"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35.644</w:t>
            </w:r>
          </w:p>
        </w:tc>
        <w:tc>
          <w:tcPr>
            <w:tcW w:w="700" w:type="pct"/>
            <w:noWrap/>
            <w:vAlign w:val="center"/>
            <w:hideMark/>
          </w:tcPr>
          <w:p w14:paraId="40FC133E"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34.863</w:t>
            </w:r>
          </w:p>
        </w:tc>
      </w:tr>
      <w:tr w:rsidR="005A3637" w:rsidRPr="00B46B81" w14:paraId="50D979C7" w14:textId="77777777" w:rsidTr="00B46B81">
        <w:trPr>
          <w:trHeight w:val="232"/>
        </w:trPr>
        <w:tc>
          <w:tcPr>
            <w:tcW w:w="3575" w:type="pct"/>
            <w:noWrap/>
            <w:vAlign w:val="center"/>
            <w:hideMark/>
          </w:tcPr>
          <w:p w14:paraId="0647D94B" w14:textId="77777777" w:rsidR="005A3637" w:rsidRPr="00B46B81" w:rsidRDefault="005A3637">
            <w:pPr>
              <w:rPr>
                <w:rFonts w:ascii="Arial" w:hAnsi="Arial" w:cs="Arial"/>
                <w:color w:val="000000"/>
                <w:sz w:val="18"/>
                <w:szCs w:val="18"/>
              </w:rPr>
            </w:pPr>
            <w:r w:rsidRPr="00B46B81">
              <w:rPr>
                <w:rFonts w:ascii="Arial" w:hAnsi="Arial" w:cs="Arial"/>
                <w:color w:val="000000"/>
                <w:sz w:val="18"/>
                <w:szCs w:val="18"/>
              </w:rPr>
              <w:t>Equipamentos de Tecnologia da Informação</w:t>
            </w:r>
          </w:p>
        </w:tc>
        <w:tc>
          <w:tcPr>
            <w:tcW w:w="726" w:type="pct"/>
            <w:noWrap/>
            <w:vAlign w:val="center"/>
            <w:hideMark/>
          </w:tcPr>
          <w:p w14:paraId="0D67B6E4"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13.391</w:t>
            </w:r>
          </w:p>
        </w:tc>
        <w:tc>
          <w:tcPr>
            <w:tcW w:w="700" w:type="pct"/>
            <w:noWrap/>
            <w:vAlign w:val="center"/>
            <w:hideMark/>
          </w:tcPr>
          <w:p w14:paraId="5EDFF57C"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13.391</w:t>
            </w:r>
          </w:p>
        </w:tc>
      </w:tr>
      <w:tr w:rsidR="005A3637" w:rsidRPr="00B46B81" w14:paraId="3EAC08BB" w14:textId="77777777" w:rsidTr="00B46B81">
        <w:trPr>
          <w:trHeight w:val="232"/>
        </w:trPr>
        <w:tc>
          <w:tcPr>
            <w:tcW w:w="3575" w:type="pct"/>
            <w:noWrap/>
            <w:vAlign w:val="center"/>
            <w:hideMark/>
          </w:tcPr>
          <w:p w14:paraId="42219811" w14:textId="77777777" w:rsidR="005A3637" w:rsidRPr="00B46B81" w:rsidRDefault="005A3637">
            <w:pPr>
              <w:rPr>
                <w:rFonts w:ascii="Arial" w:hAnsi="Arial" w:cs="Arial"/>
                <w:color w:val="000000"/>
                <w:sz w:val="18"/>
                <w:szCs w:val="18"/>
              </w:rPr>
            </w:pPr>
            <w:r w:rsidRPr="00B46B81">
              <w:rPr>
                <w:rFonts w:ascii="Arial" w:hAnsi="Arial" w:cs="Arial"/>
                <w:color w:val="000000"/>
                <w:sz w:val="18"/>
                <w:szCs w:val="18"/>
              </w:rPr>
              <w:t>Equipamentos Data Center</w:t>
            </w:r>
          </w:p>
        </w:tc>
        <w:tc>
          <w:tcPr>
            <w:tcW w:w="726" w:type="pct"/>
            <w:noWrap/>
            <w:vAlign w:val="center"/>
            <w:hideMark/>
          </w:tcPr>
          <w:p w14:paraId="1DD396AD"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3.577</w:t>
            </w:r>
          </w:p>
        </w:tc>
        <w:tc>
          <w:tcPr>
            <w:tcW w:w="700" w:type="pct"/>
            <w:noWrap/>
            <w:vAlign w:val="center"/>
            <w:hideMark/>
          </w:tcPr>
          <w:p w14:paraId="59481DCC"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3.577</w:t>
            </w:r>
          </w:p>
        </w:tc>
      </w:tr>
      <w:tr w:rsidR="005A3637" w:rsidRPr="00B46B81" w14:paraId="30032780" w14:textId="77777777" w:rsidTr="00B46B81">
        <w:trPr>
          <w:trHeight w:val="232"/>
        </w:trPr>
        <w:tc>
          <w:tcPr>
            <w:tcW w:w="3575" w:type="pct"/>
            <w:noWrap/>
            <w:vAlign w:val="center"/>
            <w:hideMark/>
          </w:tcPr>
          <w:p w14:paraId="68D7BDCE" w14:textId="77777777" w:rsidR="005A3637" w:rsidRPr="00B46B81" w:rsidRDefault="005A3637">
            <w:pPr>
              <w:rPr>
                <w:rFonts w:ascii="Arial" w:hAnsi="Arial" w:cs="Arial"/>
                <w:color w:val="000000"/>
                <w:sz w:val="18"/>
                <w:szCs w:val="18"/>
              </w:rPr>
            </w:pPr>
            <w:r w:rsidRPr="00B46B81">
              <w:rPr>
                <w:rFonts w:ascii="Arial" w:hAnsi="Arial" w:cs="Arial"/>
                <w:color w:val="000000"/>
                <w:sz w:val="18"/>
                <w:szCs w:val="18"/>
              </w:rPr>
              <w:t>Mobiliários</w:t>
            </w:r>
          </w:p>
        </w:tc>
        <w:tc>
          <w:tcPr>
            <w:tcW w:w="726" w:type="pct"/>
            <w:noWrap/>
            <w:vAlign w:val="center"/>
            <w:hideMark/>
          </w:tcPr>
          <w:p w14:paraId="379979CD"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1.921</w:t>
            </w:r>
          </w:p>
        </w:tc>
        <w:tc>
          <w:tcPr>
            <w:tcW w:w="700" w:type="pct"/>
            <w:noWrap/>
            <w:vAlign w:val="center"/>
            <w:hideMark/>
          </w:tcPr>
          <w:p w14:paraId="15E291E1"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2.017</w:t>
            </w:r>
          </w:p>
        </w:tc>
      </w:tr>
      <w:tr w:rsidR="005A3637" w:rsidRPr="00B46B81" w14:paraId="2424D3E1" w14:textId="77777777" w:rsidTr="00B46B81">
        <w:trPr>
          <w:trHeight w:val="232"/>
        </w:trPr>
        <w:tc>
          <w:tcPr>
            <w:tcW w:w="3575" w:type="pct"/>
            <w:noWrap/>
            <w:vAlign w:val="center"/>
            <w:hideMark/>
          </w:tcPr>
          <w:p w14:paraId="040F2D46" w14:textId="77777777" w:rsidR="005A3637" w:rsidRPr="00B46B81" w:rsidRDefault="005A3637">
            <w:pPr>
              <w:rPr>
                <w:rFonts w:ascii="Arial" w:hAnsi="Arial" w:cs="Arial"/>
                <w:color w:val="000000"/>
                <w:sz w:val="18"/>
                <w:szCs w:val="18"/>
              </w:rPr>
            </w:pPr>
            <w:r w:rsidRPr="00B46B81">
              <w:rPr>
                <w:rFonts w:ascii="Arial" w:hAnsi="Arial" w:cs="Arial"/>
                <w:color w:val="000000"/>
                <w:sz w:val="18"/>
                <w:szCs w:val="18"/>
              </w:rPr>
              <w:t>Ferramentas e Instrumentos</w:t>
            </w:r>
          </w:p>
        </w:tc>
        <w:tc>
          <w:tcPr>
            <w:tcW w:w="726" w:type="pct"/>
            <w:noWrap/>
            <w:vAlign w:val="center"/>
            <w:hideMark/>
          </w:tcPr>
          <w:p w14:paraId="55488CC0"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1.156</w:t>
            </w:r>
          </w:p>
        </w:tc>
        <w:tc>
          <w:tcPr>
            <w:tcW w:w="700" w:type="pct"/>
            <w:noWrap/>
            <w:vAlign w:val="center"/>
            <w:hideMark/>
          </w:tcPr>
          <w:p w14:paraId="5B4C960A" w14:textId="77777777" w:rsidR="005A3637" w:rsidRPr="00B46B81" w:rsidRDefault="005A3637">
            <w:pPr>
              <w:jc w:val="right"/>
              <w:rPr>
                <w:rFonts w:ascii="Arial" w:hAnsi="Arial" w:cs="Arial"/>
                <w:color w:val="000000"/>
                <w:sz w:val="18"/>
                <w:szCs w:val="18"/>
              </w:rPr>
            </w:pPr>
            <w:r w:rsidRPr="00B46B81">
              <w:rPr>
                <w:rFonts w:ascii="Arial" w:hAnsi="Arial" w:cs="Arial"/>
                <w:color w:val="000000"/>
                <w:sz w:val="18"/>
                <w:szCs w:val="18"/>
              </w:rPr>
              <w:t>1.156</w:t>
            </w:r>
          </w:p>
        </w:tc>
      </w:tr>
      <w:tr w:rsidR="005A3637" w14:paraId="3A9185C6" w14:textId="77777777" w:rsidTr="00B46B81">
        <w:trPr>
          <w:trHeight w:val="232"/>
        </w:trPr>
        <w:tc>
          <w:tcPr>
            <w:tcW w:w="3575" w:type="pct"/>
            <w:noWrap/>
            <w:vAlign w:val="center"/>
            <w:hideMark/>
          </w:tcPr>
          <w:p w14:paraId="33E114D6" w14:textId="77777777" w:rsidR="005A3637" w:rsidRPr="00B46B81" w:rsidRDefault="005A3637">
            <w:pPr>
              <w:rPr>
                <w:rFonts w:ascii="Arial" w:hAnsi="Arial" w:cs="Arial"/>
                <w:b/>
                <w:bCs/>
                <w:color w:val="000000"/>
                <w:sz w:val="18"/>
                <w:szCs w:val="18"/>
              </w:rPr>
            </w:pPr>
            <w:r w:rsidRPr="00B46B81">
              <w:rPr>
                <w:rFonts w:ascii="Arial" w:hAnsi="Arial" w:cs="Arial"/>
                <w:b/>
                <w:bCs/>
                <w:color w:val="000000"/>
                <w:sz w:val="18"/>
                <w:szCs w:val="18"/>
              </w:rPr>
              <w:t>Total</w:t>
            </w:r>
          </w:p>
        </w:tc>
        <w:tc>
          <w:tcPr>
            <w:tcW w:w="726" w:type="pct"/>
            <w:noWrap/>
            <w:vAlign w:val="center"/>
            <w:hideMark/>
          </w:tcPr>
          <w:p w14:paraId="5CE93520" w14:textId="77777777" w:rsidR="005A3637" w:rsidRPr="00B46B81" w:rsidRDefault="005A3637">
            <w:pPr>
              <w:jc w:val="right"/>
              <w:rPr>
                <w:rFonts w:ascii="Arial" w:hAnsi="Arial" w:cs="Arial"/>
                <w:b/>
                <w:bCs/>
                <w:color w:val="000000"/>
                <w:sz w:val="18"/>
                <w:szCs w:val="18"/>
              </w:rPr>
            </w:pPr>
            <w:r w:rsidRPr="00B46B81">
              <w:rPr>
                <w:rFonts w:ascii="Arial" w:hAnsi="Arial" w:cs="Arial"/>
                <w:b/>
                <w:bCs/>
                <w:color w:val="000000"/>
                <w:sz w:val="18"/>
                <w:szCs w:val="18"/>
              </w:rPr>
              <w:t>525.369</w:t>
            </w:r>
          </w:p>
        </w:tc>
        <w:tc>
          <w:tcPr>
            <w:tcW w:w="700" w:type="pct"/>
            <w:noWrap/>
            <w:vAlign w:val="center"/>
            <w:hideMark/>
          </w:tcPr>
          <w:p w14:paraId="79A7EF3A" w14:textId="77777777" w:rsidR="005A3637" w:rsidRDefault="005A3637">
            <w:pPr>
              <w:jc w:val="right"/>
              <w:rPr>
                <w:rFonts w:ascii="Arial" w:hAnsi="Arial" w:cs="Arial"/>
                <w:b/>
                <w:bCs/>
                <w:color w:val="000000"/>
                <w:sz w:val="18"/>
                <w:szCs w:val="18"/>
              </w:rPr>
            </w:pPr>
            <w:r w:rsidRPr="00B46B81">
              <w:rPr>
                <w:rFonts w:ascii="Arial" w:hAnsi="Arial" w:cs="Arial"/>
                <w:b/>
                <w:bCs/>
                <w:color w:val="000000"/>
                <w:sz w:val="18"/>
                <w:szCs w:val="18"/>
              </w:rPr>
              <w:t>502.100</w:t>
            </w:r>
          </w:p>
        </w:tc>
      </w:tr>
    </w:tbl>
    <w:p w14:paraId="673B4C61" w14:textId="147D66D4" w:rsidR="004F39F5" w:rsidRPr="00BA7857" w:rsidRDefault="004F39F5" w:rsidP="00F46D9C">
      <w:pPr>
        <w:pStyle w:val="Ttulo2"/>
        <w:numPr>
          <w:ilvl w:val="1"/>
          <w:numId w:val="7"/>
        </w:numPr>
        <w:tabs>
          <w:tab w:val="clear" w:pos="284"/>
          <w:tab w:val="clear" w:pos="340"/>
        </w:tabs>
        <w:spacing w:after="0"/>
        <w:ind w:left="851" w:hanging="851"/>
        <w:jc w:val="both"/>
        <w:rPr>
          <w:rFonts w:ascii="Arial" w:hAnsi="Arial" w:cs="Arial"/>
        </w:rPr>
      </w:pPr>
      <w:r>
        <w:rPr>
          <w:rFonts w:ascii="Arial" w:hAnsi="Arial" w:cs="Arial"/>
        </w:rPr>
        <w:t>Seguros</w:t>
      </w:r>
    </w:p>
    <w:p w14:paraId="3238C483" w14:textId="77777777" w:rsidR="00782C48" w:rsidRPr="00782C48" w:rsidRDefault="00782C48" w:rsidP="00782C48">
      <w:pPr>
        <w:pStyle w:val="Corpodetexto"/>
        <w:numPr>
          <w:ilvl w:val="12"/>
          <w:numId w:val="0"/>
        </w:numPr>
        <w:spacing w:line="276" w:lineRule="auto"/>
        <w:rPr>
          <w:rFonts w:ascii="Arial" w:hAnsi="Arial" w:cs="Arial"/>
        </w:rPr>
      </w:pPr>
      <w:r w:rsidRPr="00782C48">
        <w:rPr>
          <w:rFonts w:ascii="Arial" w:hAnsi="Arial" w:cs="Arial"/>
        </w:rPr>
        <w:t>A Telebras mantém contrato de seguro para cobertura de eventuais perdas relacionadas ao Satélite Geoestacionário de Defesa e Comunicações Estratégicas – SGDC. As principais informações referentes a esse contrato são apresentadas a seguir:</w:t>
      </w:r>
    </w:p>
    <w:p w14:paraId="7B6EEB5C" w14:textId="77777777" w:rsidR="00F46D9C" w:rsidRPr="008C14C0" w:rsidRDefault="00F46D9C" w:rsidP="00794FA2">
      <w:pPr>
        <w:pStyle w:val="Corpodetexto"/>
        <w:numPr>
          <w:ilvl w:val="12"/>
          <w:numId w:val="0"/>
        </w:numPr>
        <w:spacing w:before="0" w:after="0" w:line="276" w:lineRule="auto"/>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1686"/>
        <w:gridCol w:w="1133"/>
        <w:gridCol w:w="1237"/>
        <w:gridCol w:w="1145"/>
        <w:gridCol w:w="2462"/>
      </w:tblGrid>
      <w:tr w:rsidR="00B84749" w:rsidRPr="00337A4F" w14:paraId="36C46611" w14:textId="77777777" w:rsidTr="00934523">
        <w:trPr>
          <w:trHeight w:val="238"/>
        </w:trPr>
        <w:tc>
          <w:tcPr>
            <w:tcW w:w="1078" w:type="pct"/>
            <w:shd w:val="clear" w:color="000000" w:fill="D9D9D9"/>
            <w:vAlign w:val="center"/>
            <w:hideMark/>
          </w:tcPr>
          <w:p w14:paraId="0F221C63" w14:textId="77777777" w:rsidR="00B84749" w:rsidRPr="00337A4F" w:rsidRDefault="00B84749" w:rsidP="00950464">
            <w:pPr>
              <w:rPr>
                <w:rFonts w:ascii="Arial" w:hAnsi="Arial" w:cs="Arial"/>
                <w:b/>
                <w:bCs/>
                <w:color w:val="000000"/>
                <w:sz w:val="18"/>
                <w:szCs w:val="18"/>
              </w:rPr>
            </w:pPr>
            <w:r w:rsidRPr="00337A4F">
              <w:rPr>
                <w:rFonts w:ascii="Arial" w:hAnsi="Arial" w:cs="Arial"/>
                <w:b/>
                <w:bCs/>
                <w:color w:val="000000"/>
                <w:sz w:val="18"/>
                <w:szCs w:val="18"/>
              </w:rPr>
              <w:t xml:space="preserve">Entidades </w:t>
            </w:r>
          </w:p>
        </w:tc>
        <w:tc>
          <w:tcPr>
            <w:tcW w:w="863" w:type="pct"/>
            <w:shd w:val="clear" w:color="000000" w:fill="D9D9D9"/>
            <w:vAlign w:val="center"/>
            <w:hideMark/>
          </w:tcPr>
          <w:p w14:paraId="2AA7B298" w14:textId="77777777" w:rsidR="00B84749" w:rsidRPr="00337A4F" w:rsidRDefault="00B84749" w:rsidP="00950464">
            <w:pPr>
              <w:jc w:val="center"/>
              <w:rPr>
                <w:rFonts w:ascii="Arial" w:hAnsi="Arial" w:cs="Arial"/>
                <w:b/>
                <w:bCs/>
                <w:color w:val="000000"/>
                <w:sz w:val="18"/>
                <w:szCs w:val="18"/>
              </w:rPr>
            </w:pPr>
            <w:r w:rsidRPr="00337A4F">
              <w:rPr>
                <w:rFonts w:ascii="Arial" w:hAnsi="Arial" w:cs="Arial"/>
                <w:b/>
                <w:bCs/>
                <w:color w:val="000000"/>
                <w:sz w:val="18"/>
                <w:szCs w:val="18"/>
              </w:rPr>
              <w:t>Natureza</w:t>
            </w:r>
          </w:p>
        </w:tc>
        <w:tc>
          <w:tcPr>
            <w:tcW w:w="580" w:type="pct"/>
            <w:shd w:val="clear" w:color="000000" w:fill="D9D9D9"/>
            <w:vAlign w:val="center"/>
            <w:hideMark/>
          </w:tcPr>
          <w:p w14:paraId="7E7B46A2" w14:textId="77777777" w:rsidR="00B84749" w:rsidRPr="00337A4F" w:rsidRDefault="00B84749" w:rsidP="00950464">
            <w:pPr>
              <w:jc w:val="center"/>
              <w:rPr>
                <w:rFonts w:ascii="Arial" w:hAnsi="Arial" w:cs="Arial"/>
                <w:b/>
                <w:bCs/>
                <w:color w:val="000000"/>
                <w:sz w:val="18"/>
                <w:szCs w:val="18"/>
              </w:rPr>
            </w:pPr>
            <w:r w:rsidRPr="00337A4F">
              <w:rPr>
                <w:rFonts w:ascii="Arial" w:hAnsi="Arial" w:cs="Arial"/>
                <w:b/>
                <w:bCs/>
                <w:color w:val="000000"/>
                <w:sz w:val="18"/>
                <w:szCs w:val="18"/>
              </w:rPr>
              <w:t>Valor Contratado</w:t>
            </w:r>
          </w:p>
        </w:tc>
        <w:tc>
          <w:tcPr>
            <w:tcW w:w="633" w:type="pct"/>
            <w:shd w:val="clear" w:color="000000" w:fill="D9D9D9"/>
            <w:vAlign w:val="center"/>
            <w:hideMark/>
          </w:tcPr>
          <w:p w14:paraId="5A51B7C0" w14:textId="77777777" w:rsidR="00B84749" w:rsidRPr="00337A4F" w:rsidRDefault="00B84749" w:rsidP="00950464">
            <w:pPr>
              <w:jc w:val="center"/>
              <w:rPr>
                <w:rFonts w:ascii="Arial" w:hAnsi="Arial" w:cs="Arial"/>
                <w:b/>
                <w:bCs/>
                <w:color w:val="000000"/>
                <w:sz w:val="18"/>
                <w:szCs w:val="18"/>
              </w:rPr>
            </w:pPr>
            <w:r w:rsidRPr="00337A4F">
              <w:rPr>
                <w:rFonts w:ascii="Arial" w:hAnsi="Arial" w:cs="Arial"/>
                <w:b/>
                <w:bCs/>
                <w:color w:val="000000"/>
                <w:sz w:val="18"/>
                <w:szCs w:val="18"/>
              </w:rPr>
              <w:t>Valor do Prêmio</w:t>
            </w:r>
          </w:p>
        </w:tc>
        <w:tc>
          <w:tcPr>
            <w:tcW w:w="586" w:type="pct"/>
            <w:shd w:val="clear" w:color="000000" w:fill="D9D9D9"/>
            <w:vAlign w:val="center"/>
            <w:hideMark/>
          </w:tcPr>
          <w:p w14:paraId="0C03272E" w14:textId="77777777" w:rsidR="00B84749" w:rsidRPr="00337A4F" w:rsidRDefault="00B84749" w:rsidP="00950464">
            <w:pPr>
              <w:jc w:val="center"/>
              <w:rPr>
                <w:rFonts w:ascii="Arial" w:hAnsi="Arial" w:cs="Arial"/>
                <w:b/>
                <w:bCs/>
                <w:color w:val="000000"/>
                <w:sz w:val="18"/>
                <w:szCs w:val="18"/>
              </w:rPr>
            </w:pPr>
            <w:r w:rsidRPr="00337A4F">
              <w:rPr>
                <w:rFonts w:ascii="Arial" w:hAnsi="Arial" w:cs="Arial"/>
                <w:b/>
                <w:bCs/>
                <w:color w:val="000000"/>
                <w:sz w:val="18"/>
                <w:szCs w:val="18"/>
              </w:rPr>
              <w:t>Valor Indenizável</w:t>
            </w:r>
          </w:p>
        </w:tc>
        <w:tc>
          <w:tcPr>
            <w:tcW w:w="1261" w:type="pct"/>
            <w:shd w:val="clear" w:color="000000" w:fill="D9D9D9"/>
            <w:vAlign w:val="center"/>
            <w:hideMark/>
          </w:tcPr>
          <w:p w14:paraId="7002CECC" w14:textId="77777777" w:rsidR="00B84749" w:rsidRPr="00337A4F" w:rsidRDefault="00B84749" w:rsidP="00950464">
            <w:pPr>
              <w:jc w:val="center"/>
              <w:rPr>
                <w:rFonts w:ascii="Arial" w:hAnsi="Arial" w:cs="Arial"/>
                <w:b/>
                <w:bCs/>
                <w:color w:val="000000"/>
                <w:sz w:val="18"/>
                <w:szCs w:val="18"/>
              </w:rPr>
            </w:pPr>
            <w:r w:rsidRPr="00337A4F">
              <w:rPr>
                <w:rFonts w:ascii="Arial" w:hAnsi="Arial" w:cs="Arial"/>
                <w:b/>
                <w:bCs/>
                <w:color w:val="000000"/>
                <w:sz w:val="18"/>
                <w:szCs w:val="18"/>
              </w:rPr>
              <w:t>Vigência</w:t>
            </w:r>
          </w:p>
        </w:tc>
      </w:tr>
      <w:tr w:rsidR="00B84749" w:rsidRPr="00F30103" w14:paraId="1B7BE86F" w14:textId="77777777" w:rsidTr="00934523">
        <w:trPr>
          <w:trHeight w:val="238"/>
        </w:trPr>
        <w:tc>
          <w:tcPr>
            <w:tcW w:w="1078" w:type="pct"/>
            <w:noWrap/>
            <w:vAlign w:val="center"/>
            <w:hideMark/>
          </w:tcPr>
          <w:p w14:paraId="278C5AB1" w14:textId="77777777" w:rsidR="00B84749" w:rsidRPr="00337A4F" w:rsidRDefault="00B84749" w:rsidP="00950464">
            <w:pPr>
              <w:rPr>
                <w:rFonts w:ascii="Arial" w:hAnsi="Arial" w:cs="Arial"/>
                <w:color w:val="000000"/>
                <w:sz w:val="18"/>
                <w:szCs w:val="18"/>
              </w:rPr>
            </w:pPr>
            <w:r w:rsidRPr="00337A4F">
              <w:rPr>
                <w:rFonts w:ascii="Arial" w:hAnsi="Arial" w:cs="Arial"/>
                <w:color w:val="000000"/>
                <w:sz w:val="18"/>
                <w:szCs w:val="18"/>
              </w:rPr>
              <w:t>Mapfre Seguros</w:t>
            </w:r>
          </w:p>
        </w:tc>
        <w:tc>
          <w:tcPr>
            <w:tcW w:w="863" w:type="pct"/>
            <w:vAlign w:val="center"/>
            <w:hideMark/>
          </w:tcPr>
          <w:p w14:paraId="4E7FFAD6" w14:textId="77777777" w:rsidR="00B84749" w:rsidRPr="00337A4F" w:rsidRDefault="00B84749" w:rsidP="00950464">
            <w:pPr>
              <w:jc w:val="center"/>
              <w:rPr>
                <w:rFonts w:ascii="Arial" w:hAnsi="Arial" w:cs="Arial"/>
                <w:color w:val="000000"/>
                <w:sz w:val="18"/>
                <w:szCs w:val="18"/>
              </w:rPr>
            </w:pPr>
            <w:r w:rsidRPr="00337A4F">
              <w:rPr>
                <w:rFonts w:ascii="Arial" w:hAnsi="Arial" w:cs="Arial"/>
                <w:color w:val="000000"/>
                <w:sz w:val="18"/>
                <w:szCs w:val="18"/>
              </w:rPr>
              <w:t>Seguro</w:t>
            </w:r>
          </w:p>
        </w:tc>
        <w:tc>
          <w:tcPr>
            <w:tcW w:w="580" w:type="pct"/>
            <w:shd w:val="clear" w:color="000000" w:fill="D9D9D9"/>
            <w:noWrap/>
            <w:vAlign w:val="center"/>
            <w:hideMark/>
          </w:tcPr>
          <w:p w14:paraId="1EC6C8F9" w14:textId="77777777" w:rsidR="00B84749" w:rsidRPr="00337A4F" w:rsidRDefault="00B84749" w:rsidP="00950464">
            <w:pPr>
              <w:rPr>
                <w:rFonts w:ascii="Calibri" w:hAnsi="Calibri" w:cs="Calibri"/>
                <w:color w:val="000000"/>
                <w:sz w:val="22"/>
                <w:szCs w:val="22"/>
              </w:rPr>
            </w:pPr>
            <w:r w:rsidRPr="00337A4F">
              <w:rPr>
                <w:rFonts w:ascii="Calibri" w:hAnsi="Calibri" w:cs="Calibri"/>
                <w:color w:val="000000"/>
                <w:sz w:val="22"/>
                <w:szCs w:val="22"/>
              </w:rPr>
              <w:t> </w:t>
            </w:r>
          </w:p>
        </w:tc>
        <w:tc>
          <w:tcPr>
            <w:tcW w:w="633" w:type="pct"/>
            <w:noWrap/>
            <w:vAlign w:val="center"/>
            <w:hideMark/>
          </w:tcPr>
          <w:p w14:paraId="4B18BB25" w14:textId="7E485D57" w:rsidR="00B84749" w:rsidRPr="00337A4F" w:rsidRDefault="00A75FD3" w:rsidP="00950464">
            <w:pPr>
              <w:jc w:val="right"/>
              <w:rPr>
                <w:rFonts w:ascii="Arial" w:hAnsi="Arial" w:cs="Arial"/>
                <w:color w:val="000000"/>
                <w:sz w:val="18"/>
                <w:szCs w:val="18"/>
              </w:rPr>
            </w:pPr>
            <w:r w:rsidRPr="00337A4F">
              <w:rPr>
                <w:rFonts w:ascii="Arial" w:hAnsi="Arial" w:cs="Arial"/>
                <w:color w:val="000000"/>
                <w:sz w:val="18"/>
                <w:szCs w:val="18"/>
              </w:rPr>
              <w:t>13.200</w:t>
            </w:r>
          </w:p>
        </w:tc>
        <w:tc>
          <w:tcPr>
            <w:tcW w:w="586" w:type="pct"/>
            <w:noWrap/>
            <w:vAlign w:val="center"/>
            <w:hideMark/>
          </w:tcPr>
          <w:p w14:paraId="0ED0473F" w14:textId="5DDB4CBB" w:rsidR="00B84749" w:rsidRPr="00337A4F" w:rsidRDefault="00A75FD3" w:rsidP="00950464">
            <w:pPr>
              <w:jc w:val="right"/>
              <w:rPr>
                <w:rFonts w:ascii="Arial" w:hAnsi="Arial" w:cs="Arial"/>
                <w:color w:val="000000"/>
                <w:sz w:val="18"/>
                <w:szCs w:val="18"/>
              </w:rPr>
            </w:pPr>
            <w:r w:rsidRPr="00337A4F">
              <w:rPr>
                <w:rFonts w:ascii="Arial" w:hAnsi="Arial" w:cs="Arial"/>
                <w:color w:val="000000"/>
                <w:sz w:val="18"/>
                <w:szCs w:val="18"/>
              </w:rPr>
              <w:t>1.062.084</w:t>
            </w:r>
          </w:p>
        </w:tc>
        <w:tc>
          <w:tcPr>
            <w:tcW w:w="1261" w:type="pct"/>
            <w:vAlign w:val="center"/>
            <w:hideMark/>
          </w:tcPr>
          <w:p w14:paraId="6749F654" w14:textId="18817141" w:rsidR="00B84749" w:rsidRPr="00241992" w:rsidRDefault="00B84749" w:rsidP="00950464">
            <w:pPr>
              <w:jc w:val="right"/>
              <w:rPr>
                <w:rFonts w:ascii="Arial" w:hAnsi="Arial" w:cs="Arial"/>
                <w:color w:val="000000"/>
                <w:sz w:val="18"/>
                <w:szCs w:val="18"/>
              </w:rPr>
            </w:pPr>
            <w:r w:rsidRPr="00337A4F">
              <w:rPr>
                <w:rFonts w:ascii="Arial" w:hAnsi="Arial" w:cs="Arial"/>
                <w:color w:val="000000"/>
                <w:sz w:val="18"/>
                <w:szCs w:val="18"/>
              </w:rPr>
              <w:t xml:space="preserve"> 03/08/202</w:t>
            </w:r>
            <w:r w:rsidR="00A75FD3" w:rsidRPr="00337A4F">
              <w:rPr>
                <w:rFonts w:ascii="Arial" w:hAnsi="Arial" w:cs="Arial"/>
                <w:color w:val="000000"/>
                <w:sz w:val="18"/>
                <w:szCs w:val="18"/>
              </w:rPr>
              <w:t>5</w:t>
            </w:r>
            <w:r w:rsidRPr="00337A4F">
              <w:rPr>
                <w:rFonts w:ascii="Arial" w:hAnsi="Arial" w:cs="Arial"/>
                <w:color w:val="000000"/>
                <w:sz w:val="18"/>
                <w:szCs w:val="18"/>
              </w:rPr>
              <w:t xml:space="preserve"> a 03/08/202</w:t>
            </w:r>
            <w:r w:rsidR="00A75FD3" w:rsidRPr="00337A4F">
              <w:rPr>
                <w:rFonts w:ascii="Arial" w:hAnsi="Arial" w:cs="Arial"/>
                <w:color w:val="000000"/>
                <w:sz w:val="18"/>
                <w:szCs w:val="18"/>
              </w:rPr>
              <w:t>6</w:t>
            </w:r>
            <w:r w:rsidRPr="00241992">
              <w:rPr>
                <w:rFonts w:ascii="Arial" w:hAnsi="Arial" w:cs="Arial"/>
                <w:color w:val="000000"/>
                <w:sz w:val="18"/>
                <w:szCs w:val="18"/>
              </w:rPr>
              <w:t xml:space="preserve"> </w:t>
            </w:r>
          </w:p>
        </w:tc>
      </w:tr>
    </w:tbl>
    <w:p w14:paraId="6EBD32AC" w14:textId="36F32D70" w:rsidR="00B84749" w:rsidRDefault="00B84749" w:rsidP="00794FA2">
      <w:pPr>
        <w:pStyle w:val="Corpodetexto"/>
        <w:numPr>
          <w:ilvl w:val="12"/>
          <w:numId w:val="0"/>
        </w:numPr>
        <w:spacing w:before="0" w:after="0" w:line="276" w:lineRule="auto"/>
        <w:rPr>
          <w:rFonts w:ascii="Arial" w:hAnsi="Arial" w:cs="Arial"/>
        </w:rPr>
      </w:pPr>
    </w:p>
    <w:p w14:paraId="34297E59" w14:textId="77777777" w:rsidR="002850A1" w:rsidRPr="00AA1932"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32" w:name="_Toc491337737"/>
      <w:r w:rsidRPr="00AA1932">
        <w:rPr>
          <w:rFonts w:ascii="Arial" w:hAnsi="Arial" w:cs="Arial"/>
        </w:rPr>
        <w:t>INTANGÍVEL</w:t>
      </w:r>
      <w:bookmarkEnd w:id="32"/>
    </w:p>
    <w:p w14:paraId="36E0F439" w14:textId="77777777" w:rsidR="002850A1" w:rsidRPr="002A36CE" w:rsidRDefault="002850A1" w:rsidP="002850A1"/>
    <w:p w14:paraId="6F060B04" w14:textId="7FD29C67" w:rsidR="003E00ED" w:rsidRDefault="00020758" w:rsidP="00597FE5">
      <w:pPr>
        <w:spacing w:line="276" w:lineRule="auto"/>
        <w:jc w:val="both"/>
        <w:rPr>
          <w:rFonts w:ascii="Arial" w:hAnsi="Arial" w:cs="Arial"/>
          <w:sz w:val="22"/>
          <w:szCs w:val="22"/>
        </w:rPr>
      </w:pPr>
      <w:r w:rsidRPr="002A36CE">
        <w:rPr>
          <w:rFonts w:ascii="Arial" w:hAnsi="Arial" w:cs="Arial"/>
          <w:sz w:val="22"/>
          <w:szCs w:val="22"/>
        </w:rPr>
        <w:t xml:space="preserve">No intangível são registrados os direitos que tenham por objeto bens incorpóreos destinados à manutenção da </w:t>
      </w:r>
      <w:r w:rsidR="00E839CC" w:rsidRPr="002A36CE">
        <w:rPr>
          <w:rFonts w:ascii="Arial" w:hAnsi="Arial" w:cs="Arial"/>
          <w:sz w:val="22"/>
          <w:szCs w:val="22"/>
        </w:rPr>
        <w:t>Companhia</w:t>
      </w:r>
      <w:r w:rsidRPr="002A36CE">
        <w:rPr>
          <w:rFonts w:ascii="Arial" w:hAnsi="Arial" w:cs="Arial"/>
          <w:sz w:val="22"/>
          <w:szCs w:val="22"/>
        </w:rPr>
        <w:t xml:space="preserve"> ou exercidos com essa finalidade, deduzid</w:t>
      </w:r>
      <w:r w:rsidR="00E839CC" w:rsidRPr="002A36CE">
        <w:rPr>
          <w:rFonts w:ascii="Arial" w:hAnsi="Arial" w:cs="Arial"/>
          <w:sz w:val="22"/>
          <w:szCs w:val="22"/>
        </w:rPr>
        <w:t>o</w:t>
      </w:r>
      <w:r w:rsidRPr="002A36CE">
        <w:rPr>
          <w:rFonts w:ascii="Arial" w:hAnsi="Arial" w:cs="Arial"/>
          <w:sz w:val="22"/>
          <w:szCs w:val="22"/>
        </w:rPr>
        <w:t>s das respectivas amortizações</w:t>
      </w:r>
      <w:r w:rsidR="003E00ED" w:rsidRPr="002A36CE">
        <w:rPr>
          <w:rFonts w:ascii="Arial" w:hAnsi="Arial" w:cs="Arial"/>
          <w:sz w:val="22"/>
          <w:szCs w:val="22"/>
        </w:rPr>
        <w:t xml:space="preserve"> e da provisão para redução ao valor recuperável quando houve</w:t>
      </w:r>
      <w:r w:rsidR="001C3FC0" w:rsidRPr="002A36CE">
        <w:rPr>
          <w:rFonts w:ascii="Arial" w:hAnsi="Arial" w:cs="Arial"/>
          <w:sz w:val="22"/>
          <w:szCs w:val="22"/>
        </w:rPr>
        <w:t>r</w:t>
      </w:r>
      <w:r w:rsidR="003E00ED" w:rsidRPr="002A36CE">
        <w:rPr>
          <w:rFonts w:ascii="Arial" w:hAnsi="Arial" w:cs="Arial"/>
          <w:sz w:val="22"/>
          <w:szCs w:val="22"/>
        </w:rPr>
        <w:t xml:space="preserve"> indicação de</w:t>
      </w:r>
      <w:r w:rsidR="00FE2DCD" w:rsidRPr="002A36CE">
        <w:rPr>
          <w:rFonts w:ascii="Arial" w:hAnsi="Arial" w:cs="Arial"/>
          <w:sz w:val="22"/>
          <w:szCs w:val="22"/>
        </w:rPr>
        <w:t xml:space="preserve"> que</w:t>
      </w:r>
      <w:r w:rsidR="003E00ED" w:rsidRPr="002A36CE">
        <w:rPr>
          <w:rFonts w:ascii="Arial" w:hAnsi="Arial" w:cs="Arial"/>
          <w:sz w:val="22"/>
          <w:szCs w:val="22"/>
        </w:rPr>
        <w:t xml:space="preserve"> o</w:t>
      </w:r>
      <w:r w:rsidR="00FE2DCD" w:rsidRPr="002A36CE">
        <w:rPr>
          <w:rFonts w:ascii="Arial" w:hAnsi="Arial" w:cs="Arial"/>
          <w:sz w:val="22"/>
          <w:szCs w:val="22"/>
        </w:rPr>
        <w:t>s</w:t>
      </w:r>
      <w:r w:rsidR="003E00ED" w:rsidRPr="002A36CE">
        <w:rPr>
          <w:rFonts w:ascii="Arial" w:hAnsi="Arial" w:cs="Arial"/>
          <w:sz w:val="22"/>
          <w:szCs w:val="22"/>
        </w:rPr>
        <w:t xml:space="preserve"> </w:t>
      </w:r>
      <w:r w:rsidR="003E00ED" w:rsidRPr="006C4ECB">
        <w:rPr>
          <w:rFonts w:ascii="Arial" w:hAnsi="Arial" w:cs="Arial"/>
          <w:sz w:val="22"/>
          <w:szCs w:val="22"/>
        </w:rPr>
        <w:t>valor</w:t>
      </w:r>
      <w:r w:rsidR="00FE2DCD" w:rsidRPr="006C4ECB">
        <w:rPr>
          <w:rFonts w:ascii="Arial" w:hAnsi="Arial" w:cs="Arial"/>
          <w:sz w:val="22"/>
          <w:szCs w:val="22"/>
        </w:rPr>
        <w:t>es</w:t>
      </w:r>
      <w:r w:rsidR="003E00ED" w:rsidRPr="006C4ECB">
        <w:rPr>
          <w:rFonts w:ascii="Arial" w:hAnsi="Arial" w:cs="Arial"/>
          <w:sz w:val="22"/>
          <w:szCs w:val="22"/>
        </w:rPr>
        <w:t xml:space="preserve"> contáb</w:t>
      </w:r>
      <w:r w:rsidR="00FE2DCD" w:rsidRPr="006C4ECB">
        <w:rPr>
          <w:rFonts w:ascii="Arial" w:hAnsi="Arial" w:cs="Arial"/>
          <w:sz w:val="22"/>
          <w:szCs w:val="22"/>
        </w:rPr>
        <w:t>eis</w:t>
      </w:r>
      <w:r w:rsidR="003E00ED" w:rsidRPr="006C4ECB">
        <w:rPr>
          <w:rFonts w:ascii="Arial" w:hAnsi="Arial" w:cs="Arial"/>
          <w:sz w:val="22"/>
          <w:szCs w:val="22"/>
        </w:rPr>
        <w:t xml:space="preserve"> dos bens intangíveis est</w:t>
      </w:r>
      <w:r w:rsidR="00FE2DCD" w:rsidRPr="006C4ECB">
        <w:rPr>
          <w:rFonts w:ascii="Arial" w:hAnsi="Arial" w:cs="Arial"/>
          <w:sz w:val="22"/>
          <w:szCs w:val="22"/>
        </w:rPr>
        <w:t>ão</w:t>
      </w:r>
      <w:r w:rsidR="003E00ED" w:rsidRPr="006C4ECB">
        <w:rPr>
          <w:rFonts w:ascii="Arial" w:hAnsi="Arial" w:cs="Arial"/>
          <w:sz w:val="22"/>
          <w:szCs w:val="22"/>
        </w:rPr>
        <w:t xml:space="preserve"> superiores ao valor de recuperação</w:t>
      </w:r>
      <w:r w:rsidRPr="006C4ECB">
        <w:rPr>
          <w:rFonts w:ascii="Arial" w:hAnsi="Arial" w:cs="Arial"/>
          <w:sz w:val="22"/>
          <w:szCs w:val="22"/>
        </w:rPr>
        <w:t xml:space="preserve">. O </w:t>
      </w:r>
      <w:r w:rsidR="003E00ED" w:rsidRPr="006C4ECB">
        <w:rPr>
          <w:rFonts w:ascii="Arial" w:hAnsi="Arial" w:cs="Arial"/>
          <w:sz w:val="22"/>
          <w:szCs w:val="22"/>
        </w:rPr>
        <w:t xml:space="preserve">valor contábil do intangível em </w:t>
      </w:r>
      <w:r w:rsidR="00A723F7">
        <w:rPr>
          <w:rFonts w:ascii="Arial" w:hAnsi="Arial" w:cs="Arial"/>
          <w:sz w:val="22"/>
          <w:szCs w:val="22"/>
        </w:rPr>
        <w:t>3</w:t>
      </w:r>
      <w:r w:rsidR="002723EB">
        <w:rPr>
          <w:rFonts w:ascii="Arial" w:hAnsi="Arial" w:cs="Arial"/>
          <w:sz w:val="22"/>
          <w:szCs w:val="22"/>
        </w:rPr>
        <w:t>1</w:t>
      </w:r>
      <w:r w:rsidR="00A723F7">
        <w:rPr>
          <w:rFonts w:ascii="Arial" w:hAnsi="Arial" w:cs="Arial"/>
          <w:sz w:val="22"/>
          <w:szCs w:val="22"/>
        </w:rPr>
        <w:t xml:space="preserve"> de </w:t>
      </w:r>
      <w:r w:rsidR="00337A4F">
        <w:rPr>
          <w:rFonts w:ascii="Arial" w:hAnsi="Arial" w:cs="Arial"/>
          <w:sz w:val="22"/>
          <w:szCs w:val="22"/>
        </w:rPr>
        <w:t>março</w:t>
      </w:r>
      <w:r w:rsidR="00143950" w:rsidRPr="006C4ECB">
        <w:rPr>
          <w:rFonts w:ascii="Arial" w:hAnsi="Arial" w:cs="Arial"/>
          <w:sz w:val="22"/>
          <w:szCs w:val="22"/>
        </w:rPr>
        <w:t xml:space="preserve"> </w:t>
      </w:r>
      <w:r w:rsidR="003E00ED" w:rsidRPr="006C4ECB">
        <w:rPr>
          <w:rFonts w:ascii="Arial" w:hAnsi="Arial" w:cs="Arial"/>
          <w:sz w:val="22"/>
          <w:szCs w:val="22"/>
        </w:rPr>
        <w:t>de 20</w:t>
      </w:r>
      <w:r w:rsidR="00BF7FC2" w:rsidRPr="006C4ECB">
        <w:rPr>
          <w:rFonts w:ascii="Arial" w:hAnsi="Arial" w:cs="Arial"/>
          <w:sz w:val="22"/>
          <w:szCs w:val="22"/>
        </w:rPr>
        <w:t>2</w:t>
      </w:r>
      <w:r w:rsidR="00337A4F">
        <w:rPr>
          <w:rFonts w:ascii="Arial" w:hAnsi="Arial" w:cs="Arial"/>
          <w:sz w:val="22"/>
          <w:szCs w:val="22"/>
        </w:rPr>
        <w:t>6</w:t>
      </w:r>
      <w:r w:rsidR="003E00ED" w:rsidRPr="006C4ECB">
        <w:rPr>
          <w:rFonts w:ascii="Arial" w:hAnsi="Arial" w:cs="Arial"/>
          <w:sz w:val="22"/>
          <w:szCs w:val="22"/>
        </w:rPr>
        <w:t xml:space="preserve"> era de R</w:t>
      </w:r>
      <w:r w:rsidR="003E00ED" w:rsidRPr="00277E3F">
        <w:rPr>
          <w:rFonts w:ascii="Arial" w:hAnsi="Arial" w:cs="Arial"/>
          <w:sz w:val="22"/>
          <w:szCs w:val="22"/>
        </w:rPr>
        <w:t xml:space="preserve">$ </w:t>
      </w:r>
      <w:r w:rsidR="002723EB">
        <w:rPr>
          <w:rFonts w:ascii="Arial" w:hAnsi="Arial" w:cs="Arial"/>
          <w:sz w:val="22"/>
          <w:szCs w:val="22"/>
        </w:rPr>
        <w:t>26</w:t>
      </w:r>
      <w:r w:rsidR="00E6060A">
        <w:rPr>
          <w:rFonts w:ascii="Arial" w:hAnsi="Arial" w:cs="Arial"/>
          <w:sz w:val="22"/>
          <w:szCs w:val="22"/>
        </w:rPr>
        <w:t>.</w:t>
      </w:r>
      <w:r w:rsidR="002723EB">
        <w:rPr>
          <w:rFonts w:ascii="Arial" w:hAnsi="Arial" w:cs="Arial"/>
          <w:sz w:val="22"/>
          <w:szCs w:val="22"/>
        </w:rPr>
        <w:t>5</w:t>
      </w:r>
      <w:r w:rsidR="00337A4F">
        <w:rPr>
          <w:rFonts w:ascii="Arial" w:hAnsi="Arial" w:cs="Arial"/>
          <w:sz w:val="22"/>
          <w:szCs w:val="22"/>
        </w:rPr>
        <w:t>15</w:t>
      </w:r>
      <w:r w:rsidR="00006396">
        <w:rPr>
          <w:rFonts w:ascii="Arial" w:hAnsi="Arial" w:cs="Arial"/>
          <w:sz w:val="22"/>
          <w:szCs w:val="22"/>
        </w:rPr>
        <w:t xml:space="preserve"> </w:t>
      </w:r>
      <w:r w:rsidR="00B85B3E" w:rsidRPr="006C4ECB">
        <w:rPr>
          <w:rFonts w:ascii="Arial" w:hAnsi="Arial" w:cs="Arial"/>
          <w:sz w:val="22"/>
          <w:szCs w:val="22"/>
        </w:rPr>
        <w:t>(</w:t>
      </w:r>
      <w:r w:rsidR="003E00ED" w:rsidRPr="006C4ECB">
        <w:rPr>
          <w:rFonts w:ascii="Arial" w:hAnsi="Arial" w:cs="Arial"/>
          <w:sz w:val="22"/>
          <w:szCs w:val="22"/>
        </w:rPr>
        <w:t xml:space="preserve">R$ </w:t>
      </w:r>
      <w:r w:rsidR="00337A4F">
        <w:rPr>
          <w:rFonts w:ascii="Arial" w:hAnsi="Arial" w:cs="Arial"/>
          <w:sz w:val="22"/>
          <w:szCs w:val="22"/>
        </w:rPr>
        <w:t>26.581</w:t>
      </w:r>
      <w:r w:rsidR="003E00ED" w:rsidRPr="006C4ECB">
        <w:rPr>
          <w:rFonts w:ascii="Arial" w:hAnsi="Arial" w:cs="Arial"/>
          <w:sz w:val="22"/>
          <w:szCs w:val="22"/>
        </w:rPr>
        <w:t xml:space="preserve"> em 31 de dezembro de 20</w:t>
      </w:r>
      <w:r w:rsidR="00006396">
        <w:rPr>
          <w:rFonts w:ascii="Arial" w:hAnsi="Arial" w:cs="Arial"/>
          <w:sz w:val="22"/>
          <w:szCs w:val="22"/>
        </w:rPr>
        <w:t>2</w:t>
      </w:r>
      <w:r w:rsidR="00337A4F">
        <w:rPr>
          <w:rFonts w:ascii="Arial" w:hAnsi="Arial" w:cs="Arial"/>
          <w:sz w:val="22"/>
          <w:szCs w:val="22"/>
        </w:rPr>
        <w:t>5</w:t>
      </w:r>
      <w:r w:rsidR="003E00ED" w:rsidRPr="006C4ECB">
        <w:rPr>
          <w:rFonts w:ascii="Arial" w:hAnsi="Arial" w:cs="Arial"/>
          <w:sz w:val="22"/>
          <w:szCs w:val="22"/>
        </w:rPr>
        <w:t>)</w:t>
      </w:r>
      <w:r w:rsidR="00294624" w:rsidRPr="006C4ECB">
        <w:rPr>
          <w:rFonts w:ascii="Arial" w:hAnsi="Arial" w:cs="Arial"/>
          <w:sz w:val="22"/>
          <w:szCs w:val="22"/>
        </w:rPr>
        <w:t>, conforme quadro abaixo</w:t>
      </w:r>
      <w:r w:rsidR="003E00ED" w:rsidRPr="006C4ECB">
        <w:rPr>
          <w:rFonts w:ascii="Arial" w:hAnsi="Arial" w:cs="Arial"/>
          <w:sz w:val="22"/>
          <w:szCs w:val="22"/>
        </w:rPr>
        <w:t>.</w:t>
      </w:r>
    </w:p>
    <w:p w14:paraId="260352B8" w14:textId="77777777" w:rsidR="0085090A" w:rsidRDefault="0085090A"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430"/>
        <w:gridCol w:w="1651"/>
        <w:gridCol w:w="1247"/>
        <w:gridCol w:w="1053"/>
      </w:tblGrid>
      <w:tr w:rsidR="0085090A" w:rsidRPr="00337A4F" w14:paraId="7CEA681D" w14:textId="77777777" w:rsidTr="0089584E">
        <w:trPr>
          <w:trHeight w:val="232"/>
          <w:tblHeader/>
        </w:trPr>
        <w:tc>
          <w:tcPr>
            <w:tcW w:w="2246" w:type="pct"/>
            <w:vMerge w:val="restart"/>
            <w:shd w:val="clear" w:color="000000" w:fill="D9D9D9"/>
            <w:noWrap/>
            <w:vAlign w:val="center"/>
            <w:hideMark/>
          </w:tcPr>
          <w:p w14:paraId="3BE7DA23" w14:textId="77777777" w:rsidR="0085090A" w:rsidRPr="00337A4F" w:rsidRDefault="0085090A">
            <w:pPr>
              <w:rPr>
                <w:rFonts w:ascii="Arial" w:hAnsi="Arial" w:cs="Arial"/>
                <w:b/>
                <w:bCs/>
                <w:color w:val="000000"/>
                <w:sz w:val="18"/>
                <w:szCs w:val="18"/>
              </w:rPr>
            </w:pPr>
            <w:r w:rsidRPr="00337A4F">
              <w:rPr>
                <w:rFonts w:ascii="Arial" w:hAnsi="Arial" w:cs="Arial"/>
                <w:b/>
                <w:bCs/>
                <w:color w:val="000000"/>
                <w:sz w:val="18"/>
                <w:szCs w:val="18"/>
              </w:rPr>
              <w:t>Composição: </w:t>
            </w:r>
          </w:p>
        </w:tc>
        <w:tc>
          <w:tcPr>
            <w:tcW w:w="2754" w:type="pct"/>
            <w:gridSpan w:val="4"/>
            <w:noWrap/>
            <w:vAlign w:val="center"/>
            <w:hideMark/>
          </w:tcPr>
          <w:p w14:paraId="48A855A5" w14:textId="77777777" w:rsidR="0085090A" w:rsidRPr="00337A4F" w:rsidRDefault="0085090A">
            <w:pPr>
              <w:jc w:val="center"/>
              <w:rPr>
                <w:rFonts w:ascii="Arial" w:hAnsi="Arial" w:cs="Arial"/>
                <w:b/>
                <w:bCs/>
                <w:color w:val="000000"/>
                <w:sz w:val="18"/>
                <w:szCs w:val="18"/>
              </w:rPr>
            </w:pPr>
            <w:r w:rsidRPr="00337A4F">
              <w:rPr>
                <w:rFonts w:ascii="Arial" w:hAnsi="Arial" w:cs="Arial"/>
                <w:b/>
                <w:bCs/>
                <w:color w:val="000000"/>
                <w:sz w:val="18"/>
                <w:szCs w:val="18"/>
              </w:rPr>
              <w:t>Intangível</w:t>
            </w:r>
          </w:p>
        </w:tc>
      </w:tr>
      <w:tr w:rsidR="0085090A" w:rsidRPr="00337A4F" w14:paraId="2F70ED0B" w14:textId="77777777" w:rsidTr="0089584E">
        <w:trPr>
          <w:trHeight w:val="232"/>
          <w:tblHeader/>
        </w:trPr>
        <w:tc>
          <w:tcPr>
            <w:tcW w:w="2246" w:type="pct"/>
            <w:vMerge/>
            <w:vAlign w:val="center"/>
            <w:hideMark/>
          </w:tcPr>
          <w:p w14:paraId="47A9242F" w14:textId="77777777" w:rsidR="0085090A" w:rsidRPr="00337A4F" w:rsidRDefault="0085090A">
            <w:pPr>
              <w:rPr>
                <w:rFonts w:ascii="Arial" w:hAnsi="Arial" w:cs="Arial"/>
                <w:b/>
                <w:bCs/>
                <w:color w:val="000000"/>
                <w:sz w:val="18"/>
                <w:szCs w:val="18"/>
              </w:rPr>
            </w:pPr>
          </w:p>
        </w:tc>
        <w:tc>
          <w:tcPr>
            <w:tcW w:w="732" w:type="pct"/>
            <w:vAlign w:val="center"/>
            <w:hideMark/>
          </w:tcPr>
          <w:p w14:paraId="3EDDFE75" w14:textId="77777777" w:rsidR="0085090A" w:rsidRPr="00337A4F" w:rsidRDefault="0085090A">
            <w:pPr>
              <w:jc w:val="center"/>
              <w:rPr>
                <w:rFonts w:ascii="Arial" w:hAnsi="Arial" w:cs="Arial"/>
                <w:b/>
                <w:bCs/>
                <w:color w:val="000000"/>
                <w:sz w:val="18"/>
                <w:szCs w:val="18"/>
              </w:rPr>
            </w:pPr>
            <w:r w:rsidRPr="00337A4F">
              <w:rPr>
                <w:rFonts w:ascii="Arial" w:hAnsi="Arial" w:cs="Arial"/>
                <w:b/>
                <w:bCs/>
                <w:color w:val="000000"/>
                <w:sz w:val="18"/>
                <w:szCs w:val="18"/>
              </w:rPr>
              <w:t>Sistemas Aplicativos</w:t>
            </w:r>
          </w:p>
        </w:tc>
        <w:tc>
          <w:tcPr>
            <w:tcW w:w="845" w:type="pct"/>
            <w:vAlign w:val="center"/>
            <w:hideMark/>
          </w:tcPr>
          <w:p w14:paraId="6577B11C" w14:textId="77777777" w:rsidR="0085090A" w:rsidRPr="00337A4F" w:rsidRDefault="0085090A">
            <w:pPr>
              <w:jc w:val="center"/>
              <w:rPr>
                <w:rFonts w:ascii="Arial" w:hAnsi="Arial" w:cs="Arial"/>
                <w:b/>
                <w:bCs/>
                <w:color w:val="000000"/>
                <w:sz w:val="18"/>
                <w:szCs w:val="18"/>
              </w:rPr>
            </w:pPr>
            <w:r w:rsidRPr="00337A4F">
              <w:rPr>
                <w:rFonts w:ascii="Arial" w:hAnsi="Arial" w:cs="Arial"/>
                <w:b/>
                <w:bCs/>
                <w:color w:val="000000"/>
                <w:sz w:val="18"/>
                <w:szCs w:val="18"/>
              </w:rPr>
              <w:t>Direitos sobre Autorizações</w:t>
            </w:r>
          </w:p>
        </w:tc>
        <w:tc>
          <w:tcPr>
            <w:tcW w:w="638" w:type="pct"/>
            <w:vAlign w:val="center"/>
            <w:hideMark/>
          </w:tcPr>
          <w:p w14:paraId="3BD25A83" w14:textId="77777777" w:rsidR="0085090A" w:rsidRPr="00337A4F" w:rsidRDefault="0085090A">
            <w:pPr>
              <w:jc w:val="center"/>
              <w:rPr>
                <w:rFonts w:ascii="Arial" w:hAnsi="Arial" w:cs="Arial"/>
                <w:b/>
                <w:bCs/>
                <w:color w:val="000000"/>
                <w:sz w:val="18"/>
                <w:szCs w:val="18"/>
              </w:rPr>
            </w:pPr>
            <w:r w:rsidRPr="00337A4F">
              <w:rPr>
                <w:rFonts w:ascii="Arial" w:hAnsi="Arial" w:cs="Arial"/>
                <w:b/>
                <w:bCs/>
                <w:color w:val="000000"/>
                <w:sz w:val="18"/>
                <w:szCs w:val="18"/>
              </w:rPr>
              <w:t>Direitos de Uso</w:t>
            </w:r>
          </w:p>
        </w:tc>
        <w:tc>
          <w:tcPr>
            <w:tcW w:w="539" w:type="pct"/>
            <w:vAlign w:val="center"/>
            <w:hideMark/>
          </w:tcPr>
          <w:p w14:paraId="0FE7172E" w14:textId="77777777" w:rsidR="0085090A" w:rsidRPr="00337A4F" w:rsidRDefault="0085090A">
            <w:pPr>
              <w:jc w:val="center"/>
              <w:rPr>
                <w:rFonts w:ascii="Arial" w:hAnsi="Arial" w:cs="Arial"/>
                <w:b/>
                <w:bCs/>
                <w:color w:val="000000"/>
                <w:sz w:val="18"/>
                <w:szCs w:val="18"/>
              </w:rPr>
            </w:pPr>
            <w:r w:rsidRPr="00337A4F">
              <w:rPr>
                <w:rFonts w:ascii="Arial" w:hAnsi="Arial" w:cs="Arial"/>
                <w:b/>
                <w:bCs/>
                <w:color w:val="000000"/>
                <w:sz w:val="18"/>
                <w:szCs w:val="18"/>
              </w:rPr>
              <w:t>Total</w:t>
            </w:r>
          </w:p>
        </w:tc>
      </w:tr>
      <w:tr w:rsidR="0038148C" w:rsidRPr="00337A4F" w14:paraId="3EBC3B45" w14:textId="77777777" w:rsidTr="0085090A">
        <w:trPr>
          <w:trHeight w:val="232"/>
        </w:trPr>
        <w:tc>
          <w:tcPr>
            <w:tcW w:w="2246" w:type="pct"/>
            <w:noWrap/>
            <w:vAlign w:val="center"/>
            <w:hideMark/>
          </w:tcPr>
          <w:p w14:paraId="1A4294B7" w14:textId="62F3CE74" w:rsidR="0038148C" w:rsidRPr="00337A4F" w:rsidRDefault="0038148C" w:rsidP="0038148C">
            <w:pPr>
              <w:rPr>
                <w:rFonts w:ascii="Arial" w:hAnsi="Arial" w:cs="Arial"/>
                <w:b/>
                <w:bCs/>
                <w:color w:val="000000"/>
                <w:sz w:val="18"/>
                <w:szCs w:val="18"/>
              </w:rPr>
            </w:pPr>
            <w:r w:rsidRPr="00337A4F">
              <w:rPr>
                <w:rFonts w:ascii="Arial" w:hAnsi="Arial" w:cs="Arial"/>
                <w:b/>
                <w:bCs/>
                <w:color w:val="000000"/>
                <w:sz w:val="18"/>
                <w:szCs w:val="18"/>
              </w:rPr>
              <w:t>Custo de Aquisição</w:t>
            </w:r>
          </w:p>
        </w:tc>
        <w:tc>
          <w:tcPr>
            <w:tcW w:w="732" w:type="pct"/>
            <w:vAlign w:val="center"/>
            <w:hideMark/>
          </w:tcPr>
          <w:p w14:paraId="07500288" w14:textId="57C85572" w:rsidR="0038148C" w:rsidRPr="00337A4F" w:rsidRDefault="0038148C" w:rsidP="0038148C">
            <w:pPr>
              <w:rPr>
                <w:rFonts w:ascii="Arial" w:hAnsi="Arial" w:cs="Arial"/>
                <w:b/>
                <w:bCs/>
                <w:color w:val="000000"/>
                <w:sz w:val="18"/>
                <w:szCs w:val="18"/>
              </w:rPr>
            </w:pPr>
            <w:r w:rsidRPr="00337A4F">
              <w:rPr>
                <w:rFonts w:ascii="Arial" w:hAnsi="Arial" w:cs="Arial"/>
                <w:b/>
                <w:bCs/>
                <w:color w:val="000000"/>
                <w:sz w:val="18"/>
                <w:szCs w:val="18"/>
              </w:rPr>
              <w:t> </w:t>
            </w:r>
          </w:p>
        </w:tc>
        <w:tc>
          <w:tcPr>
            <w:tcW w:w="845" w:type="pct"/>
            <w:vAlign w:val="center"/>
            <w:hideMark/>
          </w:tcPr>
          <w:p w14:paraId="237DCAEA" w14:textId="24F7B9BA" w:rsidR="0038148C" w:rsidRPr="00337A4F" w:rsidRDefault="0038148C" w:rsidP="0038148C">
            <w:pPr>
              <w:rPr>
                <w:rFonts w:ascii="Arial" w:hAnsi="Arial" w:cs="Arial"/>
                <w:b/>
                <w:bCs/>
                <w:color w:val="000000"/>
                <w:sz w:val="18"/>
                <w:szCs w:val="18"/>
              </w:rPr>
            </w:pPr>
            <w:r w:rsidRPr="00337A4F">
              <w:rPr>
                <w:rFonts w:ascii="Arial" w:hAnsi="Arial" w:cs="Arial"/>
                <w:b/>
                <w:bCs/>
                <w:color w:val="000000"/>
                <w:sz w:val="18"/>
                <w:szCs w:val="18"/>
              </w:rPr>
              <w:t> </w:t>
            </w:r>
          </w:p>
        </w:tc>
        <w:tc>
          <w:tcPr>
            <w:tcW w:w="638" w:type="pct"/>
            <w:vAlign w:val="center"/>
            <w:hideMark/>
          </w:tcPr>
          <w:p w14:paraId="2BDE2CA1" w14:textId="71D28D96" w:rsidR="0038148C" w:rsidRPr="00337A4F" w:rsidRDefault="0038148C" w:rsidP="0038148C">
            <w:pPr>
              <w:rPr>
                <w:rFonts w:ascii="Arial" w:hAnsi="Arial" w:cs="Arial"/>
                <w:b/>
                <w:bCs/>
                <w:color w:val="000000"/>
                <w:sz w:val="18"/>
                <w:szCs w:val="18"/>
              </w:rPr>
            </w:pPr>
            <w:r w:rsidRPr="00337A4F">
              <w:rPr>
                <w:rFonts w:ascii="Arial" w:hAnsi="Arial" w:cs="Arial"/>
                <w:b/>
                <w:bCs/>
                <w:color w:val="000000"/>
                <w:sz w:val="18"/>
                <w:szCs w:val="18"/>
              </w:rPr>
              <w:t> </w:t>
            </w:r>
          </w:p>
        </w:tc>
        <w:tc>
          <w:tcPr>
            <w:tcW w:w="539" w:type="pct"/>
            <w:vAlign w:val="center"/>
            <w:hideMark/>
          </w:tcPr>
          <w:p w14:paraId="0562EA1E" w14:textId="3CC1BA4F" w:rsidR="0038148C" w:rsidRPr="00337A4F" w:rsidRDefault="0038148C" w:rsidP="0038148C">
            <w:pPr>
              <w:rPr>
                <w:rFonts w:ascii="Arial" w:hAnsi="Arial" w:cs="Arial"/>
                <w:b/>
                <w:bCs/>
                <w:color w:val="000000"/>
                <w:sz w:val="18"/>
                <w:szCs w:val="18"/>
              </w:rPr>
            </w:pPr>
            <w:r w:rsidRPr="00337A4F">
              <w:rPr>
                <w:rFonts w:ascii="Arial" w:hAnsi="Arial" w:cs="Arial"/>
                <w:b/>
                <w:bCs/>
                <w:color w:val="000000"/>
                <w:sz w:val="18"/>
                <w:szCs w:val="18"/>
              </w:rPr>
              <w:t> </w:t>
            </w:r>
          </w:p>
        </w:tc>
      </w:tr>
      <w:tr w:rsidR="0038148C" w:rsidRPr="00337A4F" w14:paraId="281A13B4" w14:textId="77777777" w:rsidTr="0085090A">
        <w:trPr>
          <w:trHeight w:val="232"/>
        </w:trPr>
        <w:tc>
          <w:tcPr>
            <w:tcW w:w="2246" w:type="pct"/>
            <w:noWrap/>
            <w:vAlign w:val="center"/>
            <w:hideMark/>
          </w:tcPr>
          <w:p w14:paraId="563A8CA6" w14:textId="1B9E3137" w:rsidR="0038148C" w:rsidRPr="00337A4F" w:rsidRDefault="0038148C" w:rsidP="0038148C">
            <w:pPr>
              <w:rPr>
                <w:rFonts w:ascii="Arial" w:hAnsi="Arial" w:cs="Arial"/>
                <w:b/>
                <w:bCs/>
                <w:color w:val="000000"/>
                <w:sz w:val="16"/>
                <w:szCs w:val="16"/>
              </w:rPr>
            </w:pPr>
            <w:r w:rsidRPr="00337A4F">
              <w:rPr>
                <w:rFonts w:ascii="Arial" w:hAnsi="Arial" w:cs="Arial"/>
                <w:b/>
                <w:bCs/>
                <w:color w:val="000000"/>
                <w:sz w:val="16"/>
                <w:szCs w:val="16"/>
              </w:rPr>
              <w:t>Saldo em 31 de dezembro de 2025</w:t>
            </w:r>
          </w:p>
        </w:tc>
        <w:tc>
          <w:tcPr>
            <w:tcW w:w="732" w:type="pct"/>
            <w:noWrap/>
            <w:vAlign w:val="center"/>
            <w:hideMark/>
          </w:tcPr>
          <w:p w14:paraId="1F329A31" w14:textId="185F8378"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75.770 </w:t>
            </w:r>
          </w:p>
        </w:tc>
        <w:tc>
          <w:tcPr>
            <w:tcW w:w="845" w:type="pct"/>
            <w:noWrap/>
            <w:vAlign w:val="center"/>
            <w:hideMark/>
          </w:tcPr>
          <w:p w14:paraId="73521420" w14:textId="67B2E8E6"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3.963 </w:t>
            </w:r>
          </w:p>
        </w:tc>
        <w:tc>
          <w:tcPr>
            <w:tcW w:w="638" w:type="pct"/>
            <w:noWrap/>
            <w:vAlign w:val="center"/>
            <w:hideMark/>
          </w:tcPr>
          <w:p w14:paraId="2EDB1706" w14:textId="1B88388E"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1.449 </w:t>
            </w:r>
          </w:p>
        </w:tc>
        <w:tc>
          <w:tcPr>
            <w:tcW w:w="539" w:type="pct"/>
            <w:noWrap/>
            <w:vAlign w:val="center"/>
            <w:hideMark/>
          </w:tcPr>
          <w:p w14:paraId="260EFD59" w14:textId="7917DCEE"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81.182 </w:t>
            </w:r>
          </w:p>
        </w:tc>
      </w:tr>
      <w:tr w:rsidR="0038148C" w:rsidRPr="00337A4F" w14:paraId="55C47244" w14:textId="77777777" w:rsidTr="0085090A">
        <w:trPr>
          <w:trHeight w:val="232"/>
        </w:trPr>
        <w:tc>
          <w:tcPr>
            <w:tcW w:w="2246" w:type="pct"/>
            <w:noWrap/>
            <w:vAlign w:val="center"/>
            <w:hideMark/>
          </w:tcPr>
          <w:p w14:paraId="0B72A81A" w14:textId="087D1D6D" w:rsidR="0038148C" w:rsidRPr="00337A4F" w:rsidRDefault="0038148C" w:rsidP="0038148C">
            <w:pPr>
              <w:rPr>
                <w:rFonts w:ascii="Arial" w:hAnsi="Arial" w:cs="Arial"/>
                <w:color w:val="000000"/>
                <w:sz w:val="16"/>
                <w:szCs w:val="16"/>
              </w:rPr>
            </w:pPr>
            <w:r w:rsidRPr="00337A4F">
              <w:rPr>
                <w:rFonts w:ascii="Arial" w:hAnsi="Arial" w:cs="Arial"/>
                <w:bCs/>
                <w:color w:val="000000"/>
                <w:sz w:val="16"/>
                <w:szCs w:val="16"/>
              </w:rPr>
              <w:t xml:space="preserve"> Transferências do Imobilizado</w:t>
            </w:r>
          </w:p>
        </w:tc>
        <w:tc>
          <w:tcPr>
            <w:tcW w:w="732" w:type="pct"/>
            <w:noWrap/>
            <w:vAlign w:val="center"/>
            <w:hideMark/>
          </w:tcPr>
          <w:p w14:paraId="48A79A67" w14:textId="6DF02795" w:rsidR="0038148C" w:rsidRPr="00337A4F" w:rsidRDefault="0038148C" w:rsidP="0038148C">
            <w:pPr>
              <w:jc w:val="right"/>
              <w:rPr>
                <w:rFonts w:ascii="Arial" w:hAnsi="Arial" w:cs="Arial"/>
                <w:color w:val="000000"/>
                <w:sz w:val="18"/>
                <w:szCs w:val="18"/>
              </w:rPr>
            </w:pPr>
            <w:r w:rsidRPr="00337A4F">
              <w:rPr>
                <w:rFonts w:ascii="Arial" w:hAnsi="Arial" w:cs="Arial"/>
                <w:color w:val="000000"/>
                <w:sz w:val="18"/>
                <w:szCs w:val="18"/>
              </w:rPr>
              <w:t xml:space="preserve">        2.424 </w:t>
            </w:r>
          </w:p>
        </w:tc>
        <w:tc>
          <w:tcPr>
            <w:tcW w:w="845" w:type="pct"/>
            <w:noWrap/>
            <w:vAlign w:val="center"/>
            <w:hideMark/>
          </w:tcPr>
          <w:p w14:paraId="60DB3AA8" w14:textId="6B7BE050" w:rsidR="0038148C" w:rsidRPr="00337A4F" w:rsidRDefault="0038148C" w:rsidP="0038148C">
            <w:pPr>
              <w:jc w:val="right"/>
              <w:rPr>
                <w:rFonts w:ascii="Arial" w:hAnsi="Arial" w:cs="Arial"/>
                <w:color w:val="000000"/>
                <w:sz w:val="18"/>
                <w:szCs w:val="18"/>
              </w:rPr>
            </w:pPr>
            <w:r w:rsidRPr="00337A4F">
              <w:rPr>
                <w:rFonts w:ascii="Arial" w:hAnsi="Arial" w:cs="Arial"/>
                <w:color w:val="000000"/>
                <w:sz w:val="18"/>
                <w:szCs w:val="18"/>
              </w:rPr>
              <w:t xml:space="preserve">               - </w:t>
            </w:r>
          </w:p>
        </w:tc>
        <w:tc>
          <w:tcPr>
            <w:tcW w:w="638" w:type="pct"/>
            <w:noWrap/>
            <w:vAlign w:val="center"/>
            <w:hideMark/>
          </w:tcPr>
          <w:p w14:paraId="556625AF" w14:textId="1E6D8D48" w:rsidR="0038148C" w:rsidRPr="00337A4F" w:rsidRDefault="0038148C" w:rsidP="0038148C">
            <w:pPr>
              <w:jc w:val="right"/>
              <w:rPr>
                <w:rFonts w:ascii="Arial" w:hAnsi="Arial" w:cs="Arial"/>
                <w:color w:val="000000"/>
                <w:sz w:val="18"/>
                <w:szCs w:val="18"/>
              </w:rPr>
            </w:pPr>
            <w:r w:rsidRPr="00337A4F">
              <w:rPr>
                <w:rFonts w:ascii="Arial" w:hAnsi="Arial" w:cs="Arial"/>
                <w:color w:val="000000"/>
                <w:sz w:val="18"/>
                <w:szCs w:val="18"/>
              </w:rPr>
              <w:t> </w:t>
            </w:r>
          </w:p>
        </w:tc>
        <w:tc>
          <w:tcPr>
            <w:tcW w:w="539" w:type="pct"/>
            <w:noWrap/>
            <w:vAlign w:val="center"/>
            <w:hideMark/>
          </w:tcPr>
          <w:p w14:paraId="4AC07E92" w14:textId="69943CC9"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2.424 </w:t>
            </w:r>
          </w:p>
        </w:tc>
      </w:tr>
      <w:tr w:rsidR="0038148C" w:rsidRPr="00337A4F" w14:paraId="3B69B081" w14:textId="77777777" w:rsidTr="0085090A">
        <w:trPr>
          <w:trHeight w:val="232"/>
        </w:trPr>
        <w:tc>
          <w:tcPr>
            <w:tcW w:w="2246" w:type="pct"/>
            <w:noWrap/>
            <w:vAlign w:val="center"/>
            <w:hideMark/>
          </w:tcPr>
          <w:p w14:paraId="6C6082A0" w14:textId="77CF94FB" w:rsidR="0038148C" w:rsidRPr="00337A4F" w:rsidRDefault="0038148C" w:rsidP="0038148C">
            <w:pPr>
              <w:rPr>
                <w:rFonts w:ascii="Arial" w:hAnsi="Arial" w:cs="Arial"/>
                <w:b/>
                <w:bCs/>
                <w:color w:val="000000"/>
                <w:sz w:val="16"/>
                <w:szCs w:val="16"/>
              </w:rPr>
            </w:pPr>
            <w:r w:rsidRPr="00337A4F">
              <w:rPr>
                <w:rFonts w:ascii="Arial" w:hAnsi="Arial" w:cs="Arial"/>
                <w:b/>
                <w:bCs/>
                <w:color w:val="000000"/>
                <w:sz w:val="16"/>
                <w:szCs w:val="16"/>
              </w:rPr>
              <w:t>Saldo em 31 de março de 2026</w:t>
            </w:r>
          </w:p>
        </w:tc>
        <w:tc>
          <w:tcPr>
            <w:tcW w:w="732" w:type="pct"/>
            <w:noWrap/>
            <w:vAlign w:val="center"/>
            <w:hideMark/>
          </w:tcPr>
          <w:p w14:paraId="4D8031DB" w14:textId="3F8753A4"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78.194 </w:t>
            </w:r>
          </w:p>
        </w:tc>
        <w:tc>
          <w:tcPr>
            <w:tcW w:w="845" w:type="pct"/>
            <w:noWrap/>
            <w:vAlign w:val="center"/>
            <w:hideMark/>
          </w:tcPr>
          <w:p w14:paraId="4A05709B" w14:textId="3C5F1F10"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3.963 </w:t>
            </w:r>
          </w:p>
        </w:tc>
        <w:tc>
          <w:tcPr>
            <w:tcW w:w="638" w:type="pct"/>
            <w:noWrap/>
            <w:vAlign w:val="center"/>
            <w:hideMark/>
          </w:tcPr>
          <w:p w14:paraId="4DBDC02D" w14:textId="714378E0"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1.449 </w:t>
            </w:r>
          </w:p>
        </w:tc>
        <w:tc>
          <w:tcPr>
            <w:tcW w:w="539" w:type="pct"/>
            <w:noWrap/>
            <w:vAlign w:val="center"/>
            <w:hideMark/>
          </w:tcPr>
          <w:p w14:paraId="03825E56" w14:textId="2A24E484"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83.606 </w:t>
            </w:r>
          </w:p>
        </w:tc>
      </w:tr>
      <w:tr w:rsidR="0038148C" w:rsidRPr="00337A4F" w14:paraId="2FDD9D0A" w14:textId="77777777" w:rsidTr="0085090A">
        <w:trPr>
          <w:trHeight w:val="232"/>
        </w:trPr>
        <w:tc>
          <w:tcPr>
            <w:tcW w:w="2246" w:type="pct"/>
            <w:noWrap/>
            <w:vAlign w:val="center"/>
            <w:hideMark/>
          </w:tcPr>
          <w:p w14:paraId="60A52598" w14:textId="38711562" w:rsidR="0038148C" w:rsidRPr="00337A4F" w:rsidRDefault="0038148C" w:rsidP="0038148C">
            <w:pPr>
              <w:rPr>
                <w:rFonts w:ascii="Arial" w:hAnsi="Arial" w:cs="Arial"/>
                <w:b/>
                <w:bCs/>
                <w:color w:val="000000"/>
                <w:sz w:val="18"/>
                <w:szCs w:val="18"/>
              </w:rPr>
            </w:pPr>
            <w:r w:rsidRPr="00337A4F">
              <w:rPr>
                <w:rFonts w:ascii="Arial" w:hAnsi="Arial" w:cs="Arial"/>
                <w:b/>
                <w:bCs/>
                <w:color w:val="000000"/>
                <w:sz w:val="18"/>
                <w:szCs w:val="18"/>
              </w:rPr>
              <w:t xml:space="preserve">Amortização Acumulada </w:t>
            </w:r>
          </w:p>
        </w:tc>
        <w:tc>
          <w:tcPr>
            <w:tcW w:w="732" w:type="pct"/>
            <w:noWrap/>
            <w:vAlign w:val="center"/>
            <w:hideMark/>
          </w:tcPr>
          <w:p w14:paraId="3AA0252A" w14:textId="00B0FA65" w:rsidR="0038148C" w:rsidRPr="00337A4F" w:rsidRDefault="0038148C" w:rsidP="0038148C">
            <w:pPr>
              <w:jc w:val="right"/>
              <w:rPr>
                <w:rFonts w:ascii="Calibri" w:hAnsi="Calibri" w:cs="Calibri"/>
                <w:color w:val="000000"/>
                <w:sz w:val="18"/>
                <w:szCs w:val="18"/>
              </w:rPr>
            </w:pPr>
            <w:r w:rsidRPr="00337A4F">
              <w:rPr>
                <w:rFonts w:ascii="Calibri" w:hAnsi="Calibri" w:cs="Calibri"/>
                <w:color w:val="000000"/>
                <w:sz w:val="18"/>
                <w:szCs w:val="18"/>
              </w:rPr>
              <w:t> </w:t>
            </w:r>
          </w:p>
        </w:tc>
        <w:tc>
          <w:tcPr>
            <w:tcW w:w="845" w:type="pct"/>
            <w:noWrap/>
            <w:vAlign w:val="center"/>
            <w:hideMark/>
          </w:tcPr>
          <w:p w14:paraId="2CBE9A25" w14:textId="4D7202B4" w:rsidR="0038148C" w:rsidRPr="00337A4F" w:rsidRDefault="0038148C" w:rsidP="0038148C">
            <w:pPr>
              <w:jc w:val="right"/>
              <w:rPr>
                <w:rFonts w:ascii="Calibri" w:hAnsi="Calibri" w:cs="Calibri"/>
                <w:color w:val="000000"/>
                <w:sz w:val="18"/>
                <w:szCs w:val="18"/>
              </w:rPr>
            </w:pPr>
            <w:r w:rsidRPr="00337A4F">
              <w:rPr>
                <w:rFonts w:ascii="Calibri" w:hAnsi="Calibri" w:cs="Calibri"/>
                <w:color w:val="000000"/>
                <w:sz w:val="18"/>
                <w:szCs w:val="18"/>
              </w:rPr>
              <w:t> </w:t>
            </w:r>
          </w:p>
        </w:tc>
        <w:tc>
          <w:tcPr>
            <w:tcW w:w="638" w:type="pct"/>
            <w:noWrap/>
            <w:vAlign w:val="center"/>
            <w:hideMark/>
          </w:tcPr>
          <w:p w14:paraId="272C47C6" w14:textId="5851A3D9" w:rsidR="0038148C" w:rsidRPr="00337A4F" w:rsidRDefault="0038148C" w:rsidP="0038148C">
            <w:pPr>
              <w:jc w:val="right"/>
              <w:rPr>
                <w:rFonts w:ascii="Calibri" w:hAnsi="Calibri" w:cs="Calibri"/>
                <w:color w:val="000000"/>
                <w:sz w:val="18"/>
                <w:szCs w:val="18"/>
              </w:rPr>
            </w:pPr>
            <w:r w:rsidRPr="00337A4F">
              <w:rPr>
                <w:rFonts w:ascii="Calibri" w:hAnsi="Calibri" w:cs="Calibri"/>
                <w:color w:val="000000"/>
                <w:sz w:val="18"/>
                <w:szCs w:val="18"/>
              </w:rPr>
              <w:t> </w:t>
            </w:r>
          </w:p>
        </w:tc>
        <w:tc>
          <w:tcPr>
            <w:tcW w:w="539" w:type="pct"/>
            <w:noWrap/>
            <w:vAlign w:val="center"/>
            <w:hideMark/>
          </w:tcPr>
          <w:p w14:paraId="68CA3199" w14:textId="74DCCCED" w:rsidR="0038148C" w:rsidRPr="00337A4F" w:rsidRDefault="0038148C" w:rsidP="0038148C">
            <w:pPr>
              <w:jc w:val="right"/>
              <w:rPr>
                <w:rFonts w:ascii="Calibri" w:hAnsi="Calibri" w:cs="Calibri"/>
                <w:color w:val="000000"/>
                <w:sz w:val="18"/>
                <w:szCs w:val="18"/>
              </w:rPr>
            </w:pPr>
            <w:r w:rsidRPr="00337A4F">
              <w:rPr>
                <w:rFonts w:ascii="Calibri" w:hAnsi="Calibri" w:cs="Calibri"/>
                <w:color w:val="000000"/>
                <w:sz w:val="18"/>
                <w:szCs w:val="18"/>
              </w:rPr>
              <w:t> </w:t>
            </w:r>
          </w:p>
        </w:tc>
      </w:tr>
      <w:tr w:rsidR="0038148C" w:rsidRPr="00337A4F" w14:paraId="577C988E" w14:textId="77777777" w:rsidTr="0085090A">
        <w:trPr>
          <w:trHeight w:val="232"/>
        </w:trPr>
        <w:tc>
          <w:tcPr>
            <w:tcW w:w="2246" w:type="pct"/>
            <w:noWrap/>
            <w:vAlign w:val="center"/>
            <w:hideMark/>
          </w:tcPr>
          <w:p w14:paraId="63DE5608" w14:textId="22F8AD62" w:rsidR="0038148C" w:rsidRPr="00337A4F" w:rsidRDefault="0038148C" w:rsidP="0038148C">
            <w:pPr>
              <w:rPr>
                <w:rFonts w:ascii="Arial" w:hAnsi="Arial" w:cs="Arial"/>
                <w:b/>
                <w:bCs/>
                <w:color w:val="000000"/>
                <w:sz w:val="16"/>
                <w:szCs w:val="16"/>
              </w:rPr>
            </w:pPr>
            <w:r w:rsidRPr="00337A4F">
              <w:rPr>
                <w:rFonts w:ascii="Arial" w:hAnsi="Arial" w:cs="Arial"/>
                <w:b/>
                <w:bCs/>
                <w:color w:val="000000"/>
                <w:sz w:val="16"/>
                <w:szCs w:val="16"/>
              </w:rPr>
              <w:t>Saldo em 31 de dezembro de 2025</w:t>
            </w:r>
          </w:p>
        </w:tc>
        <w:tc>
          <w:tcPr>
            <w:tcW w:w="732" w:type="pct"/>
            <w:noWrap/>
            <w:vAlign w:val="center"/>
            <w:hideMark/>
          </w:tcPr>
          <w:p w14:paraId="63976318" w14:textId="2717A122"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(50.817)</w:t>
            </w:r>
          </w:p>
        </w:tc>
        <w:tc>
          <w:tcPr>
            <w:tcW w:w="845" w:type="pct"/>
            <w:noWrap/>
            <w:vAlign w:val="center"/>
            <w:hideMark/>
          </w:tcPr>
          <w:p w14:paraId="41C18907" w14:textId="5C516396"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(2.335)</w:t>
            </w:r>
          </w:p>
        </w:tc>
        <w:tc>
          <w:tcPr>
            <w:tcW w:w="638" w:type="pct"/>
            <w:noWrap/>
            <w:vAlign w:val="center"/>
            <w:hideMark/>
          </w:tcPr>
          <w:p w14:paraId="38B2AE4E" w14:textId="23CC7468"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(1.449)</w:t>
            </w:r>
          </w:p>
        </w:tc>
        <w:tc>
          <w:tcPr>
            <w:tcW w:w="539" w:type="pct"/>
            <w:noWrap/>
            <w:vAlign w:val="center"/>
            <w:hideMark/>
          </w:tcPr>
          <w:p w14:paraId="39D5BB3B" w14:textId="44498184"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(54.601)</w:t>
            </w:r>
          </w:p>
        </w:tc>
      </w:tr>
      <w:tr w:rsidR="0038148C" w:rsidRPr="00337A4F" w14:paraId="003C3F2D" w14:textId="77777777" w:rsidTr="0085090A">
        <w:trPr>
          <w:trHeight w:val="232"/>
        </w:trPr>
        <w:tc>
          <w:tcPr>
            <w:tcW w:w="2246" w:type="pct"/>
            <w:noWrap/>
            <w:vAlign w:val="center"/>
            <w:hideMark/>
          </w:tcPr>
          <w:p w14:paraId="61F55C6C" w14:textId="6BFF2486" w:rsidR="0038148C" w:rsidRPr="00337A4F" w:rsidRDefault="0038148C" w:rsidP="0038148C">
            <w:pPr>
              <w:rPr>
                <w:rFonts w:ascii="Arial" w:hAnsi="Arial" w:cs="Arial"/>
                <w:color w:val="000000"/>
                <w:sz w:val="18"/>
                <w:szCs w:val="18"/>
              </w:rPr>
            </w:pPr>
            <w:r w:rsidRPr="00337A4F">
              <w:rPr>
                <w:rFonts w:ascii="Arial" w:hAnsi="Arial" w:cs="Arial"/>
                <w:color w:val="000000"/>
                <w:sz w:val="18"/>
                <w:szCs w:val="18"/>
              </w:rPr>
              <w:t>Amortização do Período</w:t>
            </w:r>
          </w:p>
        </w:tc>
        <w:tc>
          <w:tcPr>
            <w:tcW w:w="732" w:type="pct"/>
            <w:noWrap/>
            <w:vAlign w:val="center"/>
            <w:hideMark/>
          </w:tcPr>
          <w:p w14:paraId="1CE77719" w14:textId="612119BB" w:rsidR="0038148C" w:rsidRPr="00337A4F" w:rsidRDefault="0038148C" w:rsidP="0038148C">
            <w:pPr>
              <w:jc w:val="right"/>
              <w:rPr>
                <w:rFonts w:ascii="Arial" w:hAnsi="Arial" w:cs="Arial"/>
                <w:color w:val="000000"/>
                <w:sz w:val="18"/>
                <w:szCs w:val="18"/>
              </w:rPr>
            </w:pPr>
            <w:r w:rsidRPr="00337A4F">
              <w:rPr>
                <w:rFonts w:ascii="Arial" w:hAnsi="Arial" w:cs="Arial"/>
                <w:color w:val="000000"/>
                <w:sz w:val="18"/>
                <w:szCs w:val="18"/>
              </w:rPr>
              <w:t xml:space="preserve">       (2.424)</w:t>
            </w:r>
          </w:p>
        </w:tc>
        <w:tc>
          <w:tcPr>
            <w:tcW w:w="845" w:type="pct"/>
            <w:noWrap/>
            <w:vAlign w:val="center"/>
            <w:hideMark/>
          </w:tcPr>
          <w:p w14:paraId="76D0C814" w14:textId="655DECC7" w:rsidR="0038148C" w:rsidRPr="00337A4F" w:rsidRDefault="0038148C" w:rsidP="0038148C">
            <w:pPr>
              <w:jc w:val="right"/>
              <w:rPr>
                <w:rFonts w:ascii="Arial" w:hAnsi="Arial" w:cs="Arial"/>
                <w:color w:val="000000"/>
                <w:sz w:val="18"/>
                <w:szCs w:val="18"/>
              </w:rPr>
            </w:pPr>
            <w:r w:rsidRPr="00337A4F">
              <w:rPr>
                <w:rFonts w:ascii="Arial" w:hAnsi="Arial" w:cs="Arial"/>
                <w:color w:val="000000"/>
                <w:sz w:val="18"/>
                <w:szCs w:val="18"/>
              </w:rPr>
              <w:t xml:space="preserve">           (66)</w:t>
            </w:r>
          </w:p>
        </w:tc>
        <w:tc>
          <w:tcPr>
            <w:tcW w:w="638" w:type="pct"/>
            <w:noWrap/>
            <w:vAlign w:val="center"/>
            <w:hideMark/>
          </w:tcPr>
          <w:p w14:paraId="4298AAD7" w14:textId="5511241D" w:rsidR="0038148C" w:rsidRPr="00337A4F" w:rsidRDefault="0038148C" w:rsidP="0038148C">
            <w:pPr>
              <w:jc w:val="right"/>
              <w:rPr>
                <w:rFonts w:ascii="Arial" w:hAnsi="Arial" w:cs="Arial"/>
                <w:color w:val="000000"/>
                <w:sz w:val="18"/>
                <w:szCs w:val="18"/>
              </w:rPr>
            </w:pPr>
            <w:r w:rsidRPr="00337A4F">
              <w:rPr>
                <w:rFonts w:ascii="Arial" w:hAnsi="Arial" w:cs="Arial"/>
                <w:color w:val="000000"/>
                <w:sz w:val="18"/>
                <w:szCs w:val="18"/>
              </w:rPr>
              <w:t xml:space="preserve">                -  </w:t>
            </w:r>
          </w:p>
        </w:tc>
        <w:tc>
          <w:tcPr>
            <w:tcW w:w="539" w:type="pct"/>
            <w:noWrap/>
            <w:vAlign w:val="center"/>
            <w:hideMark/>
          </w:tcPr>
          <w:p w14:paraId="75DED271" w14:textId="4AF80C3F" w:rsidR="0038148C" w:rsidRPr="00337A4F" w:rsidRDefault="0038148C" w:rsidP="0038148C">
            <w:pPr>
              <w:jc w:val="right"/>
              <w:rPr>
                <w:rFonts w:ascii="Arial" w:hAnsi="Arial" w:cs="Arial"/>
                <w:color w:val="000000"/>
                <w:sz w:val="18"/>
                <w:szCs w:val="18"/>
              </w:rPr>
            </w:pPr>
            <w:r w:rsidRPr="00337A4F">
              <w:rPr>
                <w:rFonts w:ascii="Arial" w:hAnsi="Arial" w:cs="Arial"/>
                <w:b/>
                <w:bCs/>
                <w:color w:val="000000"/>
                <w:sz w:val="18"/>
                <w:szCs w:val="18"/>
              </w:rPr>
              <w:t xml:space="preserve">      (2.490)</w:t>
            </w:r>
          </w:p>
        </w:tc>
      </w:tr>
      <w:tr w:rsidR="0038148C" w:rsidRPr="00337A4F" w14:paraId="1EB4E96E" w14:textId="77777777" w:rsidTr="0085090A">
        <w:trPr>
          <w:trHeight w:val="232"/>
        </w:trPr>
        <w:tc>
          <w:tcPr>
            <w:tcW w:w="2246" w:type="pct"/>
            <w:noWrap/>
            <w:vAlign w:val="center"/>
            <w:hideMark/>
          </w:tcPr>
          <w:p w14:paraId="22505A38" w14:textId="331D1C45" w:rsidR="0038148C" w:rsidRPr="00337A4F" w:rsidRDefault="0038148C" w:rsidP="0038148C">
            <w:pPr>
              <w:rPr>
                <w:rFonts w:ascii="Arial" w:hAnsi="Arial" w:cs="Arial"/>
                <w:b/>
                <w:bCs/>
                <w:color w:val="000000"/>
                <w:sz w:val="16"/>
                <w:szCs w:val="16"/>
              </w:rPr>
            </w:pPr>
            <w:r w:rsidRPr="00337A4F">
              <w:rPr>
                <w:rFonts w:ascii="Arial" w:hAnsi="Arial" w:cs="Arial"/>
                <w:b/>
                <w:bCs/>
                <w:color w:val="000000"/>
                <w:sz w:val="16"/>
                <w:szCs w:val="16"/>
              </w:rPr>
              <w:t>Saldo em 31 de março de 2026</w:t>
            </w:r>
          </w:p>
        </w:tc>
        <w:tc>
          <w:tcPr>
            <w:tcW w:w="732" w:type="pct"/>
            <w:noWrap/>
            <w:vAlign w:val="center"/>
            <w:hideMark/>
          </w:tcPr>
          <w:p w14:paraId="7FA1EB03" w14:textId="647D01E5"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(53.241)</w:t>
            </w:r>
          </w:p>
        </w:tc>
        <w:tc>
          <w:tcPr>
            <w:tcW w:w="845" w:type="pct"/>
            <w:noWrap/>
            <w:vAlign w:val="center"/>
            <w:hideMark/>
          </w:tcPr>
          <w:p w14:paraId="01C1C40F" w14:textId="6D77C9EB"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(2.401)</w:t>
            </w:r>
          </w:p>
        </w:tc>
        <w:tc>
          <w:tcPr>
            <w:tcW w:w="638" w:type="pct"/>
            <w:noWrap/>
            <w:vAlign w:val="center"/>
            <w:hideMark/>
          </w:tcPr>
          <w:p w14:paraId="018B3192" w14:textId="78A81A2B"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(1.449)</w:t>
            </w:r>
          </w:p>
        </w:tc>
        <w:tc>
          <w:tcPr>
            <w:tcW w:w="539" w:type="pct"/>
            <w:noWrap/>
            <w:vAlign w:val="center"/>
            <w:hideMark/>
          </w:tcPr>
          <w:p w14:paraId="53F95168" w14:textId="126A393B"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(57.091)</w:t>
            </w:r>
          </w:p>
        </w:tc>
      </w:tr>
      <w:tr w:rsidR="0038148C" w:rsidRPr="00337A4F" w14:paraId="3DD2A8F2" w14:textId="77777777" w:rsidTr="0085090A">
        <w:trPr>
          <w:trHeight w:val="232"/>
        </w:trPr>
        <w:tc>
          <w:tcPr>
            <w:tcW w:w="2246" w:type="pct"/>
            <w:noWrap/>
            <w:vAlign w:val="center"/>
            <w:hideMark/>
          </w:tcPr>
          <w:p w14:paraId="1D6BE1DA" w14:textId="0E95ACD3" w:rsidR="0038148C" w:rsidRPr="00337A4F" w:rsidRDefault="0038148C" w:rsidP="0038148C">
            <w:pPr>
              <w:rPr>
                <w:rFonts w:ascii="Arial" w:hAnsi="Arial" w:cs="Arial"/>
                <w:b/>
                <w:bCs/>
                <w:color w:val="000000"/>
                <w:sz w:val="16"/>
                <w:szCs w:val="16"/>
              </w:rPr>
            </w:pPr>
            <w:r w:rsidRPr="00337A4F">
              <w:rPr>
                <w:rFonts w:ascii="Arial" w:hAnsi="Arial" w:cs="Arial"/>
                <w:b/>
                <w:bCs/>
                <w:color w:val="000000"/>
                <w:sz w:val="16"/>
                <w:szCs w:val="16"/>
              </w:rPr>
              <w:t>Valor Contábil em 31 de março de 2026</w:t>
            </w:r>
          </w:p>
        </w:tc>
        <w:tc>
          <w:tcPr>
            <w:tcW w:w="732" w:type="pct"/>
            <w:noWrap/>
            <w:vAlign w:val="center"/>
            <w:hideMark/>
          </w:tcPr>
          <w:p w14:paraId="4EC42736" w14:textId="59725025"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24.953 </w:t>
            </w:r>
          </w:p>
        </w:tc>
        <w:tc>
          <w:tcPr>
            <w:tcW w:w="845" w:type="pct"/>
            <w:noWrap/>
            <w:vAlign w:val="center"/>
            <w:hideMark/>
          </w:tcPr>
          <w:p w14:paraId="5621133D" w14:textId="7E7D9B54"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1.562 </w:t>
            </w:r>
          </w:p>
        </w:tc>
        <w:tc>
          <w:tcPr>
            <w:tcW w:w="638" w:type="pct"/>
            <w:noWrap/>
            <w:vAlign w:val="center"/>
            <w:hideMark/>
          </w:tcPr>
          <w:p w14:paraId="4DEBF615" w14:textId="71B9EA85"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 </w:t>
            </w:r>
          </w:p>
        </w:tc>
        <w:tc>
          <w:tcPr>
            <w:tcW w:w="539" w:type="pct"/>
            <w:noWrap/>
            <w:vAlign w:val="center"/>
            <w:hideMark/>
          </w:tcPr>
          <w:p w14:paraId="704C652F" w14:textId="7B541993"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26.515 </w:t>
            </w:r>
          </w:p>
        </w:tc>
      </w:tr>
      <w:tr w:rsidR="0038148C" w14:paraId="10C0B63D" w14:textId="77777777" w:rsidTr="0085090A">
        <w:trPr>
          <w:trHeight w:val="232"/>
        </w:trPr>
        <w:tc>
          <w:tcPr>
            <w:tcW w:w="2246" w:type="pct"/>
            <w:noWrap/>
            <w:vAlign w:val="center"/>
            <w:hideMark/>
          </w:tcPr>
          <w:p w14:paraId="55A822E8" w14:textId="3D80CB54" w:rsidR="0038148C" w:rsidRPr="00337A4F" w:rsidRDefault="0038148C" w:rsidP="0038148C">
            <w:pPr>
              <w:rPr>
                <w:rFonts w:ascii="Arial" w:hAnsi="Arial" w:cs="Arial"/>
                <w:b/>
                <w:bCs/>
                <w:color w:val="000000"/>
                <w:sz w:val="16"/>
                <w:szCs w:val="16"/>
              </w:rPr>
            </w:pPr>
            <w:r w:rsidRPr="00337A4F">
              <w:rPr>
                <w:rFonts w:ascii="Arial" w:hAnsi="Arial" w:cs="Arial"/>
                <w:b/>
                <w:bCs/>
                <w:color w:val="000000"/>
                <w:sz w:val="16"/>
                <w:szCs w:val="16"/>
              </w:rPr>
              <w:t>Valor Contábil em 31 de dezembro de 2025</w:t>
            </w:r>
          </w:p>
        </w:tc>
        <w:tc>
          <w:tcPr>
            <w:tcW w:w="732" w:type="pct"/>
            <w:noWrap/>
            <w:vAlign w:val="center"/>
            <w:hideMark/>
          </w:tcPr>
          <w:p w14:paraId="2E4FF3B3" w14:textId="0D55BA7C"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24.953 </w:t>
            </w:r>
          </w:p>
        </w:tc>
        <w:tc>
          <w:tcPr>
            <w:tcW w:w="845" w:type="pct"/>
            <w:noWrap/>
            <w:vAlign w:val="center"/>
            <w:hideMark/>
          </w:tcPr>
          <w:p w14:paraId="4C44F690" w14:textId="260DD2FA"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1.628 </w:t>
            </w:r>
          </w:p>
        </w:tc>
        <w:tc>
          <w:tcPr>
            <w:tcW w:w="638" w:type="pct"/>
            <w:noWrap/>
            <w:vAlign w:val="center"/>
            <w:hideMark/>
          </w:tcPr>
          <w:p w14:paraId="0CB3D8AB" w14:textId="36DDBAD1" w:rsidR="0038148C" w:rsidRPr="00337A4F"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 </w:t>
            </w:r>
          </w:p>
        </w:tc>
        <w:tc>
          <w:tcPr>
            <w:tcW w:w="539" w:type="pct"/>
            <w:noWrap/>
            <w:vAlign w:val="center"/>
            <w:hideMark/>
          </w:tcPr>
          <w:p w14:paraId="6A8BD03D" w14:textId="159C12E5" w:rsidR="0038148C" w:rsidRDefault="0038148C" w:rsidP="0038148C">
            <w:pPr>
              <w:jc w:val="right"/>
              <w:rPr>
                <w:rFonts w:ascii="Arial" w:hAnsi="Arial" w:cs="Arial"/>
                <w:b/>
                <w:bCs/>
                <w:color w:val="000000"/>
                <w:sz w:val="18"/>
                <w:szCs w:val="18"/>
              </w:rPr>
            </w:pPr>
            <w:r w:rsidRPr="00337A4F">
              <w:rPr>
                <w:rFonts w:ascii="Arial" w:hAnsi="Arial" w:cs="Arial"/>
                <w:b/>
                <w:bCs/>
                <w:color w:val="000000"/>
                <w:sz w:val="18"/>
                <w:szCs w:val="18"/>
              </w:rPr>
              <w:t xml:space="preserve">      26.581</w:t>
            </w:r>
            <w:r>
              <w:rPr>
                <w:rFonts w:ascii="Arial" w:hAnsi="Arial" w:cs="Arial"/>
                <w:b/>
                <w:bCs/>
                <w:color w:val="000000"/>
                <w:sz w:val="18"/>
                <w:szCs w:val="18"/>
              </w:rPr>
              <w:t xml:space="preserve"> </w:t>
            </w:r>
          </w:p>
        </w:tc>
      </w:tr>
    </w:tbl>
    <w:p w14:paraId="4A206E10" w14:textId="5FCDF9E2" w:rsidR="00A263A3" w:rsidRDefault="00A263A3" w:rsidP="00597FE5">
      <w:pPr>
        <w:spacing w:line="276" w:lineRule="auto"/>
        <w:jc w:val="both"/>
        <w:rPr>
          <w:rFonts w:ascii="Arial" w:hAnsi="Arial" w:cs="Arial"/>
          <w:sz w:val="12"/>
          <w:szCs w:val="12"/>
        </w:rPr>
      </w:pPr>
    </w:p>
    <w:p w14:paraId="7E9BD5B9" w14:textId="7C1A387B" w:rsidR="002723EB" w:rsidRPr="005D7883" w:rsidRDefault="002723EB" w:rsidP="002723EB">
      <w:pPr>
        <w:spacing w:line="276" w:lineRule="auto"/>
        <w:jc w:val="both"/>
        <w:rPr>
          <w:rFonts w:ascii="Arial" w:hAnsi="Arial" w:cs="Arial"/>
          <w:sz w:val="22"/>
          <w:szCs w:val="22"/>
        </w:rPr>
      </w:pPr>
      <w:r w:rsidRPr="005D7883">
        <w:rPr>
          <w:rFonts w:ascii="Arial" w:hAnsi="Arial" w:cs="Arial"/>
          <w:sz w:val="22"/>
          <w:szCs w:val="22"/>
        </w:rPr>
        <w:lastRenderedPageBreak/>
        <w:t xml:space="preserve">Em 31 de </w:t>
      </w:r>
      <w:r w:rsidR="00032158">
        <w:rPr>
          <w:rFonts w:ascii="Arial" w:hAnsi="Arial" w:cs="Arial"/>
          <w:sz w:val="22"/>
          <w:szCs w:val="22"/>
        </w:rPr>
        <w:t>março</w:t>
      </w:r>
      <w:r w:rsidRPr="005D7883">
        <w:rPr>
          <w:rFonts w:ascii="Arial" w:hAnsi="Arial" w:cs="Arial"/>
          <w:sz w:val="22"/>
          <w:szCs w:val="22"/>
        </w:rPr>
        <w:t xml:space="preserve"> de 202</w:t>
      </w:r>
      <w:r w:rsidR="00032158">
        <w:rPr>
          <w:rFonts w:ascii="Arial" w:hAnsi="Arial" w:cs="Arial"/>
          <w:sz w:val="22"/>
          <w:szCs w:val="22"/>
        </w:rPr>
        <w:t>6</w:t>
      </w:r>
      <w:r w:rsidRPr="005D7883">
        <w:rPr>
          <w:rFonts w:ascii="Arial" w:hAnsi="Arial" w:cs="Arial"/>
          <w:sz w:val="22"/>
          <w:szCs w:val="22"/>
        </w:rPr>
        <w:t>, os ativos da Companhia não apresentavam indícios de perda ao valor recuperável (</w:t>
      </w:r>
      <w:r w:rsidRPr="005D7883">
        <w:rPr>
          <w:rFonts w:ascii="Arial" w:hAnsi="Arial" w:cs="Arial"/>
          <w:i/>
          <w:iCs/>
          <w:sz w:val="22"/>
          <w:szCs w:val="22"/>
        </w:rPr>
        <w:t>impairment</w:t>
      </w:r>
      <w:r w:rsidRPr="005D7883">
        <w:rPr>
          <w:rFonts w:ascii="Arial" w:hAnsi="Arial" w:cs="Arial"/>
          <w:sz w:val="22"/>
          <w:szCs w:val="22"/>
        </w:rPr>
        <w:t>), conforme indicado no laudo de avaliação elaborado com base nas informações disponíveis até 30 de novembro de 2025.</w:t>
      </w:r>
    </w:p>
    <w:p w14:paraId="75DC41C6" w14:textId="77777777" w:rsidR="00DC10A9" w:rsidRDefault="00DC10A9" w:rsidP="00597FE5">
      <w:pPr>
        <w:spacing w:line="276" w:lineRule="auto"/>
        <w:jc w:val="both"/>
        <w:rPr>
          <w:rFonts w:ascii="Arial" w:hAnsi="Arial" w:cs="Arial"/>
          <w:sz w:val="22"/>
          <w:szCs w:val="22"/>
        </w:rPr>
      </w:pPr>
    </w:p>
    <w:p w14:paraId="5C8B0401" w14:textId="77777777" w:rsidR="00DC10A9" w:rsidRPr="002A36CE" w:rsidRDefault="00DC10A9" w:rsidP="00597FE5">
      <w:pPr>
        <w:spacing w:line="276" w:lineRule="auto"/>
        <w:jc w:val="both"/>
        <w:rPr>
          <w:rFonts w:ascii="Arial" w:hAnsi="Arial" w:cs="Arial"/>
          <w:sz w:val="22"/>
          <w:szCs w:val="22"/>
        </w:rPr>
        <w:sectPr w:rsidR="00DC10A9" w:rsidRPr="002A36CE" w:rsidSect="006056D5">
          <w:footerReference w:type="default" r:id="rId38"/>
          <w:type w:val="continuous"/>
          <w:pgSz w:w="11906" w:h="16838" w:code="9"/>
          <w:pgMar w:top="848" w:right="849" w:bottom="993" w:left="1276" w:header="850" w:footer="907" w:gutter="0"/>
          <w:cols w:space="708"/>
          <w:docGrid w:linePitch="360"/>
        </w:sectPr>
      </w:pPr>
    </w:p>
    <w:p w14:paraId="77467607" w14:textId="77777777" w:rsidR="002850A1" w:rsidRPr="00F9702F" w:rsidRDefault="002850A1"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33" w:name="_Toc491337738"/>
      <w:r w:rsidRPr="00F9702F">
        <w:rPr>
          <w:rFonts w:ascii="Arial" w:hAnsi="Arial" w:cs="Arial"/>
        </w:rPr>
        <w:t>PESSOAL, ENCARGOS E BENEFÍCIOS SOCIAIS</w:t>
      </w:r>
      <w:bookmarkEnd w:id="33"/>
    </w:p>
    <w:p w14:paraId="652ADD42" w14:textId="77777777" w:rsidR="002850A1" w:rsidRPr="005B1233" w:rsidRDefault="002850A1" w:rsidP="00597FE5">
      <w:pPr>
        <w:spacing w:line="276" w:lineRule="auto"/>
        <w:rPr>
          <w:sz w:val="18"/>
          <w:szCs w:val="18"/>
        </w:rPr>
      </w:pPr>
    </w:p>
    <w:p w14:paraId="38770A6A" w14:textId="27513DA9" w:rsidR="000431DE" w:rsidRDefault="00597FE5" w:rsidP="00597FE5">
      <w:pPr>
        <w:spacing w:line="276" w:lineRule="auto"/>
        <w:jc w:val="both"/>
        <w:rPr>
          <w:rFonts w:ascii="Arial" w:hAnsi="Arial" w:cs="Arial"/>
          <w:sz w:val="22"/>
          <w:szCs w:val="22"/>
        </w:rPr>
      </w:pPr>
      <w:bookmarkStart w:id="34" w:name="_Toc3858797"/>
      <w:r w:rsidRPr="002A36CE">
        <w:rPr>
          <w:rFonts w:ascii="Arial" w:hAnsi="Arial" w:cs="Arial"/>
          <w:sz w:val="22"/>
          <w:szCs w:val="22"/>
        </w:rPr>
        <w:t>Nesta rubrica</w:t>
      </w:r>
      <w:r w:rsidR="000431DE" w:rsidRPr="002A36CE">
        <w:rPr>
          <w:rFonts w:ascii="Arial" w:hAnsi="Arial" w:cs="Arial"/>
          <w:sz w:val="22"/>
          <w:szCs w:val="22"/>
        </w:rPr>
        <w:t xml:space="preserve"> são registradas as obrigações com </w:t>
      </w:r>
      <w:r w:rsidR="0093620C" w:rsidRPr="002A36CE">
        <w:rPr>
          <w:rFonts w:ascii="Arial" w:hAnsi="Arial" w:cs="Arial"/>
          <w:sz w:val="22"/>
          <w:szCs w:val="22"/>
        </w:rPr>
        <w:t>p</w:t>
      </w:r>
      <w:r w:rsidR="000431DE" w:rsidRPr="002A36CE">
        <w:rPr>
          <w:rFonts w:ascii="Arial" w:hAnsi="Arial" w:cs="Arial"/>
          <w:sz w:val="22"/>
          <w:szCs w:val="22"/>
        </w:rPr>
        <w:t>essoal, inclusive as provisões de férias</w:t>
      </w:r>
      <w:r w:rsidR="0093620C" w:rsidRPr="002A36CE">
        <w:rPr>
          <w:rFonts w:ascii="Arial" w:hAnsi="Arial" w:cs="Arial"/>
          <w:sz w:val="22"/>
          <w:szCs w:val="22"/>
        </w:rPr>
        <w:t>,</w:t>
      </w:r>
      <w:r w:rsidR="000431DE" w:rsidRPr="002A36CE">
        <w:rPr>
          <w:rFonts w:ascii="Arial" w:hAnsi="Arial" w:cs="Arial"/>
          <w:sz w:val="22"/>
          <w:szCs w:val="22"/>
        </w:rPr>
        <w:t xml:space="preserve"> 13º salário </w:t>
      </w:r>
      <w:r w:rsidR="000431DE" w:rsidRPr="002A36CE">
        <w:rPr>
          <w:rFonts w:ascii="Arial" w:hAnsi="Arial" w:cs="Arial"/>
          <w:bCs/>
          <w:sz w:val="22"/>
          <w:szCs w:val="22"/>
        </w:rPr>
        <w:t>e dos respectivos encargos sociais</w:t>
      </w:r>
      <w:r w:rsidR="000431DE" w:rsidRPr="002A36CE">
        <w:rPr>
          <w:rFonts w:ascii="Arial" w:hAnsi="Arial" w:cs="Arial"/>
          <w:sz w:val="22"/>
          <w:szCs w:val="22"/>
        </w:rPr>
        <w:t xml:space="preserve">, exceto os encargos tributários a recolher que estão incluídos no grupo </w:t>
      </w:r>
      <w:r w:rsidR="00D814AC" w:rsidRPr="002A36CE">
        <w:rPr>
          <w:rFonts w:ascii="Arial" w:hAnsi="Arial" w:cs="Arial"/>
          <w:sz w:val="22"/>
          <w:szCs w:val="22"/>
        </w:rPr>
        <w:t>Outras Obrigações</w:t>
      </w:r>
      <w:r w:rsidR="007122E5">
        <w:rPr>
          <w:rFonts w:ascii="Arial" w:hAnsi="Arial" w:cs="Arial"/>
          <w:sz w:val="22"/>
          <w:szCs w:val="22"/>
        </w:rPr>
        <w:t>.</w:t>
      </w:r>
      <w:r w:rsidR="00324E5F" w:rsidRPr="002A36CE">
        <w:rPr>
          <w:rFonts w:ascii="Arial" w:hAnsi="Arial" w:cs="Arial"/>
          <w:sz w:val="22"/>
          <w:szCs w:val="22"/>
        </w:rPr>
        <w:t xml:space="preserve"> (Nota Explicativa </w:t>
      </w:r>
      <w:r w:rsidR="0097172F" w:rsidRPr="002A36CE">
        <w:rPr>
          <w:rFonts w:ascii="Arial" w:hAnsi="Arial" w:cs="Arial"/>
          <w:sz w:val="22"/>
          <w:szCs w:val="22"/>
        </w:rPr>
        <w:t>2</w:t>
      </w:r>
      <w:r w:rsidR="009F2E0C">
        <w:rPr>
          <w:rFonts w:ascii="Arial" w:hAnsi="Arial" w:cs="Arial"/>
          <w:sz w:val="22"/>
          <w:szCs w:val="22"/>
        </w:rPr>
        <w:t>5</w:t>
      </w:r>
      <w:r w:rsidR="00324E5F" w:rsidRPr="002A36CE">
        <w:rPr>
          <w:rFonts w:ascii="Arial" w:hAnsi="Arial" w:cs="Arial"/>
          <w:sz w:val="22"/>
          <w:szCs w:val="22"/>
        </w:rPr>
        <w:t>)</w:t>
      </w:r>
    </w:p>
    <w:p w14:paraId="56C140DB" w14:textId="77777777" w:rsidR="00C50DAF" w:rsidRDefault="00C50DAF"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C50DAF" w:rsidRPr="00EB323D" w14:paraId="51EADDEC" w14:textId="77777777" w:rsidTr="00C50DAF">
        <w:trPr>
          <w:trHeight w:val="232"/>
        </w:trPr>
        <w:tc>
          <w:tcPr>
            <w:tcW w:w="3022" w:type="pct"/>
            <w:shd w:val="clear" w:color="000000" w:fill="D9D9D9"/>
            <w:noWrap/>
            <w:vAlign w:val="center"/>
            <w:hideMark/>
          </w:tcPr>
          <w:p w14:paraId="6256D01D" w14:textId="77777777" w:rsidR="00C50DAF" w:rsidRPr="00EB323D" w:rsidRDefault="00C50DAF">
            <w:pPr>
              <w:rPr>
                <w:rFonts w:ascii="Arial" w:hAnsi="Arial" w:cs="Arial"/>
                <w:b/>
                <w:bCs/>
                <w:color w:val="000000"/>
                <w:sz w:val="18"/>
                <w:szCs w:val="18"/>
              </w:rPr>
            </w:pPr>
            <w:r w:rsidRPr="00EB323D">
              <w:rPr>
                <w:rFonts w:ascii="Arial" w:hAnsi="Arial" w:cs="Arial"/>
                <w:b/>
                <w:bCs/>
                <w:color w:val="000000"/>
                <w:sz w:val="18"/>
                <w:szCs w:val="18"/>
              </w:rPr>
              <w:t>Composição: </w:t>
            </w:r>
          </w:p>
        </w:tc>
        <w:tc>
          <w:tcPr>
            <w:tcW w:w="989" w:type="pct"/>
            <w:noWrap/>
            <w:vAlign w:val="center"/>
            <w:hideMark/>
          </w:tcPr>
          <w:p w14:paraId="377AE37E" w14:textId="77777777" w:rsidR="00C50DAF" w:rsidRPr="00EB323D" w:rsidRDefault="00C50DAF">
            <w:pPr>
              <w:jc w:val="center"/>
              <w:rPr>
                <w:rFonts w:ascii="Arial" w:hAnsi="Arial" w:cs="Arial"/>
                <w:b/>
                <w:bCs/>
                <w:color w:val="000000"/>
                <w:sz w:val="18"/>
                <w:szCs w:val="18"/>
              </w:rPr>
            </w:pPr>
            <w:r w:rsidRPr="00EB323D">
              <w:rPr>
                <w:rFonts w:ascii="Arial" w:hAnsi="Arial" w:cs="Arial"/>
                <w:b/>
                <w:bCs/>
                <w:color w:val="000000"/>
                <w:sz w:val="18"/>
                <w:szCs w:val="18"/>
              </w:rPr>
              <w:t>31/03/2026</w:t>
            </w:r>
          </w:p>
        </w:tc>
        <w:tc>
          <w:tcPr>
            <w:tcW w:w="989" w:type="pct"/>
            <w:noWrap/>
            <w:vAlign w:val="center"/>
            <w:hideMark/>
          </w:tcPr>
          <w:p w14:paraId="00763564" w14:textId="46E694F6" w:rsidR="00C50DAF" w:rsidRPr="00EB323D" w:rsidRDefault="00C50DAF">
            <w:pPr>
              <w:jc w:val="center"/>
              <w:rPr>
                <w:rFonts w:ascii="Arial" w:hAnsi="Arial" w:cs="Arial"/>
                <w:b/>
                <w:bCs/>
                <w:color w:val="000000"/>
                <w:sz w:val="18"/>
                <w:szCs w:val="18"/>
              </w:rPr>
            </w:pPr>
            <w:r w:rsidRPr="00EB323D">
              <w:rPr>
                <w:rFonts w:ascii="Arial" w:hAnsi="Arial" w:cs="Arial"/>
                <w:b/>
                <w:bCs/>
                <w:color w:val="000000"/>
                <w:sz w:val="18"/>
                <w:szCs w:val="18"/>
              </w:rPr>
              <w:t>31/12/202</w:t>
            </w:r>
            <w:r w:rsidR="00983803">
              <w:rPr>
                <w:rFonts w:ascii="Arial" w:hAnsi="Arial" w:cs="Arial"/>
                <w:b/>
                <w:bCs/>
                <w:color w:val="000000"/>
                <w:sz w:val="18"/>
                <w:szCs w:val="18"/>
              </w:rPr>
              <w:t>5</w:t>
            </w:r>
          </w:p>
        </w:tc>
      </w:tr>
      <w:tr w:rsidR="00C50DAF" w:rsidRPr="00EB323D" w14:paraId="3A87112A" w14:textId="77777777" w:rsidTr="00C50DAF">
        <w:trPr>
          <w:trHeight w:val="232"/>
        </w:trPr>
        <w:tc>
          <w:tcPr>
            <w:tcW w:w="3022" w:type="pct"/>
            <w:noWrap/>
            <w:vAlign w:val="center"/>
            <w:hideMark/>
          </w:tcPr>
          <w:p w14:paraId="3A50811A" w14:textId="77777777" w:rsidR="00C50DAF" w:rsidRPr="00EB323D" w:rsidRDefault="00C50DAF">
            <w:pPr>
              <w:rPr>
                <w:rFonts w:ascii="Arial" w:hAnsi="Arial" w:cs="Arial"/>
                <w:color w:val="000000"/>
                <w:sz w:val="18"/>
                <w:szCs w:val="18"/>
              </w:rPr>
            </w:pPr>
            <w:r w:rsidRPr="00EB323D">
              <w:rPr>
                <w:rFonts w:ascii="Arial" w:hAnsi="Arial" w:cs="Arial"/>
                <w:color w:val="000000"/>
                <w:sz w:val="18"/>
                <w:szCs w:val="18"/>
              </w:rPr>
              <w:t>Encargos Sociais a Pagar</w:t>
            </w:r>
          </w:p>
        </w:tc>
        <w:tc>
          <w:tcPr>
            <w:tcW w:w="989" w:type="pct"/>
            <w:noWrap/>
            <w:vAlign w:val="center"/>
            <w:hideMark/>
          </w:tcPr>
          <w:p w14:paraId="3D7583A2" w14:textId="77777777" w:rsidR="00C50DAF" w:rsidRPr="00EB323D" w:rsidRDefault="00C50DAF">
            <w:pPr>
              <w:jc w:val="right"/>
              <w:rPr>
                <w:rFonts w:ascii="Arial" w:hAnsi="Arial" w:cs="Arial"/>
                <w:color w:val="000000"/>
                <w:sz w:val="18"/>
                <w:szCs w:val="18"/>
              </w:rPr>
            </w:pPr>
            <w:r w:rsidRPr="00EB323D">
              <w:rPr>
                <w:rFonts w:ascii="Arial" w:hAnsi="Arial" w:cs="Arial"/>
                <w:color w:val="000000"/>
                <w:sz w:val="18"/>
                <w:szCs w:val="18"/>
              </w:rPr>
              <w:t xml:space="preserve">      16.535 </w:t>
            </w:r>
          </w:p>
        </w:tc>
        <w:tc>
          <w:tcPr>
            <w:tcW w:w="989" w:type="pct"/>
            <w:noWrap/>
            <w:vAlign w:val="center"/>
            <w:hideMark/>
          </w:tcPr>
          <w:p w14:paraId="6047B8BD" w14:textId="77777777" w:rsidR="00C50DAF" w:rsidRPr="00EB323D" w:rsidRDefault="00C50DAF">
            <w:pPr>
              <w:jc w:val="right"/>
              <w:rPr>
                <w:rFonts w:ascii="Arial" w:hAnsi="Arial" w:cs="Arial"/>
                <w:color w:val="000000"/>
                <w:sz w:val="18"/>
                <w:szCs w:val="18"/>
              </w:rPr>
            </w:pPr>
            <w:r w:rsidRPr="00EB323D">
              <w:rPr>
                <w:rFonts w:ascii="Arial" w:hAnsi="Arial" w:cs="Arial"/>
                <w:color w:val="000000"/>
                <w:sz w:val="18"/>
                <w:szCs w:val="18"/>
              </w:rPr>
              <w:t xml:space="preserve">      15.518 </w:t>
            </w:r>
          </w:p>
        </w:tc>
      </w:tr>
      <w:tr w:rsidR="00C50DAF" w:rsidRPr="00EB323D" w14:paraId="6B8CA88E" w14:textId="77777777" w:rsidTr="00C50DAF">
        <w:trPr>
          <w:trHeight w:val="232"/>
        </w:trPr>
        <w:tc>
          <w:tcPr>
            <w:tcW w:w="3022" w:type="pct"/>
            <w:noWrap/>
            <w:vAlign w:val="center"/>
            <w:hideMark/>
          </w:tcPr>
          <w:p w14:paraId="6AAA3E50" w14:textId="77777777" w:rsidR="00C50DAF" w:rsidRPr="00EB323D" w:rsidRDefault="00C50DAF">
            <w:pPr>
              <w:rPr>
                <w:rFonts w:ascii="Arial" w:hAnsi="Arial" w:cs="Arial"/>
                <w:color w:val="000000"/>
                <w:sz w:val="18"/>
                <w:szCs w:val="18"/>
              </w:rPr>
            </w:pPr>
            <w:r w:rsidRPr="00EB323D">
              <w:rPr>
                <w:rFonts w:ascii="Arial" w:hAnsi="Arial" w:cs="Arial"/>
                <w:color w:val="000000"/>
                <w:sz w:val="18"/>
                <w:szCs w:val="18"/>
              </w:rPr>
              <w:t>Salários e Honorários a Pagar</w:t>
            </w:r>
          </w:p>
        </w:tc>
        <w:tc>
          <w:tcPr>
            <w:tcW w:w="989" w:type="pct"/>
            <w:noWrap/>
            <w:vAlign w:val="center"/>
            <w:hideMark/>
          </w:tcPr>
          <w:p w14:paraId="20257CE6" w14:textId="77777777" w:rsidR="00C50DAF" w:rsidRPr="00EB323D" w:rsidRDefault="00C50DAF">
            <w:pPr>
              <w:jc w:val="right"/>
              <w:rPr>
                <w:rFonts w:ascii="Arial" w:hAnsi="Arial" w:cs="Arial"/>
                <w:color w:val="000000"/>
                <w:sz w:val="18"/>
                <w:szCs w:val="18"/>
              </w:rPr>
            </w:pPr>
            <w:r w:rsidRPr="00EB323D">
              <w:rPr>
                <w:rFonts w:ascii="Arial" w:hAnsi="Arial" w:cs="Arial"/>
                <w:color w:val="000000"/>
                <w:sz w:val="18"/>
                <w:szCs w:val="18"/>
              </w:rPr>
              <w:t xml:space="preserve">        6.680 </w:t>
            </w:r>
          </w:p>
        </w:tc>
        <w:tc>
          <w:tcPr>
            <w:tcW w:w="989" w:type="pct"/>
            <w:noWrap/>
            <w:vAlign w:val="center"/>
            <w:hideMark/>
          </w:tcPr>
          <w:p w14:paraId="5935445E" w14:textId="77777777" w:rsidR="00C50DAF" w:rsidRPr="00EB323D" w:rsidRDefault="00C50DAF">
            <w:pPr>
              <w:jc w:val="right"/>
              <w:rPr>
                <w:rFonts w:ascii="Arial" w:hAnsi="Arial" w:cs="Arial"/>
                <w:color w:val="000000"/>
                <w:sz w:val="18"/>
                <w:szCs w:val="18"/>
              </w:rPr>
            </w:pPr>
            <w:r w:rsidRPr="00EB323D">
              <w:rPr>
                <w:rFonts w:ascii="Arial" w:hAnsi="Arial" w:cs="Arial"/>
                <w:color w:val="000000"/>
                <w:sz w:val="18"/>
                <w:szCs w:val="18"/>
              </w:rPr>
              <w:t xml:space="preserve">        6.052 </w:t>
            </w:r>
          </w:p>
        </w:tc>
      </w:tr>
      <w:tr w:rsidR="00C50DAF" w:rsidRPr="00EB323D" w14:paraId="3CDAB6A6" w14:textId="77777777" w:rsidTr="00C50DAF">
        <w:trPr>
          <w:trHeight w:val="232"/>
        </w:trPr>
        <w:tc>
          <w:tcPr>
            <w:tcW w:w="3022" w:type="pct"/>
            <w:noWrap/>
            <w:vAlign w:val="center"/>
            <w:hideMark/>
          </w:tcPr>
          <w:p w14:paraId="0E2B4AB2" w14:textId="77777777" w:rsidR="00C50DAF" w:rsidRPr="00EB323D" w:rsidRDefault="00C50DAF">
            <w:pPr>
              <w:rPr>
                <w:rFonts w:ascii="Arial" w:hAnsi="Arial" w:cs="Arial"/>
                <w:color w:val="000000"/>
                <w:sz w:val="18"/>
                <w:szCs w:val="18"/>
              </w:rPr>
            </w:pPr>
            <w:r w:rsidRPr="00EB323D">
              <w:rPr>
                <w:rFonts w:ascii="Arial" w:hAnsi="Arial" w:cs="Arial"/>
                <w:color w:val="000000"/>
                <w:sz w:val="18"/>
                <w:szCs w:val="18"/>
              </w:rPr>
              <w:t>Benefícios Sociais a Pagar</w:t>
            </w:r>
          </w:p>
        </w:tc>
        <w:tc>
          <w:tcPr>
            <w:tcW w:w="989" w:type="pct"/>
            <w:noWrap/>
            <w:vAlign w:val="center"/>
            <w:hideMark/>
          </w:tcPr>
          <w:p w14:paraId="2DDD52ED" w14:textId="77777777" w:rsidR="00C50DAF" w:rsidRPr="00EB323D" w:rsidRDefault="00C50DAF">
            <w:pPr>
              <w:jc w:val="right"/>
              <w:rPr>
                <w:rFonts w:ascii="Arial" w:hAnsi="Arial" w:cs="Arial"/>
                <w:color w:val="000000"/>
                <w:sz w:val="18"/>
                <w:szCs w:val="18"/>
              </w:rPr>
            </w:pPr>
            <w:r w:rsidRPr="00EB323D">
              <w:rPr>
                <w:rFonts w:ascii="Arial" w:hAnsi="Arial" w:cs="Arial"/>
                <w:color w:val="000000"/>
                <w:sz w:val="18"/>
                <w:szCs w:val="18"/>
              </w:rPr>
              <w:t xml:space="preserve">              -   </w:t>
            </w:r>
          </w:p>
        </w:tc>
        <w:tc>
          <w:tcPr>
            <w:tcW w:w="989" w:type="pct"/>
            <w:noWrap/>
            <w:vAlign w:val="center"/>
            <w:hideMark/>
          </w:tcPr>
          <w:p w14:paraId="1EC313C9" w14:textId="77777777" w:rsidR="00C50DAF" w:rsidRPr="00EB323D" w:rsidRDefault="00C50DAF">
            <w:pPr>
              <w:jc w:val="right"/>
              <w:rPr>
                <w:rFonts w:ascii="Arial" w:hAnsi="Arial" w:cs="Arial"/>
                <w:color w:val="000000"/>
                <w:sz w:val="18"/>
                <w:szCs w:val="18"/>
              </w:rPr>
            </w:pPr>
            <w:r w:rsidRPr="00EB323D">
              <w:rPr>
                <w:rFonts w:ascii="Arial" w:hAnsi="Arial" w:cs="Arial"/>
                <w:color w:val="000000"/>
                <w:sz w:val="18"/>
                <w:szCs w:val="18"/>
              </w:rPr>
              <w:t xml:space="preserve">             13 </w:t>
            </w:r>
          </w:p>
        </w:tc>
      </w:tr>
      <w:tr w:rsidR="00C50DAF" w:rsidRPr="00EB323D" w14:paraId="2B07E05C" w14:textId="77777777" w:rsidTr="00C50DAF">
        <w:trPr>
          <w:trHeight w:val="232"/>
        </w:trPr>
        <w:tc>
          <w:tcPr>
            <w:tcW w:w="3022" w:type="pct"/>
            <w:noWrap/>
            <w:vAlign w:val="center"/>
            <w:hideMark/>
          </w:tcPr>
          <w:p w14:paraId="2D9DD3B9" w14:textId="77777777" w:rsidR="00C50DAF" w:rsidRPr="00EB323D" w:rsidRDefault="00C50DAF">
            <w:pPr>
              <w:rPr>
                <w:rFonts w:ascii="Arial" w:hAnsi="Arial" w:cs="Arial"/>
                <w:b/>
                <w:bCs/>
                <w:color w:val="000000"/>
                <w:sz w:val="18"/>
                <w:szCs w:val="18"/>
              </w:rPr>
            </w:pPr>
            <w:r w:rsidRPr="00EB323D">
              <w:rPr>
                <w:rFonts w:ascii="Arial" w:hAnsi="Arial" w:cs="Arial"/>
                <w:b/>
                <w:bCs/>
                <w:color w:val="000000"/>
                <w:sz w:val="18"/>
                <w:szCs w:val="18"/>
              </w:rPr>
              <w:t>Total</w:t>
            </w:r>
          </w:p>
        </w:tc>
        <w:tc>
          <w:tcPr>
            <w:tcW w:w="989" w:type="pct"/>
            <w:noWrap/>
            <w:vAlign w:val="center"/>
            <w:hideMark/>
          </w:tcPr>
          <w:p w14:paraId="1AD03CBF" w14:textId="77777777" w:rsidR="00C50DAF" w:rsidRPr="00EB323D" w:rsidRDefault="00C50DAF">
            <w:pPr>
              <w:jc w:val="right"/>
              <w:rPr>
                <w:rFonts w:ascii="Arial" w:hAnsi="Arial" w:cs="Arial"/>
                <w:b/>
                <w:bCs/>
                <w:color w:val="000000"/>
                <w:sz w:val="18"/>
                <w:szCs w:val="18"/>
              </w:rPr>
            </w:pPr>
            <w:r w:rsidRPr="00EB323D">
              <w:rPr>
                <w:rFonts w:ascii="Arial" w:hAnsi="Arial" w:cs="Arial"/>
                <w:b/>
                <w:bCs/>
                <w:color w:val="000000"/>
                <w:sz w:val="18"/>
                <w:szCs w:val="18"/>
              </w:rPr>
              <w:t xml:space="preserve">      23.215 </w:t>
            </w:r>
          </w:p>
        </w:tc>
        <w:tc>
          <w:tcPr>
            <w:tcW w:w="989" w:type="pct"/>
            <w:noWrap/>
            <w:vAlign w:val="center"/>
            <w:hideMark/>
          </w:tcPr>
          <w:p w14:paraId="41B72B60" w14:textId="77777777" w:rsidR="00C50DAF" w:rsidRPr="00EB323D" w:rsidRDefault="00C50DAF">
            <w:pPr>
              <w:jc w:val="right"/>
              <w:rPr>
                <w:rFonts w:ascii="Arial" w:hAnsi="Arial" w:cs="Arial"/>
                <w:b/>
                <w:bCs/>
                <w:color w:val="000000"/>
                <w:sz w:val="18"/>
                <w:szCs w:val="18"/>
              </w:rPr>
            </w:pPr>
            <w:r w:rsidRPr="00EB323D">
              <w:rPr>
                <w:rFonts w:ascii="Arial" w:hAnsi="Arial" w:cs="Arial"/>
                <w:b/>
                <w:bCs/>
                <w:color w:val="000000"/>
                <w:sz w:val="18"/>
                <w:szCs w:val="18"/>
              </w:rPr>
              <w:t xml:space="preserve">      21.583 </w:t>
            </w:r>
          </w:p>
        </w:tc>
      </w:tr>
      <w:tr w:rsidR="00C50DAF" w14:paraId="007978FB" w14:textId="77777777" w:rsidTr="00C50DAF">
        <w:trPr>
          <w:trHeight w:val="232"/>
        </w:trPr>
        <w:tc>
          <w:tcPr>
            <w:tcW w:w="3022" w:type="pct"/>
            <w:noWrap/>
            <w:vAlign w:val="center"/>
            <w:hideMark/>
          </w:tcPr>
          <w:p w14:paraId="68370522" w14:textId="77777777" w:rsidR="00C50DAF" w:rsidRPr="00EB323D" w:rsidRDefault="00C50DAF">
            <w:pPr>
              <w:rPr>
                <w:rFonts w:ascii="Arial" w:hAnsi="Arial" w:cs="Arial"/>
                <w:b/>
                <w:bCs/>
                <w:color w:val="000000"/>
                <w:sz w:val="18"/>
                <w:szCs w:val="18"/>
              </w:rPr>
            </w:pPr>
            <w:r w:rsidRPr="00EB323D">
              <w:rPr>
                <w:rFonts w:ascii="Arial" w:hAnsi="Arial" w:cs="Arial"/>
                <w:b/>
                <w:bCs/>
                <w:color w:val="000000"/>
                <w:sz w:val="18"/>
                <w:szCs w:val="18"/>
              </w:rPr>
              <w:t>Circulante</w:t>
            </w:r>
          </w:p>
        </w:tc>
        <w:tc>
          <w:tcPr>
            <w:tcW w:w="989" w:type="pct"/>
            <w:noWrap/>
            <w:vAlign w:val="center"/>
            <w:hideMark/>
          </w:tcPr>
          <w:p w14:paraId="21CCCFC8" w14:textId="77777777" w:rsidR="00C50DAF" w:rsidRPr="00EB323D" w:rsidRDefault="00C50DAF">
            <w:pPr>
              <w:jc w:val="right"/>
              <w:rPr>
                <w:rFonts w:ascii="Arial" w:hAnsi="Arial" w:cs="Arial"/>
                <w:b/>
                <w:bCs/>
                <w:color w:val="000000"/>
                <w:sz w:val="18"/>
                <w:szCs w:val="18"/>
              </w:rPr>
            </w:pPr>
            <w:r w:rsidRPr="00EB323D">
              <w:rPr>
                <w:rFonts w:ascii="Arial" w:hAnsi="Arial" w:cs="Arial"/>
                <w:b/>
                <w:bCs/>
                <w:color w:val="000000"/>
                <w:sz w:val="18"/>
                <w:szCs w:val="18"/>
              </w:rPr>
              <w:t xml:space="preserve">      23.215 </w:t>
            </w:r>
          </w:p>
        </w:tc>
        <w:tc>
          <w:tcPr>
            <w:tcW w:w="989" w:type="pct"/>
            <w:noWrap/>
            <w:vAlign w:val="center"/>
            <w:hideMark/>
          </w:tcPr>
          <w:p w14:paraId="494BEABF" w14:textId="77777777" w:rsidR="00C50DAF" w:rsidRDefault="00C50DAF">
            <w:pPr>
              <w:jc w:val="right"/>
              <w:rPr>
                <w:rFonts w:ascii="Arial" w:hAnsi="Arial" w:cs="Arial"/>
                <w:b/>
                <w:bCs/>
                <w:color w:val="000000"/>
                <w:sz w:val="18"/>
                <w:szCs w:val="18"/>
              </w:rPr>
            </w:pPr>
            <w:r w:rsidRPr="00EB323D">
              <w:rPr>
                <w:rFonts w:ascii="Arial" w:hAnsi="Arial" w:cs="Arial"/>
                <w:b/>
                <w:bCs/>
                <w:color w:val="000000"/>
                <w:sz w:val="18"/>
                <w:szCs w:val="18"/>
              </w:rPr>
              <w:t xml:space="preserve">      21.583</w:t>
            </w:r>
            <w:r>
              <w:rPr>
                <w:rFonts w:ascii="Arial" w:hAnsi="Arial" w:cs="Arial"/>
                <w:b/>
                <w:bCs/>
                <w:color w:val="000000"/>
                <w:sz w:val="18"/>
                <w:szCs w:val="18"/>
              </w:rPr>
              <w:t xml:space="preserve"> </w:t>
            </w:r>
          </w:p>
        </w:tc>
      </w:tr>
    </w:tbl>
    <w:p w14:paraId="5057505E" w14:textId="77777777" w:rsidR="00E614A9" w:rsidRPr="002A36CE" w:rsidRDefault="00E614A9" w:rsidP="00E614A9">
      <w:pPr>
        <w:pStyle w:val="Ttulo2"/>
        <w:numPr>
          <w:ilvl w:val="0"/>
          <w:numId w:val="7"/>
        </w:numPr>
        <w:tabs>
          <w:tab w:val="clear" w:pos="284"/>
          <w:tab w:val="clear" w:pos="340"/>
        </w:tabs>
        <w:spacing w:after="0" w:line="276" w:lineRule="auto"/>
        <w:ind w:left="851" w:hanging="851"/>
        <w:jc w:val="both"/>
        <w:rPr>
          <w:rFonts w:ascii="Arial" w:hAnsi="Arial" w:cs="Arial"/>
        </w:rPr>
      </w:pPr>
      <w:r>
        <w:rPr>
          <w:rFonts w:ascii="Arial" w:hAnsi="Arial" w:cs="Arial"/>
        </w:rPr>
        <w:t xml:space="preserve">PROVISÃO PARA </w:t>
      </w:r>
      <w:r w:rsidRPr="002A36CE">
        <w:rPr>
          <w:rFonts w:ascii="Arial" w:hAnsi="Arial" w:cs="Arial"/>
        </w:rPr>
        <w:t>PROGRAMA DE INDENIZAÇÃO POR SERVIÇOS PRESTADOS (PISP)</w:t>
      </w:r>
    </w:p>
    <w:p w14:paraId="40B30D41" w14:textId="77777777" w:rsidR="00E614A9" w:rsidRPr="002C6143" w:rsidRDefault="00E614A9" w:rsidP="00E614A9">
      <w:pPr>
        <w:spacing w:line="276" w:lineRule="auto"/>
        <w:rPr>
          <w:sz w:val="12"/>
          <w:szCs w:val="12"/>
        </w:rPr>
      </w:pPr>
    </w:p>
    <w:p w14:paraId="52FB1EE8" w14:textId="50D79ADA" w:rsidR="002E0770" w:rsidRDefault="00FE2DCD" w:rsidP="00597FE5">
      <w:pPr>
        <w:spacing w:line="276" w:lineRule="auto"/>
        <w:jc w:val="both"/>
        <w:rPr>
          <w:rFonts w:ascii="Arial" w:hAnsi="Arial" w:cs="Arial"/>
          <w:sz w:val="22"/>
          <w:szCs w:val="22"/>
        </w:rPr>
      </w:pPr>
      <w:r w:rsidRPr="002A36CE">
        <w:rPr>
          <w:rFonts w:ascii="Arial" w:hAnsi="Arial" w:cs="Arial"/>
          <w:sz w:val="22"/>
          <w:szCs w:val="22"/>
        </w:rPr>
        <w:t>D</w:t>
      </w:r>
      <w:r w:rsidR="002003FB" w:rsidRPr="002A36CE">
        <w:rPr>
          <w:rFonts w:ascii="Arial" w:hAnsi="Arial" w:cs="Arial"/>
          <w:sz w:val="22"/>
          <w:szCs w:val="22"/>
        </w:rPr>
        <w:t>esde</w:t>
      </w:r>
      <w:r w:rsidR="003C5654" w:rsidRPr="002A36CE">
        <w:rPr>
          <w:rFonts w:ascii="Arial" w:hAnsi="Arial" w:cs="Arial"/>
          <w:sz w:val="22"/>
          <w:szCs w:val="22"/>
        </w:rPr>
        <w:t xml:space="preserve"> 2013, </w:t>
      </w:r>
      <w:r w:rsidR="00260FAD" w:rsidRPr="002A36CE">
        <w:rPr>
          <w:rFonts w:ascii="Arial" w:hAnsi="Arial" w:cs="Arial"/>
          <w:sz w:val="22"/>
          <w:szCs w:val="22"/>
        </w:rPr>
        <w:t>a Telebras reconhec</w:t>
      </w:r>
      <w:r w:rsidR="00B95566">
        <w:rPr>
          <w:rFonts w:ascii="Arial" w:hAnsi="Arial" w:cs="Arial"/>
          <w:sz w:val="22"/>
          <w:szCs w:val="22"/>
        </w:rPr>
        <w:t>eu</w:t>
      </w:r>
      <w:r w:rsidR="00260FAD" w:rsidRPr="002A36CE">
        <w:rPr>
          <w:rFonts w:ascii="Arial" w:hAnsi="Arial" w:cs="Arial"/>
          <w:sz w:val="22"/>
          <w:szCs w:val="22"/>
        </w:rPr>
        <w:t xml:space="preserve"> no passivo exigível provisão para </w:t>
      </w:r>
      <w:r w:rsidR="00DC2F25" w:rsidRPr="002A36CE">
        <w:rPr>
          <w:rFonts w:ascii="Arial" w:hAnsi="Arial" w:cs="Arial"/>
          <w:sz w:val="22"/>
          <w:szCs w:val="22"/>
        </w:rPr>
        <w:t xml:space="preserve">o Programa de Indenização por Serviços Prestados (PISP). Esta provisão foi constituída para fazer frente </w:t>
      </w:r>
      <w:r w:rsidR="00D32596" w:rsidRPr="002A36CE">
        <w:rPr>
          <w:rFonts w:ascii="Arial" w:hAnsi="Arial" w:cs="Arial"/>
          <w:sz w:val="22"/>
          <w:szCs w:val="22"/>
        </w:rPr>
        <w:t>à</w:t>
      </w:r>
      <w:r w:rsidR="00DC2F25" w:rsidRPr="002A36CE">
        <w:rPr>
          <w:rFonts w:ascii="Arial" w:hAnsi="Arial" w:cs="Arial"/>
          <w:sz w:val="22"/>
          <w:szCs w:val="22"/>
        </w:rPr>
        <w:t xml:space="preserve"> indenização dos colaboradores que são elegíveis para o seu recebimento quando do desligamento da Companhia</w:t>
      </w:r>
      <w:r w:rsidR="002C68E9" w:rsidRPr="002A36CE">
        <w:rPr>
          <w:rFonts w:ascii="Arial" w:hAnsi="Arial" w:cs="Arial"/>
          <w:sz w:val="22"/>
          <w:szCs w:val="22"/>
        </w:rPr>
        <w:t>. Os colaboradores elegíveis ao recebimento são aqueles que não tiveram se</w:t>
      </w:r>
      <w:r w:rsidR="006E585A" w:rsidRPr="002A36CE">
        <w:rPr>
          <w:rFonts w:ascii="Arial" w:hAnsi="Arial" w:cs="Arial"/>
          <w:sz w:val="22"/>
          <w:szCs w:val="22"/>
        </w:rPr>
        <w:t>us</w:t>
      </w:r>
      <w:r w:rsidR="002C68E9" w:rsidRPr="002A36CE">
        <w:rPr>
          <w:rFonts w:ascii="Arial" w:hAnsi="Arial" w:cs="Arial"/>
          <w:sz w:val="22"/>
          <w:szCs w:val="22"/>
        </w:rPr>
        <w:t xml:space="preserve"> vínculos </w:t>
      </w:r>
      <w:r w:rsidR="006E585A" w:rsidRPr="002A36CE">
        <w:rPr>
          <w:rFonts w:ascii="Arial" w:hAnsi="Arial" w:cs="Arial"/>
          <w:sz w:val="22"/>
          <w:szCs w:val="22"/>
        </w:rPr>
        <w:t>empregatícios</w:t>
      </w:r>
      <w:r w:rsidR="002C68E9" w:rsidRPr="002A36CE">
        <w:rPr>
          <w:rFonts w:ascii="Arial" w:hAnsi="Arial" w:cs="Arial"/>
          <w:sz w:val="22"/>
          <w:szCs w:val="22"/>
        </w:rPr>
        <w:t xml:space="preserve"> </w:t>
      </w:r>
      <w:r w:rsidR="006E585A" w:rsidRPr="002A36CE">
        <w:rPr>
          <w:rFonts w:ascii="Arial" w:hAnsi="Arial" w:cs="Arial"/>
          <w:sz w:val="22"/>
          <w:szCs w:val="22"/>
        </w:rPr>
        <w:t>rescind</w:t>
      </w:r>
      <w:r w:rsidR="00484894" w:rsidRPr="002A36CE">
        <w:rPr>
          <w:rFonts w:ascii="Arial" w:hAnsi="Arial" w:cs="Arial"/>
          <w:sz w:val="22"/>
          <w:szCs w:val="22"/>
        </w:rPr>
        <w:t>id</w:t>
      </w:r>
      <w:r w:rsidR="006E585A" w:rsidRPr="002A36CE">
        <w:rPr>
          <w:rFonts w:ascii="Arial" w:hAnsi="Arial" w:cs="Arial"/>
          <w:sz w:val="22"/>
          <w:szCs w:val="22"/>
        </w:rPr>
        <w:t>o</w:t>
      </w:r>
      <w:r w:rsidR="00CC34DE" w:rsidRPr="002A36CE">
        <w:rPr>
          <w:rFonts w:ascii="Arial" w:hAnsi="Arial" w:cs="Arial"/>
          <w:sz w:val="22"/>
          <w:szCs w:val="22"/>
        </w:rPr>
        <w:t>s</w:t>
      </w:r>
      <w:r w:rsidR="002C68E9" w:rsidRPr="002A36CE">
        <w:rPr>
          <w:rFonts w:ascii="Arial" w:hAnsi="Arial" w:cs="Arial"/>
          <w:sz w:val="22"/>
          <w:szCs w:val="22"/>
        </w:rPr>
        <w:t xml:space="preserve"> após o processo de cisão da Telebras e que </w:t>
      </w:r>
      <w:r w:rsidR="00B95566">
        <w:rPr>
          <w:rFonts w:ascii="Arial" w:hAnsi="Arial" w:cs="Arial"/>
          <w:sz w:val="22"/>
          <w:szCs w:val="22"/>
        </w:rPr>
        <w:t>aderiram</w:t>
      </w:r>
      <w:r w:rsidR="002C68E9" w:rsidRPr="002A36CE">
        <w:rPr>
          <w:rFonts w:ascii="Arial" w:hAnsi="Arial" w:cs="Arial"/>
          <w:sz w:val="22"/>
          <w:szCs w:val="22"/>
        </w:rPr>
        <w:t xml:space="preserve"> ao plano</w:t>
      </w:r>
      <w:r w:rsidR="006E585A" w:rsidRPr="002A36CE">
        <w:rPr>
          <w:rFonts w:ascii="Arial" w:hAnsi="Arial" w:cs="Arial"/>
          <w:sz w:val="22"/>
          <w:szCs w:val="22"/>
        </w:rPr>
        <w:t xml:space="preserve"> </w:t>
      </w:r>
      <w:r w:rsidR="00D32596" w:rsidRPr="002A36CE">
        <w:rPr>
          <w:rFonts w:ascii="Arial" w:hAnsi="Arial" w:cs="Arial"/>
          <w:sz w:val="22"/>
          <w:szCs w:val="22"/>
        </w:rPr>
        <w:t>conforme prazo estabelecido à época</w:t>
      </w:r>
      <w:r w:rsidR="006E585A" w:rsidRPr="002A36CE">
        <w:rPr>
          <w:rFonts w:ascii="Arial" w:hAnsi="Arial" w:cs="Arial"/>
          <w:sz w:val="22"/>
          <w:szCs w:val="22"/>
        </w:rPr>
        <w:t xml:space="preserve">. </w:t>
      </w:r>
      <w:r w:rsidR="0061619F" w:rsidRPr="002A36CE">
        <w:rPr>
          <w:rFonts w:ascii="Arial" w:hAnsi="Arial" w:cs="Arial"/>
          <w:sz w:val="22"/>
          <w:szCs w:val="22"/>
        </w:rPr>
        <w:t xml:space="preserve">Em </w:t>
      </w:r>
      <w:r w:rsidR="00A723F7">
        <w:rPr>
          <w:rFonts w:ascii="Arial" w:hAnsi="Arial" w:cs="Arial"/>
          <w:sz w:val="22"/>
          <w:szCs w:val="22"/>
        </w:rPr>
        <w:t>3</w:t>
      </w:r>
      <w:r w:rsidR="00AC1701">
        <w:rPr>
          <w:rFonts w:ascii="Arial" w:hAnsi="Arial" w:cs="Arial"/>
          <w:sz w:val="22"/>
          <w:szCs w:val="22"/>
        </w:rPr>
        <w:t>1</w:t>
      </w:r>
      <w:r w:rsidR="00A723F7">
        <w:rPr>
          <w:rFonts w:ascii="Arial" w:hAnsi="Arial" w:cs="Arial"/>
          <w:sz w:val="22"/>
          <w:szCs w:val="22"/>
        </w:rPr>
        <w:t xml:space="preserve"> de </w:t>
      </w:r>
      <w:r w:rsidR="00887F8B">
        <w:rPr>
          <w:rFonts w:ascii="Arial" w:hAnsi="Arial" w:cs="Arial"/>
          <w:sz w:val="22"/>
          <w:szCs w:val="22"/>
        </w:rPr>
        <w:t>março</w:t>
      </w:r>
      <w:r w:rsidR="00B65391">
        <w:rPr>
          <w:rFonts w:ascii="Arial" w:hAnsi="Arial" w:cs="Arial"/>
          <w:sz w:val="22"/>
          <w:szCs w:val="22"/>
        </w:rPr>
        <w:t xml:space="preserve"> </w:t>
      </w:r>
      <w:r w:rsidR="0061619F" w:rsidRPr="002A36CE">
        <w:rPr>
          <w:rFonts w:ascii="Arial" w:hAnsi="Arial" w:cs="Arial"/>
          <w:sz w:val="22"/>
          <w:szCs w:val="22"/>
        </w:rPr>
        <w:t>de 20</w:t>
      </w:r>
      <w:r w:rsidR="00E06875" w:rsidRPr="002A36CE">
        <w:rPr>
          <w:rFonts w:ascii="Arial" w:hAnsi="Arial" w:cs="Arial"/>
          <w:sz w:val="22"/>
          <w:szCs w:val="22"/>
        </w:rPr>
        <w:t>2</w:t>
      </w:r>
      <w:r w:rsidR="00887F8B">
        <w:rPr>
          <w:rFonts w:ascii="Arial" w:hAnsi="Arial" w:cs="Arial"/>
          <w:sz w:val="22"/>
          <w:szCs w:val="22"/>
        </w:rPr>
        <w:t>6</w:t>
      </w:r>
      <w:r w:rsidR="003C5654" w:rsidRPr="002A36CE">
        <w:rPr>
          <w:rFonts w:ascii="Arial" w:hAnsi="Arial" w:cs="Arial"/>
          <w:sz w:val="22"/>
          <w:szCs w:val="22"/>
        </w:rPr>
        <w:t xml:space="preserve">, </w:t>
      </w:r>
      <w:r w:rsidR="00B93BFB">
        <w:rPr>
          <w:rFonts w:ascii="Arial" w:hAnsi="Arial" w:cs="Arial"/>
          <w:sz w:val="22"/>
          <w:szCs w:val="22"/>
        </w:rPr>
        <w:t xml:space="preserve">o número de inscritos no programa totaliza </w:t>
      </w:r>
      <w:r w:rsidR="001338E2" w:rsidRPr="001338E2">
        <w:rPr>
          <w:rFonts w:ascii="Arial" w:hAnsi="Arial" w:cs="Arial"/>
          <w:sz w:val="22"/>
          <w:szCs w:val="22"/>
        </w:rPr>
        <w:t>53</w:t>
      </w:r>
      <w:r w:rsidR="00B93BFB" w:rsidRPr="001338E2">
        <w:rPr>
          <w:rFonts w:ascii="Arial" w:hAnsi="Arial" w:cs="Arial"/>
          <w:sz w:val="22"/>
          <w:szCs w:val="22"/>
        </w:rPr>
        <w:t xml:space="preserve"> colaboradores</w:t>
      </w:r>
      <w:r w:rsidR="00B93BFB">
        <w:rPr>
          <w:rFonts w:ascii="Arial" w:hAnsi="Arial" w:cs="Arial"/>
          <w:sz w:val="22"/>
          <w:szCs w:val="22"/>
        </w:rPr>
        <w:t xml:space="preserve"> e </w:t>
      </w:r>
      <w:r w:rsidR="0061619F" w:rsidRPr="002A36CE">
        <w:rPr>
          <w:rFonts w:ascii="Arial" w:hAnsi="Arial" w:cs="Arial"/>
          <w:sz w:val="22"/>
          <w:szCs w:val="22"/>
        </w:rPr>
        <w:t>o</w:t>
      </w:r>
      <w:r w:rsidR="003C5654" w:rsidRPr="002A36CE">
        <w:rPr>
          <w:rFonts w:ascii="Arial" w:hAnsi="Arial" w:cs="Arial"/>
          <w:sz w:val="22"/>
          <w:szCs w:val="22"/>
        </w:rPr>
        <w:t xml:space="preserve"> montante </w:t>
      </w:r>
      <w:r w:rsidR="0061619F" w:rsidRPr="002A36CE">
        <w:rPr>
          <w:rFonts w:ascii="Arial" w:hAnsi="Arial" w:cs="Arial"/>
          <w:sz w:val="22"/>
          <w:szCs w:val="22"/>
        </w:rPr>
        <w:t xml:space="preserve">provisionado </w:t>
      </w:r>
      <w:r w:rsidR="0061619F" w:rsidRPr="0089584E">
        <w:rPr>
          <w:rFonts w:ascii="Arial" w:hAnsi="Arial" w:cs="Arial"/>
          <w:sz w:val="22"/>
          <w:szCs w:val="22"/>
        </w:rPr>
        <w:t xml:space="preserve">é de </w:t>
      </w:r>
      <w:r w:rsidR="000858A2" w:rsidRPr="0089584E">
        <w:rPr>
          <w:rFonts w:ascii="Arial" w:hAnsi="Arial" w:cs="Arial"/>
          <w:sz w:val="22"/>
          <w:szCs w:val="22"/>
        </w:rPr>
        <w:t xml:space="preserve">R$ </w:t>
      </w:r>
      <w:r w:rsidR="00AC1701">
        <w:rPr>
          <w:rFonts w:ascii="Arial" w:hAnsi="Arial" w:cs="Arial"/>
          <w:sz w:val="22"/>
          <w:szCs w:val="22"/>
        </w:rPr>
        <w:t>21.</w:t>
      </w:r>
      <w:r w:rsidR="00281FEF">
        <w:rPr>
          <w:rFonts w:ascii="Arial" w:hAnsi="Arial" w:cs="Arial"/>
          <w:sz w:val="22"/>
          <w:szCs w:val="22"/>
        </w:rPr>
        <w:t>252</w:t>
      </w:r>
      <w:r w:rsidR="003C5654" w:rsidRPr="0089584E">
        <w:rPr>
          <w:rFonts w:ascii="Arial" w:hAnsi="Arial" w:cs="Arial"/>
          <w:sz w:val="22"/>
          <w:szCs w:val="22"/>
        </w:rPr>
        <w:t xml:space="preserve"> </w:t>
      </w:r>
      <w:r w:rsidR="000858A2" w:rsidRPr="0089584E">
        <w:rPr>
          <w:rFonts w:ascii="Arial" w:hAnsi="Arial" w:cs="Arial"/>
          <w:sz w:val="22"/>
          <w:szCs w:val="22"/>
        </w:rPr>
        <w:t>(R$</w:t>
      </w:r>
      <w:r w:rsidR="000858A2" w:rsidRPr="006C4ECB">
        <w:rPr>
          <w:rFonts w:ascii="Arial" w:hAnsi="Arial" w:cs="Arial"/>
          <w:sz w:val="22"/>
          <w:szCs w:val="22"/>
        </w:rPr>
        <w:t xml:space="preserve"> </w:t>
      </w:r>
      <w:r w:rsidR="00887F8B">
        <w:rPr>
          <w:rFonts w:ascii="Arial" w:hAnsi="Arial" w:cs="Arial"/>
          <w:sz w:val="22"/>
          <w:szCs w:val="22"/>
        </w:rPr>
        <w:t>21.266</w:t>
      </w:r>
      <w:r w:rsidR="000858A2" w:rsidRPr="006C4ECB">
        <w:rPr>
          <w:rFonts w:ascii="Arial" w:hAnsi="Arial" w:cs="Arial"/>
          <w:sz w:val="22"/>
          <w:szCs w:val="22"/>
        </w:rPr>
        <w:t xml:space="preserve"> em 31</w:t>
      </w:r>
      <w:r w:rsidR="00803F6D" w:rsidRPr="006C4ECB">
        <w:rPr>
          <w:rFonts w:ascii="Arial" w:hAnsi="Arial" w:cs="Arial"/>
          <w:sz w:val="22"/>
          <w:szCs w:val="22"/>
        </w:rPr>
        <w:t xml:space="preserve"> de dezembro de </w:t>
      </w:r>
      <w:r w:rsidR="000858A2" w:rsidRPr="006C4ECB">
        <w:rPr>
          <w:rFonts w:ascii="Arial" w:hAnsi="Arial" w:cs="Arial"/>
          <w:sz w:val="22"/>
          <w:szCs w:val="22"/>
        </w:rPr>
        <w:t>20</w:t>
      </w:r>
      <w:r w:rsidR="00A57F0F">
        <w:rPr>
          <w:rFonts w:ascii="Arial" w:hAnsi="Arial" w:cs="Arial"/>
          <w:sz w:val="22"/>
          <w:szCs w:val="22"/>
        </w:rPr>
        <w:t>2</w:t>
      </w:r>
      <w:r w:rsidR="00887F8B">
        <w:rPr>
          <w:rFonts w:ascii="Arial" w:hAnsi="Arial" w:cs="Arial"/>
          <w:sz w:val="22"/>
          <w:szCs w:val="22"/>
        </w:rPr>
        <w:t>5</w:t>
      </w:r>
      <w:r w:rsidR="003C5654" w:rsidRPr="006C4ECB">
        <w:rPr>
          <w:rFonts w:ascii="Arial" w:hAnsi="Arial" w:cs="Arial"/>
          <w:sz w:val="22"/>
          <w:szCs w:val="22"/>
        </w:rPr>
        <w:t>).</w:t>
      </w:r>
      <w:r w:rsidR="009D433B" w:rsidRPr="006C4ECB">
        <w:rPr>
          <w:rFonts w:ascii="Arial" w:hAnsi="Arial" w:cs="Arial"/>
          <w:sz w:val="22"/>
          <w:szCs w:val="22"/>
        </w:rPr>
        <w:t xml:space="preserve"> </w:t>
      </w:r>
    </w:p>
    <w:p w14:paraId="409C364A" w14:textId="77777777" w:rsidR="00B66DA4" w:rsidRPr="002C6143" w:rsidRDefault="00B66DA4" w:rsidP="00597FE5">
      <w:pPr>
        <w:spacing w:line="276" w:lineRule="auto"/>
        <w:jc w:val="both"/>
        <w:rPr>
          <w:rFonts w:ascii="Arial" w:hAnsi="Arial" w:cs="Arial"/>
          <w:sz w:val="6"/>
          <w:szCs w:val="6"/>
        </w:rPr>
      </w:pPr>
    </w:p>
    <w:p w14:paraId="42B4838E" w14:textId="477096A8" w:rsidR="00C62C49" w:rsidRDefault="009D433B" w:rsidP="00597FE5">
      <w:pPr>
        <w:spacing w:line="276" w:lineRule="auto"/>
        <w:jc w:val="both"/>
        <w:rPr>
          <w:rFonts w:ascii="Arial" w:hAnsi="Arial" w:cs="Arial"/>
          <w:sz w:val="22"/>
          <w:szCs w:val="22"/>
        </w:rPr>
      </w:pPr>
      <w:r w:rsidRPr="002A36CE">
        <w:rPr>
          <w:rFonts w:ascii="Arial" w:hAnsi="Arial" w:cs="Arial"/>
          <w:sz w:val="22"/>
          <w:szCs w:val="22"/>
        </w:rPr>
        <w:t xml:space="preserve">A movimentação do PISP </w:t>
      </w:r>
      <w:r w:rsidR="00663162">
        <w:rPr>
          <w:rFonts w:ascii="Arial" w:hAnsi="Arial" w:cs="Arial"/>
          <w:sz w:val="22"/>
          <w:szCs w:val="22"/>
        </w:rPr>
        <w:t xml:space="preserve">no </w:t>
      </w:r>
      <w:r w:rsidR="00887F8B">
        <w:rPr>
          <w:rFonts w:ascii="Arial" w:hAnsi="Arial" w:cs="Arial"/>
          <w:sz w:val="22"/>
          <w:szCs w:val="22"/>
        </w:rPr>
        <w:t>primeiro trimestre</w:t>
      </w:r>
      <w:r w:rsidR="00B879CC">
        <w:rPr>
          <w:rFonts w:ascii="Arial" w:hAnsi="Arial" w:cs="Arial"/>
          <w:sz w:val="22"/>
          <w:szCs w:val="22"/>
        </w:rPr>
        <w:t xml:space="preserve"> de 202</w:t>
      </w:r>
      <w:r w:rsidR="00887F8B">
        <w:rPr>
          <w:rFonts w:ascii="Arial" w:hAnsi="Arial" w:cs="Arial"/>
          <w:sz w:val="22"/>
          <w:szCs w:val="22"/>
        </w:rPr>
        <w:t>6</w:t>
      </w:r>
      <w:r w:rsidR="00466188" w:rsidRPr="002A36CE">
        <w:rPr>
          <w:rFonts w:ascii="Arial" w:hAnsi="Arial" w:cs="Arial"/>
          <w:sz w:val="22"/>
          <w:szCs w:val="22"/>
        </w:rPr>
        <w:t xml:space="preserve"> </w:t>
      </w:r>
      <w:r w:rsidRPr="002A36CE">
        <w:rPr>
          <w:rFonts w:ascii="Arial" w:hAnsi="Arial" w:cs="Arial"/>
          <w:sz w:val="22"/>
          <w:szCs w:val="22"/>
        </w:rPr>
        <w:t>está apresentada no quadro a seguir:</w:t>
      </w:r>
    </w:p>
    <w:p w14:paraId="44399FCE" w14:textId="77777777" w:rsidR="005130E6" w:rsidRDefault="005130E6"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34"/>
        <w:gridCol w:w="2337"/>
      </w:tblGrid>
      <w:tr w:rsidR="00525FAD" w:rsidRPr="00281FEF" w14:paraId="02A654DA" w14:textId="77777777" w:rsidTr="00281FEF">
        <w:trPr>
          <w:trHeight w:val="232"/>
        </w:trPr>
        <w:tc>
          <w:tcPr>
            <w:tcW w:w="3804" w:type="pct"/>
            <w:noWrap/>
            <w:vAlign w:val="center"/>
            <w:hideMark/>
          </w:tcPr>
          <w:p w14:paraId="74773C82" w14:textId="77777777" w:rsidR="00525FAD" w:rsidRPr="00281FEF" w:rsidRDefault="00525FAD">
            <w:pPr>
              <w:rPr>
                <w:rFonts w:ascii="Arial" w:hAnsi="Arial" w:cs="Arial"/>
                <w:b/>
                <w:bCs/>
                <w:color w:val="000000"/>
                <w:sz w:val="18"/>
                <w:szCs w:val="18"/>
              </w:rPr>
            </w:pPr>
            <w:r w:rsidRPr="00281FEF">
              <w:rPr>
                <w:rFonts w:ascii="Arial" w:hAnsi="Arial" w:cs="Arial"/>
                <w:b/>
                <w:bCs/>
                <w:color w:val="000000"/>
                <w:sz w:val="18"/>
                <w:szCs w:val="18"/>
              </w:rPr>
              <w:t>Saldo em 31 de dezembro de 2025</w:t>
            </w:r>
          </w:p>
        </w:tc>
        <w:tc>
          <w:tcPr>
            <w:tcW w:w="1196" w:type="pct"/>
            <w:noWrap/>
            <w:vAlign w:val="center"/>
            <w:hideMark/>
          </w:tcPr>
          <w:p w14:paraId="1D59372C" w14:textId="77777777" w:rsidR="00525FAD" w:rsidRPr="00281FEF" w:rsidRDefault="00525FAD">
            <w:pPr>
              <w:jc w:val="right"/>
              <w:rPr>
                <w:rFonts w:ascii="Arial" w:hAnsi="Arial" w:cs="Arial"/>
                <w:b/>
                <w:bCs/>
                <w:color w:val="000000"/>
                <w:sz w:val="18"/>
                <w:szCs w:val="18"/>
              </w:rPr>
            </w:pPr>
            <w:r w:rsidRPr="00281FEF">
              <w:rPr>
                <w:rFonts w:ascii="Arial" w:hAnsi="Arial" w:cs="Arial"/>
                <w:b/>
                <w:bCs/>
                <w:color w:val="000000"/>
                <w:sz w:val="18"/>
                <w:szCs w:val="18"/>
              </w:rPr>
              <w:t xml:space="preserve">      21.266 </w:t>
            </w:r>
          </w:p>
        </w:tc>
      </w:tr>
      <w:tr w:rsidR="00525FAD" w:rsidRPr="00281FEF" w14:paraId="5EF709D6" w14:textId="77777777" w:rsidTr="00281FEF">
        <w:trPr>
          <w:trHeight w:val="232"/>
        </w:trPr>
        <w:tc>
          <w:tcPr>
            <w:tcW w:w="3804" w:type="pct"/>
            <w:noWrap/>
            <w:vAlign w:val="center"/>
            <w:hideMark/>
          </w:tcPr>
          <w:p w14:paraId="4211D5B5" w14:textId="77777777" w:rsidR="00525FAD" w:rsidRPr="00281FEF" w:rsidRDefault="00525FAD">
            <w:pPr>
              <w:rPr>
                <w:rFonts w:ascii="Arial" w:hAnsi="Arial" w:cs="Arial"/>
                <w:color w:val="000000"/>
                <w:sz w:val="18"/>
                <w:szCs w:val="18"/>
              </w:rPr>
            </w:pPr>
            <w:r w:rsidRPr="00281FEF">
              <w:rPr>
                <w:rFonts w:ascii="Arial" w:hAnsi="Arial" w:cs="Arial"/>
                <w:color w:val="000000"/>
                <w:sz w:val="18"/>
                <w:szCs w:val="18"/>
              </w:rPr>
              <w:t>Atualização da Provisão no Período</w:t>
            </w:r>
          </w:p>
        </w:tc>
        <w:tc>
          <w:tcPr>
            <w:tcW w:w="1196" w:type="pct"/>
            <w:noWrap/>
            <w:vAlign w:val="center"/>
            <w:hideMark/>
          </w:tcPr>
          <w:p w14:paraId="41406888" w14:textId="77777777" w:rsidR="00525FAD" w:rsidRPr="00281FEF" w:rsidRDefault="00525FAD">
            <w:pPr>
              <w:jc w:val="right"/>
              <w:rPr>
                <w:rFonts w:ascii="Arial" w:hAnsi="Arial" w:cs="Arial"/>
                <w:color w:val="000000"/>
                <w:sz w:val="18"/>
                <w:szCs w:val="18"/>
              </w:rPr>
            </w:pPr>
            <w:r w:rsidRPr="00281FEF">
              <w:rPr>
                <w:rFonts w:ascii="Arial" w:hAnsi="Arial" w:cs="Arial"/>
                <w:color w:val="000000"/>
                <w:sz w:val="18"/>
                <w:szCs w:val="18"/>
              </w:rPr>
              <w:t xml:space="preserve">               6 </w:t>
            </w:r>
          </w:p>
        </w:tc>
      </w:tr>
      <w:tr w:rsidR="00525FAD" w:rsidRPr="00281FEF" w14:paraId="6EB215AC" w14:textId="77777777" w:rsidTr="00281FEF">
        <w:trPr>
          <w:trHeight w:val="232"/>
        </w:trPr>
        <w:tc>
          <w:tcPr>
            <w:tcW w:w="3804" w:type="pct"/>
            <w:noWrap/>
            <w:vAlign w:val="center"/>
            <w:hideMark/>
          </w:tcPr>
          <w:p w14:paraId="46414E2E" w14:textId="77777777" w:rsidR="00525FAD" w:rsidRPr="00281FEF" w:rsidRDefault="00525FAD">
            <w:pPr>
              <w:rPr>
                <w:rFonts w:ascii="Arial" w:hAnsi="Arial" w:cs="Arial"/>
                <w:color w:val="000000"/>
                <w:sz w:val="18"/>
                <w:szCs w:val="18"/>
              </w:rPr>
            </w:pPr>
            <w:r w:rsidRPr="00281FEF">
              <w:rPr>
                <w:rFonts w:ascii="Arial" w:hAnsi="Arial" w:cs="Arial"/>
                <w:color w:val="000000"/>
                <w:sz w:val="18"/>
                <w:szCs w:val="18"/>
              </w:rPr>
              <w:t>Baixas</w:t>
            </w:r>
          </w:p>
        </w:tc>
        <w:tc>
          <w:tcPr>
            <w:tcW w:w="1196" w:type="pct"/>
            <w:noWrap/>
            <w:vAlign w:val="center"/>
            <w:hideMark/>
          </w:tcPr>
          <w:p w14:paraId="526102B7" w14:textId="77777777" w:rsidR="00525FAD" w:rsidRPr="00281FEF" w:rsidRDefault="00525FAD">
            <w:pPr>
              <w:jc w:val="right"/>
              <w:rPr>
                <w:rFonts w:ascii="Arial" w:hAnsi="Arial" w:cs="Arial"/>
                <w:color w:val="000000"/>
                <w:sz w:val="18"/>
                <w:szCs w:val="18"/>
              </w:rPr>
            </w:pPr>
            <w:r w:rsidRPr="00281FEF">
              <w:rPr>
                <w:rFonts w:ascii="Arial" w:hAnsi="Arial" w:cs="Arial"/>
                <w:color w:val="000000"/>
                <w:sz w:val="18"/>
                <w:szCs w:val="18"/>
              </w:rPr>
              <w:t xml:space="preserve">            (20)</w:t>
            </w:r>
          </w:p>
        </w:tc>
      </w:tr>
      <w:tr w:rsidR="00525FAD" w:rsidRPr="00281FEF" w14:paraId="577576DC" w14:textId="77777777" w:rsidTr="00281FEF">
        <w:trPr>
          <w:trHeight w:val="232"/>
        </w:trPr>
        <w:tc>
          <w:tcPr>
            <w:tcW w:w="3804" w:type="pct"/>
            <w:noWrap/>
            <w:vAlign w:val="center"/>
            <w:hideMark/>
          </w:tcPr>
          <w:p w14:paraId="40F6569A" w14:textId="77777777" w:rsidR="00525FAD" w:rsidRPr="00281FEF" w:rsidRDefault="00525FAD">
            <w:pPr>
              <w:rPr>
                <w:rFonts w:ascii="Arial" w:hAnsi="Arial" w:cs="Arial"/>
                <w:b/>
                <w:bCs/>
                <w:color w:val="000000"/>
                <w:sz w:val="18"/>
                <w:szCs w:val="18"/>
              </w:rPr>
            </w:pPr>
            <w:r w:rsidRPr="00281FEF">
              <w:rPr>
                <w:rFonts w:ascii="Arial" w:hAnsi="Arial" w:cs="Arial"/>
                <w:b/>
                <w:bCs/>
                <w:color w:val="000000"/>
                <w:sz w:val="18"/>
                <w:szCs w:val="18"/>
              </w:rPr>
              <w:t>Saldo em 31 de março de 2026</w:t>
            </w:r>
          </w:p>
        </w:tc>
        <w:tc>
          <w:tcPr>
            <w:tcW w:w="1196" w:type="pct"/>
            <w:noWrap/>
            <w:vAlign w:val="center"/>
            <w:hideMark/>
          </w:tcPr>
          <w:p w14:paraId="45653A2C" w14:textId="77777777" w:rsidR="00525FAD" w:rsidRPr="00281FEF" w:rsidRDefault="00525FAD">
            <w:pPr>
              <w:jc w:val="right"/>
              <w:rPr>
                <w:rFonts w:ascii="Arial" w:hAnsi="Arial" w:cs="Arial"/>
                <w:b/>
                <w:bCs/>
                <w:color w:val="000000"/>
                <w:sz w:val="18"/>
                <w:szCs w:val="18"/>
              </w:rPr>
            </w:pPr>
            <w:r w:rsidRPr="00281FEF">
              <w:rPr>
                <w:rFonts w:ascii="Arial" w:hAnsi="Arial" w:cs="Arial"/>
                <w:b/>
                <w:bCs/>
                <w:color w:val="000000"/>
                <w:sz w:val="18"/>
                <w:szCs w:val="18"/>
              </w:rPr>
              <w:t xml:space="preserve">      21.252 </w:t>
            </w:r>
          </w:p>
        </w:tc>
      </w:tr>
      <w:tr w:rsidR="00525FAD" w:rsidRPr="00281FEF" w14:paraId="2ACC73A5" w14:textId="77777777" w:rsidTr="00281FEF">
        <w:trPr>
          <w:trHeight w:val="232"/>
        </w:trPr>
        <w:tc>
          <w:tcPr>
            <w:tcW w:w="3804" w:type="pct"/>
            <w:noWrap/>
            <w:vAlign w:val="center"/>
            <w:hideMark/>
          </w:tcPr>
          <w:p w14:paraId="505DBDB2" w14:textId="77777777" w:rsidR="00525FAD" w:rsidRPr="00281FEF" w:rsidRDefault="00525FAD">
            <w:pPr>
              <w:rPr>
                <w:rFonts w:ascii="Arial" w:hAnsi="Arial" w:cs="Arial"/>
                <w:b/>
                <w:bCs/>
                <w:color w:val="000000"/>
                <w:sz w:val="18"/>
                <w:szCs w:val="18"/>
              </w:rPr>
            </w:pPr>
            <w:r w:rsidRPr="00281FEF">
              <w:rPr>
                <w:rFonts w:ascii="Arial" w:hAnsi="Arial" w:cs="Arial"/>
                <w:b/>
                <w:bCs/>
                <w:color w:val="000000"/>
                <w:sz w:val="18"/>
                <w:szCs w:val="18"/>
              </w:rPr>
              <w:t>Circulante</w:t>
            </w:r>
          </w:p>
        </w:tc>
        <w:tc>
          <w:tcPr>
            <w:tcW w:w="1196" w:type="pct"/>
            <w:noWrap/>
            <w:vAlign w:val="center"/>
            <w:hideMark/>
          </w:tcPr>
          <w:p w14:paraId="37434575" w14:textId="77777777" w:rsidR="00525FAD" w:rsidRPr="00281FEF" w:rsidRDefault="00525FAD">
            <w:pPr>
              <w:jc w:val="right"/>
              <w:rPr>
                <w:rFonts w:ascii="Arial" w:hAnsi="Arial" w:cs="Arial"/>
                <w:b/>
                <w:bCs/>
                <w:color w:val="000000"/>
                <w:sz w:val="18"/>
                <w:szCs w:val="18"/>
              </w:rPr>
            </w:pPr>
            <w:r w:rsidRPr="00281FEF">
              <w:rPr>
                <w:rFonts w:ascii="Arial" w:hAnsi="Arial" w:cs="Arial"/>
                <w:b/>
                <w:bCs/>
                <w:color w:val="000000"/>
                <w:sz w:val="18"/>
                <w:szCs w:val="18"/>
              </w:rPr>
              <w:t xml:space="preserve">        2.189 </w:t>
            </w:r>
          </w:p>
        </w:tc>
      </w:tr>
      <w:tr w:rsidR="00525FAD" w14:paraId="25017D22" w14:textId="77777777" w:rsidTr="00281FEF">
        <w:trPr>
          <w:trHeight w:val="232"/>
        </w:trPr>
        <w:tc>
          <w:tcPr>
            <w:tcW w:w="3804" w:type="pct"/>
            <w:noWrap/>
            <w:vAlign w:val="center"/>
            <w:hideMark/>
          </w:tcPr>
          <w:p w14:paraId="007D4821" w14:textId="77777777" w:rsidR="00525FAD" w:rsidRPr="00281FEF" w:rsidRDefault="00525FAD">
            <w:pPr>
              <w:rPr>
                <w:rFonts w:ascii="Arial" w:hAnsi="Arial" w:cs="Arial"/>
                <w:b/>
                <w:bCs/>
                <w:color w:val="000000"/>
                <w:sz w:val="18"/>
                <w:szCs w:val="18"/>
              </w:rPr>
            </w:pPr>
            <w:r w:rsidRPr="00281FEF">
              <w:rPr>
                <w:rFonts w:ascii="Arial" w:hAnsi="Arial" w:cs="Arial"/>
                <w:b/>
                <w:bCs/>
                <w:color w:val="000000"/>
                <w:sz w:val="18"/>
                <w:szCs w:val="18"/>
              </w:rPr>
              <w:t>Não circulante</w:t>
            </w:r>
          </w:p>
        </w:tc>
        <w:tc>
          <w:tcPr>
            <w:tcW w:w="1196" w:type="pct"/>
            <w:noWrap/>
            <w:vAlign w:val="center"/>
            <w:hideMark/>
          </w:tcPr>
          <w:p w14:paraId="6144BC87" w14:textId="77777777" w:rsidR="00525FAD" w:rsidRDefault="00525FAD">
            <w:pPr>
              <w:jc w:val="right"/>
              <w:rPr>
                <w:rFonts w:ascii="Arial" w:hAnsi="Arial" w:cs="Arial"/>
                <w:b/>
                <w:bCs/>
                <w:color w:val="000000"/>
                <w:sz w:val="18"/>
                <w:szCs w:val="18"/>
              </w:rPr>
            </w:pPr>
            <w:r w:rsidRPr="00281FEF">
              <w:rPr>
                <w:rFonts w:ascii="Arial" w:hAnsi="Arial" w:cs="Arial"/>
                <w:b/>
                <w:bCs/>
                <w:color w:val="000000"/>
                <w:sz w:val="18"/>
                <w:szCs w:val="18"/>
              </w:rPr>
              <w:t xml:space="preserve">      19.063</w:t>
            </w:r>
            <w:r>
              <w:rPr>
                <w:rFonts w:ascii="Arial" w:hAnsi="Arial" w:cs="Arial"/>
                <w:b/>
                <w:bCs/>
                <w:color w:val="000000"/>
                <w:sz w:val="18"/>
                <w:szCs w:val="18"/>
              </w:rPr>
              <w:t xml:space="preserve"> </w:t>
            </w:r>
          </w:p>
        </w:tc>
      </w:tr>
    </w:tbl>
    <w:p w14:paraId="59884026" w14:textId="77777777" w:rsidR="00EF4FBF" w:rsidRDefault="00EF4FBF" w:rsidP="00597FE5">
      <w:pPr>
        <w:spacing w:line="276" w:lineRule="auto"/>
        <w:jc w:val="both"/>
        <w:rPr>
          <w:rFonts w:ascii="Arial" w:hAnsi="Arial" w:cs="Arial"/>
          <w:sz w:val="16"/>
          <w:szCs w:val="16"/>
        </w:rPr>
      </w:pPr>
    </w:p>
    <w:p w14:paraId="59393703" w14:textId="77777777" w:rsidR="00EF4FBF" w:rsidRPr="00D8396F" w:rsidRDefault="00EF4FBF" w:rsidP="00597FE5">
      <w:pPr>
        <w:spacing w:line="276" w:lineRule="auto"/>
        <w:jc w:val="both"/>
        <w:rPr>
          <w:rFonts w:ascii="Arial" w:hAnsi="Arial" w:cs="Arial"/>
          <w:sz w:val="16"/>
          <w:szCs w:val="16"/>
        </w:rPr>
      </w:pPr>
    </w:p>
    <w:p w14:paraId="3EEF3607" w14:textId="77777777" w:rsidR="00287F78" w:rsidRPr="002A36CE" w:rsidRDefault="00287F78"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35" w:name="_Toc491337740"/>
      <w:r w:rsidRPr="002A36CE">
        <w:rPr>
          <w:rFonts w:ascii="Arial" w:hAnsi="Arial" w:cs="Arial"/>
        </w:rPr>
        <w:t>GRUPAMENTO DE AÇÕES</w:t>
      </w:r>
      <w:r w:rsidR="008C13F7" w:rsidRPr="002A36CE">
        <w:rPr>
          <w:rFonts w:ascii="Arial" w:hAnsi="Arial" w:cs="Arial"/>
        </w:rPr>
        <w:t xml:space="preserve"> (Leilão de frações)</w:t>
      </w:r>
      <w:bookmarkEnd w:id="35"/>
    </w:p>
    <w:p w14:paraId="79F89191" w14:textId="19C7EDEB" w:rsidR="00287F78" w:rsidRPr="002C6143" w:rsidRDefault="00287F78" w:rsidP="00597FE5">
      <w:pPr>
        <w:spacing w:line="276" w:lineRule="auto"/>
        <w:rPr>
          <w:color w:val="FF0000"/>
          <w:sz w:val="8"/>
          <w:szCs w:val="8"/>
        </w:rPr>
      </w:pPr>
    </w:p>
    <w:p w14:paraId="41908789" w14:textId="77777777" w:rsidR="00BA7671" w:rsidRDefault="00FE6CB5" w:rsidP="00BA7671">
      <w:pPr>
        <w:spacing w:line="276" w:lineRule="auto"/>
        <w:jc w:val="both"/>
        <w:rPr>
          <w:rFonts w:ascii="Arial" w:hAnsi="Arial" w:cs="Arial"/>
          <w:sz w:val="22"/>
          <w:szCs w:val="22"/>
        </w:rPr>
      </w:pPr>
      <w:r w:rsidRPr="00062CD3">
        <w:rPr>
          <w:rFonts w:ascii="Arial" w:hAnsi="Arial" w:cs="Arial"/>
          <w:sz w:val="22"/>
          <w:szCs w:val="22"/>
        </w:rPr>
        <w:t>Representa os valores arrecadados com a realização do leil</w:t>
      </w:r>
      <w:r w:rsidR="00BA7671">
        <w:rPr>
          <w:rFonts w:ascii="Arial" w:hAnsi="Arial" w:cs="Arial"/>
          <w:sz w:val="22"/>
          <w:szCs w:val="22"/>
        </w:rPr>
        <w:t>ão</w:t>
      </w:r>
      <w:r w:rsidRPr="00062CD3">
        <w:rPr>
          <w:rFonts w:ascii="Arial" w:hAnsi="Arial" w:cs="Arial"/>
          <w:sz w:val="22"/>
          <w:szCs w:val="22"/>
        </w:rPr>
        <w:t xml:space="preserve"> das frações de ações após o </w:t>
      </w:r>
      <w:r w:rsidR="00BC12BE" w:rsidRPr="00062CD3">
        <w:rPr>
          <w:rFonts w:ascii="Arial" w:hAnsi="Arial" w:cs="Arial"/>
          <w:sz w:val="22"/>
          <w:szCs w:val="22"/>
        </w:rPr>
        <w:t xml:space="preserve">processo de </w:t>
      </w:r>
      <w:r w:rsidRPr="00062CD3">
        <w:rPr>
          <w:rFonts w:ascii="Arial" w:hAnsi="Arial" w:cs="Arial"/>
          <w:sz w:val="22"/>
          <w:szCs w:val="22"/>
        </w:rPr>
        <w:t>grupamento</w:t>
      </w:r>
      <w:r w:rsidR="00BA7671">
        <w:rPr>
          <w:rFonts w:ascii="Arial" w:hAnsi="Arial" w:cs="Arial"/>
          <w:sz w:val="22"/>
          <w:szCs w:val="22"/>
        </w:rPr>
        <w:t xml:space="preserve"> realizado no ano de 2018, cujo montante totalizou R$ 680. </w:t>
      </w:r>
      <w:r w:rsidR="00BA7671" w:rsidRPr="00062CD3">
        <w:rPr>
          <w:rFonts w:ascii="Arial" w:hAnsi="Arial" w:cs="Arial"/>
          <w:sz w:val="22"/>
          <w:szCs w:val="22"/>
        </w:rPr>
        <w:t>Este valor aguarda a manifestação dos acionistas que detêm o direito de receber tais valores para que o pagamento seja realizado.</w:t>
      </w:r>
      <w:r w:rsidR="00BA7671">
        <w:rPr>
          <w:rFonts w:ascii="Arial" w:hAnsi="Arial" w:cs="Arial"/>
          <w:sz w:val="22"/>
          <w:szCs w:val="22"/>
        </w:rPr>
        <w:t xml:space="preserve"> </w:t>
      </w:r>
    </w:p>
    <w:p w14:paraId="4B512298" w14:textId="77777777" w:rsidR="00496B3E" w:rsidRDefault="00496B3E" w:rsidP="00597FE5">
      <w:pPr>
        <w:spacing w:line="276" w:lineRule="auto"/>
        <w:jc w:val="both"/>
        <w:rPr>
          <w:rFonts w:ascii="Arial" w:hAnsi="Arial" w:cs="Arial"/>
          <w:sz w:val="22"/>
          <w:szCs w:val="22"/>
        </w:rPr>
      </w:pPr>
    </w:p>
    <w:p w14:paraId="58B744F1" w14:textId="77777777" w:rsidR="002850A1" w:rsidRPr="002A36CE"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36" w:name="_Toc491337741"/>
      <w:r w:rsidRPr="002A36CE">
        <w:rPr>
          <w:rFonts w:ascii="Arial" w:hAnsi="Arial" w:cs="Arial"/>
        </w:rPr>
        <w:t>FORNECEDORES</w:t>
      </w:r>
      <w:bookmarkEnd w:id="36"/>
    </w:p>
    <w:p w14:paraId="09DCB56F" w14:textId="1CD999A9" w:rsidR="002850A1" w:rsidRPr="00352F14" w:rsidRDefault="002850A1" w:rsidP="002850A1">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183E89" w:rsidRPr="001E7A81" w14:paraId="0F97AB14" w14:textId="77777777" w:rsidTr="00183E89">
        <w:trPr>
          <w:trHeight w:val="232"/>
        </w:trPr>
        <w:tc>
          <w:tcPr>
            <w:tcW w:w="3022" w:type="pct"/>
            <w:shd w:val="clear" w:color="000000" w:fill="D9D9D9"/>
            <w:noWrap/>
            <w:vAlign w:val="center"/>
            <w:hideMark/>
          </w:tcPr>
          <w:p w14:paraId="0916569B" w14:textId="77777777" w:rsidR="00183E89" w:rsidRPr="001E7A81" w:rsidRDefault="00183E89">
            <w:pPr>
              <w:rPr>
                <w:rFonts w:ascii="Arial" w:hAnsi="Arial" w:cs="Arial"/>
                <w:b/>
                <w:bCs/>
                <w:color w:val="000000"/>
                <w:sz w:val="18"/>
                <w:szCs w:val="18"/>
              </w:rPr>
            </w:pPr>
            <w:r w:rsidRPr="001E7A81">
              <w:rPr>
                <w:rFonts w:ascii="Arial" w:hAnsi="Arial" w:cs="Arial"/>
                <w:b/>
                <w:bCs/>
                <w:color w:val="000000"/>
                <w:sz w:val="18"/>
                <w:szCs w:val="18"/>
              </w:rPr>
              <w:t>Composição: </w:t>
            </w:r>
          </w:p>
        </w:tc>
        <w:tc>
          <w:tcPr>
            <w:tcW w:w="989" w:type="pct"/>
            <w:noWrap/>
            <w:vAlign w:val="center"/>
            <w:hideMark/>
          </w:tcPr>
          <w:p w14:paraId="39053BF8" w14:textId="77777777" w:rsidR="00183E89" w:rsidRPr="001E7A81" w:rsidRDefault="00183E89">
            <w:pPr>
              <w:jc w:val="center"/>
              <w:rPr>
                <w:rFonts w:ascii="Arial" w:hAnsi="Arial" w:cs="Arial"/>
                <w:b/>
                <w:bCs/>
                <w:color w:val="000000"/>
                <w:sz w:val="18"/>
                <w:szCs w:val="18"/>
              </w:rPr>
            </w:pPr>
            <w:r w:rsidRPr="001E7A81">
              <w:rPr>
                <w:rFonts w:ascii="Arial" w:hAnsi="Arial" w:cs="Arial"/>
                <w:b/>
                <w:bCs/>
                <w:color w:val="000000"/>
                <w:sz w:val="18"/>
                <w:szCs w:val="18"/>
              </w:rPr>
              <w:t>31/03/2026</w:t>
            </w:r>
          </w:p>
        </w:tc>
        <w:tc>
          <w:tcPr>
            <w:tcW w:w="989" w:type="pct"/>
            <w:noWrap/>
            <w:vAlign w:val="center"/>
            <w:hideMark/>
          </w:tcPr>
          <w:p w14:paraId="18DA73C2" w14:textId="1057D9AC" w:rsidR="00183E89" w:rsidRPr="001E7A81" w:rsidRDefault="00183E89">
            <w:pPr>
              <w:jc w:val="center"/>
              <w:rPr>
                <w:rFonts w:ascii="Arial" w:hAnsi="Arial" w:cs="Arial"/>
                <w:b/>
                <w:bCs/>
                <w:color w:val="000000"/>
                <w:sz w:val="18"/>
                <w:szCs w:val="18"/>
              </w:rPr>
            </w:pPr>
            <w:r w:rsidRPr="001E7A81">
              <w:rPr>
                <w:rFonts w:ascii="Arial" w:hAnsi="Arial" w:cs="Arial"/>
                <w:b/>
                <w:bCs/>
                <w:color w:val="000000"/>
                <w:sz w:val="18"/>
                <w:szCs w:val="18"/>
              </w:rPr>
              <w:t>31/12/202</w:t>
            </w:r>
            <w:r w:rsidR="00A030DA" w:rsidRPr="001E7A81">
              <w:rPr>
                <w:rFonts w:ascii="Arial" w:hAnsi="Arial" w:cs="Arial"/>
                <w:b/>
                <w:bCs/>
                <w:color w:val="000000"/>
                <w:sz w:val="18"/>
                <w:szCs w:val="18"/>
              </w:rPr>
              <w:t>5</w:t>
            </w:r>
          </w:p>
        </w:tc>
      </w:tr>
      <w:tr w:rsidR="00183E89" w:rsidRPr="001E7A81" w14:paraId="35D6C03D" w14:textId="77777777" w:rsidTr="00183E89">
        <w:trPr>
          <w:trHeight w:val="232"/>
        </w:trPr>
        <w:tc>
          <w:tcPr>
            <w:tcW w:w="3022" w:type="pct"/>
            <w:noWrap/>
            <w:vAlign w:val="center"/>
            <w:hideMark/>
          </w:tcPr>
          <w:p w14:paraId="488ACA53" w14:textId="77777777" w:rsidR="00183E89" w:rsidRPr="001E7A81" w:rsidRDefault="00183E89">
            <w:pPr>
              <w:rPr>
                <w:rFonts w:ascii="Arial" w:hAnsi="Arial" w:cs="Arial"/>
                <w:color w:val="000000"/>
                <w:sz w:val="18"/>
                <w:szCs w:val="18"/>
              </w:rPr>
            </w:pPr>
            <w:r w:rsidRPr="001E7A81">
              <w:rPr>
                <w:rFonts w:ascii="Arial" w:hAnsi="Arial" w:cs="Arial"/>
                <w:color w:val="000000"/>
                <w:sz w:val="18"/>
                <w:szCs w:val="18"/>
              </w:rPr>
              <w:t>Fornecedores de Operação</w:t>
            </w:r>
          </w:p>
        </w:tc>
        <w:tc>
          <w:tcPr>
            <w:tcW w:w="989" w:type="pct"/>
            <w:noWrap/>
            <w:vAlign w:val="center"/>
            <w:hideMark/>
          </w:tcPr>
          <w:p w14:paraId="0F80A480" w14:textId="77777777" w:rsidR="00183E89" w:rsidRPr="001E7A81" w:rsidRDefault="00183E89">
            <w:pPr>
              <w:jc w:val="right"/>
              <w:rPr>
                <w:rFonts w:ascii="Arial" w:hAnsi="Arial" w:cs="Arial"/>
                <w:color w:val="000000"/>
                <w:sz w:val="18"/>
                <w:szCs w:val="18"/>
              </w:rPr>
            </w:pPr>
            <w:r w:rsidRPr="001E7A81">
              <w:rPr>
                <w:rFonts w:ascii="Arial" w:hAnsi="Arial" w:cs="Arial"/>
                <w:color w:val="000000"/>
                <w:sz w:val="18"/>
                <w:szCs w:val="18"/>
              </w:rPr>
              <w:t>160.021</w:t>
            </w:r>
          </w:p>
        </w:tc>
        <w:tc>
          <w:tcPr>
            <w:tcW w:w="989" w:type="pct"/>
            <w:noWrap/>
            <w:vAlign w:val="center"/>
            <w:hideMark/>
          </w:tcPr>
          <w:p w14:paraId="55338DE0" w14:textId="77777777" w:rsidR="00183E89" w:rsidRPr="001E7A81" w:rsidRDefault="00183E89">
            <w:pPr>
              <w:jc w:val="right"/>
              <w:rPr>
                <w:rFonts w:ascii="Arial" w:hAnsi="Arial" w:cs="Arial"/>
                <w:color w:val="000000"/>
                <w:sz w:val="18"/>
                <w:szCs w:val="18"/>
              </w:rPr>
            </w:pPr>
            <w:r w:rsidRPr="001E7A81">
              <w:rPr>
                <w:rFonts w:ascii="Arial" w:hAnsi="Arial" w:cs="Arial"/>
                <w:color w:val="000000"/>
                <w:sz w:val="18"/>
                <w:szCs w:val="18"/>
              </w:rPr>
              <w:t>145.743</w:t>
            </w:r>
          </w:p>
        </w:tc>
      </w:tr>
      <w:tr w:rsidR="00183E89" w:rsidRPr="001E7A81" w14:paraId="69FD249A" w14:textId="77777777" w:rsidTr="00183E89">
        <w:trPr>
          <w:trHeight w:val="232"/>
        </w:trPr>
        <w:tc>
          <w:tcPr>
            <w:tcW w:w="3022" w:type="pct"/>
            <w:noWrap/>
            <w:vAlign w:val="center"/>
            <w:hideMark/>
          </w:tcPr>
          <w:p w14:paraId="0A99B34A" w14:textId="77777777" w:rsidR="00183E89" w:rsidRPr="001E7A81" w:rsidRDefault="00183E89">
            <w:pPr>
              <w:rPr>
                <w:rFonts w:ascii="Arial" w:hAnsi="Arial" w:cs="Arial"/>
                <w:color w:val="000000"/>
                <w:sz w:val="18"/>
                <w:szCs w:val="18"/>
              </w:rPr>
            </w:pPr>
            <w:r w:rsidRPr="001E7A81">
              <w:rPr>
                <w:rFonts w:ascii="Arial" w:hAnsi="Arial" w:cs="Arial"/>
                <w:color w:val="000000"/>
                <w:sz w:val="18"/>
                <w:szCs w:val="18"/>
              </w:rPr>
              <w:t>Fornecedores de Expansão</w:t>
            </w:r>
          </w:p>
        </w:tc>
        <w:tc>
          <w:tcPr>
            <w:tcW w:w="989" w:type="pct"/>
            <w:noWrap/>
            <w:vAlign w:val="center"/>
            <w:hideMark/>
          </w:tcPr>
          <w:p w14:paraId="457FCA2A" w14:textId="77777777" w:rsidR="00183E89" w:rsidRPr="001E7A81" w:rsidRDefault="00183E89">
            <w:pPr>
              <w:jc w:val="right"/>
              <w:rPr>
                <w:rFonts w:ascii="Arial" w:hAnsi="Arial" w:cs="Arial"/>
                <w:color w:val="000000"/>
                <w:sz w:val="18"/>
                <w:szCs w:val="18"/>
              </w:rPr>
            </w:pPr>
            <w:r w:rsidRPr="001E7A81">
              <w:rPr>
                <w:rFonts w:ascii="Arial" w:hAnsi="Arial" w:cs="Arial"/>
                <w:color w:val="000000"/>
                <w:sz w:val="18"/>
                <w:szCs w:val="18"/>
              </w:rPr>
              <w:t>7.373</w:t>
            </w:r>
          </w:p>
        </w:tc>
        <w:tc>
          <w:tcPr>
            <w:tcW w:w="989" w:type="pct"/>
            <w:noWrap/>
            <w:vAlign w:val="center"/>
            <w:hideMark/>
          </w:tcPr>
          <w:p w14:paraId="527B9482" w14:textId="77777777" w:rsidR="00183E89" w:rsidRPr="001E7A81" w:rsidRDefault="00183E89">
            <w:pPr>
              <w:jc w:val="right"/>
              <w:rPr>
                <w:rFonts w:ascii="Arial" w:hAnsi="Arial" w:cs="Arial"/>
                <w:color w:val="000000"/>
                <w:sz w:val="18"/>
                <w:szCs w:val="18"/>
              </w:rPr>
            </w:pPr>
            <w:r w:rsidRPr="001E7A81">
              <w:rPr>
                <w:rFonts w:ascii="Arial" w:hAnsi="Arial" w:cs="Arial"/>
                <w:color w:val="000000"/>
                <w:sz w:val="18"/>
                <w:szCs w:val="18"/>
              </w:rPr>
              <w:t>6.051</w:t>
            </w:r>
          </w:p>
        </w:tc>
      </w:tr>
      <w:tr w:rsidR="00183E89" w:rsidRPr="001E7A81" w14:paraId="3C6D2B67" w14:textId="77777777" w:rsidTr="00183E89">
        <w:trPr>
          <w:trHeight w:val="232"/>
        </w:trPr>
        <w:tc>
          <w:tcPr>
            <w:tcW w:w="3022" w:type="pct"/>
            <w:noWrap/>
            <w:vAlign w:val="center"/>
            <w:hideMark/>
          </w:tcPr>
          <w:p w14:paraId="2F721EEF" w14:textId="77777777" w:rsidR="00183E89" w:rsidRPr="001E7A81" w:rsidRDefault="00183E89">
            <w:pPr>
              <w:rPr>
                <w:rFonts w:ascii="Arial" w:hAnsi="Arial" w:cs="Arial"/>
                <w:b/>
                <w:bCs/>
                <w:color w:val="000000"/>
                <w:sz w:val="18"/>
                <w:szCs w:val="18"/>
              </w:rPr>
            </w:pPr>
            <w:r w:rsidRPr="001E7A81">
              <w:rPr>
                <w:rFonts w:ascii="Arial" w:hAnsi="Arial" w:cs="Arial"/>
                <w:b/>
                <w:bCs/>
                <w:color w:val="000000"/>
                <w:sz w:val="18"/>
                <w:szCs w:val="18"/>
              </w:rPr>
              <w:t>Total</w:t>
            </w:r>
          </w:p>
        </w:tc>
        <w:tc>
          <w:tcPr>
            <w:tcW w:w="989" w:type="pct"/>
            <w:noWrap/>
            <w:vAlign w:val="center"/>
            <w:hideMark/>
          </w:tcPr>
          <w:p w14:paraId="48197B62" w14:textId="77777777" w:rsidR="00183E89" w:rsidRPr="001E7A81" w:rsidRDefault="00183E89">
            <w:pPr>
              <w:jc w:val="right"/>
              <w:rPr>
                <w:rFonts w:ascii="Arial" w:hAnsi="Arial" w:cs="Arial"/>
                <w:b/>
                <w:bCs/>
                <w:color w:val="000000"/>
                <w:sz w:val="18"/>
                <w:szCs w:val="18"/>
              </w:rPr>
            </w:pPr>
            <w:r w:rsidRPr="001E7A81">
              <w:rPr>
                <w:rFonts w:ascii="Arial" w:hAnsi="Arial" w:cs="Arial"/>
                <w:b/>
                <w:bCs/>
                <w:color w:val="000000"/>
                <w:sz w:val="18"/>
                <w:szCs w:val="18"/>
              </w:rPr>
              <w:t>167.394</w:t>
            </w:r>
          </w:p>
        </w:tc>
        <w:tc>
          <w:tcPr>
            <w:tcW w:w="989" w:type="pct"/>
            <w:noWrap/>
            <w:vAlign w:val="center"/>
            <w:hideMark/>
          </w:tcPr>
          <w:p w14:paraId="149F4029" w14:textId="77777777" w:rsidR="00183E89" w:rsidRPr="001E7A81" w:rsidRDefault="00183E89">
            <w:pPr>
              <w:jc w:val="right"/>
              <w:rPr>
                <w:rFonts w:ascii="Arial" w:hAnsi="Arial" w:cs="Arial"/>
                <w:b/>
                <w:bCs/>
                <w:color w:val="000000"/>
                <w:sz w:val="18"/>
                <w:szCs w:val="18"/>
              </w:rPr>
            </w:pPr>
            <w:r w:rsidRPr="001E7A81">
              <w:rPr>
                <w:rFonts w:ascii="Arial" w:hAnsi="Arial" w:cs="Arial"/>
                <w:b/>
                <w:bCs/>
                <w:color w:val="000000"/>
                <w:sz w:val="18"/>
                <w:szCs w:val="18"/>
              </w:rPr>
              <w:t>151.794</w:t>
            </w:r>
          </w:p>
        </w:tc>
      </w:tr>
      <w:tr w:rsidR="00183E89" w14:paraId="11291CFC" w14:textId="77777777" w:rsidTr="00183E89">
        <w:trPr>
          <w:trHeight w:val="232"/>
        </w:trPr>
        <w:tc>
          <w:tcPr>
            <w:tcW w:w="3022" w:type="pct"/>
            <w:noWrap/>
            <w:vAlign w:val="center"/>
            <w:hideMark/>
          </w:tcPr>
          <w:p w14:paraId="4326E556" w14:textId="77777777" w:rsidR="00183E89" w:rsidRPr="001E7A81" w:rsidRDefault="00183E89">
            <w:pPr>
              <w:rPr>
                <w:rFonts w:ascii="Arial" w:hAnsi="Arial" w:cs="Arial"/>
                <w:b/>
                <w:bCs/>
                <w:color w:val="000000"/>
                <w:sz w:val="18"/>
                <w:szCs w:val="18"/>
              </w:rPr>
            </w:pPr>
            <w:r w:rsidRPr="001E7A81">
              <w:rPr>
                <w:rFonts w:ascii="Arial" w:hAnsi="Arial" w:cs="Arial"/>
                <w:b/>
                <w:bCs/>
                <w:color w:val="000000"/>
                <w:sz w:val="18"/>
                <w:szCs w:val="18"/>
              </w:rPr>
              <w:t>Circulante</w:t>
            </w:r>
          </w:p>
        </w:tc>
        <w:tc>
          <w:tcPr>
            <w:tcW w:w="989" w:type="pct"/>
            <w:noWrap/>
            <w:vAlign w:val="center"/>
            <w:hideMark/>
          </w:tcPr>
          <w:p w14:paraId="4638E2B1" w14:textId="77777777" w:rsidR="00183E89" w:rsidRPr="001E7A81" w:rsidRDefault="00183E89">
            <w:pPr>
              <w:jc w:val="right"/>
              <w:rPr>
                <w:rFonts w:ascii="Arial" w:hAnsi="Arial" w:cs="Arial"/>
                <w:b/>
                <w:bCs/>
                <w:color w:val="000000"/>
                <w:sz w:val="18"/>
                <w:szCs w:val="18"/>
              </w:rPr>
            </w:pPr>
            <w:r w:rsidRPr="001E7A81">
              <w:rPr>
                <w:rFonts w:ascii="Arial" w:hAnsi="Arial" w:cs="Arial"/>
                <w:b/>
                <w:bCs/>
                <w:color w:val="000000"/>
                <w:sz w:val="18"/>
                <w:szCs w:val="18"/>
              </w:rPr>
              <w:t>167.394</w:t>
            </w:r>
          </w:p>
        </w:tc>
        <w:tc>
          <w:tcPr>
            <w:tcW w:w="989" w:type="pct"/>
            <w:noWrap/>
            <w:vAlign w:val="center"/>
            <w:hideMark/>
          </w:tcPr>
          <w:p w14:paraId="0F5D80F6" w14:textId="77777777" w:rsidR="00183E89" w:rsidRDefault="00183E89">
            <w:pPr>
              <w:jc w:val="right"/>
              <w:rPr>
                <w:rFonts w:ascii="Arial" w:hAnsi="Arial" w:cs="Arial"/>
                <w:b/>
                <w:bCs/>
                <w:color w:val="000000"/>
                <w:sz w:val="18"/>
                <w:szCs w:val="18"/>
              </w:rPr>
            </w:pPr>
            <w:r w:rsidRPr="001E7A81">
              <w:rPr>
                <w:rFonts w:ascii="Arial" w:hAnsi="Arial" w:cs="Arial"/>
                <w:b/>
                <w:bCs/>
                <w:color w:val="000000"/>
                <w:sz w:val="18"/>
                <w:szCs w:val="18"/>
              </w:rPr>
              <w:t>151.794</w:t>
            </w:r>
          </w:p>
        </w:tc>
      </w:tr>
    </w:tbl>
    <w:p w14:paraId="75AEBA32" w14:textId="4B2A0F2B" w:rsidR="003024D3" w:rsidRPr="002A36CE" w:rsidRDefault="003024D3" w:rsidP="003024D3">
      <w:pPr>
        <w:pStyle w:val="Ttulo2"/>
        <w:numPr>
          <w:ilvl w:val="0"/>
          <w:numId w:val="7"/>
        </w:numPr>
        <w:tabs>
          <w:tab w:val="clear" w:pos="284"/>
          <w:tab w:val="clear" w:pos="340"/>
        </w:tabs>
        <w:spacing w:before="0" w:after="0"/>
        <w:ind w:left="851" w:hanging="851"/>
        <w:jc w:val="both"/>
        <w:rPr>
          <w:rFonts w:ascii="Arial" w:hAnsi="Arial" w:cs="Arial"/>
        </w:rPr>
      </w:pPr>
      <w:r w:rsidRPr="002A36CE">
        <w:rPr>
          <w:rFonts w:ascii="Arial" w:hAnsi="Arial" w:cs="Arial"/>
        </w:rPr>
        <w:lastRenderedPageBreak/>
        <w:t>TRIBUTOS DIRETOS</w:t>
      </w:r>
    </w:p>
    <w:p w14:paraId="7485AF17" w14:textId="77777777" w:rsidR="003024D3" w:rsidRDefault="003024D3" w:rsidP="001C6712">
      <w:pPr>
        <w:jc w:val="both"/>
        <w:rPr>
          <w:rFonts w:ascii="Arial" w:hAnsi="Arial" w:cs="Arial"/>
          <w:sz w:val="22"/>
          <w:szCs w:val="22"/>
        </w:rPr>
      </w:pPr>
    </w:p>
    <w:p w14:paraId="6373F1FA" w14:textId="77777777" w:rsidR="004429C7" w:rsidRDefault="004429C7" w:rsidP="004429C7">
      <w:pPr>
        <w:spacing w:line="276" w:lineRule="auto"/>
        <w:jc w:val="both"/>
        <w:rPr>
          <w:rFonts w:ascii="Arial" w:hAnsi="Arial" w:cs="Arial"/>
          <w:sz w:val="22"/>
          <w:szCs w:val="22"/>
        </w:rPr>
      </w:pPr>
      <w:r w:rsidRPr="004429C7">
        <w:rPr>
          <w:rFonts w:ascii="Arial" w:hAnsi="Arial" w:cs="Arial"/>
          <w:sz w:val="22"/>
          <w:szCs w:val="22"/>
        </w:rPr>
        <w:t>No exercício de 2025, a Telebras apresentou lucro tributável no montante de R$ 179.448. Após a compensação dos prejuízos fiscais (limitada a 30%) e da dedução referente ao incentivo fiscal do Programa de Alimentação do Trabalhador (PAT), foi apurado tributo a pagar no valor total de R$ 41.932, sendo R$ 30.626 relativos ao Imposto de Renda e R$ 11.306 referentes à Contribuição Social sobre o Lucro Líquido.</w:t>
      </w:r>
    </w:p>
    <w:p w14:paraId="487A1A24" w14:textId="77777777" w:rsidR="00E614A9" w:rsidRDefault="00E614A9" w:rsidP="001C6712">
      <w:pPr>
        <w:jc w:val="both"/>
        <w:rPr>
          <w:rFonts w:ascii="Arial" w:hAnsi="Arial" w:cs="Arial"/>
          <w:sz w:val="22"/>
          <w:szCs w:val="22"/>
        </w:rPr>
      </w:pPr>
    </w:p>
    <w:p w14:paraId="42E572D3" w14:textId="77777777" w:rsidR="002850A1" w:rsidRPr="002A36CE" w:rsidRDefault="002850A1" w:rsidP="009541E1">
      <w:pPr>
        <w:pStyle w:val="Ttulo2"/>
        <w:numPr>
          <w:ilvl w:val="0"/>
          <w:numId w:val="7"/>
        </w:numPr>
        <w:tabs>
          <w:tab w:val="clear" w:pos="284"/>
          <w:tab w:val="clear" w:pos="340"/>
        </w:tabs>
        <w:spacing w:before="0" w:after="0"/>
        <w:ind w:left="851" w:hanging="851"/>
        <w:jc w:val="both"/>
        <w:rPr>
          <w:rFonts w:ascii="Arial" w:hAnsi="Arial" w:cs="Arial"/>
        </w:rPr>
      </w:pPr>
      <w:bookmarkStart w:id="37" w:name="_Toc491337742"/>
      <w:r w:rsidRPr="002A36CE">
        <w:rPr>
          <w:rFonts w:ascii="Arial" w:hAnsi="Arial" w:cs="Arial"/>
        </w:rPr>
        <w:t>TRIBUTOS INDIRETOS</w:t>
      </w:r>
      <w:bookmarkEnd w:id="37"/>
    </w:p>
    <w:p w14:paraId="0F7D8DE9" w14:textId="65CBAB2C" w:rsidR="002E15E9" w:rsidRDefault="002E15E9" w:rsidP="002850A1">
      <w:pPr>
        <w:rPr>
          <w:sz w:val="14"/>
          <w:szCs w:val="14"/>
        </w:rPr>
      </w:pPr>
    </w:p>
    <w:p w14:paraId="140DFBD7" w14:textId="77777777" w:rsidR="00126EBF" w:rsidRDefault="00126EBF" w:rsidP="002850A1">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7"/>
        <w:gridCol w:w="1257"/>
        <w:gridCol w:w="1257"/>
      </w:tblGrid>
      <w:tr w:rsidR="00126EBF" w:rsidRPr="00C45B15" w14:paraId="19FB28E3" w14:textId="77777777" w:rsidTr="00126EBF">
        <w:trPr>
          <w:trHeight w:val="232"/>
        </w:trPr>
        <w:tc>
          <w:tcPr>
            <w:tcW w:w="3714" w:type="pct"/>
            <w:shd w:val="clear" w:color="000000" w:fill="D9D9D9"/>
            <w:noWrap/>
            <w:vAlign w:val="center"/>
            <w:hideMark/>
          </w:tcPr>
          <w:p w14:paraId="112415B3" w14:textId="77777777" w:rsidR="00126EBF" w:rsidRPr="00C45B15" w:rsidRDefault="00126EBF">
            <w:pPr>
              <w:rPr>
                <w:rFonts w:ascii="Arial" w:hAnsi="Arial" w:cs="Arial"/>
                <w:b/>
                <w:bCs/>
                <w:color w:val="000000"/>
                <w:sz w:val="18"/>
                <w:szCs w:val="18"/>
              </w:rPr>
            </w:pPr>
            <w:r w:rsidRPr="00C45B15">
              <w:rPr>
                <w:rFonts w:ascii="Arial" w:hAnsi="Arial" w:cs="Arial"/>
                <w:b/>
                <w:bCs/>
                <w:color w:val="000000"/>
                <w:sz w:val="18"/>
                <w:szCs w:val="18"/>
              </w:rPr>
              <w:t>Composição:  </w:t>
            </w:r>
          </w:p>
        </w:tc>
        <w:tc>
          <w:tcPr>
            <w:tcW w:w="643" w:type="pct"/>
            <w:noWrap/>
            <w:vAlign w:val="center"/>
            <w:hideMark/>
          </w:tcPr>
          <w:p w14:paraId="30613358" w14:textId="77777777" w:rsidR="00126EBF" w:rsidRPr="00C45B15" w:rsidRDefault="00126EBF">
            <w:pPr>
              <w:jc w:val="center"/>
              <w:rPr>
                <w:rFonts w:ascii="Arial" w:hAnsi="Arial" w:cs="Arial"/>
                <w:b/>
                <w:bCs/>
                <w:color w:val="000000"/>
                <w:sz w:val="18"/>
                <w:szCs w:val="18"/>
              </w:rPr>
            </w:pPr>
            <w:r w:rsidRPr="00C45B15">
              <w:rPr>
                <w:rFonts w:ascii="Arial" w:hAnsi="Arial" w:cs="Arial"/>
                <w:b/>
                <w:bCs/>
                <w:color w:val="000000"/>
                <w:sz w:val="18"/>
                <w:szCs w:val="18"/>
              </w:rPr>
              <w:t>31/03/2026</w:t>
            </w:r>
          </w:p>
        </w:tc>
        <w:tc>
          <w:tcPr>
            <w:tcW w:w="643" w:type="pct"/>
            <w:noWrap/>
            <w:vAlign w:val="center"/>
            <w:hideMark/>
          </w:tcPr>
          <w:p w14:paraId="1BFB7D1B" w14:textId="77777777" w:rsidR="00126EBF" w:rsidRPr="00C45B15" w:rsidRDefault="00126EBF">
            <w:pPr>
              <w:jc w:val="center"/>
              <w:rPr>
                <w:rFonts w:ascii="Arial" w:hAnsi="Arial" w:cs="Arial"/>
                <w:b/>
                <w:bCs/>
                <w:color w:val="000000"/>
                <w:sz w:val="18"/>
                <w:szCs w:val="18"/>
              </w:rPr>
            </w:pPr>
            <w:r w:rsidRPr="00C45B15">
              <w:rPr>
                <w:rFonts w:ascii="Arial" w:hAnsi="Arial" w:cs="Arial"/>
                <w:b/>
                <w:bCs/>
                <w:color w:val="000000"/>
                <w:sz w:val="18"/>
                <w:szCs w:val="18"/>
              </w:rPr>
              <w:t>31/12/2025</w:t>
            </w:r>
          </w:p>
        </w:tc>
      </w:tr>
      <w:tr w:rsidR="007C5FCD" w:rsidRPr="00C45B15" w14:paraId="1E3C4C40" w14:textId="77777777" w:rsidTr="00126EBF">
        <w:trPr>
          <w:trHeight w:val="232"/>
        </w:trPr>
        <w:tc>
          <w:tcPr>
            <w:tcW w:w="3714" w:type="pct"/>
            <w:noWrap/>
            <w:vAlign w:val="center"/>
            <w:hideMark/>
          </w:tcPr>
          <w:p w14:paraId="535C4928" w14:textId="77777777" w:rsidR="007C5FCD" w:rsidRPr="00C45B15" w:rsidRDefault="007C5FCD" w:rsidP="007C5FCD">
            <w:pPr>
              <w:rPr>
                <w:rFonts w:ascii="Arial" w:hAnsi="Arial" w:cs="Arial"/>
                <w:color w:val="000000"/>
                <w:sz w:val="18"/>
                <w:szCs w:val="18"/>
              </w:rPr>
            </w:pPr>
            <w:r w:rsidRPr="00C45B15">
              <w:rPr>
                <w:rFonts w:ascii="Arial" w:hAnsi="Arial" w:cs="Arial"/>
                <w:color w:val="000000"/>
                <w:sz w:val="18"/>
                <w:szCs w:val="18"/>
              </w:rPr>
              <w:t>Contribuição para o Financiamento da Seguridade Social – Cofins</w:t>
            </w:r>
          </w:p>
        </w:tc>
        <w:tc>
          <w:tcPr>
            <w:tcW w:w="643" w:type="pct"/>
            <w:noWrap/>
            <w:vAlign w:val="center"/>
            <w:hideMark/>
          </w:tcPr>
          <w:p w14:paraId="166F6252" w14:textId="347E171E"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481</w:t>
            </w:r>
          </w:p>
        </w:tc>
        <w:tc>
          <w:tcPr>
            <w:tcW w:w="643" w:type="pct"/>
            <w:noWrap/>
            <w:vAlign w:val="center"/>
            <w:hideMark/>
          </w:tcPr>
          <w:p w14:paraId="4A1B8EA6" w14:textId="77777777"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9.375</w:t>
            </w:r>
          </w:p>
        </w:tc>
      </w:tr>
      <w:tr w:rsidR="007C5FCD" w:rsidRPr="00C45B15" w14:paraId="4A44E0B7" w14:textId="77777777" w:rsidTr="00126EBF">
        <w:trPr>
          <w:trHeight w:val="232"/>
        </w:trPr>
        <w:tc>
          <w:tcPr>
            <w:tcW w:w="3714" w:type="pct"/>
            <w:vAlign w:val="center"/>
            <w:hideMark/>
          </w:tcPr>
          <w:p w14:paraId="0A45F3D7" w14:textId="77777777" w:rsidR="007C5FCD" w:rsidRPr="00C45B15" w:rsidRDefault="007C5FCD" w:rsidP="007C5FCD">
            <w:pPr>
              <w:rPr>
                <w:rFonts w:ascii="Arial" w:hAnsi="Arial" w:cs="Arial"/>
                <w:color w:val="000000"/>
                <w:sz w:val="18"/>
                <w:szCs w:val="18"/>
              </w:rPr>
            </w:pPr>
            <w:r w:rsidRPr="00C45B15">
              <w:rPr>
                <w:rFonts w:ascii="Arial" w:hAnsi="Arial" w:cs="Arial"/>
                <w:color w:val="000000"/>
                <w:sz w:val="18"/>
                <w:szCs w:val="18"/>
              </w:rPr>
              <w:t>Fundo de Universalização dos Serviços de Telecomunicações – Fust</w:t>
            </w:r>
          </w:p>
        </w:tc>
        <w:tc>
          <w:tcPr>
            <w:tcW w:w="643" w:type="pct"/>
            <w:noWrap/>
            <w:vAlign w:val="center"/>
            <w:hideMark/>
          </w:tcPr>
          <w:p w14:paraId="38A8489C" w14:textId="779E6C91"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375</w:t>
            </w:r>
          </w:p>
        </w:tc>
        <w:tc>
          <w:tcPr>
            <w:tcW w:w="643" w:type="pct"/>
            <w:noWrap/>
            <w:vAlign w:val="center"/>
            <w:hideMark/>
          </w:tcPr>
          <w:p w14:paraId="2AF669C8" w14:textId="77777777"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542</w:t>
            </w:r>
          </w:p>
        </w:tc>
      </w:tr>
      <w:tr w:rsidR="007C5FCD" w:rsidRPr="00C45B15" w14:paraId="3A96B635" w14:textId="77777777" w:rsidTr="00126EBF">
        <w:trPr>
          <w:trHeight w:val="232"/>
        </w:trPr>
        <w:tc>
          <w:tcPr>
            <w:tcW w:w="3714" w:type="pct"/>
            <w:vAlign w:val="center"/>
            <w:hideMark/>
          </w:tcPr>
          <w:p w14:paraId="4F6DBC1F" w14:textId="77777777" w:rsidR="007C5FCD" w:rsidRPr="00C45B15" w:rsidRDefault="007C5FCD" w:rsidP="007C5FCD">
            <w:pPr>
              <w:rPr>
                <w:rFonts w:ascii="Arial" w:hAnsi="Arial" w:cs="Arial"/>
                <w:color w:val="000000"/>
                <w:sz w:val="18"/>
                <w:szCs w:val="18"/>
              </w:rPr>
            </w:pPr>
            <w:r w:rsidRPr="00C45B15">
              <w:rPr>
                <w:rFonts w:ascii="Arial" w:hAnsi="Arial" w:cs="Arial"/>
                <w:color w:val="000000"/>
                <w:sz w:val="18"/>
                <w:szCs w:val="18"/>
              </w:rPr>
              <w:t>Fundo para o Desenvolvimento Tecnológico das Telecomunicações – Funttel</w:t>
            </w:r>
          </w:p>
        </w:tc>
        <w:tc>
          <w:tcPr>
            <w:tcW w:w="643" w:type="pct"/>
            <w:noWrap/>
            <w:vAlign w:val="center"/>
            <w:hideMark/>
          </w:tcPr>
          <w:p w14:paraId="3FD6E3D4" w14:textId="1133E22F"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187</w:t>
            </w:r>
          </w:p>
        </w:tc>
        <w:tc>
          <w:tcPr>
            <w:tcW w:w="643" w:type="pct"/>
            <w:noWrap/>
            <w:vAlign w:val="center"/>
            <w:hideMark/>
          </w:tcPr>
          <w:p w14:paraId="31EF0B71" w14:textId="77777777"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271</w:t>
            </w:r>
          </w:p>
        </w:tc>
      </w:tr>
      <w:tr w:rsidR="007C5FCD" w:rsidRPr="00C45B15" w14:paraId="5213B0C1" w14:textId="77777777" w:rsidTr="00126EBF">
        <w:trPr>
          <w:trHeight w:val="232"/>
        </w:trPr>
        <w:tc>
          <w:tcPr>
            <w:tcW w:w="3714" w:type="pct"/>
            <w:vAlign w:val="center"/>
            <w:hideMark/>
          </w:tcPr>
          <w:p w14:paraId="42D8E605" w14:textId="77777777" w:rsidR="007C5FCD" w:rsidRPr="00C45B15" w:rsidRDefault="007C5FCD" w:rsidP="007C5FCD">
            <w:pPr>
              <w:rPr>
                <w:rFonts w:ascii="Arial" w:hAnsi="Arial" w:cs="Arial"/>
                <w:color w:val="000000"/>
                <w:sz w:val="18"/>
                <w:szCs w:val="18"/>
              </w:rPr>
            </w:pPr>
            <w:r w:rsidRPr="00C45B15">
              <w:rPr>
                <w:rFonts w:ascii="Arial" w:hAnsi="Arial" w:cs="Arial"/>
                <w:color w:val="000000"/>
                <w:sz w:val="18"/>
                <w:szCs w:val="18"/>
              </w:rPr>
              <w:t xml:space="preserve">Programa de Integração Social - PIS </w:t>
            </w:r>
          </w:p>
        </w:tc>
        <w:tc>
          <w:tcPr>
            <w:tcW w:w="643" w:type="pct"/>
            <w:noWrap/>
            <w:vAlign w:val="center"/>
            <w:hideMark/>
          </w:tcPr>
          <w:p w14:paraId="15FD34B2" w14:textId="4E62FC05"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63</w:t>
            </w:r>
          </w:p>
        </w:tc>
        <w:tc>
          <w:tcPr>
            <w:tcW w:w="643" w:type="pct"/>
            <w:noWrap/>
            <w:vAlign w:val="center"/>
            <w:hideMark/>
          </w:tcPr>
          <w:p w14:paraId="2DDB5334" w14:textId="77777777"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1.924</w:t>
            </w:r>
          </w:p>
        </w:tc>
      </w:tr>
      <w:tr w:rsidR="007C5FCD" w:rsidRPr="00C45B15" w14:paraId="24270288" w14:textId="77777777" w:rsidTr="00126EBF">
        <w:trPr>
          <w:trHeight w:val="232"/>
        </w:trPr>
        <w:tc>
          <w:tcPr>
            <w:tcW w:w="3714" w:type="pct"/>
            <w:noWrap/>
            <w:vAlign w:val="center"/>
            <w:hideMark/>
          </w:tcPr>
          <w:p w14:paraId="5870C529" w14:textId="77777777" w:rsidR="007C5FCD" w:rsidRPr="00C45B15" w:rsidRDefault="007C5FCD" w:rsidP="007C5FCD">
            <w:pPr>
              <w:rPr>
                <w:rFonts w:ascii="Arial" w:hAnsi="Arial" w:cs="Arial"/>
                <w:b/>
                <w:bCs/>
                <w:color w:val="000000"/>
                <w:sz w:val="18"/>
                <w:szCs w:val="18"/>
              </w:rPr>
            </w:pPr>
            <w:r w:rsidRPr="00C45B15">
              <w:rPr>
                <w:rFonts w:ascii="Arial" w:hAnsi="Arial" w:cs="Arial"/>
                <w:b/>
                <w:bCs/>
                <w:color w:val="000000"/>
                <w:sz w:val="18"/>
                <w:szCs w:val="18"/>
              </w:rPr>
              <w:t>Tributos Federais</w:t>
            </w:r>
          </w:p>
        </w:tc>
        <w:tc>
          <w:tcPr>
            <w:tcW w:w="643" w:type="pct"/>
            <w:noWrap/>
            <w:vAlign w:val="center"/>
            <w:hideMark/>
          </w:tcPr>
          <w:p w14:paraId="7948A90E" w14:textId="1B36A5AD"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1.106</w:t>
            </w:r>
          </w:p>
        </w:tc>
        <w:tc>
          <w:tcPr>
            <w:tcW w:w="643" w:type="pct"/>
            <w:noWrap/>
            <w:vAlign w:val="center"/>
            <w:hideMark/>
          </w:tcPr>
          <w:p w14:paraId="738A8541" w14:textId="77777777"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12.112</w:t>
            </w:r>
          </w:p>
        </w:tc>
      </w:tr>
      <w:tr w:rsidR="007C5FCD" w:rsidRPr="00C45B15" w14:paraId="7A0FD603" w14:textId="77777777" w:rsidTr="00126EBF">
        <w:trPr>
          <w:trHeight w:val="232"/>
        </w:trPr>
        <w:tc>
          <w:tcPr>
            <w:tcW w:w="3714" w:type="pct"/>
            <w:noWrap/>
            <w:vAlign w:val="center"/>
            <w:hideMark/>
          </w:tcPr>
          <w:p w14:paraId="0798CEE3" w14:textId="77777777" w:rsidR="007C5FCD" w:rsidRPr="00C45B15" w:rsidRDefault="007C5FCD" w:rsidP="007C5FCD">
            <w:pPr>
              <w:rPr>
                <w:rFonts w:ascii="Arial" w:hAnsi="Arial" w:cs="Arial"/>
                <w:color w:val="000000"/>
                <w:sz w:val="18"/>
                <w:szCs w:val="18"/>
              </w:rPr>
            </w:pPr>
            <w:r w:rsidRPr="00C45B15">
              <w:rPr>
                <w:rFonts w:ascii="Arial" w:hAnsi="Arial" w:cs="Arial"/>
                <w:color w:val="000000"/>
                <w:sz w:val="18"/>
                <w:szCs w:val="18"/>
              </w:rPr>
              <w:t>Imposto sobre Circulação de Mercadorias e Prestação de Serviços – ICMS</w:t>
            </w:r>
          </w:p>
        </w:tc>
        <w:tc>
          <w:tcPr>
            <w:tcW w:w="643" w:type="pct"/>
            <w:noWrap/>
            <w:vAlign w:val="center"/>
            <w:hideMark/>
          </w:tcPr>
          <w:p w14:paraId="0C4585C7" w14:textId="050A09C9"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2.048</w:t>
            </w:r>
          </w:p>
        </w:tc>
        <w:tc>
          <w:tcPr>
            <w:tcW w:w="643" w:type="pct"/>
            <w:noWrap/>
            <w:vAlign w:val="center"/>
            <w:hideMark/>
          </w:tcPr>
          <w:p w14:paraId="6229D651" w14:textId="77777777"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3.480</w:t>
            </w:r>
          </w:p>
        </w:tc>
      </w:tr>
      <w:tr w:rsidR="007C5FCD" w:rsidRPr="00C45B15" w14:paraId="32974DD6" w14:textId="77777777" w:rsidTr="00126EBF">
        <w:trPr>
          <w:trHeight w:val="232"/>
        </w:trPr>
        <w:tc>
          <w:tcPr>
            <w:tcW w:w="3714" w:type="pct"/>
            <w:noWrap/>
            <w:vAlign w:val="center"/>
            <w:hideMark/>
          </w:tcPr>
          <w:p w14:paraId="4C922335" w14:textId="77777777" w:rsidR="007C5FCD" w:rsidRPr="00C45B15" w:rsidRDefault="007C5FCD" w:rsidP="007C5FCD">
            <w:pPr>
              <w:rPr>
                <w:rFonts w:ascii="Arial" w:hAnsi="Arial" w:cs="Arial"/>
                <w:b/>
                <w:bCs/>
                <w:color w:val="000000"/>
                <w:sz w:val="18"/>
                <w:szCs w:val="18"/>
              </w:rPr>
            </w:pPr>
            <w:r w:rsidRPr="00C45B15">
              <w:rPr>
                <w:rFonts w:ascii="Arial" w:hAnsi="Arial" w:cs="Arial"/>
                <w:b/>
                <w:bCs/>
                <w:color w:val="000000"/>
                <w:sz w:val="18"/>
                <w:szCs w:val="18"/>
              </w:rPr>
              <w:t>Tributos Estaduais</w:t>
            </w:r>
          </w:p>
        </w:tc>
        <w:tc>
          <w:tcPr>
            <w:tcW w:w="643" w:type="pct"/>
            <w:noWrap/>
            <w:vAlign w:val="center"/>
            <w:hideMark/>
          </w:tcPr>
          <w:p w14:paraId="1D5D744F" w14:textId="68382221"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2.048</w:t>
            </w:r>
          </w:p>
        </w:tc>
        <w:tc>
          <w:tcPr>
            <w:tcW w:w="643" w:type="pct"/>
            <w:noWrap/>
            <w:vAlign w:val="center"/>
            <w:hideMark/>
          </w:tcPr>
          <w:p w14:paraId="2543BC30" w14:textId="77777777"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3.480</w:t>
            </w:r>
          </w:p>
        </w:tc>
      </w:tr>
      <w:tr w:rsidR="007C5FCD" w:rsidRPr="00C45B15" w14:paraId="4339000A" w14:textId="77777777" w:rsidTr="00126EBF">
        <w:trPr>
          <w:trHeight w:val="232"/>
        </w:trPr>
        <w:tc>
          <w:tcPr>
            <w:tcW w:w="3714" w:type="pct"/>
            <w:noWrap/>
            <w:vAlign w:val="center"/>
            <w:hideMark/>
          </w:tcPr>
          <w:p w14:paraId="7191E0C2" w14:textId="77777777" w:rsidR="007C5FCD" w:rsidRPr="00C45B15" w:rsidRDefault="007C5FCD" w:rsidP="007C5FCD">
            <w:pPr>
              <w:rPr>
                <w:rFonts w:ascii="Arial" w:hAnsi="Arial" w:cs="Arial"/>
                <w:color w:val="000000"/>
                <w:sz w:val="18"/>
                <w:szCs w:val="18"/>
              </w:rPr>
            </w:pPr>
            <w:r w:rsidRPr="00C45B15">
              <w:rPr>
                <w:rFonts w:ascii="Arial" w:hAnsi="Arial" w:cs="Arial"/>
                <w:color w:val="000000"/>
                <w:sz w:val="18"/>
                <w:szCs w:val="18"/>
              </w:rPr>
              <w:t>Imposto Sobre Serviços de Qualquer Natureza – ISSQN</w:t>
            </w:r>
          </w:p>
        </w:tc>
        <w:tc>
          <w:tcPr>
            <w:tcW w:w="643" w:type="pct"/>
            <w:noWrap/>
            <w:vAlign w:val="center"/>
            <w:hideMark/>
          </w:tcPr>
          <w:p w14:paraId="04686066" w14:textId="38428411"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739</w:t>
            </w:r>
          </w:p>
        </w:tc>
        <w:tc>
          <w:tcPr>
            <w:tcW w:w="643" w:type="pct"/>
            <w:noWrap/>
            <w:vAlign w:val="center"/>
            <w:hideMark/>
          </w:tcPr>
          <w:p w14:paraId="3346EE84" w14:textId="77777777" w:rsidR="007C5FCD" w:rsidRPr="00C45B15" w:rsidRDefault="007C5FCD" w:rsidP="007C5FCD">
            <w:pPr>
              <w:jc w:val="right"/>
              <w:rPr>
                <w:rFonts w:ascii="Arial" w:hAnsi="Arial" w:cs="Arial"/>
                <w:color w:val="000000"/>
                <w:sz w:val="18"/>
                <w:szCs w:val="18"/>
              </w:rPr>
            </w:pPr>
            <w:r w:rsidRPr="00C45B15">
              <w:rPr>
                <w:rFonts w:ascii="Arial" w:hAnsi="Arial" w:cs="Arial"/>
                <w:color w:val="000000"/>
                <w:sz w:val="18"/>
                <w:szCs w:val="18"/>
              </w:rPr>
              <w:t>1.252</w:t>
            </w:r>
          </w:p>
        </w:tc>
      </w:tr>
      <w:tr w:rsidR="007C5FCD" w:rsidRPr="00C45B15" w14:paraId="2C38B888" w14:textId="77777777" w:rsidTr="00126EBF">
        <w:trPr>
          <w:trHeight w:val="232"/>
        </w:trPr>
        <w:tc>
          <w:tcPr>
            <w:tcW w:w="3714" w:type="pct"/>
            <w:noWrap/>
            <w:vAlign w:val="center"/>
            <w:hideMark/>
          </w:tcPr>
          <w:p w14:paraId="7CC36169" w14:textId="77777777" w:rsidR="007C5FCD" w:rsidRPr="00C45B15" w:rsidRDefault="007C5FCD" w:rsidP="007C5FCD">
            <w:pPr>
              <w:rPr>
                <w:rFonts w:ascii="Arial" w:hAnsi="Arial" w:cs="Arial"/>
                <w:b/>
                <w:bCs/>
                <w:color w:val="000000"/>
                <w:sz w:val="18"/>
                <w:szCs w:val="18"/>
              </w:rPr>
            </w:pPr>
            <w:r w:rsidRPr="00C45B15">
              <w:rPr>
                <w:rFonts w:ascii="Arial" w:hAnsi="Arial" w:cs="Arial"/>
                <w:b/>
                <w:bCs/>
                <w:color w:val="000000"/>
                <w:sz w:val="18"/>
                <w:szCs w:val="18"/>
              </w:rPr>
              <w:t>Tributos Municipais</w:t>
            </w:r>
          </w:p>
        </w:tc>
        <w:tc>
          <w:tcPr>
            <w:tcW w:w="643" w:type="pct"/>
            <w:noWrap/>
            <w:vAlign w:val="center"/>
            <w:hideMark/>
          </w:tcPr>
          <w:p w14:paraId="6E7CFAEB" w14:textId="7C5A5E6A"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739</w:t>
            </w:r>
          </w:p>
        </w:tc>
        <w:tc>
          <w:tcPr>
            <w:tcW w:w="643" w:type="pct"/>
            <w:noWrap/>
            <w:vAlign w:val="center"/>
            <w:hideMark/>
          </w:tcPr>
          <w:p w14:paraId="4BB2FA4A" w14:textId="77777777"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1.252</w:t>
            </w:r>
          </w:p>
        </w:tc>
      </w:tr>
      <w:tr w:rsidR="007C5FCD" w:rsidRPr="00C45B15" w14:paraId="17314C8D" w14:textId="77777777" w:rsidTr="00126EBF">
        <w:trPr>
          <w:trHeight w:val="232"/>
        </w:trPr>
        <w:tc>
          <w:tcPr>
            <w:tcW w:w="3714" w:type="pct"/>
            <w:vAlign w:val="center"/>
            <w:hideMark/>
          </w:tcPr>
          <w:p w14:paraId="170C1678" w14:textId="77777777" w:rsidR="007C5FCD" w:rsidRPr="00C45B15" w:rsidRDefault="007C5FCD" w:rsidP="007C5FCD">
            <w:pPr>
              <w:rPr>
                <w:rFonts w:ascii="Arial" w:hAnsi="Arial" w:cs="Arial"/>
                <w:b/>
                <w:bCs/>
                <w:color w:val="000000"/>
                <w:sz w:val="18"/>
                <w:szCs w:val="18"/>
              </w:rPr>
            </w:pPr>
            <w:r w:rsidRPr="00C45B15">
              <w:rPr>
                <w:rFonts w:ascii="Arial" w:hAnsi="Arial" w:cs="Arial"/>
                <w:b/>
                <w:bCs/>
                <w:color w:val="000000"/>
                <w:sz w:val="18"/>
                <w:szCs w:val="18"/>
              </w:rPr>
              <w:t>Total</w:t>
            </w:r>
          </w:p>
        </w:tc>
        <w:tc>
          <w:tcPr>
            <w:tcW w:w="643" w:type="pct"/>
            <w:noWrap/>
            <w:vAlign w:val="center"/>
            <w:hideMark/>
          </w:tcPr>
          <w:p w14:paraId="45C6C3FF" w14:textId="3AE7FBBA"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3.893</w:t>
            </w:r>
          </w:p>
        </w:tc>
        <w:tc>
          <w:tcPr>
            <w:tcW w:w="643" w:type="pct"/>
            <w:noWrap/>
            <w:vAlign w:val="center"/>
            <w:hideMark/>
          </w:tcPr>
          <w:p w14:paraId="7559F5A2" w14:textId="77777777"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16.844</w:t>
            </w:r>
          </w:p>
        </w:tc>
      </w:tr>
      <w:tr w:rsidR="007C5FCD" w14:paraId="4D4C8E78" w14:textId="77777777" w:rsidTr="00126EBF">
        <w:trPr>
          <w:trHeight w:val="232"/>
        </w:trPr>
        <w:tc>
          <w:tcPr>
            <w:tcW w:w="3714" w:type="pct"/>
            <w:vAlign w:val="center"/>
            <w:hideMark/>
          </w:tcPr>
          <w:p w14:paraId="59528B12" w14:textId="77777777" w:rsidR="007C5FCD" w:rsidRPr="00C45B15" w:rsidRDefault="007C5FCD" w:rsidP="007C5FCD">
            <w:pPr>
              <w:rPr>
                <w:rFonts w:ascii="Arial" w:hAnsi="Arial" w:cs="Arial"/>
                <w:b/>
                <w:bCs/>
                <w:color w:val="000000"/>
                <w:sz w:val="18"/>
                <w:szCs w:val="18"/>
              </w:rPr>
            </w:pPr>
            <w:r w:rsidRPr="00C45B15">
              <w:rPr>
                <w:rFonts w:ascii="Arial" w:hAnsi="Arial" w:cs="Arial"/>
                <w:b/>
                <w:bCs/>
                <w:color w:val="000000"/>
                <w:sz w:val="18"/>
                <w:szCs w:val="18"/>
              </w:rPr>
              <w:t>Circulante</w:t>
            </w:r>
          </w:p>
        </w:tc>
        <w:tc>
          <w:tcPr>
            <w:tcW w:w="643" w:type="pct"/>
            <w:noWrap/>
            <w:vAlign w:val="center"/>
            <w:hideMark/>
          </w:tcPr>
          <w:p w14:paraId="4EAE272D" w14:textId="4C470789" w:rsidR="007C5FCD" w:rsidRPr="00C45B15"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3.893</w:t>
            </w:r>
          </w:p>
        </w:tc>
        <w:tc>
          <w:tcPr>
            <w:tcW w:w="643" w:type="pct"/>
            <w:noWrap/>
            <w:vAlign w:val="center"/>
            <w:hideMark/>
          </w:tcPr>
          <w:p w14:paraId="0A21C9EF" w14:textId="77777777" w:rsidR="007C5FCD" w:rsidRDefault="007C5FCD" w:rsidP="007C5FCD">
            <w:pPr>
              <w:jc w:val="right"/>
              <w:rPr>
                <w:rFonts w:ascii="Arial" w:hAnsi="Arial" w:cs="Arial"/>
                <w:b/>
                <w:bCs/>
                <w:color w:val="000000"/>
                <w:sz w:val="18"/>
                <w:szCs w:val="18"/>
              </w:rPr>
            </w:pPr>
            <w:r w:rsidRPr="00C45B15">
              <w:rPr>
                <w:rFonts w:ascii="Arial" w:hAnsi="Arial" w:cs="Arial"/>
                <w:b/>
                <w:bCs/>
                <w:color w:val="000000"/>
                <w:sz w:val="18"/>
                <w:szCs w:val="18"/>
              </w:rPr>
              <w:t>16.844</w:t>
            </w:r>
          </w:p>
        </w:tc>
      </w:tr>
    </w:tbl>
    <w:p w14:paraId="7CCA8A59" w14:textId="77777777" w:rsidR="00126EBF" w:rsidRDefault="00126EBF" w:rsidP="002850A1">
      <w:pPr>
        <w:rPr>
          <w:sz w:val="14"/>
          <w:szCs w:val="14"/>
        </w:rPr>
      </w:pPr>
    </w:p>
    <w:p w14:paraId="4A7E8917" w14:textId="21574005" w:rsidR="0068695E" w:rsidRDefault="0068695E" w:rsidP="00F46D9C">
      <w:pPr>
        <w:pStyle w:val="Ttulo2"/>
        <w:numPr>
          <w:ilvl w:val="0"/>
          <w:numId w:val="7"/>
        </w:numPr>
        <w:tabs>
          <w:tab w:val="clear" w:pos="284"/>
          <w:tab w:val="clear" w:pos="340"/>
        </w:tabs>
        <w:spacing w:after="0"/>
        <w:ind w:left="851" w:hanging="851"/>
        <w:jc w:val="both"/>
        <w:rPr>
          <w:rFonts w:ascii="Arial" w:hAnsi="Arial" w:cs="Arial"/>
        </w:rPr>
      </w:pPr>
      <w:bookmarkStart w:id="38" w:name="_Hlk77670770"/>
      <w:bookmarkStart w:id="39" w:name="_Hlk92377009"/>
      <w:bookmarkStart w:id="40" w:name="_Hlk14077498"/>
      <w:bookmarkStart w:id="41" w:name="_Hlk526346825"/>
      <w:bookmarkStart w:id="42" w:name="_Hlk519157155"/>
      <w:r w:rsidRPr="0068695E">
        <w:rPr>
          <w:rFonts w:ascii="Arial" w:hAnsi="Arial" w:cs="Arial"/>
        </w:rPr>
        <w:t>PROVISÃO PARA RISCOS TRABALHISTAS, CÍVEIS E FISCAIS</w:t>
      </w:r>
    </w:p>
    <w:p w14:paraId="520BDA83" w14:textId="77777777" w:rsidR="0068695E" w:rsidRPr="002C6143" w:rsidRDefault="0068695E" w:rsidP="00597FE5">
      <w:pPr>
        <w:pStyle w:val="Corpodetexto"/>
        <w:tabs>
          <w:tab w:val="clear" w:pos="851"/>
        </w:tabs>
        <w:spacing w:before="0" w:after="0" w:line="276" w:lineRule="auto"/>
        <w:rPr>
          <w:rFonts w:ascii="Arial" w:hAnsi="Arial" w:cs="Arial"/>
          <w:sz w:val="8"/>
          <w:szCs w:val="8"/>
        </w:rPr>
      </w:pPr>
    </w:p>
    <w:p w14:paraId="414DD0D0" w14:textId="50E55D97" w:rsidR="0085618A" w:rsidRPr="00352F14" w:rsidRDefault="00902A83" w:rsidP="00597FE5">
      <w:pPr>
        <w:pStyle w:val="Corpodetexto"/>
        <w:tabs>
          <w:tab w:val="clear" w:pos="851"/>
        </w:tabs>
        <w:spacing w:before="0" w:after="0" w:line="276" w:lineRule="auto"/>
        <w:rPr>
          <w:rFonts w:ascii="Arial" w:hAnsi="Arial" w:cs="Arial"/>
        </w:rPr>
      </w:pPr>
      <w:r w:rsidRPr="002A36CE">
        <w:rPr>
          <w:rFonts w:ascii="Arial" w:hAnsi="Arial" w:cs="Arial"/>
        </w:rPr>
        <w:t>A Companhia é parte em processos judiciais e administrativos, perante vários tribunais, oriundos do curso normal de suas operações, envolvendo questões trabalhistas, cíveis, tributárias</w:t>
      </w:r>
      <w:r w:rsidR="00320ABD" w:rsidRPr="002A36CE">
        <w:rPr>
          <w:rFonts w:ascii="Arial" w:hAnsi="Arial" w:cs="Arial"/>
        </w:rPr>
        <w:t xml:space="preserve"> </w:t>
      </w:r>
      <w:r w:rsidRPr="002A36CE">
        <w:rPr>
          <w:rFonts w:ascii="Arial" w:hAnsi="Arial" w:cs="Arial"/>
        </w:rPr>
        <w:t>e outros assuntos. Des</w:t>
      </w:r>
      <w:r w:rsidR="00CB5FDE">
        <w:rPr>
          <w:rFonts w:ascii="Arial" w:hAnsi="Arial" w:cs="Arial"/>
        </w:rPr>
        <w:t>s</w:t>
      </w:r>
      <w:r w:rsidRPr="002A36CE">
        <w:rPr>
          <w:rFonts w:ascii="Arial" w:hAnsi="Arial" w:cs="Arial"/>
        </w:rPr>
        <w:t>a forma, a Companhia constituiu provisões para as ações cuja</w:t>
      </w:r>
      <w:r w:rsidR="00320ABD" w:rsidRPr="002A36CE">
        <w:rPr>
          <w:rFonts w:ascii="Arial" w:hAnsi="Arial" w:cs="Arial"/>
        </w:rPr>
        <w:t xml:space="preserve"> expectativa de perda é considerada provável, baseada na avaliação de seus consultores jurídicos, para as quais será necessária uma saída de recursos financeiros para liquidar a obrigação, conforme segue</w:t>
      </w:r>
      <w:r w:rsidR="004D37A1">
        <w:rPr>
          <w:rFonts w:ascii="Arial" w:hAnsi="Arial" w:cs="Arial"/>
        </w:rPr>
        <w:t>.</w:t>
      </w:r>
      <w:bookmarkStart w:id="43" w:name="_Hlk101515560"/>
    </w:p>
    <w:p w14:paraId="4882F418" w14:textId="77777777" w:rsidR="0085618A" w:rsidRDefault="0085618A" w:rsidP="00597FE5">
      <w:pPr>
        <w:pStyle w:val="Corpodetexto"/>
        <w:tabs>
          <w:tab w:val="clear" w:pos="851"/>
        </w:tabs>
        <w:spacing w:before="0" w:after="0" w:line="276" w:lineRule="auto"/>
        <w:rPr>
          <w:rFonts w:ascii="Arial" w:hAnsi="Arial" w:cs="Arial"/>
          <w:sz w:val="16"/>
          <w:szCs w:val="16"/>
        </w:rPr>
      </w:pPr>
    </w:p>
    <w:p w14:paraId="7A393011" w14:textId="77777777" w:rsidR="006F68D1" w:rsidRPr="002A36CE" w:rsidRDefault="006F68D1" w:rsidP="009541E1">
      <w:pPr>
        <w:pStyle w:val="Ttulo2"/>
        <w:numPr>
          <w:ilvl w:val="1"/>
          <w:numId w:val="7"/>
        </w:numPr>
        <w:tabs>
          <w:tab w:val="clear" w:pos="284"/>
          <w:tab w:val="clear" w:pos="340"/>
        </w:tabs>
        <w:spacing w:before="0" w:after="0"/>
        <w:ind w:left="851" w:hanging="851"/>
        <w:jc w:val="both"/>
        <w:rPr>
          <w:rFonts w:ascii="Arial" w:hAnsi="Arial" w:cs="Arial"/>
        </w:rPr>
      </w:pPr>
      <w:bookmarkStart w:id="44" w:name="_Toc491337744"/>
      <w:bookmarkStart w:id="45" w:name="_Hlk534968546"/>
      <w:r w:rsidRPr="002A36CE">
        <w:rPr>
          <w:rFonts w:ascii="Arial" w:hAnsi="Arial" w:cs="Arial"/>
        </w:rPr>
        <w:t>Provisão para riscos prováveis</w:t>
      </w:r>
      <w:bookmarkEnd w:id="44"/>
    </w:p>
    <w:p w14:paraId="7EF5F016" w14:textId="77777777" w:rsidR="006F68D1" w:rsidRPr="00F70B46" w:rsidRDefault="006F68D1" w:rsidP="006F68D1">
      <w:pPr>
        <w:pStyle w:val="Corpodetexto"/>
        <w:numPr>
          <w:ilvl w:val="12"/>
          <w:numId w:val="0"/>
        </w:numPr>
        <w:spacing w:before="0" w:after="0"/>
        <w:rPr>
          <w:rFonts w:ascii="Arial" w:hAnsi="Arial" w:cs="Arial"/>
          <w:sz w:val="14"/>
          <w:szCs w:val="14"/>
        </w:rPr>
      </w:pPr>
    </w:p>
    <w:p w14:paraId="3C087C32" w14:textId="5D109AB7" w:rsidR="006F68D1" w:rsidRDefault="006F68D1" w:rsidP="009541E1">
      <w:pPr>
        <w:pStyle w:val="Ttulo2"/>
        <w:numPr>
          <w:ilvl w:val="2"/>
          <w:numId w:val="7"/>
        </w:numPr>
        <w:tabs>
          <w:tab w:val="clear" w:pos="284"/>
          <w:tab w:val="clear" w:pos="340"/>
        </w:tabs>
        <w:spacing w:before="0" w:after="0"/>
        <w:ind w:left="851" w:hanging="851"/>
        <w:jc w:val="both"/>
        <w:rPr>
          <w:rFonts w:ascii="Arial" w:hAnsi="Arial" w:cs="Arial"/>
        </w:rPr>
      </w:pPr>
      <w:bookmarkStart w:id="46" w:name="_Toc491337745"/>
      <w:r w:rsidRPr="002A36CE">
        <w:rPr>
          <w:rFonts w:ascii="Arial" w:hAnsi="Arial" w:cs="Arial"/>
        </w:rPr>
        <w:t>Provisão para riscos prováveis líquida de depósitos judiciais</w:t>
      </w:r>
      <w:bookmarkEnd w:id="46"/>
    </w:p>
    <w:p w14:paraId="24FE5284" w14:textId="68C926E8" w:rsidR="009A4B0B" w:rsidRDefault="009A4B0B" w:rsidP="00A326D5">
      <w:pPr>
        <w:rPr>
          <w:sz w:val="10"/>
          <w:szCs w:val="10"/>
        </w:rPr>
      </w:pPr>
    </w:p>
    <w:p w14:paraId="07E6830D" w14:textId="77777777" w:rsidR="009A4B0B" w:rsidRDefault="009A4B0B" w:rsidP="00A326D5">
      <w:pPr>
        <w:rPr>
          <w:sz w:val="10"/>
          <w:szCs w:val="10"/>
        </w:rPr>
      </w:pPr>
    </w:p>
    <w:p w14:paraId="4DA5DAD9" w14:textId="77777777" w:rsidR="001F1860" w:rsidRDefault="001F1860" w:rsidP="00A326D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5"/>
        <w:gridCol w:w="1281"/>
        <w:gridCol w:w="1101"/>
        <w:gridCol w:w="1011"/>
        <w:gridCol w:w="1281"/>
        <w:gridCol w:w="1101"/>
        <w:gridCol w:w="1061"/>
      </w:tblGrid>
      <w:tr w:rsidR="001F1860" w:rsidRPr="00C45B15" w14:paraId="33480ED5" w14:textId="77777777" w:rsidTr="001F1860">
        <w:trPr>
          <w:trHeight w:val="232"/>
        </w:trPr>
        <w:tc>
          <w:tcPr>
            <w:tcW w:w="1594" w:type="pct"/>
            <w:vMerge w:val="restart"/>
            <w:shd w:val="clear" w:color="000000" w:fill="D9D9D9"/>
            <w:noWrap/>
            <w:vAlign w:val="center"/>
            <w:hideMark/>
          </w:tcPr>
          <w:p w14:paraId="4FCB51D9" w14:textId="77777777" w:rsidR="001F1860" w:rsidRPr="00C45B15" w:rsidRDefault="001F1860">
            <w:pPr>
              <w:rPr>
                <w:rFonts w:ascii="Arial" w:hAnsi="Arial" w:cs="Arial"/>
                <w:b/>
                <w:bCs/>
                <w:color w:val="000000"/>
                <w:sz w:val="18"/>
                <w:szCs w:val="18"/>
              </w:rPr>
            </w:pPr>
            <w:r w:rsidRPr="00C45B15">
              <w:rPr>
                <w:rFonts w:ascii="Arial" w:hAnsi="Arial" w:cs="Arial"/>
                <w:b/>
                <w:bCs/>
                <w:color w:val="000000"/>
                <w:sz w:val="18"/>
                <w:szCs w:val="18"/>
              </w:rPr>
              <w:t>Natureza</w:t>
            </w:r>
          </w:p>
        </w:tc>
        <w:tc>
          <w:tcPr>
            <w:tcW w:w="1703" w:type="pct"/>
            <w:gridSpan w:val="3"/>
            <w:vAlign w:val="center"/>
            <w:hideMark/>
          </w:tcPr>
          <w:p w14:paraId="460FD137" w14:textId="7440781F"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31/</w:t>
            </w:r>
            <w:r w:rsidR="00C45B15">
              <w:rPr>
                <w:rFonts w:ascii="Arial" w:hAnsi="Arial" w:cs="Arial"/>
                <w:b/>
                <w:bCs/>
                <w:color w:val="000000"/>
                <w:sz w:val="18"/>
                <w:szCs w:val="18"/>
              </w:rPr>
              <w:t>03</w:t>
            </w:r>
            <w:r w:rsidRPr="00C45B15">
              <w:rPr>
                <w:rFonts w:ascii="Arial" w:hAnsi="Arial" w:cs="Arial"/>
                <w:b/>
                <w:bCs/>
                <w:color w:val="000000"/>
                <w:sz w:val="18"/>
                <w:szCs w:val="18"/>
              </w:rPr>
              <w:t>/202</w:t>
            </w:r>
            <w:r w:rsidR="00C45B15">
              <w:rPr>
                <w:rFonts w:ascii="Arial" w:hAnsi="Arial" w:cs="Arial"/>
                <w:b/>
                <w:bCs/>
                <w:color w:val="000000"/>
                <w:sz w:val="18"/>
                <w:szCs w:val="18"/>
              </w:rPr>
              <w:t>6</w:t>
            </w:r>
          </w:p>
        </w:tc>
        <w:tc>
          <w:tcPr>
            <w:tcW w:w="1703" w:type="pct"/>
            <w:gridSpan w:val="3"/>
            <w:noWrap/>
            <w:vAlign w:val="center"/>
            <w:hideMark/>
          </w:tcPr>
          <w:p w14:paraId="67DA0D96" w14:textId="748CA360"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31/12/202</w:t>
            </w:r>
            <w:r w:rsidR="00C45B15">
              <w:rPr>
                <w:rFonts w:ascii="Arial" w:hAnsi="Arial" w:cs="Arial"/>
                <w:b/>
                <w:bCs/>
                <w:color w:val="000000"/>
                <w:sz w:val="18"/>
                <w:szCs w:val="18"/>
              </w:rPr>
              <w:t>5</w:t>
            </w:r>
          </w:p>
        </w:tc>
      </w:tr>
      <w:tr w:rsidR="001F1860" w:rsidRPr="00C45B15" w14:paraId="16D5D57E" w14:textId="77777777" w:rsidTr="001F1860">
        <w:trPr>
          <w:trHeight w:val="232"/>
        </w:trPr>
        <w:tc>
          <w:tcPr>
            <w:tcW w:w="1594" w:type="pct"/>
            <w:vMerge/>
            <w:vAlign w:val="center"/>
            <w:hideMark/>
          </w:tcPr>
          <w:p w14:paraId="6E6DC4F6" w14:textId="77777777" w:rsidR="001F1860" w:rsidRPr="00C45B15" w:rsidRDefault="001F1860">
            <w:pPr>
              <w:rPr>
                <w:rFonts w:ascii="Arial" w:hAnsi="Arial" w:cs="Arial"/>
                <w:b/>
                <w:bCs/>
                <w:color w:val="000000"/>
                <w:sz w:val="18"/>
                <w:szCs w:val="18"/>
              </w:rPr>
            </w:pPr>
          </w:p>
        </w:tc>
        <w:tc>
          <w:tcPr>
            <w:tcW w:w="643" w:type="pct"/>
            <w:vAlign w:val="center"/>
            <w:hideMark/>
          </w:tcPr>
          <w:p w14:paraId="042A0B6E"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Valor Provisionado</w:t>
            </w:r>
          </w:p>
        </w:tc>
        <w:tc>
          <w:tcPr>
            <w:tcW w:w="553" w:type="pct"/>
            <w:vAlign w:val="center"/>
            <w:hideMark/>
          </w:tcPr>
          <w:p w14:paraId="5C052A64"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Depósitos Judiciais Vinculados</w:t>
            </w:r>
          </w:p>
        </w:tc>
        <w:tc>
          <w:tcPr>
            <w:tcW w:w="508" w:type="pct"/>
            <w:vAlign w:val="center"/>
            <w:hideMark/>
          </w:tcPr>
          <w:p w14:paraId="4D381758"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Provisão Líquida dos Depósitos</w:t>
            </w:r>
          </w:p>
        </w:tc>
        <w:tc>
          <w:tcPr>
            <w:tcW w:w="643" w:type="pct"/>
            <w:vAlign w:val="center"/>
            <w:hideMark/>
          </w:tcPr>
          <w:p w14:paraId="7BE45CB6"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Valor Provisionado</w:t>
            </w:r>
          </w:p>
        </w:tc>
        <w:tc>
          <w:tcPr>
            <w:tcW w:w="553" w:type="pct"/>
            <w:vAlign w:val="center"/>
            <w:hideMark/>
          </w:tcPr>
          <w:p w14:paraId="02C5B8D8"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Depósitos Judiciais Vinculados</w:t>
            </w:r>
          </w:p>
        </w:tc>
        <w:tc>
          <w:tcPr>
            <w:tcW w:w="508" w:type="pct"/>
            <w:vAlign w:val="center"/>
            <w:hideMark/>
          </w:tcPr>
          <w:p w14:paraId="7650DA5B"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Provisão Líquida dos Depósitos</w:t>
            </w:r>
          </w:p>
        </w:tc>
      </w:tr>
      <w:tr w:rsidR="001F1860" w:rsidRPr="00C45B15" w14:paraId="04933392" w14:textId="77777777" w:rsidTr="001F1860">
        <w:trPr>
          <w:trHeight w:val="232"/>
        </w:trPr>
        <w:tc>
          <w:tcPr>
            <w:tcW w:w="1594" w:type="pct"/>
            <w:vMerge/>
            <w:vAlign w:val="center"/>
            <w:hideMark/>
          </w:tcPr>
          <w:p w14:paraId="246BF3B4" w14:textId="77777777" w:rsidR="001F1860" w:rsidRPr="00C45B15" w:rsidRDefault="001F1860">
            <w:pPr>
              <w:rPr>
                <w:rFonts w:ascii="Arial" w:hAnsi="Arial" w:cs="Arial"/>
                <w:b/>
                <w:bCs/>
                <w:color w:val="000000"/>
                <w:sz w:val="18"/>
                <w:szCs w:val="18"/>
              </w:rPr>
            </w:pPr>
          </w:p>
        </w:tc>
        <w:tc>
          <w:tcPr>
            <w:tcW w:w="643" w:type="pct"/>
            <w:noWrap/>
            <w:vAlign w:val="center"/>
            <w:hideMark/>
          </w:tcPr>
          <w:p w14:paraId="5C710B51"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(A)</w:t>
            </w:r>
          </w:p>
        </w:tc>
        <w:tc>
          <w:tcPr>
            <w:tcW w:w="553" w:type="pct"/>
            <w:noWrap/>
            <w:vAlign w:val="center"/>
            <w:hideMark/>
          </w:tcPr>
          <w:p w14:paraId="77CC14D7"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(B)</w:t>
            </w:r>
          </w:p>
        </w:tc>
        <w:tc>
          <w:tcPr>
            <w:tcW w:w="508" w:type="pct"/>
            <w:noWrap/>
            <w:vAlign w:val="center"/>
            <w:hideMark/>
          </w:tcPr>
          <w:p w14:paraId="6B4863F4"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(A-B)</w:t>
            </w:r>
          </w:p>
        </w:tc>
        <w:tc>
          <w:tcPr>
            <w:tcW w:w="643" w:type="pct"/>
            <w:noWrap/>
            <w:vAlign w:val="center"/>
            <w:hideMark/>
          </w:tcPr>
          <w:p w14:paraId="532F7E8D"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(A)</w:t>
            </w:r>
          </w:p>
        </w:tc>
        <w:tc>
          <w:tcPr>
            <w:tcW w:w="553" w:type="pct"/>
            <w:noWrap/>
            <w:vAlign w:val="center"/>
            <w:hideMark/>
          </w:tcPr>
          <w:p w14:paraId="6016CB40"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(B)</w:t>
            </w:r>
          </w:p>
        </w:tc>
        <w:tc>
          <w:tcPr>
            <w:tcW w:w="508" w:type="pct"/>
            <w:noWrap/>
            <w:vAlign w:val="center"/>
            <w:hideMark/>
          </w:tcPr>
          <w:p w14:paraId="658042E5" w14:textId="77777777" w:rsidR="001F1860" w:rsidRPr="00C45B15" w:rsidRDefault="001F1860">
            <w:pPr>
              <w:jc w:val="center"/>
              <w:rPr>
                <w:rFonts w:ascii="Arial" w:hAnsi="Arial" w:cs="Arial"/>
                <w:b/>
                <w:bCs/>
                <w:color w:val="000000"/>
                <w:sz w:val="18"/>
                <w:szCs w:val="18"/>
              </w:rPr>
            </w:pPr>
            <w:r w:rsidRPr="00C45B15">
              <w:rPr>
                <w:rFonts w:ascii="Arial" w:hAnsi="Arial" w:cs="Arial"/>
                <w:b/>
                <w:bCs/>
                <w:color w:val="000000"/>
                <w:sz w:val="18"/>
                <w:szCs w:val="18"/>
              </w:rPr>
              <w:t>(A-B)</w:t>
            </w:r>
          </w:p>
        </w:tc>
      </w:tr>
      <w:tr w:rsidR="001F1860" w:rsidRPr="00C45B15" w14:paraId="4401F33C" w14:textId="77777777" w:rsidTr="001F1860">
        <w:trPr>
          <w:trHeight w:val="232"/>
        </w:trPr>
        <w:tc>
          <w:tcPr>
            <w:tcW w:w="1594" w:type="pct"/>
            <w:noWrap/>
            <w:vAlign w:val="center"/>
            <w:hideMark/>
          </w:tcPr>
          <w:p w14:paraId="1E2E1C7E" w14:textId="77777777" w:rsidR="001F1860" w:rsidRPr="00C45B15" w:rsidRDefault="001F1860">
            <w:pPr>
              <w:rPr>
                <w:rFonts w:ascii="Arial" w:hAnsi="Arial" w:cs="Arial"/>
                <w:color w:val="000000"/>
                <w:sz w:val="18"/>
                <w:szCs w:val="18"/>
              </w:rPr>
            </w:pPr>
            <w:r w:rsidRPr="00C45B15">
              <w:rPr>
                <w:rFonts w:ascii="Arial" w:hAnsi="Arial" w:cs="Arial"/>
                <w:color w:val="000000"/>
                <w:sz w:val="18"/>
                <w:szCs w:val="18"/>
              </w:rPr>
              <w:t>Cível</w:t>
            </w:r>
          </w:p>
        </w:tc>
        <w:tc>
          <w:tcPr>
            <w:tcW w:w="643" w:type="pct"/>
            <w:noWrap/>
            <w:vAlign w:val="center"/>
            <w:hideMark/>
          </w:tcPr>
          <w:p w14:paraId="6A07C6F1"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59.813</w:t>
            </w:r>
          </w:p>
        </w:tc>
        <w:tc>
          <w:tcPr>
            <w:tcW w:w="553" w:type="pct"/>
            <w:noWrap/>
            <w:vAlign w:val="center"/>
            <w:hideMark/>
          </w:tcPr>
          <w:p w14:paraId="4767FC18"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1.168</w:t>
            </w:r>
          </w:p>
        </w:tc>
        <w:tc>
          <w:tcPr>
            <w:tcW w:w="508" w:type="pct"/>
            <w:noWrap/>
            <w:vAlign w:val="center"/>
            <w:hideMark/>
          </w:tcPr>
          <w:p w14:paraId="7B3EF7D0"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58.645</w:t>
            </w:r>
          </w:p>
        </w:tc>
        <w:tc>
          <w:tcPr>
            <w:tcW w:w="643" w:type="pct"/>
            <w:noWrap/>
            <w:vAlign w:val="center"/>
            <w:hideMark/>
          </w:tcPr>
          <w:p w14:paraId="39B5D143"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58.694 </w:t>
            </w:r>
          </w:p>
        </w:tc>
        <w:tc>
          <w:tcPr>
            <w:tcW w:w="553" w:type="pct"/>
            <w:noWrap/>
            <w:vAlign w:val="center"/>
            <w:hideMark/>
          </w:tcPr>
          <w:p w14:paraId="0F29C3FF"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1.147 </w:t>
            </w:r>
          </w:p>
        </w:tc>
        <w:tc>
          <w:tcPr>
            <w:tcW w:w="508" w:type="pct"/>
            <w:noWrap/>
            <w:vAlign w:val="center"/>
            <w:hideMark/>
          </w:tcPr>
          <w:p w14:paraId="5050BA25"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57.547 </w:t>
            </w:r>
          </w:p>
        </w:tc>
      </w:tr>
      <w:tr w:rsidR="001F1860" w:rsidRPr="00C45B15" w14:paraId="685B8F9F" w14:textId="77777777" w:rsidTr="001F1860">
        <w:trPr>
          <w:trHeight w:val="232"/>
        </w:trPr>
        <w:tc>
          <w:tcPr>
            <w:tcW w:w="1594" w:type="pct"/>
            <w:noWrap/>
            <w:vAlign w:val="center"/>
            <w:hideMark/>
          </w:tcPr>
          <w:p w14:paraId="19DD1DD0" w14:textId="77777777" w:rsidR="001F1860" w:rsidRPr="00C45B15" w:rsidRDefault="001F1860">
            <w:pPr>
              <w:rPr>
                <w:rFonts w:ascii="Arial" w:hAnsi="Arial" w:cs="Arial"/>
                <w:color w:val="000000"/>
                <w:sz w:val="18"/>
                <w:szCs w:val="18"/>
              </w:rPr>
            </w:pPr>
            <w:r w:rsidRPr="00C45B15">
              <w:rPr>
                <w:rFonts w:ascii="Arial" w:hAnsi="Arial" w:cs="Arial"/>
                <w:color w:val="000000"/>
                <w:sz w:val="18"/>
                <w:szCs w:val="18"/>
              </w:rPr>
              <w:t>Trabalhista</w:t>
            </w:r>
          </w:p>
        </w:tc>
        <w:tc>
          <w:tcPr>
            <w:tcW w:w="643" w:type="pct"/>
            <w:noWrap/>
            <w:vAlign w:val="center"/>
            <w:hideMark/>
          </w:tcPr>
          <w:p w14:paraId="52CD864F"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12.092</w:t>
            </w:r>
          </w:p>
        </w:tc>
        <w:tc>
          <w:tcPr>
            <w:tcW w:w="553" w:type="pct"/>
            <w:noWrap/>
            <w:vAlign w:val="center"/>
            <w:hideMark/>
          </w:tcPr>
          <w:p w14:paraId="31A6650F"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967</w:t>
            </w:r>
          </w:p>
        </w:tc>
        <w:tc>
          <w:tcPr>
            <w:tcW w:w="508" w:type="pct"/>
            <w:noWrap/>
            <w:vAlign w:val="center"/>
            <w:hideMark/>
          </w:tcPr>
          <w:p w14:paraId="577FBA8D"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11.125</w:t>
            </w:r>
          </w:p>
        </w:tc>
        <w:tc>
          <w:tcPr>
            <w:tcW w:w="643" w:type="pct"/>
            <w:noWrap/>
            <w:vAlign w:val="center"/>
            <w:hideMark/>
          </w:tcPr>
          <w:p w14:paraId="5A24A5B6"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12.494 </w:t>
            </w:r>
          </w:p>
        </w:tc>
        <w:tc>
          <w:tcPr>
            <w:tcW w:w="553" w:type="pct"/>
            <w:noWrap/>
            <w:vAlign w:val="center"/>
            <w:hideMark/>
          </w:tcPr>
          <w:p w14:paraId="4AF625F0"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1.057 </w:t>
            </w:r>
          </w:p>
        </w:tc>
        <w:tc>
          <w:tcPr>
            <w:tcW w:w="508" w:type="pct"/>
            <w:noWrap/>
            <w:vAlign w:val="center"/>
            <w:hideMark/>
          </w:tcPr>
          <w:p w14:paraId="601A3476"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11.437 </w:t>
            </w:r>
          </w:p>
        </w:tc>
      </w:tr>
      <w:tr w:rsidR="001F1860" w:rsidRPr="00C45B15" w14:paraId="424A280B" w14:textId="77777777" w:rsidTr="001F1860">
        <w:trPr>
          <w:trHeight w:val="232"/>
        </w:trPr>
        <w:tc>
          <w:tcPr>
            <w:tcW w:w="1594" w:type="pct"/>
            <w:noWrap/>
            <w:vAlign w:val="center"/>
            <w:hideMark/>
          </w:tcPr>
          <w:p w14:paraId="1BA1B12A" w14:textId="77777777" w:rsidR="001F1860" w:rsidRPr="00C45B15" w:rsidRDefault="001F1860">
            <w:pPr>
              <w:rPr>
                <w:rFonts w:ascii="Arial" w:hAnsi="Arial" w:cs="Arial"/>
                <w:color w:val="000000"/>
                <w:sz w:val="18"/>
                <w:szCs w:val="18"/>
              </w:rPr>
            </w:pPr>
            <w:r w:rsidRPr="00C45B15">
              <w:rPr>
                <w:rFonts w:ascii="Arial" w:hAnsi="Arial" w:cs="Arial"/>
                <w:color w:val="000000"/>
                <w:sz w:val="18"/>
                <w:szCs w:val="18"/>
              </w:rPr>
              <w:t xml:space="preserve">Tributária </w:t>
            </w:r>
          </w:p>
        </w:tc>
        <w:tc>
          <w:tcPr>
            <w:tcW w:w="643" w:type="pct"/>
            <w:noWrap/>
            <w:vAlign w:val="center"/>
            <w:hideMark/>
          </w:tcPr>
          <w:p w14:paraId="2516490A"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549</w:t>
            </w:r>
          </w:p>
        </w:tc>
        <w:tc>
          <w:tcPr>
            <w:tcW w:w="553" w:type="pct"/>
            <w:noWrap/>
            <w:vAlign w:val="center"/>
            <w:hideMark/>
          </w:tcPr>
          <w:p w14:paraId="62FCC19F"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542</w:t>
            </w:r>
          </w:p>
        </w:tc>
        <w:tc>
          <w:tcPr>
            <w:tcW w:w="508" w:type="pct"/>
            <w:noWrap/>
            <w:vAlign w:val="center"/>
            <w:hideMark/>
          </w:tcPr>
          <w:p w14:paraId="159CEB6C"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7</w:t>
            </w:r>
          </w:p>
        </w:tc>
        <w:tc>
          <w:tcPr>
            <w:tcW w:w="643" w:type="pct"/>
            <w:noWrap/>
            <w:vAlign w:val="center"/>
            <w:hideMark/>
          </w:tcPr>
          <w:p w14:paraId="40004EF9"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531 </w:t>
            </w:r>
          </w:p>
        </w:tc>
        <w:tc>
          <w:tcPr>
            <w:tcW w:w="553" w:type="pct"/>
            <w:noWrap/>
            <w:vAlign w:val="center"/>
            <w:hideMark/>
          </w:tcPr>
          <w:p w14:paraId="66E27DE5"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532 </w:t>
            </w:r>
          </w:p>
        </w:tc>
        <w:tc>
          <w:tcPr>
            <w:tcW w:w="508" w:type="pct"/>
            <w:noWrap/>
            <w:vAlign w:val="center"/>
            <w:hideMark/>
          </w:tcPr>
          <w:p w14:paraId="1A04B96C" w14:textId="77777777" w:rsidR="001F1860" w:rsidRPr="00C45B15" w:rsidRDefault="001F1860">
            <w:pPr>
              <w:jc w:val="right"/>
              <w:rPr>
                <w:rFonts w:ascii="Arial" w:hAnsi="Arial" w:cs="Arial"/>
                <w:color w:val="000000"/>
                <w:sz w:val="18"/>
                <w:szCs w:val="18"/>
              </w:rPr>
            </w:pPr>
            <w:r w:rsidRPr="00C45B15">
              <w:rPr>
                <w:rFonts w:ascii="Arial" w:hAnsi="Arial" w:cs="Arial"/>
                <w:color w:val="000000"/>
                <w:sz w:val="18"/>
                <w:szCs w:val="18"/>
              </w:rPr>
              <w:t xml:space="preserve">              (1)</w:t>
            </w:r>
          </w:p>
        </w:tc>
      </w:tr>
      <w:tr w:rsidR="001F1860" w:rsidRPr="00C45B15" w14:paraId="2A06EDD1" w14:textId="77777777" w:rsidTr="001F1860">
        <w:trPr>
          <w:trHeight w:val="232"/>
        </w:trPr>
        <w:tc>
          <w:tcPr>
            <w:tcW w:w="1594" w:type="pct"/>
            <w:noWrap/>
            <w:vAlign w:val="center"/>
            <w:hideMark/>
          </w:tcPr>
          <w:p w14:paraId="31EF1699" w14:textId="77777777" w:rsidR="001F1860" w:rsidRPr="00C45B15" w:rsidRDefault="001F1860">
            <w:pPr>
              <w:rPr>
                <w:rFonts w:ascii="Arial" w:hAnsi="Arial" w:cs="Arial"/>
                <w:b/>
                <w:bCs/>
                <w:color w:val="000000"/>
                <w:sz w:val="18"/>
                <w:szCs w:val="18"/>
              </w:rPr>
            </w:pPr>
            <w:r w:rsidRPr="00C45B15">
              <w:rPr>
                <w:rFonts w:ascii="Arial" w:hAnsi="Arial" w:cs="Arial"/>
                <w:b/>
                <w:bCs/>
                <w:color w:val="000000"/>
                <w:sz w:val="18"/>
                <w:szCs w:val="18"/>
              </w:rPr>
              <w:t>Total</w:t>
            </w:r>
          </w:p>
        </w:tc>
        <w:tc>
          <w:tcPr>
            <w:tcW w:w="643" w:type="pct"/>
            <w:noWrap/>
            <w:vAlign w:val="center"/>
            <w:hideMark/>
          </w:tcPr>
          <w:p w14:paraId="3C42B4F0"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72.454</w:t>
            </w:r>
          </w:p>
        </w:tc>
        <w:tc>
          <w:tcPr>
            <w:tcW w:w="553" w:type="pct"/>
            <w:noWrap/>
            <w:vAlign w:val="center"/>
            <w:hideMark/>
          </w:tcPr>
          <w:p w14:paraId="66242E5B"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2.677</w:t>
            </w:r>
          </w:p>
        </w:tc>
        <w:tc>
          <w:tcPr>
            <w:tcW w:w="508" w:type="pct"/>
            <w:noWrap/>
            <w:vAlign w:val="center"/>
            <w:hideMark/>
          </w:tcPr>
          <w:p w14:paraId="15134ABA"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69.777</w:t>
            </w:r>
          </w:p>
        </w:tc>
        <w:tc>
          <w:tcPr>
            <w:tcW w:w="643" w:type="pct"/>
            <w:noWrap/>
            <w:vAlign w:val="center"/>
            <w:hideMark/>
          </w:tcPr>
          <w:p w14:paraId="20268A1A"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71.719 </w:t>
            </w:r>
          </w:p>
        </w:tc>
        <w:tc>
          <w:tcPr>
            <w:tcW w:w="553" w:type="pct"/>
            <w:noWrap/>
            <w:vAlign w:val="center"/>
            <w:hideMark/>
          </w:tcPr>
          <w:p w14:paraId="018CDAB2"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2.736 </w:t>
            </w:r>
          </w:p>
        </w:tc>
        <w:tc>
          <w:tcPr>
            <w:tcW w:w="508" w:type="pct"/>
            <w:noWrap/>
            <w:vAlign w:val="center"/>
            <w:hideMark/>
          </w:tcPr>
          <w:p w14:paraId="13AE8A93"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68.983 </w:t>
            </w:r>
          </w:p>
        </w:tc>
      </w:tr>
      <w:tr w:rsidR="001F1860" w:rsidRPr="00C45B15" w14:paraId="749B892A" w14:textId="77777777" w:rsidTr="001F1860">
        <w:trPr>
          <w:trHeight w:val="232"/>
        </w:trPr>
        <w:tc>
          <w:tcPr>
            <w:tcW w:w="1594" w:type="pct"/>
            <w:noWrap/>
            <w:vAlign w:val="center"/>
            <w:hideMark/>
          </w:tcPr>
          <w:p w14:paraId="66DE23AF" w14:textId="77777777" w:rsidR="001F1860" w:rsidRPr="00C45B15" w:rsidRDefault="001F1860">
            <w:pPr>
              <w:rPr>
                <w:rFonts w:ascii="Arial" w:hAnsi="Arial" w:cs="Arial"/>
                <w:b/>
                <w:bCs/>
                <w:color w:val="000000"/>
                <w:sz w:val="18"/>
                <w:szCs w:val="18"/>
              </w:rPr>
            </w:pPr>
            <w:r w:rsidRPr="00C45B15">
              <w:rPr>
                <w:rFonts w:ascii="Arial" w:hAnsi="Arial" w:cs="Arial"/>
                <w:b/>
                <w:bCs/>
                <w:color w:val="000000"/>
                <w:sz w:val="18"/>
                <w:szCs w:val="18"/>
              </w:rPr>
              <w:t xml:space="preserve">Circulante </w:t>
            </w:r>
          </w:p>
        </w:tc>
        <w:tc>
          <w:tcPr>
            <w:tcW w:w="643" w:type="pct"/>
            <w:noWrap/>
            <w:vAlign w:val="center"/>
            <w:hideMark/>
          </w:tcPr>
          <w:p w14:paraId="730BCDF8"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5.585</w:t>
            </w:r>
          </w:p>
        </w:tc>
        <w:tc>
          <w:tcPr>
            <w:tcW w:w="553" w:type="pct"/>
            <w:noWrap/>
            <w:vAlign w:val="center"/>
            <w:hideMark/>
          </w:tcPr>
          <w:p w14:paraId="26E9A013"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1.098</w:t>
            </w:r>
          </w:p>
        </w:tc>
        <w:tc>
          <w:tcPr>
            <w:tcW w:w="508" w:type="pct"/>
            <w:noWrap/>
            <w:vAlign w:val="center"/>
            <w:hideMark/>
          </w:tcPr>
          <w:p w14:paraId="6BAED1D7"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4.487</w:t>
            </w:r>
          </w:p>
        </w:tc>
        <w:tc>
          <w:tcPr>
            <w:tcW w:w="643" w:type="pct"/>
            <w:noWrap/>
            <w:vAlign w:val="center"/>
            <w:hideMark/>
          </w:tcPr>
          <w:p w14:paraId="2CB51640"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5.416 </w:t>
            </w:r>
          </w:p>
        </w:tc>
        <w:tc>
          <w:tcPr>
            <w:tcW w:w="553" w:type="pct"/>
            <w:noWrap/>
            <w:vAlign w:val="center"/>
            <w:hideMark/>
          </w:tcPr>
          <w:p w14:paraId="3A235384"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1.079 </w:t>
            </w:r>
          </w:p>
        </w:tc>
        <w:tc>
          <w:tcPr>
            <w:tcW w:w="508" w:type="pct"/>
            <w:noWrap/>
            <w:vAlign w:val="center"/>
            <w:hideMark/>
          </w:tcPr>
          <w:p w14:paraId="7847C69E"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4.337 </w:t>
            </w:r>
          </w:p>
        </w:tc>
      </w:tr>
      <w:tr w:rsidR="001F1860" w14:paraId="2A9E0AF6" w14:textId="77777777" w:rsidTr="001F1860">
        <w:trPr>
          <w:trHeight w:val="232"/>
        </w:trPr>
        <w:tc>
          <w:tcPr>
            <w:tcW w:w="1594" w:type="pct"/>
            <w:noWrap/>
            <w:vAlign w:val="center"/>
            <w:hideMark/>
          </w:tcPr>
          <w:p w14:paraId="0DEA1482" w14:textId="77777777" w:rsidR="001F1860" w:rsidRPr="00C45B15" w:rsidRDefault="001F1860">
            <w:pPr>
              <w:rPr>
                <w:rFonts w:ascii="Arial" w:hAnsi="Arial" w:cs="Arial"/>
                <w:b/>
                <w:bCs/>
                <w:color w:val="000000"/>
                <w:sz w:val="18"/>
                <w:szCs w:val="18"/>
              </w:rPr>
            </w:pPr>
            <w:r w:rsidRPr="00C45B15">
              <w:rPr>
                <w:rFonts w:ascii="Arial" w:hAnsi="Arial" w:cs="Arial"/>
                <w:b/>
                <w:bCs/>
                <w:color w:val="000000"/>
                <w:sz w:val="18"/>
                <w:szCs w:val="18"/>
              </w:rPr>
              <w:t>Não Circulante</w:t>
            </w:r>
          </w:p>
        </w:tc>
        <w:tc>
          <w:tcPr>
            <w:tcW w:w="643" w:type="pct"/>
            <w:noWrap/>
            <w:vAlign w:val="center"/>
            <w:hideMark/>
          </w:tcPr>
          <w:p w14:paraId="682189A1"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66.869</w:t>
            </w:r>
          </w:p>
        </w:tc>
        <w:tc>
          <w:tcPr>
            <w:tcW w:w="553" w:type="pct"/>
            <w:noWrap/>
            <w:vAlign w:val="center"/>
            <w:hideMark/>
          </w:tcPr>
          <w:p w14:paraId="69A9CD7D"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1.579</w:t>
            </w:r>
          </w:p>
        </w:tc>
        <w:tc>
          <w:tcPr>
            <w:tcW w:w="508" w:type="pct"/>
            <w:noWrap/>
            <w:vAlign w:val="center"/>
            <w:hideMark/>
          </w:tcPr>
          <w:p w14:paraId="323D12BF"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65.290</w:t>
            </w:r>
          </w:p>
        </w:tc>
        <w:tc>
          <w:tcPr>
            <w:tcW w:w="643" w:type="pct"/>
            <w:noWrap/>
            <w:vAlign w:val="center"/>
            <w:hideMark/>
          </w:tcPr>
          <w:p w14:paraId="6C04F729"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66.303 </w:t>
            </w:r>
          </w:p>
        </w:tc>
        <w:tc>
          <w:tcPr>
            <w:tcW w:w="553" w:type="pct"/>
            <w:noWrap/>
            <w:vAlign w:val="center"/>
            <w:hideMark/>
          </w:tcPr>
          <w:p w14:paraId="158ACE91" w14:textId="77777777" w:rsidR="001F1860" w:rsidRPr="00C45B15"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1.657 </w:t>
            </w:r>
          </w:p>
        </w:tc>
        <w:tc>
          <w:tcPr>
            <w:tcW w:w="508" w:type="pct"/>
            <w:noWrap/>
            <w:vAlign w:val="center"/>
            <w:hideMark/>
          </w:tcPr>
          <w:p w14:paraId="09234F18" w14:textId="77777777" w:rsidR="001F1860" w:rsidRDefault="001F1860">
            <w:pPr>
              <w:jc w:val="right"/>
              <w:rPr>
                <w:rFonts w:ascii="Arial" w:hAnsi="Arial" w:cs="Arial"/>
                <w:b/>
                <w:bCs/>
                <w:color w:val="000000"/>
                <w:sz w:val="18"/>
                <w:szCs w:val="18"/>
              </w:rPr>
            </w:pPr>
            <w:r w:rsidRPr="00C45B15">
              <w:rPr>
                <w:rFonts w:ascii="Arial" w:hAnsi="Arial" w:cs="Arial"/>
                <w:b/>
                <w:bCs/>
                <w:color w:val="000000"/>
                <w:sz w:val="18"/>
                <w:szCs w:val="18"/>
              </w:rPr>
              <w:t xml:space="preserve">      64.646</w:t>
            </w:r>
            <w:r>
              <w:rPr>
                <w:rFonts w:ascii="Arial" w:hAnsi="Arial" w:cs="Arial"/>
                <w:b/>
                <w:bCs/>
                <w:color w:val="000000"/>
                <w:sz w:val="18"/>
                <w:szCs w:val="18"/>
              </w:rPr>
              <w:t xml:space="preserve"> </w:t>
            </w:r>
          </w:p>
        </w:tc>
      </w:tr>
    </w:tbl>
    <w:p w14:paraId="0045C7F7" w14:textId="77777777" w:rsidR="001F1860" w:rsidRDefault="001F1860" w:rsidP="00A326D5">
      <w:pPr>
        <w:rPr>
          <w:sz w:val="10"/>
          <w:szCs w:val="10"/>
        </w:rPr>
      </w:pPr>
    </w:p>
    <w:p w14:paraId="381D0C14" w14:textId="52158DB1" w:rsidR="00EE5D14" w:rsidRDefault="00EE5D14" w:rsidP="006F68D1"/>
    <w:p w14:paraId="09E17A18" w14:textId="77777777" w:rsidR="006F68D1" w:rsidRPr="002A36CE" w:rsidRDefault="006F68D1" w:rsidP="009541E1">
      <w:pPr>
        <w:pStyle w:val="Ttulo2"/>
        <w:numPr>
          <w:ilvl w:val="2"/>
          <w:numId w:val="7"/>
        </w:numPr>
        <w:tabs>
          <w:tab w:val="clear" w:pos="284"/>
          <w:tab w:val="clear" w:pos="340"/>
        </w:tabs>
        <w:spacing w:before="0" w:after="0"/>
        <w:ind w:left="851" w:hanging="851"/>
        <w:jc w:val="both"/>
        <w:rPr>
          <w:rFonts w:ascii="Arial" w:hAnsi="Arial" w:cs="Arial"/>
        </w:rPr>
      </w:pPr>
      <w:bookmarkStart w:id="47" w:name="_Toc491337746"/>
      <w:r w:rsidRPr="002A36CE">
        <w:rPr>
          <w:rFonts w:ascii="Arial" w:hAnsi="Arial" w:cs="Arial"/>
        </w:rPr>
        <w:t>Natureza das ações judiciais</w:t>
      </w:r>
      <w:bookmarkEnd w:id="47"/>
    </w:p>
    <w:p w14:paraId="2A15A863" w14:textId="77777777" w:rsidR="006F68D1" w:rsidRPr="00F70B46" w:rsidRDefault="006F68D1" w:rsidP="006F68D1">
      <w:pPr>
        <w:rPr>
          <w:sz w:val="10"/>
          <w:szCs w:val="10"/>
        </w:rPr>
      </w:pPr>
    </w:p>
    <w:p w14:paraId="40AC3F30" w14:textId="0EA284E1" w:rsidR="000C5C47" w:rsidRDefault="00A70A3E" w:rsidP="00597FE5">
      <w:pPr>
        <w:spacing w:line="276" w:lineRule="auto"/>
        <w:jc w:val="both"/>
        <w:rPr>
          <w:rFonts w:ascii="Arial" w:hAnsi="Arial" w:cs="Arial"/>
          <w:sz w:val="22"/>
          <w:szCs w:val="22"/>
        </w:rPr>
      </w:pPr>
      <w:r w:rsidRPr="002A36CE">
        <w:rPr>
          <w:rFonts w:ascii="Arial" w:hAnsi="Arial" w:cs="Arial"/>
          <w:sz w:val="22"/>
          <w:szCs w:val="22"/>
        </w:rPr>
        <w:t xml:space="preserve">Os detalhes sobre as principais provisões </w:t>
      </w:r>
      <w:r w:rsidR="00DD1D98" w:rsidRPr="002A36CE">
        <w:rPr>
          <w:rFonts w:ascii="Arial" w:hAnsi="Arial" w:cs="Arial"/>
          <w:sz w:val="22"/>
          <w:szCs w:val="22"/>
        </w:rPr>
        <w:t xml:space="preserve">para riscos prováveis de acordo com a natureza das ações </w:t>
      </w:r>
      <w:r w:rsidRPr="002A36CE">
        <w:rPr>
          <w:rFonts w:ascii="Arial" w:hAnsi="Arial" w:cs="Arial"/>
          <w:sz w:val="22"/>
          <w:szCs w:val="22"/>
        </w:rPr>
        <w:t>são como segue, sendo a melhor expectativa do</w:t>
      </w:r>
      <w:r w:rsidR="00DD1D98" w:rsidRPr="002A36CE">
        <w:rPr>
          <w:rFonts w:ascii="Arial" w:hAnsi="Arial" w:cs="Arial"/>
          <w:sz w:val="22"/>
          <w:szCs w:val="22"/>
        </w:rPr>
        <w:t>s desembolsos futuros para es</w:t>
      </w:r>
      <w:r w:rsidR="004D37A1">
        <w:rPr>
          <w:rFonts w:ascii="Arial" w:hAnsi="Arial" w:cs="Arial"/>
          <w:sz w:val="22"/>
          <w:szCs w:val="22"/>
        </w:rPr>
        <w:t>s</w:t>
      </w:r>
      <w:r w:rsidR="00DD1D98" w:rsidRPr="002A36CE">
        <w:rPr>
          <w:rFonts w:ascii="Arial" w:hAnsi="Arial" w:cs="Arial"/>
          <w:sz w:val="22"/>
          <w:szCs w:val="22"/>
        </w:rPr>
        <w:t>es processos</w:t>
      </w:r>
      <w:r w:rsidRPr="002A36CE">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0"/>
        <w:gridCol w:w="1350"/>
        <w:gridCol w:w="1376"/>
        <w:gridCol w:w="1350"/>
        <w:gridCol w:w="1405"/>
      </w:tblGrid>
      <w:tr w:rsidR="00435181" w:rsidRPr="00C45B15" w14:paraId="1F0589CE" w14:textId="77777777" w:rsidTr="00435181">
        <w:trPr>
          <w:trHeight w:val="232"/>
        </w:trPr>
        <w:tc>
          <w:tcPr>
            <w:tcW w:w="2195" w:type="pct"/>
            <w:vMerge w:val="restart"/>
            <w:shd w:val="clear" w:color="000000" w:fill="D9D9D9"/>
            <w:vAlign w:val="center"/>
            <w:hideMark/>
          </w:tcPr>
          <w:p w14:paraId="145F2A97"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lastRenderedPageBreak/>
              <w:t>Natureza/Objeto das Ações</w:t>
            </w:r>
          </w:p>
        </w:tc>
        <w:tc>
          <w:tcPr>
            <w:tcW w:w="2086" w:type="pct"/>
            <w:gridSpan w:val="3"/>
            <w:vAlign w:val="center"/>
            <w:hideMark/>
          </w:tcPr>
          <w:p w14:paraId="21F199A1"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31/03/2026</w:t>
            </w:r>
          </w:p>
        </w:tc>
        <w:tc>
          <w:tcPr>
            <w:tcW w:w="719" w:type="pct"/>
            <w:vAlign w:val="center"/>
            <w:hideMark/>
          </w:tcPr>
          <w:p w14:paraId="4C9F86DC"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31/12/2025</w:t>
            </w:r>
          </w:p>
        </w:tc>
      </w:tr>
      <w:tr w:rsidR="00435181" w:rsidRPr="00C45B15" w14:paraId="5C5686FC" w14:textId="77777777" w:rsidTr="00435181">
        <w:trPr>
          <w:trHeight w:val="232"/>
        </w:trPr>
        <w:tc>
          <w:tcPr>
            <w:tcW w:w="2195" w:type="pct"/>
            <w:vMerge/>
            <w:vAlign w:val="center"/>
            <w:hideMark/>
          </w:tcPr>
          <w:p w14:paraId="32845C2F" w14:textId="77777777" w:rsidR="00435181" w:rsidRPr="00C45B15" w:rsidRDefault="00435181">
            <w:pPr>
              <w:rPr>
                <w:rFonts w:ascii="Arial" w:hAnsi="Arial" w:cs="Arial"/>
                <w:b/>
                <w:bCs/>
                <w:color w:val="000000"/>
                <w:sz w:val="18"/>
                <w:szCs w:val="18"/>
              </w:rPr>
            </w:pPr>
          </w:p>
        </w:tc>
        <w:tc>
          <w:tcPr>
            <w:tcW w:w="691" w:type="pct"/>
            <w:noWrap/>
            <w:vAlign w:val="center"/>
            <w:hideMark/>
          </w:tcPr>
          <w:p w14:paraId="1AD14155"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 xml:space="preserve"> Provisões </w:t>
            </w:r>
          </w:p>
        </w:tc>
        <w:tc>
          <w:tcPr>
            <w:tcW w:w="704" w:type="pct"/>
            <w:vAlign w:val="center"/>
            <w:hideMark/>
          </w:tcPr>
          <w:p w14:paraId="68C40D94"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 xml:space="preserve"> Depósitos Judiciais</w:t>
            </w:r>
          </w:p>
        </w:tc>
        <w:tc>
          <w:tcPr>
            <w:tcW w:w="691" w:type="pct"/>
            <w:vAlign w:val="center"/>
            <w:hideMark/>
          </w:tcPr>
          <w:p w14:paraId="4449CD58"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Provisões Líquidas</w:t>
            </w:r>
          </w:p>
        </w:tc>
        <w:tc>
          <w:tcPr>
            <w:tcW w:w="719" w:type="pct"/>
            <w:vAlign w:val="center"/>
            <w:hideMark/>
          </w:tcPr>
          <w:p w14:paraId="5E5775FE"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Provisão Líquida dos Depósitos Judiciais</w:t>
            </w:r>
          </w:p>
        </w:tc>
      </w:tr>
      <w:tr w:rsidR="00435181" w:rsidRPr="00C45B15" w14:paraId="06CF97BE" w14:textId="77777777" w:rsidTr="00435181">
        <w:trPr>
          <w:trHeight w:val="232"/>
        </w:trPr>
        <w:tc>
          <w:tcPr>
            <w:tcW w:w="2195" w:type="pct"/>
            <w:vMerge/>
            <w:vAlign w:val="center"/>
            <w:hideMark/>
          </w:tcPr>
          <w:p w14:paraId="7E855918" w14:textId="77777777" w:rsidR="00435181" w:rsidRPr="00C45B15" w:rsidRDefault="00435181">
            <w:pPr>
              <w:rPr>
                <w:rFonts w:ascii="Arial" w:hAnsi="Arial" w:cs="Arial"/>
                <w:b/>
                <w:bCs/>
                <w:color w:val="000000"/>
                <w:sz w:val="18"/>
                <w:szCs w:val="18"/>
              </w:rPr>
            </w:pPr>
          </w:p>
        </w:tc>
        <w:tc>
          <w:tcPr>
            <w:tcW w:w="691" w:type="pct"/>
            <w:noWrap/>
            <w:vAlign w:val="center"/>
            <w:hideMark/>
          </w:tcPr>
          <w:p w14:paraId="5CB7EEF8"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(A)</w:t>
            </w:r>
          </w:p>
        </w:tc>
        <w:tc>
          <w:tcPr>
            <w:tcW w:w="704" w:type="pct"/>
            <w:noWrap/>
            <w:vAlign w:val="center"/>
            <w:hideMark/>
          </w:tcPr>
          <w:p w14:paraId="175786AC"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(B)</w:t>
            </w:r>
          </w:p>
        </w:tc>
        <w:tc>
          <w:tcPr>
            <w:tcW w:w="691" w:type="pct"/>
            <w:noWrap/>
            <w:vAlign w:val="center"/>
            <w:hideMark/>
          </w:tcPr>
          <w:p w14:paraId="13D64184"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(A-B)</w:t>
            </w:r>
          </w:p>
        </w:tc>
        <w:tc>
          <w:tcPr>
            <w:tcW w:w="719" w:type="pct"/>
            <w:vAlign w:val="center"/>
            <w:hideMark/>
          </w:tcPr>
          <w:p w14:paraId="1D9C0DF1" w14:textId="77777777" w:rsidR="00435181" w:rsidRPr="00C45B15" w:rsidRDefault="00435181">
            <w:pPr>
              <w:jc w:val="center"/>
              <w:rPr>
                <w:rFonts w:ascii="Arial" w:hAnsi="Arial" w:cs="Arial"/>
                <w:b/>
                <w:bCs/>
                <w:color w:val="000000"/>
                <w:sz w:val="18"/>
                <w:szCs w:val="18"/>
              </w:rPr>
            </w:pPr>
            <w:r w:rsidRPr="00C45B15">
              <w:rPr>
                <w:rFonts w:ascii="Arial" w:hAnsi="Arial" w:cs="Arial"/>
                <w:b/>
                <w:bCs/>
                <w:color w:val="000000"/>
                <w:sz w:val="18"/>
                <w:szCs w:val="18"/>
              </w:rPr>
              <w:t>(Saldo)</w:t>
            </w:r>
          </w:p>
        </w:tc>
      </w:tr>
      <w:tr w:rsidR="00435181" w:rsidRPr="00C45B15" w14:paraId="3BB58F32" w14:textId="77777777" w:rsidTr="00435181">
        <w:trPr>
          <w:trHeight w:val="232"/>
        </w:trPr>
        <w:tc>
          <w:tcPr>
            <w:tcW w:w="2195" w:type="pct"/>
            <w:vAlign w:val="center"/>
            <w:hideMark/>
          </w:tcPr>
          <w:p w14:paraId="64FD088C"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Cíveis</w:t>
            </w:r>
          </w:p>
        </w:tc>
        <w:tc>
          <w:tcPr>
            <w:tcW w:w="691" w:type="pct"/>
            <w:noWrap/>
            <w:vAlign w:val="center"/>
            <w:hideMark/>
          </w:tcPr>
          <w:p w14:paraId="5A3DC95C"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w:t>
            </w:r>
          </w:p>
        </w:tc>
        <w:tc>
          <w:tcPr>
            <w:tcW w:w="704" w:type="pct"/>
            <w:noWrap/>
            <w:vAlign w:val="center"/>
            <w:hideMark/>
          </w:tcPr>
          <w:p w14:paraId="0F62BAD9"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w:t>
            </w:r>
          </w:p>
        </w:tc>
        <w:tc>
          <w:tcPr>
            <w:tcW w:w="691" w:type="pct"/>
            <w:noWrap/>
            <w:vAlign w:val="center"/>
            <w:hideMark/>
          </w:tcPr>
          <w:p w14:paraId="59A6C3F0"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w:t>
            </w:r>
          </w:p>
        </w:tc>
        <w:tc>
          <w:tcPr>
            <w:tcW w:w="719" w:type="pct"/>
            <w:vAlign w:val="center"/>
            <w:hideMark/>
          </w:tcPr>
          <w:p w14:paraId="6DB7B55C"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w:t>
            </w:r>
          </w:p>
        </w:tc>
      </w:tr>
      <w:tr w:rsidR="00435181" w:rsidRPr="00C45B15" w14:paraId="5A415B4B" w14:textId="77777777" w:rsidTr="00435181">
        <w:trPr>
          <w:trHeight w:val="232"/>
        </w:trPr>
        <w:tc>
          <w:tcPr>
            <w:tcW w:w="2195" w:type="pct"/>
            <w:vAlign w:val="center"/>
            <w:hideMark/>
          </w:tcPr>
          <w:p w14:paraId="3F4345E9"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Ilegalidade na Venda de Ações (fraude)</w:t>
            </w:r>
          </w:p>
        </w:tc>
        <w:tc>
          <w:tcPr>
            <w:tcW w:w="691" w:type="pct"/>
            <w:noWrap/>
            <w:vAlign w:val="center"/>
            <w:hideMark/>
          </w:tcPr>
          <w:p w14:paraId="12DDBFD5"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320 </w:t>
            </w:r>
          </w:p>
        </w:tc>
        <w:tc>
          <w:tcPr>
            <w:tcW w:w="704" w:type="pct"/>
            <w:noWrap/>
            <w:vAlign w:val="center"/>
            <w:hideMark/>
          </w:tcPr>
          <w:p w14:paraId="60150D18"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4 </w:t>
            </w:r>
          </w:p>
        </w:tc>
        <w:tc>
          <w:tcPr>
            <w:tcW w:w="691" w:type="pct"/>
            <w:noWrap/>
            <w:vAlign w:val="center"/>
            <w:hideMark/>
          </w:tcPr>
          <w:p w14:paraId="22A42CD5"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316 </w:t>
            </w:r>
          </w:p>
        </w:tc>
        <w:tc>
          <w:tcPr>
            <w:tcW w:w="719" w:type="pct"/>
            <w:noWrap/>
            <w:vAlign w:val="center"/>
            <w:hideMark/>
          </w:tcPr>
          <w:p w14:paraId="0F58BC6D"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402 </w:t>
            </w:r>
          </w:p>
        </w:tc>
      </w:tr>
      <w:tr w:rsidR="00435181" w:rsidRPr="00C45B15" w14:paraId="4FED13EC" w14:textId="77777777" w:rsidTr="00435181">
        <w:trPr>
          <w:trHeight w:val="232"/>
        </w:trPr>
        <w:tc>
          <w:tcPr>
            <w:tcW w:w="2195" w:type="pct"/>
            <w:vAlign w:val="center"/>
            <w:hideMark/>
          </w:tcPr>
          <w:p w14:paraId="185820D8"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 xml:space="preserve">Dividendos sobre o Capital da TELEBRÁS </w:t>
            </w:r>
          </w:p>
        </w:tc>
        <w:tc>
          <w:tcPr>
            <w:tcW w:w="691" w:type="pct"/>
            <w:noWrap/>
            <w:vAlign w:val="center"/>
            <w:hideMark/>
          </w:tcPr>
          <w:p w14:paraId="07F0B4B8"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47.060 </w:t>
            </w:r>
          </w:p>
        </w:tc>
        <w:tc>
          <w:tcPr>
            <w:tcW w:w="704" w:type="pct"/>
            <w:noWrap/>
            <w:vAlign w:val="center"/>
            <w:hideMark/>
          </w:tcPr>
          <w:p w14:paraId="3851BDCD"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   </w:t>
            </w:r>
          </w:p>
        </w:tc>
        <w:tc>
          <w:tcPr>
            <w:tcW w:w="691" w:type="pct"/>
            <w:noWrap/>
            <w:vAlign w:val="center"/>
            <w:hideMark/>
          </w:tcPr>
          <w:p w14:paraId="32EB3BD6"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47.060 </w:t>
            </w:r>
          </w:p>
        </w:tc>
        <w:tc>
          <w:tcPr>
            <w:tcW w:w="719" w:type="pct"/>
            <w:noWrap/>
            <w:vAlign w:val="center"/>
            <w:hideMark/>
          </w:tcPr>
          <w:p w14:paraId="05635CD5"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45.909 </w:t>
            </w:r>
          </w:p>
        </w:tc>
      </w:tr>
      <w:tr w:rsidR="00435181" w:rsidRPr="00C45B15" w14:paraId="6760DA52" w14:textId="77777777" w:rsidTr="00435181">
        <w:trPr>
          <w:trHeight w:val="232"/>
        </w:trPr>
        <w:tc>
          <w:tcPr>
            <w:tcW w:w="2195" w:type="pct"/>
            <w:vAlign w:val="center"/>
            <w:hideMark/>
          </w:tcPr>
          <w:p w14:paraId="55221595"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Diferença de Ações (inclusive Conversão de Debêntures)</w:t>
            </w:r>
          </w:p>
        </w:tc>
        <w:tc>
          <w:tcPr>
            <w:tcW w:w="691" w:type="pct"/>
            <w:noWrap/>
            <w:vAlign w:val="center"/>
            <w:hideMark/>
          </w:tcPr>
          <w:p w14:paraId="17A2CE99"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5.647 </w:t>
            </w:r>
          </w:p>
        </w:tc>
        <w:tc>
          <w:tcPr>
            <w:tcW w:w="704" w:type="pct"/>
            <w:noWrap/>
            <w:vAlign w:val="center"/>
            <w:hideMark/>
          </w:tcPr>
          <w:p w14:paraId="5BDC7269"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177 </w:t>
            </w:r>
          </w:p>
        </w:tc>
        <w:tc>
          <w:tcPr>
            <w:tcW w:w="691" w:type="pct"/>
            <w:noWrap/>
            <w:vAlign w:val="center"/>
            <w:hideMark/>
          </w:tcPr>
          <w:p w14:paraId="331E1424"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5.470 </w:t>
            </w:r>
          </w:p>
        </w:tc>
        <w:tc>
          <w:tcPr>
            <w:tcW w:w="719" w:type="pct"/>
            <w:noWrap/>
            <w:vAlign w:val="center"/>
            <w:hideMark/>
          </w:tcPr>
          <w:p w14:paraId="23F7756F"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5.347 </w:t>
            </w:r>
          </w:p>
        </w:tc>
      </w:tr>
      <w:tr w:rsidR="00435181" w:rsidRPr="00C45B15" w14:paraId="039151D3" w14:textId="77777777" w:rsidTr="00435181">
        <w:trPr>
          <w:trHeight w:val="232"/>
        </w:trPr>
        <w:tc>
          <w:tcPr>
            <w:tcW w:w="2195" w:type="pct"/>
            <w:vAlign w:val="center"/>
            <w:hideMark/>
          </w:tcPr>
          <w:p w14:paraId="09A46212"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Outros Processos</w:t>
            </w:r>
          </w:p>
        </w:tc>
        <w:tc>
          <w:tcPr>
            <w:tcW w:w="691" w:type="pct"/>
            <w:noWrap/>
            <w:vAlign w:val="center"/>
            <w:hideMark/>
          </w:tcPr>
          <w:p w14:paraId="0252FDB2"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6.786 </w:t>
            </w:r>
          </w:p>
        </w:tc>
        <w:tc>
          <w:tcPr>
            <w:tcW w:w="704" w:type="pct"/>
            <w:noWrap/>
            <w:vAlign w:val="center"/>
            <w:hideMark/>
          </w:tcPr>
          <w:p w14:paraId="44DB4F22"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987 </w:t>
            </w:r>
          </w:p>
        </w:tc>
        <w:tc>
          <w:tcPr>
            <w:tcW w:w="691" w:type="pct"/>
            <w:noWrap/>
            <w:vAlign w:val="center"/>
            <w:hideMark/>
          </w:tcPr>
          <w:p w14:paraId="2C77B168"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5.799 </w:t>
            </w:r>
          </w:p>
        </w:tc>
        <w:tc>
          <w:tcPr>
            <w:tcW w:w="719" w:type="pct"/>
            <w:noWrap/>
            <w:vAlign w:val="center"/>
            <w:hideMark/>
          </w:tcPr>
          <w:p w14:paraId="06DDBC66"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5.889 </w:t>
            </w:r>
          </w:p>
        </w:tc>
      </w:tr>
      <w:tr w:rsidR="00435181" w:rsidRPr="00C45B15" w14:paraId="3FF300E2" w14:textId="77777777" w:rsidTr="00435181">
        <w:trPr>
          <w:trHeight w:val="232"/>
        </w:trPr>
        <w:tc>
          <w:tcPr>
            <w:tcW w:w="2195" w:type="pct"/>
            <w:vAlign w:val="center"/>
            <w:hideMark/>
          </w:tcPr>
          <w:p w14:paraId="78FCCB0A"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Total</w:t>
            </w:r>
          </w:p>
        </w:tc>
        <w:tc>
          <w:tcPr>
            <w:tcW w:w="691" w:type="pct"/>
            <w:noWrap/>
            <w:vAlign w:val="center"/>
            <w:hideMark/>
          </w:tcPr>
          <w:p w14:paraId="1506321A"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59.813 </w:t>
            </w:r>
          </w:p>
        </w:tc>
        <w:tc>
          <w:tcPr>
            <w:tcW w:w="704" w:type="pct"/>
            <w:noWrap/>
            <w:vAlign w:val="center"/>
            <w:hideMark/>
          </w:tcPr>
          <w:p w14:paraId="29BCBF7A"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1.168 </w:t>
            </w:r>
          </w:p>
        </w:tc>
        <w:tc>
          <w:tcPr>
            <w:tcW w:w="691" w:type="pct"/>
            <w:noWrap/>
            <w:vAlign w:val="center"/>
            <w:hideMark/>
          </w:tcPr>
          <w:p w14:paraId="490A6F5B"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58.645 </w:t>
            </w:r>
          </w:p>
        </w:tc>
        <w:tc>
          <w:tcPr>
            <w:tcW w:w="719" w:type="pct"/>
            <w:noWrap/>
            <w:vAlign w:val="center"/>
            <w:hideMark/>
          </w:tcPr>
          <w:p w14:paraId="305ECD34"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57.547 </w:t>
            </w:r>
          </w:p>
        </w:tc>
      </w:tr>
      <w:tr w:rsidR="00435181" w:rsidRPr="00C45B15" w14:paraId="4EAAE40A" w14:textId="77777777" w:rsidTr="00435181">
        <w:trPr>
          <w:trHeight w:val="232"/>
        </w:trPr>
        <w:tc>
          <w:tcPr>
            <w:tcW w:w="2195" w:type="pct"/>
            <w:vAlign w:val="center"/>
            <w:hideMark/>
          </w:tcPr>
          <w:p w14:paraId="6875B265"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Trabalhistas</w:t>
            </w:r>
          </w:p>
        </w:tc>
        <w:tc>
          <w:tcPr>
            <w:tcW w:w="691" w:type="pct"/>
            <w:noWrap/>
            <w:vAlign w:val="center"/>
            <w:hideMark/>
          </w:tcPr>
          <w:p w14:paraId="0649B3CC"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w:t>
            </w:r>
          </w:p>
        </w:tc>
        <w:tc>
          <w:tcPr>
            <w:tcW w:w="704" w:type="pct"/>
            <w:noWrap/>
            <w:vAlign w:val="center"/>
            <w:hideMark/>
          </w:tcPr>
          <w:p w14:paraId="54834A30"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w:t>
            </w:r>
          </w:p>
        </w:tc>
        <w:tc>
          <w:tcPr>
            <w:tcW w:w="691" w:type="pct"/>
            <w:noWrap/>
            <w:vAlign w:val="center"/>
            <w:hideMark/>
          </w:tcPr>
          <w:p w14:paraId="4BC1EC4D"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w:t>
            </w:r>
          </w:p>
        </w:tc>
        <w:tc>
          <w:tcPr>
            <w:tcW w:w="719" w:type="pct"/>
            <w:vAlign w:val="center"/>
            <w:hideMark/>
          </w:tcPr>
          <w:p w14:paraId="69933025" w14:textId="77777777" w:rsidR="00435181" w:rsidRPr="00C45B15" w:rsidRDefault="00435181">
            <w:pPr>
              <w:rPr>
                <w:rFonts w:ascii="Calibri" w:hAnsi="Calibri" w:cs="Calibri"/>
                <w:color w:val="000000"/>
                <w:sz w:val="22"/>
                <w:szCs w:val="22"/>
              </w:rPr>
            </w:pPr>
            <w:r w:rsidRPr="00C45B15">
              <w:rPr>
                <w:rFonts w:ascii="Calibri" w:hAnsi="Calibri" w:cs="Calibri"/>
                <w:color w:val="000000"/>
                <w:sz w:val="22"/>
                <w:szCs w:val="22"/>
              </w:rPr>
              <w:t> </w:t>
            </w:r>
          </w:p>
        </w:tc>
      </w:tr>
      <w:tr w:rsidR="00435181" w:rsidRPr="00C45B15" w14:paraId="0D2C3AB5" w14:textId="77777777" w:rsidTr="00435181">
        <w:trPr>
          <w:trHeight w:val="232"/>
        </w:trPr>
        <w:tc>
          <w:tcPr>
            <w:tcW w:w="2195" w:type="pct"/>
            <w:vAlign w:val="center"/>
            <w:hideMark/>
          </w:tcPr>
          <w:p w14:paraId="0CFB435B"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Ganhos de Produtividade</w:t>
            </w:r>
          </w:p>
        </w:tc>
        <w:tc>
          <w:tcPr>
            <w:tcW w:w="691" w:type="pct"/>
            <w:noWrap/>
            <w:vAlign w:val="center"/>
            <w:hideMark/>
          </w:tcPr>
          <w:p w14:paraId="1E53A6DE"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4.658 </w:t>
            </w:r>
          </w:p>
        </w:tc>
        <w:tc>
          <w:tcPr>
            <w:tcW w:w="704" w:type="pct"/>
            <w:noWrap/>
            <w:vAlign w:val="center"/>
            <w:hideMark/>
          </w:tcPr>
          <w:p w14:paraId="0A355DF4"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50 </w:t>
            </w:r>
          </w:p>
        </w:tc>
        <w:tc>
          <w:tcPr>
            <w:tcW w:w="691" w:type="pct"/>
            <w:noWrap/>
            <w:vAlign w:val="center"/>
            <w:hideMark/>
          </w:tcPr>
          <w:p w14:paraId="3C62222C"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4.608 </w:t>
            </w:r>
          </w:p>
        </w:tc>
        <w:tc>
          <w:tcPr>
            <w:tcW w:w="719" w:type="pct"/>
            <w:noWrap/>
            <w:vAlign w:val="center"/>
            <w:hideMark/>
          </w:tcPr>
          <w:p w14:paraId="1BC5C53B"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4.529 </w:t>
            </w:r>
          </w:p>
        </w:tc>
      </w:tr>
      <w:tr w:rsidR="00435181" w:rsidRPr="00C45B15" w14:paraId="122C917C" w14:textId="77777777" w:rsidTr="00435181">
        <w:trPr>
          <w:trHeight w:val="232"/>
        </w:trPr>
        <w:tc>
          <w:tcPr>
            <w:tcW w:w="2195" w:type="pct"/>
            <w:vAlign w:val="center"/>
            <w:hideMark/>
          </w:tcPr>
          <w:p w14:paraId="74D4F629"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Responsabilidade Subsidiária</w:t>
            </w:r>
          </w:p>
        </w:tc>
        <w:tc>
          <w:tcPr>
            <w:tcW w:w="691" w:type="pct"/>
            <w:noWrap/>
            <w:vAlign w:val="center"/>
            <w:hideMark/>
          </w:tcPr>
          <w:p w14:paraId="28F47CE1"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3.648 </w:t>
            </w:r>
          </w:p>
        </w:tc>
        <w:tc>
          <w:tcPr>
            <w:tcW w:w="704" w:type="pct"/>
            <w:noWrap/>
            <w:vAlign w:val="center"/>
            <w:hideMark/>
          </w:tcPr>
          <w:p w14:paraId="4667927D"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363 </w:t>
            </w:r>
          </w:p>
        </w:tc>
        <w:tc>
          <w:tcPr>
            <w:tcW w:w="691" w:type="pct"/>
            <w:noWrap/>
            <w:vAlign w:val="center"/>
            <w:hideMark/>
          </w:tcPr>
          <w:p w14:paraId="0E6B9B95"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3.285 </w:t>
            </w:r>
          </w:p>
        </w:tc>
        <w:tc>
          <w:tcPr>
            <w:tcW w:w="719" w:type="pct"/>
            <w:noWrap/>
            <w:vAlign w:val="center"/>
            <w:hideMark/>
          </w:tcPr>
          <w:p w14:paraId="513C5242"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3.699 </w:t>
            </w:r>
          </w:p>
        </w:tc>
      </w:tr>
      <w:tr w:rsidR="00435181" w:rsidRPr="00C45B15" w14:paraId="2FD65979" w14:textId="77777777" w:rsidTr="00435181">
        <w:trPr>
          <w:trHeight w:val="232"/>
        </w:trPr>
        <w:tc>
          <w:tcPr>
            <w:tcW w:w="2195" w:type="pct"/>
            <w:vAlign w:val="center"/>
            <w:hideMark/>
          </w:tcPr>
          <w:p w14:paraId="52D5FDEA"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Outros Processos</w:t>
            </w:r>
          </w:p>
        </w:tc>
        <w:tc>
          <w:tcPr>
            <w:tcW w:w="691" w:type="pct"/>
            <w:noWrap/>
            <w:vAlign w:val="center"/>
            <w:hideMark/>
          </w:tcPr>
          <w:p w14:paraId="767AD8DD"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3.786 </w:t>
            </w:r>
          </w:p>
        </w:tc>
        <w:tc>
          <w:tcPr>
            <w:tcW w:w="704" w:type="pct"/>
            <w:noWrap/>
            <w:vAlign w:val="center"/>
            <w:hideMark/>
          </w:tcPr>
          <w:p w14:paraId="61DE94D6"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554 </w:t>
            </w:r>
          </w:p>
        </w:tc>
        <w:tc>
          <w:tcPr>
            <w:tcW w:w="691" w:type="pct"/>
            <w:noWrap/>
            <w:vAlign w:val="center"/>
            <w:hideMark/>
          </w:tcPr>
          <w:p w14:paraId="3300CE01"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3.232 </w:t>
            </w:r>
          </w:p>
        </w:tc>
        <w:tc>
          <w:tcPr>
            <w:tcW w:w="719" w:type="pct"/>
            <w:noWrap/>
            <w:vAlign w:val="center"/>
            <w:hideMark/>
          </w:tcPr>
          <w:p w14:paraId="40EBC44B"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3.209 </w:t>
            </w:r>
          </w:p>
        </w:tc>
      </w:tr>
      <w:tr w:rsidR="00435181" w:rsidRPr="00C45B15" w14:paraId="4EC05B0D" w14:textId="77777777" w:rsidTr="00435181">
        <w:trPr>
          <w:trHeight w:val="232"/>
        </w:trPr>
        <w:tc>
          <w:tcPr>
            <w:tcW w:w="2195" w:type="pct"/>
            <w:vAlign w:val="center"/>
            <w:hideMark/>
          </w:tcPr>
          <w:p w14:paraId="4D3343D5"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Total</w:t>
            </w:r>
          </w:p>
        </w:tc>
        <w:tc>
          <w:tcPr>
            <w:tcW w:w="691" w:type="pct"/>
            <w:noWrap/>
            <w:vAlign w:val="center"/>
            <w:hideMark/>
          </w:tcPr>
          <w:p w14:paraId="42BE2A28"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12.092 </w:t>
            </w:r>
          </w:p>
        </w:tc>
        <w:tc>
          <w:tcPr>
            <w:tcW w:w="704" w:type="pct"/>
            <w:noWrap/>
            <w:vAlign w:val="center"/>
            <w:hideMark/>
          </w:tcPr>
          <w:p w14:paraId="146409F7"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967 </w:t>
            </w:r>
          </w:p>
        </w:tc>
        <w:tc>
          <w:tcPr>
            <w:tcW w:w="691" w:type="pct"/>
            <w:noWrap/>
            <w:vAlign w:val="center"/>
            <w:hideMark/>
          </w:tcPr>
          <w:p w14:paraId="5CDEFC81"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11.125 </w:t>
            </w:r>
          </w:p>
        </w:tc>
        <w:tc>
          <w:tcPr>
            <w:tcW w:w="719" w:type="pct"/>
            <w:noWrap/>
            <w:vAlign w:val="center"/>
            <w:hideMark/>
          </w:tcPr>
          <w:p w14:paraId="7189CE68"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11.437 </w:t>
            </w:r>
          </w:p>
        </w:tc>
      </w:tr>
      <w:tr w:rsidR="00435181" w:rsidRPr="00C45B15" w14:paraId="3E5AF3DB" w14:textId="77777777" w:rsidTr="00435181">
        <w:trPr>
          <w:trHeight w:val="232"/>
        </w:trPr>
        <w:tc>
          <w:tcPr>
            <w:tcW w:w="2195" w:type="pct"/>
            <w:vAlign w:val="center"/>
            <w:hideMark/>
          </w:tcPr>
          <w:p w14:paraId="4471D185"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Tributárias</w:t>
            </w:r>
          </w:p>
        </w:tc>
        <w:tc>
          <w:tcPr>
            <w:tcW w:w="691" w:type="pct"/>
            <w:noWrap/>
            <w:vAlign w:val="center"/>
            <w:hideMark/>
          </w:tcPr>
          <w:p w14:paraId="5D7FC650"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 </w:t>
            </w:r>
          </w:p>
        </w:tc>
        <w:tc>
          <w:tcPr>
            <w:tcW w:w="704" w:type="pct"/>
            <w:noWrap/>
            <w:vAlign w:val="center"/>
            <w:hideMark/>
          </w:tcPr>
          <w:p w14:paraId="09E7D397"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 </w:t>
            </w:r>
          </w:p>
        </w:tc>
        <w:tc>
          <w:tcPr>
            <w:tcW w:w="691" w:type="pct"/>
            <w:noWrap/>
            <w:vAlign w:val="center"/>
            <w:hideMark/>
          </w:tcPr>
          <w:p w14:paraId="1DAD0A3F"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 </w:t>
            </w:r>
          </w:p>
        </w:tc>
        <w:tc>
          <w:tcPr>
            <w:tcW w:w="719" w:type="pct"/>
            <w:vAlign w:val="center"/>
            <w:hideMark/>
          </w:tcPr>
          <w:p w14:paraId="126EC3D1" w14:textId="77777777" w:rsidR="00435181" w:rsidRPr="00C45B15" w:rsidRDefault="00435181">
            <w:pPr>
              <w:rPr>
                <w:rFonts w:ascii="Calibri" w:hAnsi="Calibri" w:cs="Calibri"/>
                <w:color w:val="000000"/>
                <w:sz w:val="22"/>
                <w:szCs w:val="22"/>
              </w:rPr>
            </w:pPr>
            <w:r w:rsidRPr="00C45B15">
              <w:rPr>
                <w:rFonts w:ascii="Calibri" w:hAnsi="Calibri" w:cs="Calibri"/>
                <w:color w:val="000000"/>
                <w:sz w:val="22"/>
                <w:szCs w:val="22"/>
              </w:rPr>
              <w:t> </w:t>
            </w:r>
          </w:p>
        </w:tc>
      </w:tr>
      <w:tr w:rsidR="00435181" w:rsidRPr="00C45B15" w14:paraId="61AD9BB7" w14:textId="77777777" w:rsidTr="00435181">
        <w:trPr>
          <w:trHeight w:val="232"/>
        </w:trPr>
        <w:tc>
          <w:tcPr>
            <w:tcW w:w="2195" w:type="pct"/>
            <w:vAlign w:val="center"/>
            <w:hideMark/>
          </w:tcPr>
          <w:p w14:paraId="7A1277C8" w14:textId="77777777" w:rsidR="00435181" w:rsidRPr="00C45B15" w:rsidRDefault="00435181">
            <w:pPr>
              <w:rPr>
                <w:rFonts w:ascii="Arial" w:hAnsi="Arial" w:cs="Arial"/>
                <w:color w:val="000000"/>
                <w:sz w:val="18"/>
                <w:szCs w:val="18"/>
              </w:rPr>
            </w:pPr>
            <w:r w:rsidRPr="00C45B15">
              <w:rPr>
                <w:rFonts w:ascii="Arial" w:hAnsi="Arial" w:cs="Arial"/>
                <w:color w:val="000000"/>
                <w:sz w:val="18"/>
                <w:szCs w:val="18"/>
              </w:rPr>
              <w:t>Execução Fiscal</w:t>
            </w:r>
          </w:p>
        </w:tc>
        <w:tc>
          <w:tcPr>
            <w:tcW w:w="691" w:type="pct"/>
            <w:noWrap/>
            <w:vAlign w:val="center"/>
            <w:hideMark/>
          </w:tcPr>
          <w:p w14:paraId="318A3FEC"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549 </w:t>
            </w:r>
          </w:p>
        </w:tc>
        <w:tc>
          <w:tcPr>
            <w:tcW w:w="704" w:type="pct"/>
            <w:noWrap/>
            <w:vAlign w:val="center"/>
            <w:hideMark/>
          </w:tcPr>
          <w:p w14:paraId="1FC31BC6"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542 </w:t>
            </w:r>
          </w:p>
        </w:tc>
        <w:tc>
          <w:tcPr>
            <w:tcW w:w="691" w:type="pct"/>
            <w:noWrap/>
            <w:vAlign w:val="center"/>
            <w:hideMark/>
          </w:tcPr>
          <w:p w14:paraId="1B0D4902"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7 </w:t>
            </w:r>
          </w:p>
        </w:tc>
        <w:tc>
          <w:tcPr>
            <w:tcW w:w="719" w:type="pct"/>
            <w:noWrap/>
            <w:vAlign w:val="center"/>
            <w:hideMark/>
          </w:tcPr>
          <w:p w14:paraId="67B68F8A" w14:textId="77777777" w:rsidR="00435181" w:rsidRPr="00C45B15" w:rsidRDefault="00435181">
            <w:pPr>
              <w:jc w:val="right"/>
              <w:rPr>
                <w:rFonts w:ascii="Arial" w:hAnsi="Arial" w:cs="Arial"/>
                <w:color w:val="000000"/>
                <w:sz w:val="18"/>
                <w:szCs w:val="18"/>
              </w:rPr>
            </w:pPr>
            <w:r w:rsidRPr="00C45B15">
              <w:rPr>
                <w:rFonts w:ascii="Arial" w:hAnsi="Arial" w:cs="Arial"/>
                <w:color w:val="000000"/>
                <w:sz w:val="18"/>
                <w:szCs w:val="18"/>
              </w:rPr>
              <w:t xml:space="preserve">              (1)</w:t>
            </w:r>
          </w:p>
        </w:tc>
      </w:tr>
      <w:tr w:rsidR="00435181" w:rsidRPr="00C45B15" w14:paraId="01C0A7D3" w14:textId="77777777" w:rsidTr="00435181">
        <w:trPr>
          <w:trHeight w:val="232"/>
        </w:trPr>
        <w:tc>
          <w:tcPr>
            <w:tcW w:w="2195" w:type="pct"/>
            <w:vAlign w:val="center"/>
            <w:hideMark/>
          </w:tcPr>
          <w:p w14:paraId="5C3B9B9D"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Total</w:t>
            </w:r>
          </w:p>
        </w:tc>
        <w:tc>
          <w:tcPr>
            <w:tcW w:w="691" w:type="pct"/>
            <w:noWrap/>
            <w:vAlign w:val="center"/>
            <w:hideMark/>
          </w:tcPr>
          <w:p w14:paraId="75CDB198"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549 </w:t>
            </w:r>
          </w:p>
        </w:tc>
        <w:tc>
          <w:tcPr>
            <w:tcW w:w="704" w:type="pct"/>
            <w:noWrap/>
            <w:vAlign w:val="center"/>
            <w:hideMark/>
          </w:tcPr>
          <w:p w14:paraId="6F231312"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542 </w:t>
            </w:r>
          </w:p>
        </w:tc>
        <w:tc>
          <w:tcPr>
            <w:tcW w:w="691" w:type="pct"/>
            <w:noWrap/>
            <w:vAlign w:val="center"/>
            <w:hideMark/>
          </w:tcPr>
          <w:p w14:paraId="2F9F874F"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7 </w:t>
            </w:r>
          </w:p>
        </w:tc>
        <w:tc>
          <w:tcPr>
            <w:tcW w:w="719" w:type="pct"/>
            <w:noWrap/>
            <w:vAlign w:val="center"/>
            <w:hideMark/>
          </w:tcPr>
          <w:p w14:paraId="1616BF96"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(1)</w:t>
            </w:r>
          </w:p>
        </w:tc>
      </w:tr>
      <w:tr w:rsidR="00435181" w:rsidRPr="00C45B15" w14:paraId="567FCDD2" w14:textId="77777777" w:rsidTr="00435181">
        <w:trPr>
          <w:trHeight w:val="232"/>
        </w:trPr>
        <w:tc>
          <w:tcPr>
            <w:tcW w:w="2195" w:type="pct"/>
            <w:noWrap/>
            <w:vAlign w:val="center"/>
            <w:hideMark/>
          </w:tcPr>
          <w:p w14:paraId="56F30452"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TOTAL GERAL</w:t>
            </w:r>
          </w:p>
        </w:tc>
        <w:tc>
          <w:tcPr>
            <w:tcW w:w="691" w:type="pct"/>
            <w:noWrap/>
            <w:vAlign w:val="center"/>
            <w:hideMark/>
          </w:tcPr>
          <w:p w14:paraId="43F9A03F"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72.454 </w:t>
            </w:r>
          </w:p>
        </w:tc>
        <w:tc>
          <w:tcPr>
            <w:tcW w:w="704" w:type="pct"/>
            <w:noWrap/>
            <w:vAlign w:val="center"/>
            <w:hideMark/>
          </w:tcPr>
          <w:p w14:paraId="5A85754A"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2.677 </w:t>
            </w:r>
          </w:p>
        </w:tc>
        <w:tc>
          <w:tcPr>
            <w:tcW w:w="691" w:type="pct"/>
            <w:noWrap/>
            <w:vAlign w:val="center"/>
            <w:hideMark/>
          </w:tcPr>
          <w:p w14:paraId="4CF18102"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69.777 </w:t>
            </w:r>
          </w:p>
        </w:tc>
        <w:tc>
          <w:tcPr>
            <w:tcW w:w="719" w:type="pct"/>
            <w:noWrap/>
            <w:vAlign w:val="center"/>
            <w:hideMark/>
          </w:tcPr>
          <w:p w14:paraId="67EEFD7F"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68.983 </w:t>
            </w:r>
          </w:p>
        </w:tc>
      </w:tr>
      <w:tr w:rsidR="00435181" w:rsidRPr="00C45B15" w14:paraId="4A3EC8C7" w14:textId="77777777" w:rsidTr="00435181">
        <w:trPr>
          <w:trHeight w:val="232"/>
        </w:trPr>
        <w:tc>
          <w:tcPr>
            <w:tcW w:w="2195" w:type="pct"/>
            <w:noWrap/>
            <w:vAlign w:val="center"/>
            <w:hideMark/>
          </w:tcPr>
          <w:p w14:paraId="0007E595"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 xml:space="preserve">Circulante </w:t>
            </w:r>
          </w:p>
        </w:tc>
        <w:tc>
          <w:tcPr>
            <w:tcW w:w="691" w:type="pct"/>
            <w:noWrap/>
            <w:vAlign w:val="center"/>
            <w:hideMark/>
          </w:tcPr>
          <w:p w14:paraId="49FF3502"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5.585 </w:t>
            </w:r>
          </w:p>
        </w:tc>
        <w:tc>
          <w:tcPr>
            <w:tcW w:w="704" w:type="pct"/>
            <w:noWrap/>
            <w:vAlign w:val="center"/>
            <w:hideMark/>
          </w:tcPr>
          <w:p w14:paraId="5EA16A30"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1.098 </w:t>
            </w:r>
          </w:p>
        </w:tc>
        <w:tc>
          <w:tcPr>
            <w:tcW w:w="691" w:type="pct"/>
            <w:noWrap/>
            <w:vAlign w:val="center"/>
            <w:hideMark/>
          </w:tcPr>
          <w:p w14:paraId="7173A075"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4.487 </w:t>
            </w:r>
          </w:p>
        </w:tc>
        <w:tc>
          <w:tcPr>
            <w:tcW w:w="719" w:type="pct"/>
            <w:noWrap/>
            <w:vAlign w:val="center"/>
            <w:hideMark/>
          </w:tcPr>
          <w:p w14:paraId="7BDF8D5B"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4.337 </w:t>
            </w:r>
          </w:p>
        </w:tc>
      </w:tr>
      <w:tr w:rsidR="00435181" w14:paraId="190F158A" w14:textId="77777777" w:rsidTr="00435181">
        <w:trPr>
          <w:trHeight w:val="232"/>
        </w:trPr>
        <w:tc>
          <w:tcPr>
            <w:tcW w:w="2195" w:type="pct"/>
            <w:noWrap/>
            <w:vAlign w:val="center"/>
            <w:hideMark/>
          </w:tcPr>
          <w:p w14:paraId="65A969B6" w14:textId="77777777" w:rsidR="00435181" w:rsidRPr="00C45B15" w:rsidRDefault="00435181">
            <w:pPr>
              <w:rPr>
                <w:rFonts w:ascii="Arial" w:hAnsi="Arial" w:cs="Arial"/>
                <w:b/>
                <w:bCs/>
                <w:color w:val="000000"/>
                <w:sz w:val="18"/>
                <w:szCs w:val="18"/>
              </w:rPr>
            </w:pPr>
            <w:r w:rsidRPr="00C45B15">
              <w:rPr>
                <w:rFonts w:ascii="Arial" w:hAnsi="Arial" w:cs="Arial"/>
                <w:b/>
                <w:bCs/>
                <w:color w:val="000000"/>
                <w:sz w:val="18"/>
                <w:szCs w:val="18"/>
              </w:rPr>
              <w:t>Não Circulante</w:t>
            </w:r>
          </w:p>
        </w:tc>
        <w:tc>
          <w:tcPr>
            <w:tcW w:w="691" w:type="pct"/>
            <w:noWrap/>
            <w:vAlign w:val="center"/>
            <w:hideMark/>
          </w:tcPr>
          <w:p w14:paraId="2F4948C7"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66.869 </w:t>
            </w:r>
          </w:p>
        </w:tc>
        <w:tc>
          <w:tcPr>
            <w:tcW w:w="704" w:type="pct"/>
            <w:noWrap/>
            <w:vAlign w:val="center"/>
            <w:hideMark/>
          </w:tcPr>
          <w:p w14:paraId="2979D615"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1.579 </w:t>
            </w:r>
          </w:p>
        </w:tc>
        <w:tc>
          <w:tcPr>
            <w:tcW w:w="691" w:type="pct"/>
            <w:noWrap/>
            <w:vAlign w:val="center"/>
            <w:hideMark/>
          </w:tcPr>
          <w:p w14:paraId="4216AAA9" w14:textId="77777777" w:rsidR="00435181" w:rsidRPr="00C45B15"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65.290 </w:t>
            </w:r>
          </w:p>
        </w:tc>
        <w:tc>
          <w:tcPr>
            <w:tcW w:w="719" w:type="pct"/>
            <w:noWrap/>
            <w:vAlign w:val="center"/>
            <w:hideMark/>
          </w:tcPr>
          <w:p w14:paraId="7A9DF6B9" w14:textId="77777777" w:rsidR="00435181" w:rsidRDefault="00435181">
            <w:pPr>
              <w:jc w:val="right"/>
              <w:rPr>
                <w:rFonts w:ascii="Arial" w:hAnsi="Arial" w:cs="Arial"/>
                <w:b/>
                <w:bCs/>
                <w:color w:val="000000"/>
                <w:sz w:val="18"/>
                <w:szCs w:val="18"/>
              </w:rPr>
            </w:pPr>
            <w:r w:rsidRPr="00C45B15">
              <w:rPr>
                <w:rFonts w:ascii="Arial" w:hAnsi="Arial" w:cs="Arial"/>
                <w:b/>
                <w:bCs/>
                <w:color w:val="000000"/>
                <w:sz w:val="18"/>
                <w:szCs w:val="18"/>
              </w:rPr>
              <w:t xml:space="preserve">       64.646</w:t>
            </w:r>
            <w:r>
              <w:rPr>
                <w:rFonts w:ascii="Arial" w:hAnsi="Arial" w:cs="Arial"/>
                <w:b/>
                <w:bCs/>
                <w:color w:val="000000"/>
                <w:sz w:val="18"/>
                <w:szCs w:val="18"/>
              </w:rPr>
              <w:t xml:space="preserve"> </w:t>
            </w:r>
          </w:p>
        </w:tc>
      </w:tr>
    </w:tbl>
    <w:p w14:paraId="3394492E" w14:textId="77777777" w:rsidR="0085618A" w:rsidRDefault="0085618A" w:rsidP="00597FE5">
      <w:pPr>
        <w:spacing w:line="276" w:lineRule="auto"/>
        <w:jc w:val="both"/>
        <w:rPr>
          <w:rFonts w:ascii="Arial" w:hAnsi="Arial" w:cs="Arial"/>
          <w:sz w:val="12"/>
          <w:szCs w:val="12"/>
        </w:rPr>
      </w:pPr>
    </w:p>
    <w:p w14:paraId="602714AF" w14:textId="0A50281D" w:rsidR="008E7BAD" w:rsidRPr="002A36CE" w:rsidRDefault="008E7BAD" w:rsidP="008E7BAD">
      <w:pPr>
        <w:pStyle w:val="Ttulo2"/>
        <w:numPr>
          <w:ilvl w:val="2"/>
          <w:numId w:val="7"/>
        </w:numPr>
        <w:tabs>
          <w:tab w:val="clear" w:pos="284"/>
          <w:tab w:val="clear" w:pos="340"/>
        </w:tabs>
        <w:spacing w:after="0"/>
        <w:ind w:left="851" w:hanging="851"/>
        <w:jc w:val="both"/>
        <w:rPr>
          <w:rFonts w:ascii="Arial" w:hAnsi="Arial" w:cs="Arial"/>
        </w:rPr>
      </w:pPr>
      <w:r w:rsidRPr="002A36CE">
        <w:rPr>
          <w:rFonts w:ascii="Arial" w:hAnsi="Arial" w:cs="Arial"/>
        </w:rPr>
        <w:t>Movimentação das provisões para riscos prováveis</w:t>
      </w:r>
      <w:r w:rsidR="00DE687A">
        <w:rPr>
          <w:rFonts w:ascii="Arial" w:hAnsi="Arial" w:cs="Arial"/>
        </w:rPr>
        <w:t xml:space="preserve"> no </w:t>
      </w:r>
      <w:r w:rsidR="00C45B15">
        <w:rPr>
          <w:rFonts w:ascii="Arial" w:hAnsi="Arial" w:cs="Arial"/>
        </w:rPr>
        <w:t xml:space="preserve">primeiro trimestre de 2026 </w:t>
      </w:r>
      <w:r w:rsidR="00F52ADF">
        <w:rPr>
          <w:rFonts w:ascii="Arial" w:hAnsi="Arial" w:cs="Arial"/>
        </w:rPr>
        <w:t>é</w:t>
      </w:r>
      <w:r w:rsidR="00C45B15">
        <w:rPr>
          <w:rFonts w:ascii="Arial" w:hAnsi="Arial" w:cs="Arial"/>
        </w:rPr>
        <w:t xml:space="preserve"> apresentada a seguir:</w:t>
      </w:r>
    </w:p>
    <w:p w14:paraId="565162A7" w14:textId="77777777" w:rsidR="008E7BAD" w:rsidRDefault="008E7BAD" w:rsidP="008E7BAD"/>
    <w:tbl>
      <w:tblPr>
        <w:tblW w:w="5000" w:type="pct"/>
        <w:tblCellMar>
          <w:left w:w="70" w:type="dxa"/>
          <w:right w:w="70" w:type="dxa"/>
        </w:tblCellMar>
        <w:tblLook w:val="04A0" w:firstRow="1" w:lastRow="0" w:firstColumn="1" w:lastColumn="0" w:noHBand="0" w:noVBand="1"/>
      </w:tblPr>
      <w:tblGrid>
        <w:gridCol w:w="7434"/>
        <w:gridCol w:w="2337"/>
      </w:tblGrid>
      <w:tr w:rsidR="001C3A87" w:rsidRPr="00C45B15" w14:paraId="46801EFC" w14:textId="77777777" w:rsidTr="002828D1">
        <w:trPr>
          <w:trHeight w:val="215"/>
        </w:trPr>
        <w:tc>
          <w:tcPr>
            <w:tcW w:w="3804" w:type="pct"/>
            <w:tcBorders>
              <w:top w:val="single" w:sz="4" w:space="0" w:color="auto"/>
              <w:left w:val="single" w:sz="4" w:space="0" w:color="auto"/>
              <w:bottom w:val="single" w:sz="4" w:space="0" w:color="auto"/>
              <w:right w:val="single" w:sz="4" w:space="0" w:color="auto"/>
            </w:tcBorders>
            <w:noWrap/>
            <w:vAlign w:val="center"/>
            <w:hideMark/>
          </w:tcPr>
          <w:p w14:paraId="6AAF2591" w14:textId="77777777" w:rsidR="001C3A87" w:rsidRPr="00C45B15" w:rsidRDefault="001C3A87">
            <w:pPr>
              <w:rPr>
                <w:rFonts w:ascii="Arial" w:hAnsi="Arial" w:cs="Arial"/>
                <w:b/>
                <w:bCs/>
                <w:color w:val="000000"/>
                <w:sz w:val="18"/>
                <w:szCs w:val="18"/>
              </w:rPr>
            </w:pPr>
            <w:r w:rsidRPr="00C45B15">
              <w:rPr>
                <w:rFonts w:ascii="Arial" w:hAnsi="Arial" w:cs="Arial"/>
                <w:b/>
                <w:bCs/>
                <w:color w:val="000000"/>
                <w:sz w:val="18"/>
                <w:szCs w:val="18"/>
              </w:rPr>
              <w:t>Saldo em 31 de dezembro de 2025</w:t>
            </w:r>
          </w:p>
        </w:tc>
        <w:tc>
          <w:tcPr>
            <w:tcW w:w="1196" w:type="pct"/>
            <w:tcBorders>
              <w:top w:val="single" w:sz="4" w:space="0" w:color="auto"/>
              <w:left w:val="nil"/>
              <w:bottom w:val="single" w:sz="4" w:space="0" w:color="auto"/>
              <w:right w:val="single" w:sz="4" w:space="0" w:color="auto"/>
            </w:tcBorders>
            <w:noWrap/>
            <w:vAlign w:val="center"/>
            <w:hideMark/>
          </w:tcPr>
          <w:p w14:paraId="5C410C42" w14:textId="77777777" w:rsidR="001C3A87" w:rsidRPr="00C45B15" w:rsidRDefault="001C3A87">
            <w:pPr>
              <w:jc w:val="right"/>
              <w:rPr>
                <w:rFonts w:ascii="Arial" w:hAnsi="Arial" w:cs="Arial"/>
                <w:b/>
                <w:bCs/>
                <w:color w:val="000000"/>
                <w:sz w:val="18"/>
                <w:szCs w:val="18"/>
              </w:rPr>
            </w:pPr>
            <w:r w:rsidRPr="00C45B15">
              <w:rPr>
                <w:rFonts w:ascii="Arial" w:hAnsi="Arial" w:cs="Arial"/>
                <w:b/>
                <w:bCs/>
                <w:color w:val="000000"/>
                <w:sz w:val="18"/>
                <w:szCs w:val="18"/>
              </w:rPr>
              <w:t xml:space="preserve">      71.719 </w:t>
            </w:r>
          </w:p>
        </w:tc>
      </w:tr>
      <w:tr w:rsidR="001C3A87" w:rsidRPr="00C45B15" w14:paraId="41ADA2AC" w14:textId="77777777" w:rsidTr="002828D1">
        <w:trPr>
          <w:trHeight w:val="215"/>
        </w:trPr>
        <w:tc>
          <w:tcPr>
            <w:tcW w:w="3804" w:type="pct"/>
            <w:tcBorders>
              <w:top w:val="nil"/>
              <w:left w:val="single" w:sz="4" w:space="0" w:color="auto"/>
              <w:bottom w:val="single" w:sz="4" w:space="0" w:color="auto"/>
              <w:right w:val="single" w:sz="4" w:space="0" w:color="auto"/>
            </w:tcBorders>
            <w:noWrap/>
            <w:vAlign w:val="center"/>
            <w:hideMark/>
          </w:tcPr>
          <w:p w14:paraId="3C318FAD" w14:textId="77777777" w:rsidR="001C3A87" w:rsidRPr="00C45B15" w:rsidRDefault="001C3A87">
            <w:pPr>
              <w:rPr>
                <w:rFonts w:ascii="Arial" w:hAnsi="Arial" w:cs="Arial"/>
                <w:color w:val="000000"/>
                <w:sz w:val="18"/>
                <w:szCs w:val="18"/>
              </w:rPr>
            </w:pPr>
            <w:r w:rsidRPr="00C45B15">
              <w:rPr>
                <w:rFonts w:ascii="Arial" w:hAnsi="Arial" w:cs="Arial"/>
                <w:color w:val="000000"/>
                <w:sz w:val="18"/>
                <w:szCs w:val="18"/>
              </w:rPr>
              <w:t>Reversão de Provisão</w:t>
            </w:r>
          </w:p>
        </w:tc>
        <w:tc>
          <w:tcPr>
            <w:tcW w:w="1196" w:type="pct"/>
            <w:tcBorders>
              <w:top w:val="nil"/>
              <w:left w:val="nil"/>
              <w:bottom w:val="single" w:sz="4" w:space="0" w:color="auto"/>
              <w:right w:val="single" w:sz="4" w:space="0" w:color="auto"/>
            </w:tcBorders>
            <w:noWrap/>
            <w:vAlign w:val="center"/>
            <w:hideMark/>
          </w:tcPr>
          <w:p w14:paraId="5461A96D" w14:textId="77777777" w:rsidR="001C3A87" w:rsidRPr="00C45B15" w:rsidRDefault="001C3A87">
            <w:pPr>
              <w:jc w:val="right"/>
              <w:rPr>
                <w:rFonts w:ascii="Arial" w:hAnsi="Arial" w:cs="Arial"/>
                <w:color w:val="000000"/>
                <w:sz w:val="18"/>
                <w:szCs w:val="18"/>
              </w:rPr>
            </w:pPr>
            <w:r w:rsidRPr="00C45B15">
              <w:rPr>
                <w:rFonts w:ascii="Arial" w:hAnsi="Arial" w:cs="Arial"/>
                <w:color w:val="000000"/>
                <w:sz w:val="18"/>
                <w:szCs w:val="18"/>
              </w:rPr>
              <w:t xml:space="preserve">          (915)</w:t>
            </w:r>
          </w:p>
        </w:tc>
      </w:tr>
      <w:tr w:rsidR="001C3A87" w:rsidRPr="00C45B15" w14:paraId="457C2850" w14:textId="77777777" w:rsidTr="002828D1">
        <w:trPr>
          <w:trHeight w:val="215"/>
        </w:trPr>
        <w:tc>
          <w:tcPr>
            <w:tcW w:w="3804" w:type="pct"/>
            <w:tcBorders>
              <w:top w:val="nil"/>
              <w:left w:val="single" w:sz="4" w:space="0" w:color="auto"/>
              <w:bottom w:val="single" w:sz="4" w:space="0" w:color="auto"/>
              <w:right w:val="single" w:sz="4" w:space="0" w:color="auto"/>
            </w:tcBorders>
            <w:noWrap/>
            <w:vAlign w:val="center"/>
            <w:hideMark/>
          </w:tcPr>
          <w:p w14:paraId="3D4685CA" w14:textId="77777777" w:rsidR="001C3A87" w:rsidRPr="00C45B15" w:rsidRDefault="001C3A87">
            <w:pPr>
              <w:rPr>
                <w:rFonts w:ascii="Arial" w:hAnsi="Arial" w:cs="Arial"/>
                <w:color w:val="000000"/>
                <w:sz w:val="18"/>
                <w:szCs w:val="18"/>
              </w:rPr>
            </w:pPr>
            <w:r w:rsidRPr="00C45B15">
              <w:rPr>
                <w:rFonts w:ascii="Arial" w:hAnsi="Arial" w:cs="Arial"/>
                <w:color w:val="000000"/>
                <w:sz w:val="18"/>
                <w:szCs w:val="18"/>
              </w:rPr>
              <w:t>Juros Incorridos</w:t>
            </w:r>
          </w:p>
        </w:tc>
        <w:tc>
          <w:tcPr>
            <w:tcW w:w="1196" w:type="pct"/>
            <w:tcBorders>
              <w:top w:val="nil"/>
              <w:left w:val="nil"/>
              <w:bottom w:val="single" w:sz="4" w:space="0" w:color="auto"/>
              <w:right w:val="single" w:sz="4" w:space="0" w:color="auto"/>
            </w:tcBorders>
            <w:noWrap/>
            <w:vAlign w:val="center"/>
            <w:hideMark/>
          </w:tcPr>
          <w:p w14:paraId="55876009" w14:textId="77777777" w:rsidR="001C3A87" w:rsidRPr="00C45B15" w:rsidRDefault="001C3A87">
            <w:pPr>
              <w:jc w:val="right"/>
              <w:rPr>
                <w:rFonts w:ascii="Arial" w:hAnsi="Arial" w:cs="Arial"/>
                <w:color w:val="000000"/>
                <w:sz w:val="18"/>
                <w:szCs w:val="18"/>
              </w:rPr>
            </w:pPr>
            <w:r w:rsidRPr="00C45B15">
              <w:rPr>
                <w:rFonts w:ascii="Arial" w:hAnsi="Arial" w:cs="Arial"/>
                <w:color w:val="000000"/>
                <w:sz w:val="18"/>
                <w:szCs w:val="18"/>
              </w:rPr>
              <w:t xml:space="preserve">        1.278 </w:t>
            </w:r>
          </w:p>
        </w:tc>
      </w:tr>
      <w:tr w:rsidR="001C3A87" w:rsidRPr="00C45B15" w14:paraId="55F82487" w14:textId="77777777" w:rsidTr="002828D1">
        <w:trPr>
          <w:trHeight w:val="215"/>
        </w:trPr>
        <w:tc>
          <w:tcPr>
            <w:tcW w:w="3804" w:type="pct"/>
            <w:tcBorders>
              <w:top w:val="nil"/>
              <w:left w:val="single" w:sz="4" w:space="0" w:color="auto"/>
              <w:bottom w:val="single" w:sz="4" w:space="0" w:color="auto"/>
              <w:right w:val="single" w:sz="4" w:space="0" w:color="auto"/>
            </w:tcBorders>
            <w:noWrap/>
            <w:vAlign w:val="center"/>
            <w:hideMark/>
          </w:tcPr>
          <w:p w14:paraId="4723663F" w14:textId="77777777" w:rsidR="001C3A87" w:rsidRPr="00C45B15" w:rsidRDefault="001C3A87">
            <w:pPr>
              <w:rPr>
                <w:rFonts w:ascii="Arial" w:hAnsi="Arial" w:cs="Arial"/>
                <w:color w:val="000000"/>
                <w:sz w:val="18"/>
                <w:szCs w:val="18"/>
              </w:rPr>
            </w:pPr>
            <w:r w:rsidRPr="00C45B15">
              <w:rPr>
                <w:rFonts w:ascii="Arial" w:hAnsi="Arial" w:cs="Arial"/>
                <w:color w:val="000000"/>
                <w:sz w:val="18"/>
                <w:szCs w:val="18"/>
              </w:rPr>
              <w:t>Atualização Monetária</w:t>
            </w:r>
          </w:p>
        </w:tc>
        <w:tc>
          <w:tcPr>
            <w:tcW w:w="1196" w:type="pct"/>
            <w:tcBorders>
              <w:top w:val="nil"/>
              <w:left w:val="nil"/>
              <w:bottom w:val="single" w:sz="4" w:space="0" w:color="auto"/>
              <w:right w:val="single" w:sz="4" w:space="0" w:color="auto"/>
            </w:tcBorders>
            <w:noWrap/>
            <w:vAlign w:val="center"/>
            <w:hideMark/>
          </w:tcPr>
          <w:p w14:paraId="341648EB" w14:textId="77777777" w:rsidR="001C3A87" w:rsidRPr="00C45B15" w:rsidRDefault="001C3A87">
            <w:pPr>
              <w:jc w:val="right"/>
              <w:rPr>
                <w:rFonts w:ascii="Arial" w:hAnsi="Arial" w:cs="Arial"/>
                <w:color w:val="000000"/>
                <w:sz w:val="18"/>
                <w:szCs w:val="18"/>
              </w:rPr>
            </w:pPr>
            <w:r w:rsidRPr="00C45B15">
              <w:rPr>
                <w:rFonts w:ascii="Arial" w:hAnsi="Arial" w:cs="Arial"/>
                <w:color w:val="000000"/>
                <w:sz w:val="18"/>
                <w:szCs w:val="18"/>
              </w:rPr>
              <w:t xml:space="preserve">           492 </w:t>
            </w:r>
          </w:p>
        </w:tc>
      </w:tr>
      <w:tr w:rsidR="001C3A87" w:rsidRPr="00C45B15" w14:paraId="11F411B2" w14:textId="77777777" w:rsidTr="002828D1">
        <w:trPr>
          <w:trHeight w:val="215"/>
        </w:trPr>
        <w:tc>
          <w:tcPr>
            <w:tcW w:w="3804" w:type="pct"/>
            <w:tcBorders>
              <w:top w:val="nil"/>
              <w:left w:val="single" w:sz="4" w:space="0" w:color="auto"/>
              <w:bottom w:val="single" w:sz="4" w:space="0" w:color="auto"/>
              <w:right w:val="single" w:sz="4" w:space="0" w:color="auto"/>
            </w:tcBorders>
            <w:noWrap/>
            <w:vAlign w:val="center"/>
            <w:hideMark/>
          </w:tcPr>
          <w:p w14:paraId="2B9E41FC" w14:textId="77777777" w:rsidR="001C3A87" w:rsidRPr="00C45B15" w:rsidRDefault="001C3A87">
            <w:pPr>
              <w:rPr>
                <w:rFonts w:ascii="Arial" w:hAnsi="Arial" w:cs="Arial"/>
                <w:color w:val="000000"/>
                <w:sz w:val="18"/>
                <w:szCs w:val="18"/>
              </w:rPr>
            </w:pPr>
            <w:r w:rsidRPr="00C45B15">
              <w:rPr>
                <w:rFonts w:ascii="Arial" w:hAnsi="Arial" w:cs="Arial"/>
                <w:color w:val="000000"/>
                <w:sz w:val="18"/>
                <w:szCs w:val="18"/>
              </w:rPr>
              <w:t>Baixas</w:t>
            </w:r>
          </w:p>
        </w:tc>
        <w:tc>
          <w:tcPr>
            <w:tcW w:w="1196" w:type="pct"/>
            <w:tcBorders>
              <w:top w:val="nil"/>
              <w:left w:val="nil"/>
              <w:bottom w:val="single" w:sz="4" w:space="0" w:color="auto"/>
              <w:right w:val="single" w:sz="4" w:space="0" w:color="auto"/>
            </w:tcBorders>
            <w:noWrap/>
            <w:vAlign w:val="center"/>
            <w:hideMark/>
          </w:tcPr>
          <w:p w14:paraId="71562C72" w14:textId="77777777" w:rsidR="001C3A87" w:rsidRPr="00C45B15" w:rsidRDefault="001C3A87">
            <w:pPr>
              <w:jc w:val="right"/>
              <w:rPr>
                <w:rFonts w:ascii="Arial" w:hAnsi="Arial" w:cs="Arial"/>
                <w:color w:val="000000"/>
                <w:sz w:val="18"/>
                <w:szCs w:val="18"/>
              </w:rPr>
            </w:pPr>
            <w:r w:rsidRPr="00C45B15">
              <w:rPr>
                <w:rFonts w:ascii="Arial" w:hAnsi="Arial" w:cs="Arial"/>
                <w:color w:val="000000"/>
                <w:sz w:val="18"/>
                <w:szCs w:val="18"/>
              </w:rPr>
              <w:t xml:space="preserve">          (120)</w:t>
            </w:r>
          </w:p>
        </w:tc>
      </w:tr>
      <w:tr w:rsidR="001C3A87" w:rsidRPr="00C45B15" w14:paraId="4E3B53E3" w14:textId="77777777" w:rsidTr="002828D1">
        <w:trPr>
          <w:trHeight w:val="215"/>
        </w:trPr>
        <w:tc>
          <w:tcPr>
            <w:tcW w:w="3804" w:type="pct"/>
            <w:tcBorders>
              <w:top w:val="nil"/>
              <w:left w:val="single" w:sz="4" w:space="0" w:color="auto"/>
              <w:bottom w:val="single" w:sz="4" w:space="0" w:color="auto"/>
              <w:right w:val="single" w:sz="4" w:space="0" w:color="auto"/>
            </w:tcBorders>
            <w:noWrap/>
            <w:vAlign w:val="center"/>
            <w:hideMark/>
          </w:tcPr>
          <w:p w14:paraId="5B578BF1" w14:textId="53B18BD7" w:rsidR="001C3A87" w:rsidRPr="00C45B15" w:rsidRDefault="001C3A87">
            <w:pPr>
              <w:rPr>
                <w:rFonts w:ascii="Arial" w:hAnsi="Arial" w:cs="Arial"/>
                <w:b/>
                <w:bCs/>
                <w:color w:val="000000"/>
                <w:sz w:val="18"/>
                <w:szCs w:val="18"/>
              </w:rPr>
            </w:pPr>
            <w:r w:rsidRPr="00C45B15">
              <w:rPr>
                <w:rFonts w:ascii="Arial" w:hAnsi="Arial" w:cs="Arial"/>
                <w:b/>
                <w:bCs/>
                <w:color w:val="000000"/>
                <w:sz w:val="18"/>
                <w:szCs w:val="18"/>
              </w:rPr>
              <w:t>Saldo em 31 de março de 2026</w:t>
            </w:r>
          </w:p>
        </w:tc>
        <w:tc>
          <w:tcPr>
            <w:tcW w:w="1196" w:type="pct"/>
            <w:tcBorders>
              <w:top w:val="nil"/>
              <w:left w:val="nil"/>
              <w:bottom w:val="single" w:sz="4" w:space="0" w:color="auto"/>
              <w:right w:val="single" w:sz="4" w:space="0" w:color="auto"/>
            </w:tcBorders>
            <w:noWrap/>
            <w:vAlign w:val="center"/>
            <w:hideMark/>
          </w:tcPr>
          <w:p w14:paraId="48A071D2" w14:textId="77777777" w:rsidR="001C3A87" w:rsidRPr="00C45B15" w:rsidRDefault="001C3A87">
            <w:pPr>
              <w:jc w:val="right"/>
              <w:rPr>
                <w:rFonts w:ascii="Arial" w:hAnsi="Arial" w:cs="Arial"/>
                <w:b/>
                <w:bCs/>
                <w:color w:val="000000"/>
                <w:sz w:val="18"/>
                <w:szCs w:val="18"/>
              </w:rPr>
            </w:pPr>
            <w:r w:rsidRPr="00C45B15">
              <w:rPr>
                <w:rFonts w:ascii="Arial" w:hAnsi="Arial" w:cs="Arial"/>
                <w:b/>
                <w:bCs/>
                <w:color w:val="000000"/>
                <w:sz w:val="18"/>
                <w:szCs w:val="18"/>
              </w:rPr>
              <w:t xml:space="preserve">      72.454 </w:t>
            </w:r>
          </w:p>
        </w:tc>
      </w:tr>
      <w:tr w:rsidR="001C3A87" w:rsidRPr="00C45B15" w14:paraId="4523E0D4" w14:textId="77777777" w:rsidTr="002828D1">
        <w:trPr>
          <w:trHeight w:val="215"/>
        </w:trPr>
        <w:tc>
          <w:tcPr>
            <w:tcW w:w="3804" w:type="pct"/>
            <w:tcBorders>
              <w:top w:val="nil"/>
              <w:left w:val="single" w:sz="4" w:space="0" w:color="auto"/>
              <w:bottom w:val="single" w:sz="4" w:space="0" w:color="auto"/>
              <w:right w:val="single" w:sz="4" w:space="0" w:color="auto"/>
            </w:tcBorders>
            <w:noWrap/>
            <w:vAlign w:val="center"/>
            <w:hideMark/>
          </w:tcPr>
          <w:p w14:paraId="550E1A0F" w14:textId="77777777" w:rsidR="001C3A87" w:rsidRPr="00C45B15" w:rsidRDefault="001C3A87">
            <w:pPr>
              <w:rPr>
                <w:rFonts w:ascii="Arial" w:hAnsi="Arial" w:cs="Arial"/>
                <w:b/>
                <w:bCs/>
                <w:color w:val="000000"/>
                <w:sz w:val="18"/>
                <w:szCs w:val="18"/>
              </w:rPr>
            </w:pPr>
            <w:r w:rsidRPr="00C45B15">
              <w:rPr>
                <w:rFonts w:ascii="Arial" w:hAnsi="Arial" w:cs="Arial"/>
                <w:b/>
                <w:bCs/>
                <w:color w:val="000000"/>
                <w:sz w:val="18"/>
                <w:szCs w:val="18"/>
              </w:rPr>
              <w:t xml:space="preserve">Circulante </w:t>
            </w:r>
          </w:p>
        </w:tc>
        <w:tc>
          <w:tcPr>
            <w:tcW w:w="1196" w:type="pct"/>
            <w:tcBorders>
              <w:top w:val="nil"/>
              <w:left w:val="nil"/>
              <w:bottom w:val="single" w:sz="4" w:space="0" w:color="auto"/>
              <w:right w:val="single" w:sz="4" w:space="0" w:color="auto"/>
            </w:tcBorders>
            <w:noWrap/>
            <w:vAlign w:val="center"/>
            <w:hideMark/>
          </w:tcPr>
          <w:p w14:paraId="190A8F30" w14:textId="77777777" w:rsidR="001C3A87" w:rsidRPr="00C45B15" w:rsidRDefault="001C3A87">
            <w:pPr>
              <w:jc w:val="right"/>
              <w:rPr>
                <w:rFonts w:ascii="Arial" w:hAnsi="Arial" w:cs="Arial"/>
                <w:b/>
                <w:bCs/>
                <w:color w:val="000000"/>
                <w:sz w:val="18"/>
                <w:szCs w:val="18"/>
              </w:rPr>
            </w:pPr>
            <w:r w:rsidRPr="00C45B15">
              <w:rPr>
                <w:rFonts w:ascii="Arial" w:hAnsi="Arial" w:cs="Arial"/>
                <w:b/>
                <w:bCs/>
                <w:color w:val="000000"/>
                <w:sz w:val="18"/>
                <w:szCs w:val="18"/>
              </w:rPr>
              <w:t xml:space="preserve">        5.585 </w:t>
            </w:r>
          </w:p>
        </w:tc>
      </w:tr>
      <w:tr w:rsidR="001C3A87" w14:paraId="26E68B4D" w14:textId="77777777" w:rsidTr="002828D1">
        <w:trPr>
          <w:trHeight w:val="215"/>
        </w:trPr>
        <w:tc>
          <w:tcPr>
            <w:tcW w:w="3804" w:type="pct"/>
            <w:tcBorders>
              <w:top w:val="nil"/>
              <w:left w:val="single" w:sz="4" w:space="0" w:color="auto"/>
              <w:bottom w:val="single" w:sz="4" w:space="0" w:color="auto"/>
              <w:right w:val="single" w:sz="4" w:space="0" w:color="auto"/>
            </w:tcBorders>
            <w:noWrap/>
            <w:vAlign w:val="center"/>
            <w:hideMark/>
          </w:tcPr>
          <w:p w14:paraId="0C750E4B" w14:textId="77777777" w:rsidR="001C3A87" w:rsidRPr="00C45B15" w:rsidRDefault="001C3A87">
            <w:pPr>
              <w:rPr>
                <w:rFonts w:ascii="Arial" w:hAnsi="Arial" w:cs="Arial"/>
                <w:b/>
                <w:bCs/>
                <w:color w:val="000000"/>
                <w:sz w:val="18"/>
                <w:szCs w:val="18"/>
              </w:rPr>
            </w:pPr>
            <w:r w:rsidRPr="00C45B15">
              <w:rPr>
                <w:rFonts w:ascii="Arial" w:hAnsi="Arial" w:cs="Arial"/>
                <w:b/>
                <w:bCs/>
                <w:color w:val="000000"/>
                <w:sz w:val="18"/>
                <w:szCs w:val="18"/>
              </w:rPr>
              <w:t>Não Circulante</w:t>
            </w:r>
          </w:p>
        </w:tc>
        <w:tc>
          <w:tcPr>
            <w:tcW w:w="1196" w:type="pct"/>
            <w:tcBorders>
              <w:top w:val="nil"/>
              <w:left w:val="nil"/>
              <w:bottom w:val="single" w:sz="4" w:space="0" w:color="auto"/>
              <w:right w:val="single" w:sz="4" w:space="0" w:color="auto"/>
            </w:tcBorders>
            <w:noWrap/>
            <w:vAlign w:val="center"/>
            <w:hideMark/>
          </w:tcPr>
          <w:p w14:paraId="01B20E98" w14:textId="77777777" w:rsidR="001C3A87" w:rsidRDefault="001C3A87">
            <w:pPr>
              <w:jc w:val="right"/>
              <w:rPr>
                <w:rFonts w:ascii="Arial" w:hAnsi="Arial" w:cs="Arial"/>
                <w:b/>
                <w:bCs/>
                <w:color w:val="000000"/>
                <w:sz w:val="18"/>
                <w:szCs w:val="18"/>
              </w:rPr>
            </w:pPr>
            <w:r w:rsidRPr="00C45B15">
              <w:rPr>
                <w:rFonts w:ascii="Arial" w:hAnsi="Arial" w:cs="Arial"/>
                <w:b/>
                <w:bCs/>
                <w:color w:val="000000"/>
                <w:sz w:val="18"/>
                <w:szCs w:val="18"/>
              </w:rPr>
              <w:t xml:space="preserve">      66.869</w:t>
            </w:r>
            <w:r>
              <w:rPr>
                <w:rFonts w:ascii="Arial" w:hAnsi="Arial" w:cs="Arial"/>
                <w:b/>
                <w:bCs/>
                <w:color w:val="000000"/>
                <w:sz w:val="18"/>
                <w:szCs w:val="18"/>
              </w:rPr>
              <w:t xml:space="preserve"> </w:t>
            </w:r>
          </w:p>
        </w:tc>
      </w:tr>
    </w:tbl>
    <w:p w14:paraId="7A97B64B" w14:textId="77777777" w:rsidR="00352F14" w:rsidRDefault="00352F14" w:rsidP="00597FE5">
      <w:pPr>
        <w:spacing w:line="276" w:lineRule="auto"/>
        <w:jc w:val="both"/>
        <w:rPr>
          <w:rFonts w:ascii="Arial" w:hAnsi="Arial" w:cs="Arial"/>
          <w:sz w:val="22"/>
          <w:szCs w:val="22"/>
        </w:rPr>
      </w:pPr>
    </w:p>
    <w:p w14:paraId="38ADD563" w14:textId="0A4455AE" w:rsidR="00610157" w:rsidRPr="002A36CE" w:rsidRDefault="00610157" w:rsidP="00597FE5">
      <w:pPr>
        <w:spacing w:line="276" w:lineRule="auto"/>
        <w:jc w:val="both"/>
        <w:rPr>
          <w:rFonts w:ascii="Arial" w:hAnsi="Arial" w:cs="Arial"/>
          <w:sz w:val="22"/>
          <w:szCs w:val="22"/>
        </w:rPr>
      </w:pPr>
      <w:r w:rsidRPr="002A36CE">
        <w:rPr>
          <w:rFonts w:ascii="Arial" w:hAnsi="Arial" w:cs="Arial"/>
          <w:sz w:val="22"/>
          <w:szCs w:val="22"/>
        </w:rPr>
        <w:t xml:space="preserve">A </w:t>
      </w:r>
      <w:r w:rsidR="00D454AF">
        <w:rPr>
          <w:rFonts w:ascii="Arial" w:hAnsi="Arial" w:cs="Arial"/>
          <w:sz w:val="22"/>
          <w:szCs w:val="22"/>
        </w:rPr>
        <w:t>A</w:t>
      </w:r>
      <w:r w:rsidRPr="002A36CE">
        <w:rPr>
          <w:rFonts w:ascii="Arial" w:hAnsi="Arial" w:cs="Arial"/>
          <w:sz w:val="22"/>
          <w:szCs w:val="22"/>
        </w:rPr>
        <w:t>dministração</w:t>
      </w:r>
      <w:r w:rsidR="00C54300">
        <w:rPr>
          <w:rFonts w:ascii="Arial" w:hAnsi="Arial" w:cs="Arial"/>
          <w:sz w:val="22"/>
          <w:szCs w:val="22"/>
        </w:rPr>
        <w:t>,</w:t>
      </w:r>
      <w:r w:rsidRPr="002A36CE">
        <w:rPr>
          <w:rFonts w:ascii="Arial" w:hAnsi="Arial" w:cs="Arial"/>
          <w:sz w:val="22"/>
          <w:szCs w:val="22"/>
        </w:rPr>
        <w:t xml:space="preserve"> tendo em vista os prazos e a dinâmica dos sistemas judiciário, tributário e regulatório, acredita não ser praticável fornecer informações úteis aos usuários des</w:t>
      </w:r>
      <w:r w:rsidR="00E3442C">
        <w:rPr>
          <w:rFonts w:ascii="Arial" w:hAnsi="Arial" w:cs="Arial"/>
          <w:sz w:val="22"/>
          <w:szCs w:val="22"/>
        </w:rPr>
        <w:t>s</w:t>
      </w:r>
      <w:r w:rsidRPr="002A36CE">
        <w:rPr>
          <w:rFonts w:ascii="Arial" w:hAnsi="Arial" w:cs="Arial"/>
          <w:sz w:val="22"/>
          <w:szCs w:val="22"/>
        </w:rPr>
        <w:t>as informações contábeis a respeito do momento de eventuais saídas de caixa, bem como de qualquer possibilidade de reembolsos. A Companhia acredita que eventuais desembolsos, em excesso aos montantes provisionados, após o desfecho dos respectivos processos, não afetarão, de forma relevante, o resultado das suas operações e a posição financeira.</w:t>
      </w:r>
    </w:p>
    <w:p w14:paraId="0D5A8F9B" w14:textId="36740964" w:rsidR="00BA2763" w:rsidRDefault="00BA2763" w:rsidP="00597FE5">
      <w:pPr>
        <w:pStyle w:val="Corpodetexto"/>
        <w:numPr>
          <w:ilvl w:val="12"/>
          <w:numId w:val="0"/>
        </w:numPr>
        <w:spacing w:before="0" w:after="0" w:line="276" w:lineRule="auto"/>
        <w:rPr>
          <w:rFonts w:ascii="Arial" w:hAnsi="Arial" w:cs="Arial"/>
          <w:sz w:val="16"/>
          <w:szCs w:val="16"/>
        </w:rPr>
      </w:pPr>
    </w:p>
    <w:p w14:paraId="4ED26476" w14:textId="77777777" w:rsidR="006F68D1" w:rsidRPr="002A36CE" w:rsidRDefault="006F68D1"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48" w:name="_Toc491337748"/>
      <w:r w:rsidRPr="002A36CE">
        <w:rPr>
          <w:rFonts w:ascii="Arial" w:hAnsi="Arial" w:cs="Arial"/>
        </w:rPr>
        <w:t>Provisão para riscos possíveis (Passivos contingentes)</w:t>
      </w:r>
      <w:bookmarkEnd w:id="48"/>
    </w:p>
    <w:p w14:paraId="7864D702" w14:textId="77777777" w:rsidR="006F68D1" w:rsidRPr="002A36CE" w:rsidRDefault="006F68D1" w:rsidP="00597FE5">
      <w:pPr>
        <w:spacing w:line="276" w:lineRule="auto"/>
        <w:rPr>
          <w:sz w:val="10"/>
          <w:szCs w:val="10"/>
        </w:rPr>
      </w:pPr>
    </w:p>
    <w:p w14:paraId="50B6DD13" w14:textId="016EB424" w:rsidR="004F39F5" w:rsidRDefault="00504687" w:rsidP="004C59DA">
      <w:pPr>
        <w:spacing w:line="276" w:lineRule="auto"/>
        <w:jc w:val="both"/>
        <w:rPr>
          <w:rFonts w:ascii="Arial" w:hAnsi="Arial" w:cs="Arial"/>
          <w:sz w:val="22"/>
          <w:szCs w:val="22"/>
        </w:rPr>
      </w:pPr>
      <w:r w:rsidRPr="002A36CE">
        <w:rPr>
          <w:rFonts w:ascii="Arial" w:hAnsi="Arial" w:cs="Arial"/>
          <w:sz w:val="22"/>
          <w:szCs w:val="22"/>
        </w:rPr>
        <w:t>Os processos judiciais que constituem obrigações presentes</w:t>
      </w:r>
      <w:r w:rsidR="00E3442C">
        <w:rPr>
          <w:rFonts w:ascii="Arial" w:hAnsi="Arial" w:cs="Arial"/>
          <w:sz w:val="22"/>
          <w:szCs w:val="22"/>
        </w:rPr>
        <w:t>,</w:t>
      </w:r>
      <w:r w:rsidRPr="002A36CE">
        <w:rPr>
          <w:rFonts w:ascii="Arial" w:hAnsi="Arial" w:cs="Arial"/>
          <w:sz w:val="22"/>
          <w:szCs w:val="22"/>
        </w:rPr>
        <w:t xml:space="preserve"> cuja saída de recursos não é provável ou que não possa ser feita uma estimativa suficientemente confiável do valor, bem como aqueles que não constituem obrigações presentes, não são reconhecidos, mas divulgados, a menos que seja remota a possibilidade de saída de recursos. Os passivos contingentes estimados para os processos judiciais em </w:t>
      </w:r>
      <w:r w:rsidR="00A723F7">
        <w:rPr>
          <w:rFonts w:ascii="Arial" w:hAnsi="Arial" w:cs="Arial"/>
          <w:sz w:val="22"/>
          <w:szCs w:val="22"/>
        </w:rPr>
        <w:t>3</w:t>
      </w:r>
      <w:r w:rsidR="004B2833">
        <w:rPr>
          <w:rFonts w:ascii="Arial" w:hAnsi="Arial" w:cs="Arial"/>
          <w:sz w:val="22"/>
          <w:szCs w:val="22"/>
        </w:rPr>
        <w:t>1</w:t>
      </w:r>
      <w:r w:rsidR="00A723F7">
        <w:rPr>
          <w:rFonts w:ascii="Arial" w:hAnsi="Arial" w:cs="Arial"/>
          <w:sz w:val="22"/>
          <w:szCs w:val="22"/>
        </w:rPr>
        <w:t xml:space="preserve"> de </w:t>
      </w:r>
      <w:r w:rsidR="00D66F3B">
        <w:rPr>
          <w:rFonts w:ascii="Arial" w:hAnsi="Arial" w:cs="Arial"/>
          <w:sz w:val="22"/>
          <w:szCs w:val="22"/>
        </w:rPr>
        <w:t>março</w:t>
      </w:r>
      <w:r w:rsidR="00DB1F3C" w:rsidRPr="002A36CE">
        <w:rPr>
          <w:rFonts w:ascii="Arial" w:hAnsi="Arial" w:cs="Arial"/>
          <w:sz w:val="22"/>
          <w:szCs w:val="22"/>
        </w:rPr>
        <w:t xml:space="preserve"> </w:t>
      </w:r>
      <w:r w:rsidR="00A45210" w:rsidRPr="002A36CE">
        <w:rPr>
          <w:rFonts w:ascii="Arial" w:hAnsi="Arial" w:cs="Arial"/>
          <w:sz w:val="22"/>
          <w:szCs w:val="22"/>
        </w:rPr>
        <w:t>de 20</w:t>
      </w:r>
      <w:r w:rsidR="00B114D1" w:rsidRPr="002A36CE">
        <w:rPr>
          <w:rFonts w:ascii="Arial" w:hAnsi="Arial" w:cs="Arial"/>
          <w:sz w:val="22"/>
          <w:szCs w:val="22"/>
        </w:rPr>
        <w:t>2</w:t>
      </w:r>
      <w:r w:rsidR="00D66F3B">
        <w:rPr>
          <w:rFonts w:ascii="Arial" w:hAnsi="Arial" w:cs="Arial"/>
          <w:sz w:val="22"/>
          <w:szCs w:val="22"/>
        </w:rPr>
        <w:t>6</w:t>
      </w:r>
      <w:r w:rsidRPr="002A36CE">
        <w:rPr>
          <w:rFonts w:ascii="Arial" w:hAnsi="Arial" w:cs="Arial"/>
          <w:sz w:val="22"/>
          <w:szCs w:val="22"/>
        </w:rPr>
        <w:t>, para os quais a probabilidade de perda é considerada possível, são apresentados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3"/>
        <w:gridCol w:w="1964"/>
        <w:gridCol w:w="1964"/>
      </w:tblGrid>
      <w:tr w:rsidR="009D5F53" w:rsidRPr="008534AB" w14:paraId="67DE1C43" w14:textId="77777777" w:rsidTr="009D5F53">
        <w:trPr>
          <w:trHeight w:val="232"/>
        </w:trPr>
        <w:tc>
          <w:tcPr>
            <w:tcW w:w="2990" w:type="pct"/>
            <w:shd w:val="clear" w:color="000000" w:fill="D9D9D9"/>
            <w:vAlign w:val="center"/>
            <w:hideMark/>
          </w:tcPr>
          <w:p w14:paraId="1B6C0FBD" w14:textId="77777777" w:rsidR="009D5F53" w:rsidRPr="008534AB" w:rsidRDefault="009D5F53">
            <w:pPr>
              <w:rPr>
                <w:rFonts w:ascii="Arial" w:hAnsi="Arial" w:cs="Arial"/>
                <w:b/>
                <w:bCs/>
                <w:color w:val="000000"/>
                <w:sz w:val="18"/>
                <w:szCs w:val="18"/>
              </w:rPr>
            </w:pPr>
            <w:r w:rsidRPr="008534AB">
              <w:rPr>
                <w:rFonts w:ascii="Arial" w:hAnsi="Arial" w:cs="Arial"/>
                <w:b/>
                <w:bCs/>
                <w:color w:val="000000"/>
                <w:sz w:val="18"/>
                <w:szCs w:val="18"/>
              </w:rPr>
              <w:lastRenderedPageBreak/>
              <w:t>Natureza:</w:t>
            </w:r>
          </w:p>
        </w:tc>
        <w:tc>
          <w:tcPr>
            <w:tcW w:w="1005" w:type="pct"/>
            <w:noWrap/>
            <w:vAlign w:val="center"/>
            <w:hideMark/>
          </w:tcPr>
          <w:p w14:paraId="1BA47EAF" w14:textId="77777777" w:rsidR="009D5F53" w:rsidRPr="008534AB" w:rsidRDefault="009D5F53">
            <w:pPr>
              <w:jc w:val="center"/>
              <w:rPr>
                <w:rFonts w:ascii="Arial" w:hAnsi="Arial" w:cs="Arial"/>
                <w:b/>
                <w:bCs/>
                <w:color w:val="000000"/>
                <w:sz w:val="18"/>
                <w:szCs w:val="18"/>
              </w:rPr>
            </w:pPr>
            <w:r w:rsidRPr="008534AB">
              <w:rPr>
                <w:rFonts w:ascii="Arial" w:hAnsi="Arial" w:cs="Arial"/>
                <w:b/>
                <w:bCs/>
                <w:color w:val="000000"/>
                <w:sz w:val="18"/>
                <w:szCs w:val="18"/>
              </w:rPr>
              <w:t>31/03/2026</w:t>
            </w:r>
          </w:p>
        </w:tc>
        <w:tc>
          <w:tcPr>
            <w:tcW w:w="1005" w:type="pct"/>
            <w:noWrap/>
            <w:vAlign w:val="center"/>
            <w:hideMark/>
          </w:tcPr>
          <w:p w14:paraId="109CBBD2" w14:textId="77777777" w:rsidR="009D5F53" w:rsidRPr="008534AB" w:rsidRDefault="009D5F53">
            <w:pPr>
              <w:jc w:val="center"/>
              <w:rPr>
                <w:rFonts w:ascii="Arial" w:hAnsi="Arial" w:cs="Arial"/>
                <w:b/>
                <w:bCs/>
                <w:color w:val="000000"/>
                <w:sz w:val="18"/>
                <w:szCs w:val="18"/>
              </w:rPr>
            </w:pPr>
            <w:r w:rsidRPr="008534AB">
              <w:rPr>
                <w:rFonts w:ascii="Arial" w:hAnsi="Arial" w:cs="Arial"/>
                <w:b/>
                <w:bCs/>
                <w:color w:val="000000"/>
                <w:sz w:val="18"/>
                <w:szCs w:val="18"/>
              </w:rPr>
              <w:t>31/12/2025</w:t>
            </w:r>
          </w:p>
        </w:tc>
      </w:tr>
      <w:tr w:rsidR="009D5F53" w:rsidRPr="008534AB" w14:paraId="687DD817" w14:textId="77777777" w:rsidTr="009D5F53">
        <w:trPr>
          <w:trHeight w:val="232"/>
        </w:trPr>
        <w:tc>
          <w:tcPr>
            <w:tcW w:w="2990" w:type="pct"/>
            <w:vAlign w:val="center"/>
            <w:hideMark/>
          </w:tcPr>
          <w:p w14:paraId="4EEF204A" w14:textId="77777777" w:rsidR="009D5F53" w:rsidRPr="008534AB" w:rsidRDefault="009D5F53">
            <w:pPr>
              <w:rPr>
                <w:rFonts w:ascii="Arial" w:hAnsi="Arial" w:cs="Arial"/>
                <w:color w:val="000000"/>
                <w:sz w:val="18"/>
                <w:szCs w:val="18"/>
              </w:rPr>
            </w:pPr>
            <w:r w:rsidRPr="008534AB">
              <w:rPr>
                <w:rFonts w:ascii="Arial" w:hAnsi="Arial" w:cs="Arial"/>
                <w:color w:val="000000"/>
                <w:sz w:val="18"/>
                <w:szCs w:val="18"/>
              </w:rPr>
              <w:t>Cível</w:t>
            </w:r>
          </w:p>
        </w:tc>
        <w:tc>
          <w:tcPr>
            <w:tcW w:w="1005" w:type="pct"/>
            <w:vAlign w:val="center"/>
            <w:hideMark/>
          </w:tcPr>
          <w:p w14:paraId="46B68A94" w14:textId="77777777" w:rsidR="009D5F53" w:rsidRPr="008534AB" w:rsidRDefault="009D5F53">
            <w:pPr>
              <w:jc w:val="right"/>
              <w:rPr>
                <w:rFonts w:ascii="Arial" w:hAnsi="Arial" w:cs="Arial"/>
                <w:color w:val="000000"/>
                <w:sz w:val="18"/>
                <w:szCs w:val="18"/>
              </w:rPr>
            </w:pPr>
            <w:r w:rsidRPr="008534AB">
              <w:rPr>
                <w:rFonts w:ascii="Arial" w:hAnsi="Arial" w:cs="Arial"/>
                <w:color w:val="000000"/>
                <w:sz w:val="18"/>
                <w:szCs w:val="18"/>
              </w:rPr>
              <w:t>103.469</w:t>
            </w:r>
          </w:p>
        </w:tc>
        <w:tc>
          <w:tcPr>
            <w:tcW w:w="1005" w:type="pct"/>
            <w:vAlign w:val="center"/>
            <w:hideMark/>
          </w:tcPr>
          <w:p w14:paraId="63EF257B" w14:textId="77777777" w:rsidR="009D5F53" w:rsidRPr="008534AB" w:rsidRDefault="009D5F53">
            <w:pPr>
              <w:jc w:val="right"/>
              <w:rPr>
                <w:rFonts w:ascii="Arial" w:hAnsi="Arial" w:cs="Arial"/>
                <w:color w:val="000000"/>
                <w:sz w:val="18"/>
                <w:szCs w:val="18"/>
              </w:rPr>
            </w:pPr>
            <w:r w:rsidRPr="008534AB">
              <w:rPr>
                <w:rFonts w:ascii="Arial" w:hAnsi="Arial" w:cs="Arial"/>
                <w:color w:val="000000"/>
                <w:sz w:val="18"/>
                <w:szCs w:val="18"/>
              </w:rPr>
              <w:t>101.911</w:t>
            </w:r>
          </w:p>
        </w:tc>
      </w:tr>
      <w:tr w:rsidR="009D5F53" w:rsidRPr="008534AB" w14:paraId="18B4EDA6" w14:textId="77777777" w:rsidTr="009D5F53">
        <w:trPr>
          <w:trHeight w:val="232"/>
        </w:trPr>
        <w:tc>
          <w:tcPr>
            <w:tcW w:w="2990" w:type="pct"/>
            <w:vAlign w:val="center"/>
            <w:hideMark/>
          </w:tcPr>
          <w:p w14:paraId="3ED7E696" w14:textId="77777777" w:rsidR="009D5F53" w:rsidRPr="008534AB" w:rsidRDefault="009D5F53">
            <w:pPr>
              <w:rPr>
                <w:rFonts w:ascii="Arial" w:hAnsi="Arial" w:cs="Arial"/>
                <w:color w:val="000000"/>
                <w:sz w:val="18"/>
                <w:szCs w:val="18"/>
              </w:rPr>
            </w:pPr>
            <w:r w:rsidRPr="008534AB">
              <w:rPr>
                <w:rFonts w:ascii="Arial" w:hAnsi="Arial" w:cs="Arial"/>
                <w:color w:val="000000"/>
                <w:sz w:val="18"/>
                <w:szCs w:val="18"/>
              </w:rPr>
              <w:t>Tributária</w:t>
            </w:r>
          </w:p>
        </w:tc>
        <w:tc>
          <w:tcPr>
            <w:tcW w:w="1005" w:type="pct"/>
            <w:vAlign w:val="center"/>
            <w:hideMark/>
          </w:tcPr>
          <w:p w14:paraId="7BB5E879" w14:textId="77777777" w:rsidR="009D5F53" w:rsidRPr="008534AB" w:rsidRDefault="009D5F53">
            <w:pPr>
              <w:jc w:val="right"/>
              <w:rPr>
                <w:rFonts w:ascii="Arial" w:hAnsi="Arial" w:cs="Arial"/>
                <w:color w:val="000000"/>
                <w:sz w:val="18"/>
                <w:szCs w:val="18"/>
              </w:rPr>
            </w:pPr>
            <w:r w:rsidRPr="008534AB">
              <w:rPr>
                <w:rFonts w:ascii="Arial" w:hAnsi="Arial" w:cs="Arial"/>
                <w:color w:val="000000"/>
                <w:sz w:val="18"/>
                <w:szCs w:val="18"/>
              </w:rPr>
              <w:t>26.412</w:t>
            </w:r>
          </w:p>
        </w:tc>
        <w:tc>
          <w:tcPr>
            <w:tcW w:w="1005" w:type="pct"/>
            <w:vAlign w:val="center"/>
            <w:hideMark/>
          </w:tcPr>
          <w:p w14:paraId="0CA45DF3" w14:textId="77777777" w:rsidR="009D5F53" w:rsidRPr="008534AB" w:rsidRDefault="009D5F53">
            <w:pPr>
              <w:jc w:val="right"/>
              <w:rPr>
                <w:rFonts w:ascii="Arial" w:hAnsi="Arial" w:cs="Arial"/>
                <w:color w:val="000000"/>
                <w:sz w:val="18"/>
                <w:szCs w:val="18"/>
              </w:rPr>
            </w:pPr>
            <w:r w:rsidRPr="008534AB">
              <w:rPr>
                <w:rFonts w:ascii="Arial" w:hAnsi="Arial" w:cs="Arial"/>
                <w:color w:val="000000"/>
                <w:sz w:val="18"/>
                <w:szCs w:val="18"/>
              </w:rPr>
              <w:t>26.136</w:t>
            </w:r>
          </w:p>
        </w:tc>
      </w:tr>
      <w:tr w:rsidR="009D5F53" w:rsidRPr="008534AB" w14:paraId="474C9F15" w14:textId="77777777" w:rsidTr="009D5F53">
        <w:trPr>
          <w:trHeight w:val="232"/>
        </w:trPr>
        <w:tc>
          <w:tcPr>
            <w:tcW w:w="2990" w:type="pct"/>
            <w:vAlign w:val="center"/>
            <w:hideMark/>
          </w:tcPr>
          <w:p w14:paraId="700DBFE2" w14:textId="77777777" w:rsidR="009D5F53" w:rsidRPr="008534AB" w:rsidRDefault="009D5F53">
            <w:pPr>
              <w:rPr>
                <w:rFonts w:ascii="Arial" w:hAnsi="Arial" w:cs="Arial"/>
                <w:color w:val="000000"/>
                <w:sz w:val="18"/>
                <w:szCs w:val="18"/>
              </w:rPr>
            </w:pPr>
            <w:r w:rsidRPr="008534AB">
              <w:rPr>
                <w:rFonts w:ascii="Arial" w:hAnsi="Arial" w:cs="Arial"/>
                <w:color w:val="000000"/>
                <w:sz w:val="18"/>
                <w:szCs w:val="18"/>
              </w:rPr>
              <w:t>Trabalhista</w:t>
            </w:r>
          </w:p>
        </w:tc>
        <w:tc>
          <w:tcPr>
            <w:tcW w:w="1005" w:type="pct"/>
            <w:vAlign w:val="center"/>
            <w:hideMark/>
          </w:tcPr>
          <w:p w14:paraId="5A874559" w14:textId="77777777" w:rsidR="009D5F53" w:rsidRPr="008534AB" w:rsidRDefault="009D5F53">
            <w:pPr>
              <w:jc w:val="right"/>
              <w:rPr>
                <w:rFonts w:ascii="Arial" w:hAnsi="Arial" w:cs="Arial"/>
                <w:color w:val="000000"/>
                <w:sz w:val="18"/>
                <w:szCs w:val="18"/>
              </w:rPr>
            </w:pPr>
            <w:r w:rsidRPr="008534AB">
              <w:rPr>
                <w:rFonts w:ascii="Arial" w:hAnsi="Arial" w:cs="Arial"/>
                <w:color w:val="000000"/>
                <w:sz w:val="18"/>
                <w:szCs w:val="18"/>
              </w:rPr>
              <w:t>10.646</w:t>
            </w:r>
          </w:p>
        </w:tc>
        <w:tc>
          <w:tcPr>
            <w:tcW w:w="1005" w:type="pct"/>
            <w:vAlign w:val="center"/>
            <w:hideMark/>
          </w:tcPr>
          <w:p w14:paraId="127C581A" w14:textId="77777777" w:rsidR="009D5F53" w:rsidRPr="008534AB" w:rsidRDefault="009D5F53">
            <w:pPr>
              <w:jc w:val="right"/>
              <w:rPr>
                <w:rFonts w:ascii="Arial" w:hAnsi="Arial" w:cs="Arial"/>
                <w:color w:val="000000"/>
                <w:sz w:val="18"/>
                <w:szCs w:val="18"/>
              </w:rPr>
            </w:pPr>
            <w:r w:rsidRPr="008534AB">
              <w:rPr>
                <w:rFonts w:ascii="Arial" w:hAnsi="Arial" w:cs="Arial"/>
                <w:color w:val="000000"/>
                <w:sz w:val="18"/>
                <w:szCs w:val="18"/>
              </w:rPr>
              <w:t>8.406</w:t>
            </w:r>
          </w:p>
        </w:tc>
      </w:tr>
      <w:tr w:rsidR="009D5F53" w14:paraId="3C64942F" w14:textId="77777777" w:rsidTr="009D5F53">
        <w:trPr>
          <w:trHeight w:val="232"/>
        </w:trPr>
        <w:tc>
          <w:tcPr>
            <w:tcW w:w="2990" w:type="pct"/>
            <w:vAlign w:val="center"/>
            <w:hideMark/>
          </w:tcPr>
          <w:p w14:paraId="617FC6F6" w14:textId="77777777" w:rsidR="009D5F53" w:rsidRPr="008534AB" w:rsidRDefault="009D5F53">
            <w:pPr>
              <w:rPr>
                <w:rFonts w:ascii="Arial" w:hAnsi="Arial" w:cs="Arial"/>
                <w:b/>
                <w:bCs/>
                <w:color w:val="000000"/>
                <w:sz w:val="18"/>
                <w:szCs w:val="18"/>
              </w:rPr>
            </w:pPr>
            <w:r w:rsidRPr="008534AB">
              <w:rPr>
                <w:rFonts w:ascii="Arial" w:hAnsi="Arial" w:cs="Arial"/>
                <w:b/>
                <w:bCs/>
                <w:color w:val="000000"/>
                <w:sz w:val="18"/>
                <w:szCs w:val="18"/>
              </w:rPr>
              <w:t>Total</w:t>
            </w:r>
          </w:p>
        </w:tc>
        <w:tc>
          <w:tcPr>
            <w:tcW w:w="1005" w:type="pct"/>
            <w:vAlign w:val="center"/>
            <w:hideMark/>
          </w:tcPr>
          <w:p w14:paraId="7E00BF81" w14:textId="77777777" w:rsidR="009D5F53" w:rsidRPr="008534AB" w:rsidRDefault="009D5F53">
            <w:pPr>
              <w:jc w:val="right"/>
              <w:rPr>
                <w:rFonts w:ascii="Arial" w:hAnsi="Arial" w:cs="Arial"/>
                <w:b/>
                <w:bCs/>
                <w:color w:val="000000"/>
                <w:sz w:val="18"/>
                <w:szCs w:val="18"/>
              </w:rPr>
            </w:pPr>
            <w:r w:rsidRPr="008534AB">
              <w:rPr>
                <w:rFonts w:ascii="Arial" w:hAnsi="Arial" w:cs="Arial"/>
                <w:b/>
                <w:bCs/>
                <w:color w:val="000000"/>
                <w:sz w:val="18"/>
                <w:szCs w:val="18"/>
              </w:rPr>
              <w:t>140.527</w:t>
            </w:r>
          </w:p>
        </w:tc>
        <w:tc>
          <w:tcPr>
            <w:tcW w:w="1005" w:type="pct"/>
            <w:vAlign w:val="center"/>
            <w:hideMark/>
          </w:tcPr>
          <w:p w14:paraId="7DBFA687" w14:textId="77777777" w:rsidR="009D5F53" w:rsidRDefault="009D5F53">
            <w:pPr>
              <w:jc w:val="right"/>
              <w:rPr>
                <w:rFonts w:ascii="Arial" w:hAnsi="Arial" w:cs="Arial"/>
                <w:b/>
                <w:bCs/>
                <w:color w:val="000000"/>
                <w:sz w:val="18"/>
                <w:szCs w:val="18"/>
              </w:rPr>
            </w:pPr>
            <w:r w:rsidRPr="008534AB">
              <w:rPr>
                <w:rFonts w:ascii="Arial" w:hAnsi="Arial" w:cs="Arial"/>
                <w:b/>
                <w:bCs/>
                <w:color w:val="000000"/>
                <w:sz w:val="18"/>
                <w:szCs w:val="18"/>
              </w:rPr>
              <w:t>136.453</w:t>
            </w:r>
          </w:p>
        </w:tc>
      </w:tr>
    </w:tbl>
    <w:p w14:paraId="397760E0" w14:textId="77777777" w:rsidR="006F68D1" w:rsidRPr="002A36CE" w:rsidRDefault="006F68D1" w:rsidP="00B9420F">
      <w:pPr>
        <w:pStyle w:val="Ttulo2"/>
        <w:numPr>
          <w:ilvl w:val="2"/>
          <w:numId w:val="7"/>
        </w:numPr>
        <w:tabs>
          <w:tab w:val="clear" w:pos="284"/>
          <w:tab w:val="clear" w:pos="340"/>
        </w:tabs>
        <w:spacing w:after="0"/>
        <w:ind w:left="851" w:hanging="851"/>
        <w:jc w:val="both"/>
        <w:rPr>
          <w:rFonts w:ascii="Arial" w:hAnsi="Arial" w:cs="Arial"/>
        </w:rPr>
      </w:pPr>
      <w:bookmarkStart w:id="49" w:name="_Toc491337749"/>
      <w:r w:rsidRPr="002A36CE">
        <w:rPr>
          <w:rFonts w:ascii="Arial" w:hAnsi="Arial" w:cs="Arial"/>
        </w:rPr>
        <w:t>Natureza das ações judiciais</w:t>
      </w:r>
      <w:bookmarkEnd w:id="49"/>
    </w:p>
    <w:p w14:paraId="33CC54F5" w14:textId="77777777" w:rsidR="006F68D1" w:rsidRPr="00F70B46" w:rsidRDefault="006F68D1" w:rsidP="00B9420F">
      <w:pPr>
        <w:spacing w:before="240"/>
        <w:rPr>
          <w:sz w:val="10"/>
          <w:szCs w:val="10"/>
        </w:rPr>
      </w:pPr>
    </w:p>
    <w:p w14:paraId="368CA14B" w14:textId="4EBCB34A" w:rsidR="00B55E11" w:rsidRPr="00B55E11" w:rsidRDefault="00B55E11" w:rsidP="00B55E11">
      <w:pPr>
        <w:spacing w:line="276" w:lineRule="auto"/>
        <w:jc w:val="both"/>
        <w:rPr>
          <w:rFonts w:ascii="Arial" w:hAnsi="Arial" w:cs="Arial"/>
          <w:sz w:val="22"/>
          <w:szCs w:val="22"/>
        </w:rPr>
      </w:pPr>
      <w:r w:rsidRPr="00B55E11">
        <w:rPr>
          <w:rFonts w:ascii="Arial" w:hAnsi="Arial" w:cs="Arial"/>
          <w:sz w:val="22"/>
          <w:szCs w:val="22"/>
        </w:rPr>
        <w:t>Os detalhes sobre as principais provisões para riscos possíveis (passivos contingentes), de acordo com a natureza das ações, são apresentados a seguir, representando a melhor estimativa da Companhia para os potenciais desembolsos futuros relacionados a esses processos</w:t>
      </w:r>
      <w:r>
        <w:rPr>
          <w:rFonts w:ascii="Arial" w:hAnsi="Arial" w:cs="Arial"/>
          <w:sz w:val="22"/>
          <w:szCs w:val="22"/>
        </w:rPr>
        <w:t>:</w:t>
      </w:r>
    </w:p>
    <w:p w14:paraId="5DFA622E" w14:textId="77777777" w:rsidR="00673ABC" w:rsidRDefault="00673ABC"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53"/>
        <w:gridCol w:w="1759"/>
        <w:gridCol w:w="1759"/>
      </w:tblGrid>
      <w:tr w:rsidR="00EB32AB" w:rsidRPr="008534AB" w14:paraId="023D42D2" w14:textId="77777777" w:rsidTr="00EB32AB">
        <w:trPr>
          <w:trHeight w:val="232"/>
        </w:trPr>
        <w:tc>
          <w:tcPr>
            <w:tcW w:w="3200" w:type="pct"/>
            <w:shd w:val="clear" w:color="000000" w:fill="D9D9D9"/>
            <w:noWrap/>
            <w:vAlign w:val="center"/>
            <w:hideMark/>
          </w:tcPr>
          <w:p w14:paraId="2EC25969"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Natureza/Objeto das Ações:</w:t>
            </w:r>
          </w:p>
        </w:tc>
        <w:tc>
          <w:tcPr>
            <w:tcW w:w="900" w:type="pct"/>
            <w:vAlign w:val="center"/>
            <w:hideMark/>
          </w:tcPr>
          <w:p w14:paraId="70ECDEB1" w14:textId="77777777" w:rsidR="00EB32AB" w:rsidRPr="008534AB" w:rsidRDefault="00EB32AB" w:rsidP="006A54CD">
            <w:pPr>
              <w:jc w:val="center"/>
              <w:rPr>
                <w:rFonts w:ascii="Arial" w:hAnsi="Arial" w:cs="Arial"/>
                <w:b/>
                <w:bCs/>
                <w:color w:val="000000"/>
                <w:sz w:val="18"/>
                <w:szCs w:val="18"/>
              </w:rPr>
            </w:pPr>
            <w:r w:rsidRPr="008534AB">
              <w:rPr>
                <w:rFonts w:ascii="Arial" w:hAnsi="Arial" w:cs="Arial"/>
                <w:b/>
                <w:bCs/>
                <w:color w:val="000000"/>
                <w:sz w:val="18"/>
                <w:szCs w:val="18"/>
              </w:rPr>
              <w:t>31/03/2026</w:t>
            </w:r>
          </w:p>
        </w:tc>
        <w:tc>
          <w:tcPr>
            <w:tcW w:w="900" w:type="pct"/>
            <w:vAlign w:val="center"/>
            <w:hideMark/>
          </w:tcPr>
          <w:p w14:paraId="4A282C6E" w14:textId="77777777" w:rsidR="00EB32AB" w:rsidRPr="008534AB" w:rsidRDefault="00EB32AB" w:rsidP="006A54CD">
            <w:pPr>
              <w:jc w:val="center"/>
              <w:rPr>
                <w:rFonts w:ascii="Arial" w:hAnsi="Arial" w:cs="Arial"/>
                <w:b/>
                <w:bCs/>
                <w:color w:val="000000"/>
                <w:sz w:val="18"/>
                <w:szCs w:val="18"/>
              </w:rPr>
            </w:pPr>
            <w:r w:rsidRPr="008534AB">
              <w:rPr>
                <w:rFonts w:ascii="Arial" w:hAnsi="Arial" w:cs="Arial"/>
                <w:b/>
                <w:bCs/>
                <w:color w:val="000000"/>
                <w:sz w:val="18"/>
                <w:szCs w:val="18"/>
              </w:rPr>
              <w:t>31/12/2025</w:t>
            </w:r>
          </w:p>
        </w:tc>
      </w:tr>
      <w:tr w:rsidR="00EB32AB" w:rsidRPr="008534AB" w14:paraId="4E379A8D" w14:textId="77777777" w:rsidTr="00EB32AB">
        <w:trPr>
          <w:trHeight w:val="232"/>
        </w:trPr>
        <w:tc>
          <w:tcPr>
            <w:tcW w:w="3200" w:type="pct"/>
            <w:noWrap/>
            <w:vAlign w:val="center"/>
            <w:hideMark/>
          </w:tcPr>
          <w:p w14:paraId="03391104"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Cíveis</w:t>
            </w:r>
          </w:p>
        </w:tc>
        <w:tc>
          <w:tcPr>
            <w:tcW w:w="900" w:type="pct"/>
            <w:vAlign w:val="center"/>
            <w:hideMark/>
          </w:tcPr>
          <w:p w14:paraId="3F4E65B3"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 </w:t>
            </w:r>
          </w:p>
        </w:tc>
        <w:tc>
          <w:tcPr>
            <w:tcW w:w="900" w:type="pct"/>
            <w:vAlign w:val="center"/>
            <w:hideMark/>
          </w:tcPr>
          <w:p w14:paraId="3DA06B0D"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 </w:t>
            </w:r>
          </w:p>
        </w:tc>
      </w:tr>
      <w:tr w:rsidR="00EB32AB" w:rsidRPr="008534AB" w14:paraId="3B2F5680" w14:textId="77777777" w:rsidTr="00EB32AB">
        <w:trPr>
          <w:trHeight w:val="232"/>
        </w:trPr>
        <w:tc>
          <w:tcPr>
            <w:tcW w:w="3200" w:type="pct"/>
            <w:vAlign w:val="center"/>
            <w:hideMark/>
          </w:tcPr>
          <w:p w14:paraId="46310257"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VPA´S nas Capitalizações por Contratos de Participação Financeira-PF (Autofinanciamento)</w:t>
            </w:r>
          </w:p>
        </w:tc>
        <w:tc>
          <w:tcPr>
            <w:tcW w:w="900" w:type="pct"/>
            <w:vAlign w:val="center"/>
          </w:tcPr>
          <w:p w14:paraId="6133ABC1"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7.958</w:t>
            </w:r>
          </w:p>
        </w:tc>
        <w:tc>
          <w:tcPr>
            <w:tcW w:w="900" w:type="pct"/>
            <w:vAlign w:val="center"/>
            <w:hideMark/>
          </w:tcPr>
          <w:p w14:paraId="1650F763"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7.812</w:t>
            </w:r>
          </w:p>
        </w:tc>
      </w:tr>
      <w:tr w:rsidR="00EB32AB" w:rsidRPr="008534AB" w14:paraId="127F65E2" w14:textId="77777777" w:rsidTr="00EB32AB">
        <w:trPr>
          <w:trHeight w:val="232"/>
        </w:trPr>
        <w:tc>
          <w:tcPr>
            <w:tcW w:w="3200" w:type="pct"/>
            <w:vAlign w:val="center"/>
            <w:hideMark/>
          </w:tcPr>
          <w:p w14:paraId="2216358F"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Ilegalidade na Venda de Ações</w:t>
            </w:r>
          </w:p>
        </w:tc>
        <w:tc>
          <w:tcPr>
            <w:tcW w:w="900" w:type="pct"/>
            <w:vAlign w:val="center"/>
          </w:tcPr>
          <w:p w14:paraId="4911663F"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5.875</w:t>
            </w:r>
          </w:p>
        </w:tc>
        <w:tc>
          <w:tcPr>
            <w:tcW w:w="900" w:type="pct"/>
            <w:vAlign w:val="center"/>
            <w:hideMark/>
          </w:tcPr>
          <w:p w14:paraId="3B8C5AAD"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5.761</w:t>
            </w:r>
          </w:p>
        </w:tc>
      </w:tr>
      <w:tr w:rsidR="00EB32AB" w:rsidRPr="008534AB" w14:paraId="72417CC4" w14:textId="77777777" w:rsidTr="00EB32AB">
        <w:trPr>
          <w:trHeight w:val="232"/>
        </w:trPr>
        <w:tc>
          <w:tcPr>
            <w:tcW w:w="3200" w:type="pct"/>
            <w:vAlign w:val="center"/>
            <w:hideMark/>
          </w:tcPr>
          <w:p w14:paraId="3C744A12"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Processo de Cisão Sistema Telebras (i)</w:t>
            </w:r>
          </w:p>
        </w:tc>
        <w:tc>
          <w:tcPr>
            <w:tcW w:w="900" w:type="pct"/>
            <w:vAlign w:val="center"/>
          </w:tcPr>
          <w:p w14:paraId="544A6C81"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32.618</w:t>
            </w:r>
          </w:p>
        </w:tc>
        <w:tc>
          <w:tcPr>
            <w:tcW w:w="900" w:type="pct"/>
            <w:vAlign w:val="center"/>
            <w:hideMark/>
          </w:tcPr>
          <w:p w14:paraId="46317425"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31.726</w:t>
            </w:r>
          </w:p>
        </w:tc>
      </w:tr>
      <w:tr w:rsidR="00EB32AB" w:rsidRPr="008534AB" w14:paraId="6E6B45BF" w14:textId="77777777" w:rsidTr="00EB32AB">
        <w:trPr>
          <w:trHeight w:val="232"/>
        </w:trPr>
        <w:tc>
          <w:tcPr>
            <w:tcW w:w="3200" w:type="pct"/>
            <w:vAlign w:val="center"/>
            <w:hideMark/>
          </w:tcPr>
          <w:p w14:paraId="555C566D"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Outros Processos (ii)</w:t>
            </w:r>
          </w:p>
        </w:tc>
        <w:tc>
          <w:tcPr>
            <w:tcW w:w="900" w:type="pct"/>
            <w:vAlign w:val="center"/>
          </w:tcPr>
          <w:p w14:paraId="526C6ABD"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57.018</w:t>
            </w:r>
          </w:p>
        </w:tc>
        <w:tc>
          <w:tcPr>
            <w:tcW w:w="900" w:type="pct"/>
            <w:vAlign w:val="center"/>
            <w:hideMark/>
          </w:tcPr>
          <w:p w14:paraId="2447B804"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56.612</w:t>
            </w:r>
          </w:p>
        </w:tc>
      </w:tr>
      <w:tr w:rsidR="00EB32AB" w:rsidRPr="008534AB" w14:paraId="1D99B2A1" w14:textId="77777777" w:rsidTr="00EB32AB">
        <w:trPr>
          <w:trHeight w:val="232"/>
        </w:trPr>
        <w:tc>
          <w:tcPr>
            <w:tcW w:w="3200" w:type="pct"/>
            <w:vAlign w:val="center"/>
            <w:hideMark/>
          </w:tcPr>
          <w:p w14:paraId="245F977D"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 xml:space="preserve">Total </w:t>
            </w:r>
          </w:p>
        </w:tc>
        <w:tc>
          <w:tcPr>
            <w:tcW w:w="900" w:type="pct"/>
            <w:vAlign w:val="center"/>
          </w:tcPr>
          <w:p w14:paraId="02436DDB" w14:textId="77777777" w:rsidR="00EB32AB" w:rsidRPr="008534AB" w:rsidRDefault="00EB32AB" w:rsidP="006A54CD">
            <w:pPr>
              <w:jc w:val="right"/>
              <w:rPr>
                <w:rFonts w:ascii="Arial" w:hAnsi="Arial" w:cs="Arial"/>
                <w:b/>
                <w:bCs/>
                <w:color w:val="000000"/>
                <w:sz w:val="18"/>
                <w:szCs w:val="18"/>
              </w:rPr>
            </w:pPr>
            <w:r w:rsidRPr="008534AB">
              <w:rPr>
                <w:rFonts w:ascii="Arial" w:hAnsi="Arial" w:cs="Arial"/>
                <w:b/>
                <w:bCs/>
                <w:color w:val="000000"/>
                <w:sz w:val="18"/>
                <w:szCs w:val="18"/>
              </w:rPr>
              <w:t>103.469</w:t>
            </w:r>
          </w:p>
        </w:tc>
        <w:tc>
          <w:tcPr>
            <w:tcW w:w="900" w:type="pct"/>
            <w:vAlign w:val="center"/>
            <w:hideMark/>
          </w:tcPr>
          <w:p w14:paraId="6FDA1D0F" w14:textId="77777777" w:rsidR="00EB32AB" w:rsidRPr="008534AB" w:rsidRDefault="00EB32AB" w:rsidP="006A54CD">
            <w:pPr>
              <w:jc w:val="right"/>
              <w:rPr>
                <w:rFonts w:ascii="Arial" w:hAnsi="Arial" w:cs="Arial"/>
                <w:b/>
                <w:bCs/>
                <w:color w:val="000000"/>
                <w:sz w:val="18"/>
                <w:szCs w:val="18"/>
              </w:rPr>
            </w:pPr>
            <w:r w:rsidRPr="008534AB">
              <w:rPr>
                <w:rFonts w:ascii="Arial" w:hAnsi="Arial" w:cs="Arial"/>
                <w:b/>
                <w:bCs/>
                <w:color w:val="000000"/>
                <w:sz w:val="18"/>
                <w:szCs w:val="18"/>
              </w:rPr>
              <w:t>101.911</w:t>
            </w:r>
          </w:p>
        </w:tc>
      </w:tr>
      <w:tr w:rsidR="00EB32AB" w:rsidRPr="008534AB" w14:paraId="12C927E1" w14:textId="77777777" w:rsidTr="00EB32AB">
        <w:trPr>
          <w:trHeight w:val="232"/>
        </w:trPr>
        <w:tc>
          <w:tcPr>
            <w:tcW w:w="3200" w:type="pct"/>
            <w:vAlign w:val="center"/>
            <w:hideMark/>
          </w:tcPr>
          <w:p w14:paraId="2C667D5E"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 </w:t>
            </w:r>
          </w:p>
        </w:tc>
        <w:tc>
          <w:tcPr>
            <w:tcW w:w="900" w:type="pct"/>
            <w:vAlign w:val="center"/>
          </w:tcPr>
          <w:p w14:paraId="72E43F6F" w14:textId="77777777" w:rsidR="00EB32AB" w:rsidRPr="008534AB" w:rsidRDefault="00EB32AB" w:rsidP="006A54CD">
            <w:pPr>
              <w:jc w:val="right"/>
              <w:rPr>
                <w:rFonts w:ascii="Arial" w:hAnsi="Arial" w:cs="Arial"/>
                <w:b/>
                <w:bCs/>
                <w:color w:val="000000"/>
                <w:sz w:val="18"/>
                <w:szCs w:val="18"/>
              </w:rPr>
            </w:pPr>
          </w:p>
        </w:tc>
        <w:tc>
          <w:tcPr>
            <w:tcW w:w="900" w:type="pct"/>
            <w:vAlign w:val="center"/>
            <w:hideMark/>
          </w:tcPr>
          <w:p w14:paraId="39627FAF" w14:textId="77777777" w:rsidR="00EB32AB" w:rsidRPr="008534AB" w:rsidRDefault="00EB32AB" w:rsidP="006A54CD">
            <w:pPr>
              <w:jc w:val="right"/>
              <w:rPr>
                <w:rFonts w:ascii="Arial" w:hAnsi="Arial" w:cs="Arial"/>
                <w:b/>
                <w:bCs/>
                <w:color w:val="000000"/>
                <w:sz w:val="18"/>
                <w:szCs w:val="18"/>
              </w:rPr>
            </w:pPr>
          </w:p>
        </w:tc>
      </w:tr>
      <w:tr w:rsidR="00EB32AB" w:rsidRPr="008534AB" w14:paraId="57DB2BA7" w14:textId="77777777" w:rsidTr="00EB32AB">
        <w:trPr>
          <w:trHeight w:val="232"/>
        </w:trPr>
        <w:tc>
          <w:tcPr>
            <w:tcW w:w="3200" w:type="pct"/>
            <w:vAlign w:val="center"/>
            <w:hideMark/>
          </w:tcPr>
          <w:p w14:paraId="4A0BAB45"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Trabalhistas</w:t>
            </w:r>
          </w:p>
        </w:tc>
        <w:tc>
          <w:tcPr>
            <w:tcW w:w="900" w:type="pct"/>
            <w:vAlign w:val="center"/>
          </w:tcPr>
          <w:p w14:paraId="3CB64950" w14:textId="77777777" w:rsidR="00EB32AB" w:rsidRPr="008534AB" w:rsidRDefault="00EB32AB" w:rsidP="006A54CD">
            <w:pPr>
              <w:jc w:val="right"/>
              <w:rPr>
                <w:rFonts w:ascii="Arial" w:hAnsi="Arial" w:cs="Arial"/>
                <w:color w:val="000000"/>
                <w:sz w:val="18"/>
                <w:szCs w:val="18"/>
              </w:rPr>
            </w:pPr>
          </w:p>
        </w:tc>
        <w:tc>
          <w:tcPr>
            <w:tcW w:w="900" w:type="pct"/>
            <w:vAlign w:val="center"/>
            <w:hideMark/>
          </w:tcPr>
          <w:p w14:paraId="38275456" w14:textId="77777777" w:rsidR="00EB32AB" w:rsidRPr="008534AB" w:rsidRDefault="00EB32AB" w:rsidP="006A54CD">
            <w:pPr>
              <w:jc w:val="right"/>
              <w:rPr>
                <w:rFonts w:ascii="Arial" w:hAnsi="Arial" w:cs="Arial"/>
                <w:color w:val="000000"/>
                <w:sz w:val="18"/>
                <w:szCs w:val="18"/>
              </w:rPr>
            </w:pPr>
          </w:p>
        </w:tc>
      </w:tr>
      <w:tr w:rsidR="00EB32AB" w:rsidRPr="008534AB" w14:paraId="4EF34875" w14:textId="77777777" w:rsidTr="00EB32AB">
        <w:trPr>
          <w:trHeight w:val="232"/>
        </w:trPr>
        <w:tc>
          <w:tcPr>
            <w:tcW w:w="3200" w:type="pct"/>
            <w:vAlign w:val="center"/>
            <w:hideMark/>
          </w:tcPr>
          <w:p w14:paraId="0E26794B"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Responsabilidade Subsidiária</w:t>
            </w:r>
          </w:p>
        </w:tc>
        <w:tc>
          <w:tcPr>
            <w:tcW w:w="900" w:type="pct"/>
            <w:vAlign w:val="center"/>
          </w:tcPr>
          <w:p w14:paraId="7507DAA1"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6.245</w:t>
            </w:r>
          </w:p>
        </w:tc>
        <w:tc>
          <w:tcPr>
            <w:tcW w:w="900" w:type="pct"/>
            <w:vAlign w:val="center"/>
            <w:hideMark/>
          </w:tcPr>
          <w:p w14:paraId="495B4F05"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6.045</w:t>
            </w:r>
          </w:p>
        </w:tc>
      </w:tr>
      <w:tr w:rsidR="00EB32AB" w:rsidRPr="008534AB" w14:paraId="2E9E5F31" w14:textId="77777777" w:rsidTr="00EB32AB">
        <w:trPr>
          <w:trHeight w:val="232"/>
        </w:trPr>
        <w:tc>
          <w:tcPr>
            <w:tcW w:w="3200" w:type="pct"/>
            <w:vAlign w:val="center"/>
            <w:hideMark/>
          </w:tcPr>
          <w:p w14:paraId="662FA1F1"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Outros Processos</w:t>
            </w:r>
          </w:p>
        </w:tc>
        <w:tc>
          <w:tcPr>
            <w:tcW w:w="900" w:type="pct"/>
            <w:vAlign w:val="center"/>
          </w:tcPr>
          <w:p w14:paraId="4C649AE7"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4.401</w:t>
            </w:r>
          </w:p>
        </w:tc>
        <w:tc>
          <w:tcPr>
            <w:tcW w:w="900" w:type="pct"/>
            <w:vAlign w:val="center"/>
            <w:hideMark/>
          </w:tcPr>
          <w:p w14:paraId="4A976F87"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2.361</w:t>
            </w:r>
          </w:p>
        </w:tc>
      </w:tr>
      <w:tr w:rsidR="00EB32AB" w:rsidRPr="008534AB" w14:paraId="07D17568" w14:textId="77777777" w:rsidTr="00EB32AB">
        <w:trPr>
          <w:trHeight w:val="232"/>
        </w:trPr>
        <w:tc>
          <w:tcPr>
            <w:tcW w:w="3200" w:type="pct"/>
            <w:vAlign w:val="center"/>
            <w:hideMark/>
          </w:tcPr>
          <w:p w14:paraId="0CB6A9C7"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Total</w:t>
            </w:r>
          </w:p>
        </w:tc>
        <w:tc>
          <w:tcPr>
            <w:tcW w:w="900" w:type="pct"/>
            <w:vAlign w:val="center"/>
          </w:tcPr>
          <w:p w14:paraId="569BFC00" w14:textId="77777777" w:rsidR="00EB32AB" w:rsidRPr="008534AB" w:rsidRDefault="00EB32AB" w:rsidP="006A54CD">
            <w:pPr>
              <w:jc w:val="right"/>
              <w:rPr>
                <w:rFonts w:ascii="Arial" w:hAnsi="Arial" w:cs="Arial"/>
                <w:b/>
                <w:bCs/>
                <w:color w:val="000000"/>
                <w:sz w:val="18"/>
                <w:szCs w:val="18"/>
              </w:rPr>
            </w:pPr>
            <w:r w:rsidRPr="008534AB">
              <w:rPr>
                <w:rFonts w:ascii="Arial" w:hAnsi="Arial" w:cs="Arial"/>
                <w:b/>
                <w:bCs/>
                <w:color w:val="000000"/>
                <w:sz w:val="18"/>
                <w:szCs w:val="18"/>
              </w:rPr>
              <w:t>10.646</w:t>
            </w:r>
          </w:p>
        </w:tc>
        <w:tc>
          <w:tcPr>
            <w:tcW w:w="900" w:type="pct"/>
            <w:vAlign w:val="center"/>
            <w:hideMark/>
          </w:tcPr>
          <w:p w14:paraId="391F7B7E" w14:textId="77777777" w:rsidR="00EB32AB" w:rsidRPr="008534AB" w:rsidRDefault="00EB32AB" w:rsidP="006A54CD">
            <w:pPr>
              <w:jc w:val="right"/>
              <w:rPr>
                <w:rFonts w:ascii="Arial" w:hAnsi="Arial" w:cs="Arial"/>
                <w:b/>
                <w:bCs/>
                <w:color w:val="000000"/>
                <w:sz w:val="18"/>
                <w:szCs w:val="18"/>
              </w:rPr>
            </w:pPr>
            <w:r w:rsidRPr="008534AB">
              <w:rPr>
                <w:rFonts w:ascii="Arial" w:hAnsi="Arial" w:cs="Arial"/>
                <w:b/>
                <w:bCs/>
                <w:color w:val="000000"/>
                <w:sz w:val="18"/>
                <w:szCs w:val="18"/>
              </w:rPr>
              <w:t>8.406</w:t>
            </w:r>
          </w:p>
        </w:tc>
      </w:tr>
      <w:tr w:rsidR="00EB32AB" w:rsidRPr="008534AB" w14:paraId="58CAA902" w14:textId="77777777" w:rsidTr="00EB32AB">
        <w:trPr>
          <w:trHeight w:val="232"/>
        </w:trPr>
        <w:tc>
          <w:tcPr>
            <w:tcW w:w="3200" w:type="pct"/>
            <w:vAlign w:val="center"/>
            <w:hideMark/>
          </w:tcPr>
          <w:p w14:paraId="0991C816"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 </w:t>
            </w:r>
          </w:p>
        </w:tc>
        <w:tc>
          <w:tcPr>
            <w:tcW w:w="900" w:type="pct"/>
            <w:vAlign w:val="center"/>
          </w:tcPr>
          <w:p w14:paraId="38B5BB66" w14:textId="77777777" w:rsidR="00EB32AB" w:rsidRPr="008534AB" w:rsidRDefault="00EB32AB" w:rsidP="006A54CD">
            <w:pPr>
              <w:jc w:val="right"/>
              <w:rPr>
                <w:rFonts w:ascii="Arial" w:hAnsi="Arial" w:cs="Arial"/>
                <w:b/>
                <w:bCs/>
                <w:color w:val="000000"/>
                <w:sz w:val="18"/>
                <w:szCs w:val="18"/>
              </w:rPr>
            </w:pPr>
          </w:p>
        </w:tc>
        <w:tc>
          <w:tcPr>
            <w:tcW w:w="900" w:type="pct"/>
            <w:vAlign w:val="center"/>
            <w:hideMark/>
          </w:tcPr>
          <w:p w14:paraId="2EE315DE" w14:textId="77777777" w:rsidR="00EB32AB" w:rsidRPr="008534AB" w:rsidRDefault="00EB32AB" w:rsidP="006A54CD">
            <w:pPr>
              <w:jc w:val="right"/>
              <w:rPr>
                <w:rFonts w:ascii="Arial" w:hAnsi="Arial" w:cs="Arial"/>
                <w:b/>
                <w:bCs/>
                <w:color w:val="000000"/>
                <w:sz w:val="18"/>
                <w:szCs w:val="18"/>
              </w:rPr>
            </w:pPr>
          </w:p>
        </w:tc>
      </w:tr>
      <w:tr w:rsidR="00EB32AB" w:rsidRPr="008534AB" w14:paraId="528C6BEB" w14:textId="77777777" w:rsidTr="00EB32AB">
        <w:trPr>
          <w:trHeight w:val="232"/>
        </w:trPr>
        <w:tc>
          <w:tcPr>
            <w:tcW w:w="3200" w:type="pct"/>
            <w:vAlign w:val="center"/>
            <w:hideMark/>
          </w:tcPr>
          <w:p w14:paraId="71C296E1"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Tributárias</w:t>
            </w:r>
          </w:p>
        </w:tc>
        <w:tc>
          <w:tcPr>
            <w:tcW w:w="900" w:type="pct"/>
            <w:vAlign w:val="center"/>
          </w:tcPr>
          <w:p w14:paraId="512317D2" w14:textId="77777777" w:rsidR="00EB32AB" w:rsidRPr="008534AB" w:rsidRDefault="00EB32AB" w:rsidP="006A54CD">
            <w:pPr>
              <w:jc w:val="right"/>
              <w:rPr>
                <w:rFonts w:ascii="Arial" w:hAnsi="Arial" w:cs="Arial"/>
                <w:color w:val="000000"/>
                <w:sz w:val="18"/>
                <w:szCs w:val="18"/>
              </w:rPr>
            </w:pPr>
          </w:p>
        </w:tc>
        <w:tc>
          <w:tcPr>
            <w:tcW w:w="900" w:type="pct"/>
            <w:vAlign w:val="center"/>
            <w:hideMark/>
          </w:tcPr>
          <w:p w14:paraId="4A55A449" w14:textId="77777777" w:rsidR="00EB32AB" w:rsidRPr="008534AB" w:rsidRDefault="00EB32AB" w:rsidP="006A54CD">
            <w:pPr>
              <w:jc w:val="right"/>
              <w:rPr>
                <w:rFonts w:ascii="Arial" w:hAnsi="Arial" w:cs="Arial"/>
                <w:color w:val="000000"/>
                <w:sz w:val="18"/>
                <w:szCs w:val="18"/>
              </w:rPr>
            </w:pPr>
          </w:p>
        </w:tc>
      </w:tr>
      <w:tr w:rsidR="00EB32AB" w:rsidRPr="008534AB" w14:paraId="48226169" w14:textId="77777777" w:rsidTr="00EB32AB">
        <w:trPr>
          <w:trHeight w:val="232"/>
        </w:trPr>
        <w:tc>
          <w:tcPr>
            <w:tcW w:w="3200" w:type="pct"/>
            <w:vAlign w:val="center"/>
            <w:hideMark/>
          </w:tcPr>
          <w:p w14:paraId="701509AF"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Isenção de Imposto de Importação e IPI (iii)</w:t>
            </w:r>
          </w:p>
        </w:tc>
        <w:tc>
          <w:tcPr>
            <w:tcW w:w="900" w:type="pct"/>
            <w:vAlign w:val="center"/>
          </w:tcPr>
          <w:p w14:paraId="72216D51"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24.430</w:t>
            </w:r>
          </w:p>
        </w:tc>
        <w:tc>
          <w:tcPr>
            <w:tcW w:w="900" w:type="pct"/>
            <w:vAlign w:val="center"/>
            <w:hideMark/>
          </w:tcPr>
          <w:p w14:paraId="076BA840"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24.259</w:t>
            </w:r>
          </w:p>
        </w:tc>
      </w:tr>
      <w:tr w:rsidR="00EB32AB" w:rsidRPr="008534AB" w14:paraId="0B0792E0" w14:textId="77777777" w:rsidTr="00EB32AB">
        <w:trPr>
          <w:trHeight w:val="232"/>
        </w:trPr>
        <w:tc>
          <w:tcPr>
            <w:tcW w:w="3200" w:type="pct"/>
            <w:vAlign w:val="center"/>
            <w:hideMark/>
          </w:tcPr>
          <w:p w14:paraId="69FFE1E4"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Cobrança de Tributos Receita Federal (RFB)</w:t>
            </w:r>
          </w:p>
        </w:tc>
        <w:tc>
          <w:tcPr>
            <w:tcW w:w="900" w:type="pct"/>
            <w:vAlign w:val="center"/>
          </w:tcPr>
          <w:p w14:paraId="1889E57C"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49</w:t>
            </w:r>
          </w:p>
        </w:tc>
        <w:tc>
          <w:tcPr>
            <w:tcW w:w="900" w:type="pct"/>
            <w:vAlign w:val="center"/>
            <w:hideMark/>
          </w:tcPr>
          <w:p w14:paraId="7D3590F9"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49</w:t>
            </w:r>
          </w:p>
        </w:tc>
      </w:tr>
      <w:tr w:rsidR="00EB32AB" w:rsidRPr="008534AB" w14:paraId="3483FBFB" w14:textId="77777777" w:rsidTr="00EB32AB">
        <w:trPr>
          <w:trHeight w:val="232"/>
        </w:trPr>
        <w:tc>
          <w:tcPr>
            <w:tcW w:w="3200" w:type="pct"/>
            <w:vAlign w:val="center"/>
            <w:hideMark/>
          </w:tcPr>
          <w:p w14:paraId="3C9A5CF0" w14:textId="77777777" w:rsidR="00EB32AB" w:rsidRPr="008534AB" w:rsidRDefault="00EB32AB" w:rsidP="006A54CD">
            <w:pPr>
              <w:rPr>
                <w:rFonts w:ascii="Arial" w:hAnsi="Arial" w:cs="Arial"/>
                <w:color w:val="000000"/>
                <w:sz w:val="18"/>
                <w:szCs w:val="18"/>
              </w:rPr>
            </w:pPr>
            <w:r w:rsidRPr="008534AB">
              <w:rPr>
                <w:rFonts w:ascii="Arial" w:hAnsi="Arial" w:cs="Arial"/>
                <w:color w:val="000000"/>
                <w:sz w:val="18"/>
                <w:szCs w:val="18"/>
              </w:rPr>
              <w:t xml:space="preserve">Diversas Origens </w:t>
            </w:r>
          </w:p>
        </w:tc>
        <w:tc>
          <w:tcPr>
            <w:tcW w:w="900" w:type="pct"/>
            <w:vAlign w:val="center"/>
          </w:tcPr>
          <w:p w14:paraId="08EC3A8F"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1.933</w:t>
            </w:r>
          </w:p>
        </w:tc>
        <w:tc>
          <w:tcPr>
            <w:tcW w:w="900" w:type="pct"/>
            <w:vAlign w:val="center"/>
            <w:hideMark/>
          </w:tcPr>
          <w:p w14:paraId="698F2B7B" w14:textId="77777777" w:rsidR="00EB32AB" w:rsidRPr="008534AB" w:rsidRDefault="00EB32AB" w:rsidP="006A54CD">
            <w:pPr>
              <w:jc w:val="right"/>
              <w:rPr>
                <w:rFonts w:ascii="Arial" w:hAnsi="Arial" w:cs="Arial"/>
                <w:color w:val="000000"/>
                <w:sz w:val="18"/>
                <w:szCs w:val="18"/>
              </w:rPr>
            </w:pPr>
            <w:r w:rsidRPr="008534AB">
              <w:rPr>
                <w:rFonts w:ascii="Arial" w:hAnsi="Arial" w:cs="Arial"/>
                <w:color w:val="000000"/>
                <w:sz w:val="18"/>
                <w:szCs w:val="18"/>
              </w:rPr>
              <w:t>1.828</w:t>
            </w:r>
          </w:p>
        </w:tc>
      </w:tr>
      <w:tr w:rsidR="00EB32AB" w:rsidRPr="008534AB" w14:paraId="6770E8D4" w14:textId="77777777" w:rsidTr="00EB32AB">
        <w:trPr>
          <w:trHeight w:val="232"/>
        </w:trPr>
        <w:tc>
          <w:tcPr>
            <w:tcW w:w="3200" w:type="pct"/>
            <w:vAlign w:val="center"/>
            <w:hideMark/>
          </w:tcPr>
          <w:p w14:paraId="46668E0C"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 xml:space="preserve">Total </w:t>
            </w:r>
          </w:p>
        </w:tc>
        <w:tc>
          <w:tcPr>
            <w:tcW w:w="900" w:type="pct"/>
            <w:vAlign w:val="center"/>
          </w:tcPr>
          <w:p w14:paraId="67642F3C" w14:textId="77777777" w:rsidR="00EB32AB" w:rsidRPr="008534AB" w:rsidRDefault="00EB32AB" w:rsidP="006A54CD">
            <w:pPr>
              <w:jc w:val="right"/>
              <w:rPr>
                <w:rFonts w:ascii="Arial" w:hAnsi="Arial" w:cs="Arial"/>
                <w:b/>
                <w:bCs/>
                <w:color w:val="000000"/>
                <w:sz w:val="18"/>
                <w:szCs w:val="18"/>
              </w:rPr>
            </w:pPr>
            <w:r w:rsidRPr="008534AB">
              <w:rPr>
                <w:rFonts w:ascii="Arial" w:hAnsi="Arial" w:cs="Arial"/>
                <w:b/>
                <w:bCs/>
                <w:color w:val="000000"/>
                <w:sz w:val="18"/>
                <w:szCs w:val="18"/>
              </w:rPr>
              <w:t>26.412</w:t>
            </w:r>
          </w:p>
        </w:tc>
        <w:tc>
          <w:tcPr>
            <w:tcW w:w="900" w:type="pct"/>
            <w:vAlign w:val="center"/>
            <w:hideMark/>
          </w:tcPr>
          <w:p w14:paraId="0974F894" w14:textId="77777777" w:rsidR="00EB32AB" w:rsidRPr="008534AB" w:rsidRDefault="00EB32AB" w:rsidP="006A54CD">
            <w:pPr>
              <w:jc w:val="right"/>
              <w:rPr>
                <w:rFonts w:ascii="Arial" w:hAnsi="Arial" w:cs="Arial"/>
                <w:b/>
                <w:bCs/>
                <w:color w:val="000000"/>
                <w:sz w:val="18"/>
                <w:szCs w:val="18"/>
              </w:rPr>
            </w:pPr>
            <w:r w:rsidRPr="008534AB">
              <w:rPr>
                <w:rFonts w:ascii="Arial" w:hAnsi="Arial" w:cs="Arial"/>
                <w:b/>
                <w:bCs/>
                <w:color w:val="000000"/>
                <w:sz w:val="18"/>
                <w:szCs w:val="18"/>
              </w:rPr>
              <w:t>26.136</w:t>
            </w:r>
          </w:p>
        </w:tc>
      </w:tr>
      <w:tr w:rsidR="00EB32AB" w:rsidRPr="008534AB" w14:paraId="73053E3E" w14:textId="77777777" w:rsidTr="00EB32AB">
        <w:trPr>
          <w:trHeight w:val="232"/>
        </w:trPr>
        <w:tc>
          <w:tcPr>
            <w:tcW w:w="3200" w:type="pct"/>
            <w:vAlign w:val="center"/>
            <w:hideMark/>
          </w:tcPr>
          <w:p w14:paraId="71A10D84"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 </w:t>
            </w:r>
          </w:p>
        </w:tc>
        <w:tc>
          <w:tcPr>
            <w:tcW w:w="900" w:type="pct"/>
            <w:vAlign w:val="center"/>
          </w:tcPr>
          <w:p w14:paraId="4A906E7F" w14:textId="77777777" w:rsidR="00EB32AB" w:rsidRPr="008534AB" w:rsidRDefault="00EB32AB" w:rsidP="006A54CD">
            <w:pPr>
              <w:jc w:val="right"/>
              <w:rPr>
                <w:rFonts w:ascii="Arial" w:hAnsi="Arial" w:cs="Arial"/>
                <w:b/>
                <w:bCs/>
                <w:color w:val="000000"/>
                <w:sz w:val="18"/>
                <w:szCs w:val="18"/>
              </w:rPr>
            </w:pPr>
          </w:p>
        </w:tc>
        <w:tc>
          <w:tcPr>
            <w:tcW w:w="900" w:type="pct"/>
            <w:vAlign w:val="center"/>
            <w:hideMark/>
          </w:tcPr>
          <w:p w14:paraId="21EBED8F" w14:textId="77777777" w:rsidR="00EB32AB" w:rsidRPr="008534AB" w:rsidRDefault="00EB32AB" w:rsidP="006A54CD">
            <w:pPr>
              <w:jc w:val="right"/>
              <w:rPr>
                <w:rFonts w:ascii="Arial" w:hAnsi="Arial" w:cs="Arial"/>
                <w:b/>
                <w:bCs/>
                <w:color w:val="000000"/>
                <w:sz w:val="18"/>
                <w:szCs w:val="18"/>
              </w:rPr>
            </w:pPr>
          </w:p>
        </w:tc>
      </w:tr>
      <w:tr w:rsidR="00EB32AB" w:rsidRPr="0009687D" w14:paraId="1E8C2E66" w14:textId="77777777" w:rsidTr="00EB32AB">
        <w:trPr>
          <w:trHeight w:val="232"/>
        </w:trPr>
        <w:tc>
          <w:tcPr>
            <w:tcW w:w="3200" w:type="pct"/>
            <w:vAlign w:val="center"/>
            <w:hideMark/>
          </w:tcPr>
          <w:p w14:paraId="2B31D2AD" w14:textId="77777777" w:rsidR="00EB32AB" w:rsidRPr="008534AB" w:rsidRDefault="00EB32AB" w:rsidP="006A54CD">
            <w:pPr>
              <w:rPr>
                <w:rFonts w:ascii="Arial" w:hAnsi="Arial" w:cs="Arial"/>
                <w:b/>
                <w:bCs/>
                <w:color w:val="000000"/>
                <w:sz w:val="18"/>
                <w:szCs w:val="18"/>
              </w:rPr>
            </w:pPr>
            <w:r w:rsidRPr="008534AB">
              <w:rPr>
                <w:rFonts w:ascii="Arial" w:hAnsi="Arial" w:cs="Arial"/>
                <w:b/>
                <w:bCs/>
                <w:color w:val="000000"/>
                <w:sz w:val="18"/>
                <w:szCs w:val="18"/>
              </w:rPr>
              <w:t>Total Geral</w:t>
            </w:r>
          </w:p>
        </w:tc>
        <w:tc>
          <w:tcPr>
            <w:tcW w:w="900" w:type="pct"/>
            <w:vAlign w:val="center"/>
          </w:tcPr>
          <w:p w14:paraId="316BFDF5" w14:textId="77777777" w:rsidR="00EB32AB" w:rsidRPr="008534AB" w:rsidRDefault="00EB32AB" w:rsidP="006A54CD">
            <w:pPr>
              <w:jc w:val="right"/>
              <w:rPr>
                <w:rFonts w:ascii="Arial" w:hAnsi="Arial" w:cs="Arial"/>
                <w:b/>
                <w:bCs/>
                <w:color w:val="000000"/>
                <w:sz w:val="18"/>
                <w:szCs w:val="18"/>
              </w:rPr>
            </w:pPr>
            <w:r w:rsidRPr="008534AB">
              <w:rPr>
                <w:rFonts w:ascii="Arial" w:hAnsi="Arial" w:cs="Arial"/>
                <w:b/>
                <w:bCs/>
                <w:color w:val="000000"/>
                <w:sz w:val="18"/>
                <w:szCs w:val="18"/>
              </w:rPr>
              <w:t>140.527</w:t>
            </w:r>
          </w:p>
        </w:tc>
        <w:tc>
          <w:tcPr>
            <w:tcW w:w="900" w:type="pct"/>
            <w:vAlign w:val="center"/>
            <w:hideMark/>
          </w:tcPr>
          <w:p w14:paraId="16FA61F2" w14:textId="77777777" w:rsidR="00EB32AB" w:rsidRPr="0009687D" w:rsidRDefault="00EB32AB" w:rsidP="006A54CD">
            <w:pPr>
              <w:jc w:val="right"/>
              <w:rPr>
                <w:rFonts w:ascii="Arial" w:hAnsi="Arial" w:cs="Arial"/>
                <w:b/>
                <w:bCs/>
                <w:color w:val="000000"/>
                <w:sz w:val="18"/>
                <w:szCs w:val="18"/>
              </w:rPr>
            </w:pPr>
            <w:r w:rsidRPr="008534AB">
              <w:rPr>
                <w:rFonts w:ascii="Arial" w:hAnsi="Arial" w:cs="Arial"/>
                <w:b/>
                <w:bCs/>
                <w:color w:val="000000"/>
                <w:sz w:val="18"/>
                <w:szCs w:val="18"/>
              </w:rPr>
              <w:t>136.453</w:t>
            </w:r>
          </w:p>
        </w:tc>
      </w:tr>
    </w:tbl>
    <w:p w14:paraId="360CBA84" w14:textId="77777777" w:rsidR="00EB32AB" w:rsidRDefault="00EB32AB" w:rsidP="00597FE5">
      <w:pPr>
        <w:spacing w:line="276" w:lineRule="auto"/>
        <w:jc w:val="both"/>
        <w:rPr>
          <w:rFonts w:ascii="Arial" w:hAnsi="Arial" w:cs="Arial"/>
          <w:sz w:val="22"/>
          <w:szCs w:val="22"/>
        </w:rPr>
      </w:pPr>
    </w:p>
    <w:bookmarkEnd w:id="38"/>
    <w:bookmarkEnd w:id="43"/>
    <w:p w14:paraId="5E9FC3C0" w14:textId="56723FAE" w:rsidR="00F1309A" w:rsidRPr="00CE532D" w:rsidRDefault="00F1309A" w:rsidP="009541E1">
      <w:pPr>
        <w:pStyle w:val="Ttulo2"/>
        <w:numPr>
          <w:ilvl w:val="2"/>
          <w:numId w:val="7"/>
        </w:numPr>
        <w:tabs>
          <w:tab w:val="clear" w:pos="284"/>
          <w:tab w:val="clear" w:pos="340"/>
        </w:tabs>
        <w:spacing w:before="0" w:after="0"/>
        <w:ind w:left="851" w:hanging="851"/>
        <w:jc w:val="both"/>
        <w:rPr>
          <w:rFonts w:ascii="Arial" w:hAnsi="Arial" w:cs="Arial"/>
        </w:rPr>
      </w:pPr>
      <w:r w:rsidRPr="00CE532D">
        <w:rPr>
          <w:rFonts w:ascii="Arial" w:hAnsi="Arial" w:cs="Arial"/>
        </w:rPr>
        <w:t>Situação dos principais processos:</w:t>
      </w:r>
    </w:p>
    <w:p w14:paraId="322579D0" w14:textId="77777777" w:rsidR="00F1309A" w:rsidRPr="00CE532D" w:rsidRDefault="00F1309A" w:rsidP="00F1309A"/>
    <w:p w14:paraId="77894210" w14:textId="0DBAEFE0" w:rsidR="00F134A7" w:rsidRPr="00CE532D" w:rsidRDefault="00F134A7" w:rsidP="00F134A7">
      <w:pPr>
        <w:spacing w:line="276" w:lineRule="auto"/>
        <w:jc w:val="both"/>
        <w:rPr>
          <w:rFonts w:ascii="Arial" w:hAnsi="Arial" w:cs="Arial"/>
          <w:b/>
          <w:bCs/>
          <w:sz w:val="22"/>
          <w:szCs w:val="22"/>
        </w:rPr>
      </w:pPr>
      <w:r w:rsidRPr="00CE532D">
        <w:rPr>
          <w:rFonts w:ascii="Arial" w:hAnsi="Arial" w:cs="Arial"/>
          <w:b/>
          <w:bCs/>
          <w:sz w:val="22"/>
          <w:szCs w:val="22"/>
        </w:rPr>
        <w:t>i) Processo de cisão Sistema Telebras</w:t>
      </w:r>
    </w:p>
    <w:p w14:paraId="67B853B9" w14:textId="77777777" w:rsidR="00F134A7" w:rsidRPr="00CE532D" w:rsidRDefault="00F134A7" w:rsidP="00F134A7">
      <w:pPr>
        <w:spacing w:line="276" w:lineRule="auto"/>
        <w:jc w:val="both"/>
        <w:rPr>
          <w:rFonts w:ascii="Arial" w:hAnsi="Arial" w:cs="Arial"/>
          <w:sz w:val="12"/>
          <w:szCs w:val="12"/>
        </w:rPr>
      </w:pPr>
    </w:p>
    <w:p w14:paraId="2E2AC695"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 xml:space="preserve">A origem desse litígio ocorreu quando do processo de cisão do Sistema Telebras. A Telefônica, sucessora da Telesp, alega que os valores relativos aos depósitos judiciais registrados como ativos foram destinados à Telesp na cisão dos ativos e passivos mediante certas condições. Durante os anos de 1998 a 2008 esses depósitos foram revertidos (creditados) em favor da Telebras, devido ao fato de </w:t>
      </w:r>
      <w:r w:rsidRPr="00674F98">
        <w:rPr>
          <w:rFonts w:ascii="Arial" w:hAnsi="Arial" w:cs="Arial"/>
          <w:sz w:val="22"/>
          <w:szCs w:val="22"/>
        </w:rPr>
        <w:t>esta ter </w:t>
      </w:r>
      <w:r w:rsidRPr="00674F98">
        <w:rPr>
          <w:rFonts w:ascii="Arial" w:hAnsi="Arial" w:cs="Arial"/>
          <w:color w:val="000000"/>
          <w:sz w:val="22"/>
          <w:szCs w:val="22"/>
        </w:rPr>
        <w:t>permanecido com a titularidade das contas. Essa controvérsia, atualmente, é objeto de debate em dois processos distintos, sendo certo que o terceiro processo que havia relacionado ao mesmo fato foi encerrado com provimento totalmente favorável à Telebras.</w:t>
      </w:r>
    </w:p>
    <w:p w14:paraId="3A111B98"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 </w:t>
      </w:r>
    </w:p>
    <w:p w14:paraId="3D5C6B6A" w14:textId="77777777"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A Companhia, através da opinião dos seus advogados, reconhece que o risco de perda para esses processos é possível, assim, tal valor não está reconhecido na contabilidade da Telebras. O motivo para a classificação como possível deve-se ao fato de que a Companhia obteve decisão favorável em duas instâncias, incluindo sentenças de primeiro grau proferidas por juízos do Tribunal de Justiça do Estado de São Paulo e Tribunal de Justiça do Distrito Federal e Territórios, em 2019.</w:t>
      </w:r>
    </w:p>
    <w:p w14:paraId="7346F66D" w14:textId="29396364" w:rsidR="005774BA" w:rsidRDefault="005774BA" w:rsidP="00674F98">
      <w:pPr>
        <w:spacing w:line="276" w:lineRule="atLeast"/>
        <w:jc w:val="both"/>
        <w:rPr>
          <w:rFonts w:ascii="Arial" w:hAnsi="Arial" w:cs="Arial"/>
          <w:color w:val="000000"/>
          <w:sz w:val="22"/>
          <w:szCs w:val="22"/>
        </w:rPr>
      </w:pPr>
      <w:r w:rsidRPr="00674F98">
        <w:rPr>
          <w:rFonts w:ascii="Arial" w:hAnsi="Arial" w:cs="Arial"/>
          <w:color w:val="000000"/>
          <w:sz w:val="22"/>
          <w:szCs w:val="22"/>
        </w:rPr>
        <w:lastRenderedPageBreak/>
        <w:t> Ainda, no ano de 2019, a sentença proferida pelo Tribunal de Justiça do Distrito Federal e Territórios foi anulada, mas em função de vício de índole processual apenas. A matéria estava sob apreciação do Superior Tribunal de Justiça, em sede de agravo interno, que teve provimento negado pelo Superior Tribunal de Justiça. O processo retornou ao juízo de origem no ano de 2020 e aguarda andamento.</w:t>
      </w:r>
    </w:p>
    <w:p w14:paraId="2506A0A6" w14:textId="77777777" w:rsidR="00663BD6" w:rsidRPr="00674F98" w:rsidRDefault="00663BD6" w:rsidP="00674F98">
      <w:pPr>
        <w:spacing w:line="276" w:lineRule="atLeast"/>
        <w:jc w:val="both"/>
        <w:rPr>
          <w:rFonts w:ascii="Calibri" w:hAnsi="Calibri" w:cs="Calibri"/>
          <w:color w:val="000000"/>
          <w:sz w:val="22"/>
          <w:szCs w:val="22"/>
        </w:rPr>
      </w:pPr>
    </w:p>
    <w:p w14:paraId="404DAB37" w14:textId="31166383" w:rsidR="005774BA" w:rsidRPr="00674F98" w:rsidRDefault="005774BA" w:rsidP="00674F98">
      <w:pPr>
        <w:spacing w:line="276" w:lineRule="atLeast"/>
        <w:jc w:val="both"/>
        <w:rPr>
          <w:rFonts w:ascii="Calibri" w:hAnsi="Calibri" w:cs="Calibri"/>
          <w:color w:val="000000"/>
          <w:sz w:val="22"/>
          <w:szCs w:val="22"/>
        </w:rPr>
      </w:pPr>
      <w:r w:rsidRPr="00674F98">
        <w:rPr>
          <w:rFonts w:ascii="Arial" w:hAnsi="Arial" w:cs="Arial"/>
          <w:color w:val="000000"/>
          <w:sz w:val="22"/>
          <w:szCs w:val="22"/>
        </w:rPr>
        <w:t> Quanto ao processo do Tribunal de Justiça do Estado de São Paulo, o Superior Tribunal de Justiça determinou o retorno dos autos ao primeiro grau de jurisdição, a fim de que reaprecie o termo inicial da prescrição, mantendo a incidência do prazo trienal. Haverá novo julgamento apenas para apreciação do termo inicial da contagem.</w:t>
      </w:r>
    </w:p>
    <w:p w14:paraId="27A40CC1" w14:textId="6D10FE85" w:rsidR="00891950" w:rsidRPr="00674F98" w:rsidRDefault="003621C6" w:rsidP="00674F98">
      <w:pPr>
        <w:spacing w:line="276" w:lineRule="auto"/>
        <w:jc w:val="both"/>
        <w:rPr>
          <w:rFonts w:ascii="Arial" w:hAnsi="Arial" w:cs="Arial"/>
          <w:sz w:val="22"/>
          <w:szCs w:val="22"/>
        </w:rPr>
      </w:pPr>
      <w:r w:rsidRPr="00674F98">
        <w:rPr>
          <w:rFonts w:ascii="Arial" w:hAnsi="Arial" w:cs="Arial"/>
          <w:sz w:val="22"/>
          <w:szCs w:val="22"/>
        </w:rPr>
        <w:t> </w:t>
      </w:r>
    </w:p>
    <w:p w14:paraId="53B78D47" w14:textId="510F7ED0" w:rsidR="003621C6" w:rsidRPr="00674F98" w:rsidRDefault="003621C6" w:rsidP="003621C6">
      <w:pPr>
        <w:spacing w:line="276" w:lineRule="auto"/>
        <w:jc w:val="both"/>
        <w:rPr>
          <w:rFonts w:ascii="Arial" w:hAnsi="Arial" w:cs="Arial"/>
          <w:b/>
          <w:sz w:val="22"/>
          <w:szCs w:val="22"/>
        </w:rPr>
      </w:pPr>
      <w:r w:rsidRPr="00674F98">
        <w:rPr>
          <w:rFonts w:ascii="Arial" w:hAnsi="Arial" w:cs="Arial"/>
          <w:b/>
          <w:sz w:val="22"/>
          <w:szCs w:val="22"/>
        </w:rPr>
        <w:t>ii) Caixa de Previdência dos Funcionários do Banco do Brasil – PREVI</w:t>
      </w:r>
    </w:p>
    <w:p w14:paraId="43B3CBFD" w14:textId="77777777" w:rsidR="003621C6" w:rsidRPr="00674F98" w:rsidRDefault="003621C6" w:rsidP="003621C6">
      <w:pPr>
        <w:spacing w:line="276" w:lineRule="auto"/>
        <w:jc w:val="both"/>
        <w:rPr>
          <w:rFonts w:ascii="Arial" w:hAnsi="Arial" w:cs="Arial"/>
          <w:sz w:val="22"/>
          <w:szCs w:val="22"/>
        </w:rPr>
      </w:pPr>
      <w:r w:rsidRPr="00674F98">
        <w:rPr>
          <w:rFonts w:ascii="Arial" w:hAnsi="Arial" w:cs="Arial"/>
          <w:sz w:val="22"/>
          <w:szCs w:val="22"/>
        </w:rPr>
        <w:t> </w:t>
      </w:r>
    </w:p>
    <w:p w14:paraId="3486AF80" w14:textId="1B9D4B2A" w:rsidR="00845C1D" w:rsidRDefault="00F5614E" w:rsidP="00F5614E">
      <w:pPr>
        <w:spacing w:line="276" w:lineRule="auto"/>
        <w:jc w:val="both"/>
        <w:rPr>
          <w:rFonts w:ascii="Arial" w:hAnsi="Arial" w:cs="Arial"/>
          <w:sz w:val="22"/>
          <w:szCs w:val="22"/>
          <w:shd w:val="clear" w:color="auto" w:fill="FFFFFF"/>
        </w:rPr>
      </w:pPr>
      <w:r w:rsidRPr="00F5614E">
        <w:rPr>
          <w:rFonts w:ascii="Arial" w:hAnsi="Arial" w:cs="Arial"/>
          <w:sz w:val="22"/>
          <w:szCs w:val="22"/>
          <w:shd w:val="clear" w:color="auto" w:fill="FFFFFF"/>
        </w:rPr>
        <w:t>Refere-se à anulação da forma de apuração dos dividendos das ações preferenciais determinada na Assembleia Geral Ordinária, de 27 de abril de 1995, para distribuição de acordo com o Parecer CVM Orientação nº 16/88. O valor devido a título de dividendos foi objeto de acordo homologado judicialmente, em que a Telebras impugnou o remanescente. Ratifica-se a classificação da expectativa de êxito do valor controverso como possível, dadas as inconsistências existentes no cálculo apresentado pela Previ. Atualmente, a Telebras busca o reconhecimento pela perícia judicial sobre a metodologia de cálculo por ela utilizada. Em 27 de novembro de 2023, o Juízo determinou nova intimação da perita, Edna Maria de Souza Brito, que informou não haver informações nos autos suficientes para a elaboração do laudo pericial. Requereu, então, autorização para que o laudo pericial seja feito por arbitramento. O Juízo determinou a intimação das partes para manifestação. A Telebras apresentou tempestivamente sua manifestação, requerendo, em síntese, o indeferimento do pedido realizado pela perita. A PREVI manifestou-se requerendo a fixação do valor a partir de prova documental constante dos autos. O juiz proferiu nova decisão, na qual determinou a oitiva da Contadoria Judicial para que esclareça: (i) se é possível solucionar a controvérsia com relação ao valor a partir da prova atualmente constante dos autos; (ii) se será necessária nova perícia contábil; e (iii) se a liquidação pode ser realizada por arbitramento ou por cálculo contábil, consideradas as limitações documentais existentes."</w:t>
      </w:r>
    </w:p>
    <w:p w14:paraId="0DB8B9E7" w14:textId="77777777" w:rsidR="00352F14" w:rsidRDefault="00352F14" w:rsidP="00F5614E">
      <w:pPr>
        <w:spacing w:line="276" w:lineRule="auto"/>
        <w:jc w:val="both"/>
        <w:rPr>
          <w:rFonts w:ascii="Arial" w:hAnsi="Arial" w:cs="Arial"/>
          <w:sz w:val="22"/>
          <w:szCs w:val="22"/>
          <w:shd w:val="clear" w:color="auto" w:fill="FFFFFF"/>
        </w:rPr>
      </w:pPr>
    </w:p>
    <w:p w14:paraId="3FAE41BE" w14:textId="4FDF3881" w:rsidR="00F134A7" w:rsidRPr="00674F98" w:rsidRDefault="00F134A7" w:rsidP="00F134A7">
      <w:pPr>
        <w:spacing w:line="276" w:lineRule="auto"/>
        <w:jc w:val="both"/>
        <w:rPr>
          <w:rFonts w:ascii="Arial" w:hAnsi="Arial" w:cs="Arial"/>
          <w:b/>
          <w:bCs/>
          <w:sz w:val="22"/>
          <w:szCs w:val="22"/>
        </w:rPr>
      </w:pPr>
      <w:r w:rsidRPr="00674F98">
        <w:rPr>
          <w:rFonts w:ascii="Arial" w:hAnsi="Arial" w:cs="Arial"/>
          <w:b/>
          <w:bCs/>
          <w:sz w:val="22"/>
          <w:szCs w:val="22"/>
        </w:rPr>
        <w:t>iii) Isenção de Imposto de Importação e IPI</w:t>
      </w:r>
    </w:p>
    <w:p w14:paraId="1B1CE0A8" w14:textId="77777777" w:rsidR="00F134A7" w:rsidRPr="00674F98" w:rsidRDefault="00F134A7" w:rsidP="00F134A7">
      <w:pPr>
        <w:spacing w:line="276" w:lineRule="auto"/>
        <w:jc w:val="both"/>
        <w:rPr>
          <w:rFonts w:ascii="Arial" w:hAnsi="Arial" w:cs="Arial"/>
          <w:sz w:val="16"/>
          <w:szCs w:val="16"/>
        </w:rPr>
      </w:pPr>
    </w:p>
    <w:p w14:paraId="52C154A9" w14:textId="77777777" w:rsidR="0032717E" w:rsidRPr="00674F98" w:rsidRDefault="0032717E" w:rsidP="0032717E">
      <w:pPr>
        <w:shd w:val="clear" w:color="auto" w:fill="FFFFFF"/>
        <w:spacing w:line="276" w:lineRule="atLeast"/>
        <w:jc w:val="both"/>
        <w:rPr>
          <w:color w:val="000000"/>
        </w:rPr>
      </w:pPr>
      <w:r w:rsidRPr="00674F98">
        <w:rPr>
          <w:rFonts w:ascii="Arial" w:hAnsi="Arial" w:cs="Arial"/>
          <w:color w:val="000000"/>
          <w:sz w:val="22"/>
          <w:szCs w:val="22"/>
        </w:rPr>
        <w:t>Trata-se de autuação fiscal impondo obrigação tributária solidária à Telebras e ao Centro de Pesquisa e Desenvolvimento em Telecomunicações (Fundação CPQD) de pagar tributos (imposto de importação e IPI respectivo) incidentes sobre esses bens importados à época em que a Fundação CPQD era órgão interno da Telebras.</w:t>
      </w:r>
    </w:p>
    <w:p w14:paraId="5DD9C05E" w14:textId="77777777" w:rsidR="0032717E" w:rsidRPr="00674F98" w:rsidRDefault="0032717E" w:rsidP="0032717E">
      <w:pPr>
        <w:shd w:val="clear" w:color="auto" w:fill="FFFFFF"/>
        <w:spacing w:line="276" w:lineRule="atLeast"/>
        <w:jc w:val="both"/>
        <w:rPr>
          <w:color w:val="000000"/>
        </w:rPr>
      </w:pPr>
      <w:r w:rsidRPr="00674F98">
        <w:rPr>
          <w:rFonts w:ascii="Arial" w:hAnsi="Arial" w:cs="Arial"/>
          <w:color w:val="000000"/>
          <w:sz w:val="22"/>
          <w:szCs w:val="22"/>
        </w:rPr>
        <w:t> </w:t>
      </w:r>
    </w:p>
    <w:p w14:paraId="05B5C259" w14:textId="5647EB02" w:rsidR="0032717E" w:rsidRDefault="0032717E" w:rsidP="0032717E">
      <w:pPr>
        <w:shd w:val="clear" w:color="auto" w:fill="FFFFFF"/>
        <w:spacing w:line="276" w:lineRule="atLeast"/>
        <w:jc w:val="both"/>
        <w:rPr>
          <w:rFonts w:ascii="Arial" w:hAnsi="Arial" w:cs="Arial"/>
          <w:color w:val="000000"/>
          <w:sz w:val="22"/>
          <w:szCs w:val="22"/>
        </w:rPr>
      </w:pPr>
      <w:r w:rsidRPr="00674F98">
        <w:rPr>
          <w:rFonts w:ascii="Arial" w:hAnsi="Arial" w:cs="Arial"/>
          <w:color w:val="000000"/>
          <w:sz w:val="22"/>
          <w:szCs w:val="22"/>
        </w:rPr>
        <w:t>Situação atual: Há recurso pendente de julgamento no Conselho Administrativo de Recursos Fiscais (CARF) que impede a exigibilidade dos tributos. A autuação fiscal considerou</w:t>
      </w:r>
      <w:r w:rsidRPr="0032717E">
        <w:rPr>
          <w:rFonts w:ascii="Arial" w:hAnsi="Arial" w:cs="Arial"/>
          <w:color w:val="000000"/>
          <w:sz w:val="22"/>
          <w:szCs w:val="22"/>
        </w:rPr>
        <w:t xml:space="preserve"> que a Telebras transferiu, em desacordo com a legislação tributária, à Fundação CPQD bens que foram importados com isenção de II e IPI, quando a Fundação deixou de ser órgão interno da</w:t>
      </w:r>
      <w:r w:rsidRPr="0032717E">
        <w:rPr>
          <w:rFonts w:ascii="Arial" w:hAnsi="Arial" w:cs="Arial"/>
          <w:i/>
          <w:iCs/>
          <w:color w:val="000000"/>
          <w:sz w:val="22"/>
          <w:szCs w:val="22"/>
        </w:rPr>
        <w:t> holding</w:t>
      </w:r>
      <w:r w:rsidRPr="0032717E">
        <w:rPr>
          <w:rFonts w:ascii="Arial" w:hAnsi="Arial" w:cs="Arial"/>
          <w:color w:val="000000"/>
          <w:sz w:val="22"/>
          <w:szCs w:val="22"/>
        </w:rPr>
        <w:t> Telebras e foi constituída como pessoa jurídica com personalidade jurídica própria. Para a autoridade fazendária, a transferência desses bens em desacordo com a legislação tributária impõe a exigência de tributos que, no momento da importação, eram acobertados por isenção. </w:t>
      </w:r>
    </w:p>
    <w:p w14:paraId="2F58F973" w14:textId="77777777" w:rsidR="00352F14" w:rsidRPr="0032717E" w:rsidRDefault="00352F14" w:rsidP="0032717E">
      <w:pPr>
        <w:shd w:val="clear" w:color="auto" w:fill="FFFFFF"/>
        <w:spacing w:line="276" w:lineRule="atLeast"/>
        <w:jc w:val="both"/>
        <w:rPr>
          <w:color w:val="000000"/>
        </w:rPr>
      </w:pPr>
    </w:p>
    <w:p w14:paraId="7ECF20E4" w14:textId="77777777" w:rsidR="006E228E" w:rsidRPr="002A36CE" w:rsidRDefault="006E228E"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Pr>
          <w:rFonts w:ascii="Arial" w:hAnsi="Arial" w:cs="Arial"/>
        </w:rPr>
        <w:lastRenderedPageBreak/>
        <w:t>DECISÃO DO STF – Eficácia da Coisa Julgada em Matéria Tributária</w:t>
      </w:r>
    </w:p>
    <w:p w14:paraId="6B2DD8F7" w14:textId="77777777" w:rsidR="006E228E" w:rsidRDefault="006E228E" w:rsidP="006E228E">
      <w:pPr>
        <w:jc w:val="both"/>
        <w:rPr>
          <w:rFonts w:ascii="Arial" w:hAnsi="Arial" w:cs="Arial"/>
          <w:sz w:val="22"/>
          <w:szCs w:val="22"/>
        </w:rPr>
      </w:pPr>
    </w:p>
    <w:p w14:paraId="58E96B99" w14:textId="0567C95A" w:rsidR="006E228E" w:rsidRPr="005848A0" w:rsidRDefault="006E228E" w:rsidP="006E228E">
      <w:pPr>
        <w:spacing w:line="276" w:lineRule="auto"/>
        <w:jc w:val="both"/>
        <w:rPr>
          <w:rFonts w:ascii="Arial" w:hAnsi="Arial" w:cs="Arial"/>
          <w:sz w:val="22"/>
          <w:szCs w:val="22"/>
        </w:rPr>
      </w:pPr>
      <w:r w:rsidRPr="005848A0">
        <w:rPr>
          <w:rFonts w:ascii="Arial" w:hAnsi="Arial" w:cs="Arial"/>
          <w:sz w:val="22"/>
          <w:szCs w:val="22"/>
        </w:rPr>
        <w:t>Em 08 de fevereiro de 2023, o Supremo Tribunal Federal no Brasil concluiu o julgamento relativos aos Temas 881 e 885, que discutem os efeitos da coisa julgada. Com relação ao tema, a Companhia não é parte em nenhum processo em decorrência do qual um tributo não esteja sendo recolhido em razão de decisão passada transitada em julgado</w:t>
      </w:r>
      <w:r w:rsidR="000214FE">
        <w:rPr>
          <w:rFonts w:ascii="Arial" w:hAnsi="Arial" w:cs="Arial"/>
          <w:sz w:val="22"/>
          <w:szCs w:val="22"/>
        </w:rPr>
        <w:t>.</w:t>
      </w:r>
      <w:r w:rsidRPr="005848A0">
        <w:rPr>
          <w:rFonts w:ascii="Arial" w:hAnsi="Arial" w:cs="Arial"/>
          <w:sz w:val="22"/>
          <w:szCs w:val="22"/>
        </w:rPr>
        <w:t xml:space="preserve"> </w:t>
      </w:r>
      <w:r w:rsidR="000214FE">
        <w:rPr>
          <w:rFonts w:ascii="Arial" w:hAnsi="Arial" w:cs="Arial"/>
          <w:sz w:val="22"/>
          <w:szCs w:val="22"/>
        </w:rPr>
        <w:t>P</w:t>
      </w:r>
      <w:r w:rsidRPr="005848A0">
        <w:rPr>
          <w:rFonts w:ascii="Arial" w:hAnsi="Arial" w:cs="Arial"/>
          <w:sz w:val="22"/>
          <w:szCs w:val="22"/>
        </w:rPr>
        <w:t>ortanto, a Companhia não terá nenhum ajuste material de provisão em função das decisões proferidas no dia 08 de fevereiro de 2023.</w:t>
      </w:r>
    </w:p>
    <w:p w14:paraId="0DD17655" w14:textId="77777777" w:rsidR="00E614A9" w:rsidRPr="00BA7857" w:rsidRDefault="00E614A9" w:rsidP="00CD29AF">
      <w:pPr>
        <w:spacing w:line="276" w:lineRule="auto"/>
        <w:jc w:val="both"/>
        <w:rPr>
          <w:rFonts w:ascii="Arial" w:hAnsi="Arial" w:cs="Arial"/>
          <w:sz w:val="22"/>
          <w:szCs w:val="22"/>
        </w:rPr>
      </w:pPr>
    </w:p>
    <w:p w14:paraId="4EC597E7" w14:textId="699F17B7" w:rsidR="001A2823" w:rsidRPr="00A72226" w:rsidRDefault="001A2823"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50" w:name="_Toc491337757"/>
      <w:bookmarkStart w:id="51" w:name="_Toc3858800"/>
      <w:bookmarkEnd w:id="34"/>
      <w:bookmarkEnd w:id="39"/>
      <w:bookmarkEnd w:id="40"/>
      <w:bookmarkEnd w:id="41"/>
      <w:bookmarkEnd w:id="42"/>
      <w:bookmarkEnd w:id="45"/>
      <w:r w:rsidRPr="00A72226">
        <w:rPr>
          <w:rFonts w:ascii="Arial" w:hAnsi="Arial" w:cs="Arial"/>
        </w:rPr>
        <w:t>RECURSOS CAPITALIZÁVEIS</w:t>
      </w:r>
      <w:bookmarkEnd w:id="50"/>
      <w:r w:rsidR="005F52E8" w:rsidRPr="00A72226">
        <w:rPr>
          <w:rFonts w:ascii="Arial" w:hAnsi="Arial" w:cs="Arial"/>
        </w:rPr>
        <w:t xml:space="preserve"> </w:t>
      </w:r>
    </w:p>
    <w:p w14:paraId="175DBBB2" w14:textId="77777777" w:rsidR="004E0FEF" w:rsidRPr="00BB2034" w:rsidRDefault="004E0FEF" w:rsidP="004E0FEF">
      <w:pPr>
        <w:rPr>
          <w:sz w:val="14"/>
          <w:szCs w:val="14"/>
        </w:rPr>
      </w:pPr>
    </w:p>
    <w:p w14:paraId="0D615B01" w14:textId="3BFC79E5" w:rsidR="005D2858" w:rsidRPr="00FA6A99" w:rsidRDefault="00906069" w:rsidP="00597FE5">
      <w:pPr>
        <w:spacing w:line="276" w:lineRule="auto"/>
        <w:jc w:val="both"/>
        <w:rPr>
          <w:rFonts w:ascii="Arial" w:hAnsi="Arial" w:cs="Arial"/>
          <w:sz w:val="22"/>
          <w:szCs w:val="22"/>
        </w:rPr>
      </w:pPr>
      <w:r w:rsidRPr="00FA6A99">
        <w:rPr>
          <w:rFonts w:ascii="Arial" w:hAnsi="Arial" w:cs="Arial"/>
          <w:sz w:val="22"/>
          <w:szCs w:val="22"/>
        </w:rPr>
        <w:t>O</w:t>
      </w:r>
      <w:r w:rsidR="005D2858" w:rsidRPr="00FA6A99">
        <w:rPr>
          <w:rFonts w:ascii="Arial" w:hAnsi="Arial" w:cs="Arial"/>
          <w:sz w:val="22"/>
          <w:szCs w:val="22"/>
        </w:rPr>
        <w:t xml:space="preserve"> saldo </w:t>
      </w:r>
      <w:r w:rsidR="005D2858" w:rsidRPr="00034088">
        <w:rPr>
          <w:rFonts w:ascii="Arial" w:hAnsi="Arial" w:cs="Arial"/>
          <w:sz w:val="22"/>
          <w:szCs w:val="22"/>
        </w:rPr>
        <w:t xml:space="preserve">de R$ </w:t>
      </w:r>
      <w:r w:rsidR="004C2293">
        <w:rPr>
          <w:rFonts w:ascii="Arial" w:hAnsi="Arial" w:cs="Arial"/>
          <w:sz w:val="22"/>
          <w:szCs w:val="22"/>
        </w:rPr>
        <w:t>2.017.599</w:t>
      </w:r>
      <w:r w:rsidR="005E0CBE" w:rsidRPr="00034088">
        <w:rPr>
          <w:rFonts w:ascii="Arial" w:hAnsi="Arial" w:cs="Arial"/>
          <w:sz w:val="22"/>
          <w:szCs w:val="22"/>
        </w:rPr>
        <w:t xml:space="preserve"> </w:t>
      </w:r>
      <w:r w:rsidRPr="00034088">
        <w:rPr>
          <w:rFonts w:ascii="Arial" w:hAnsi="Arial" w:cs="Arial"/>
          <w:sz w:val="22"/>
          <w:szCs w:val="22"/>
        </w:rPr>
        <w:t>em</w:t>
      </w:r>
      <w:r w:rsidRPr="00FA6A99">
        <w:rPr>
          <w:rFonts w:ascii="Arial" w:hAnsi="Arial" w:cs="Arial"/>
          <w:sz w:val="22"/>
          <w:szCs w:val="22"/>
        </w:rPr>
        <w:t xml:space="preserve"> </w:t>
      </w:r>
      <w:r w:rsidR="00A723F7" w:rsidRPr="00FA6A99">
        <w:rPr>
          <w:rFonts w:ascii="Arial" w:hAnsi="Arial" w:cs="Arial"/>
          <w:sz w:val="22"/>
          <w:szCs w:val="22"/>
        </w:rPr>
        <w:t>3</w:t>
      </w:r>
      <w:r w:rsidR="002E4C1C">
        <w:rPr>
          <w:rFonts w:ascii="Arial" w:hAnsi="Arial" w:cs="Arial"/>
          <w:sz w:val="22"/>
          <w:szCs w:val="22"/>
        </w:rPr>
        <w:t>1</w:t>
      </w:r>
      <w:r w:rsidR="00A723F7" w:rsidRPr="00FA6A99">
        <w:rPr>
          <w:rFonts w:ascii="Arial" w:hAnsi="Arial" w:cs="Arial"/>
          <w:sz w:val="22"/>
          <w:szCs w:val="22"/>
        </w:rPr>
        <w:t xml:space="preserve"> de </w:t>
      </w:r>
      <w:r w:rsidR="004C2293">
        <w:rPr>
          <w:rFonts w:ascii="Arial" w:hAnsi="Arial" w:cs="Arial"/>
          <w:sz w:val="22"/>
          <w:szCs w:val="22"/>
        </w:rPr>
        <w:t>março</w:t>
      </w:r>
      <w:r w:rsidR="00D04797" w:rsidRPr="00FA6A99">
        <w:rPr>
          <w:rFonts w:ascii="Arial" w:hAnsi="Arial" w:cs="Arial"/>
          <w:sz w:val="22"/>
          <w:szCs w:val="22"/>
        </w:rPr>
        <w:t xml:space="preserve"> de </w:t>
      </w:r>
      <w:r w:rsidRPr="00FA6A99">
        <w:rPr>
          <w:rFonts w:ascii="Arial" w:hAnsi="Arial" w:cs="Arial"/>
          <w:sz w:val="22"/>
          <w:szCs w:val="22"/>
        </w:rPr>
        <w:t>20</w:t>
      </w:r>
      <w:r w:rsidR="004A6208" w:rsidRPr="00FA6A99">
        <w:rPr>
          <w:rFonts w:ascii="Arial" w:hAnsi="Arial" w:cs="Arial"/>
          <w:sz w:val="22"/>
          <w:szCs w:val="22"/>
        </w:rPr>
        <w:t>2</w:t>
      </w:r>
      <w:r w:rsidR="004C2293">
        <w:rPr>
          <w:rFonts w:ascii="Arial" w:hAnsi="Arial" w:cs="Arial"/>
          <w:sz w:val="22"/>
          <w:szCs w:val="22"/>
        </w:rPr>
        <w:t>6</w:t>
      </w:r>
      <w:r w:rsidRPr="00FA6A99">
        <w:rPr>
          <w:rFonts w:ascii="Arial" w:hAnsi="Arial" w:cs="Arial"/>
          <w:sz w:val="22"/>
          <w:szCs w:val="22"/>
        </w:rPr>
        <w:t xml:space="preserve"> </w:t>
      </w:r>
      <w:r w:rsidR="005D2858" w:rsidRPr="00FA6A99">
        <w:rPr>
          <w:rFonts w:ascii="Arial" w:hAnsi="Arial" w:cs="Arial"/>
          <w:sz w:val="22"/>
          <w:szCs w:val="22"/>
        </w:rPr>
        <w:t xml:space="preserve">(R$ </w:t>
      </w:r>
      <w:r w:rsidR="004C2293">
        <w:rPr>
          <w:rFonts w:ascii="Arial" w:hAnsi="Arial" w:cs="Arial"/>
          <w:sz w:val="22"/>
          <w:szCs w:val="22"/>
        </w:rPr>
        <w:t>1.951.045</w:t>
      </w:r>
      <w:r w:rsidR="003454F1" w:rsidRPr="00FA6A99">
        <w:rPr>
          <w:rFonts w:ascii="Arial" w:hAnsi="Arial" w:cs="Arial"/>
          <w:sz w:val="22"/>
          <w:szCs w:val="22"/>
        </w:rPr>
        <w:t xml:space="preserve"> </w:t>
      </w:r>
      <w:r w:rsidR="008C7213" w:rsidRPr="00FA6A99">
        <w:rPr>
          <w:rFonts w:ascii="Arial" w:hAnsi="Arial" w:cs="Arial"/>
          <w:sz w:val="22"/>
          <w:szCs w:val="22"/>
        </w:rPr>
        <w:t>em 31</w:t>
      </w:r>
      <w:r w:rsidR="00D04797" w:rsidRPr="00FA6A99">
        <w:rPr>
          <w:rFonts w:ascii="Arial" w:hAnsi="Arial" w:cs="Arial"/>
          <w:sz w:val="22"/>
          <w:szCs w:val="22"/>
        </w:rPr>
        <w:t xml:space="preserve"> de dezembro de </w:t>
      </w:r>
      <w:r w:rsidR="008C7213" w:rsidRPr="00FA6A99">
        <w:rPr>
          <w:rFonts w:ascii="Arial" w:hAnsi="Arial" w:cs="Arial"/>
          <w:sz w:val="22"/>
          <w:szCs w:val="22"/>
        </w:rPr>
        <w:t>20</w:t>
      </w:r>
      <w:r w:rsidR="00950139" w:rsidRPr="00FA6A99">
        <w:rPr>
          <w:rFonts w:ascii="Arial" w:hAnsi="Arial" w:cs="Arial"/>
          <w:sz w:val="22"/>
          <w:szCs w:val="22"/>
        </w:rPr>
        <w:t>2</w:t>
      </w:r>
      <w:r w:rsidR="004C2293">
        <w:rPr>
          <w:rFonts w:ascii="Arial" w:hAnsi="Arial" w:cs="Arial"/>
          <w:sz w:val="22"/>
          <w:szCs w:val="22"/>
        </w:rPr>
        <w:t>5</w:t>
      </w:r>
      <w:r w:rsidR="00940A63" w:rsidRPr="00FA6A99">
        <w:rPr>
          <w:rFonts w:ascii="Arial" w:hAnsi="Arial" w:cs="Arial"/>
          <w:sz w:val="22"/>
          <w:szCs w:val="22"/>
        </w:rPr>
        <w:t>)</w:t>
      </w:r>
      <w:r w:rsidR="008C7213" w:rsidRPr="00FA6A99">
        <w:rPr>
          <w:rFonts w:ascii="Arial" w:hAnsi="Arial" w:cs="Arial"/>
          <w:sz w:val="22"/>
          <w:szCs w:val="22"/>
        </w:rPr>
        <w:t xml:space="preserve">, </w:t>
      </w:r>
      <w:r w:rsidR="00D04797" w:rsidRPr="00FA6A99">
        <w:rPr>
          <w:rFonts w:ascii="Arial" w:hAnsi="Arial" w:cs="Arial"/>
          <w:sz w:val="22"/>
          <w:szCs w:val="22"/>
        </w:rPr>
        <w:t>atualizado</w:t>
      </w:r>
      <w:r w:rsidR="008C7213" w:rsidRPr="00FA6A99">
        <w:rPr>
          <w:rFonts w:ascii="Arial" w:hAnsi="Arial" w:cs="Arial"/>
          <w:sz w:val="22"/>
          <w:szCs w:val="22"/>
        </w:rPr>
        <w:t xml:space="preserve"> pela T</w:t>
      </w:r>
      <w:r w:rsidR="005D2858" w:rsidRPr="00FA6A99">
        <w:rPr>
          <w:rFonts w:ascii="Arial" w:hAnsi="Arial" w:cs="Arial"/>
          <w:sz w:val="22"/>
          <w:szCs w:val="22"/>
        </w:rPr>
        <w:t>axa SELIC e classificado no passivo não circulante</w:t>
      </w:r>
      <w:r w:rsidR="00201F9B" w:rsidRPr="00FA6A99">
        <w:rPr>
          <w:rFonts w:ascii="Arial" w:hAnsi="Arial" w:cs="Arial"/>
          <w:sz w:val="22"/>
          <w:szCs w:val="22"/>
        </w:rPr>
        <w:t>,</w:t>
      </w:r>
      <w:r w:rsidR="004E0FEF" w:rsidRPr="00FA6A99">
        <w:rPr>
          <w:rFonts w:ascii="Arial" w:hAnsi="Arial" w:cs="Arial"/>
          <w:sz w:val="22"/>
          <w:szCs w:val="22"/>
        </w:rPr>
        <w:t xml:space="preserve"> tem como origem os valores aportados </w:t>
      </w:r>
      <w:r w:rsidR="004A6208" w:rsidRPr="00FA6A99">
        <w:rPr>
          <w:rFonts w:ascii="Arial" w:hAnsi="Arial" w:cs="Arial"/>
          <w:sz w:val="22"/>
          <w:szCs w:val="22"/>
        </w:rPr>
        <w:t>pela União</w:t>
      </w:r>
      <w:r w:rsidR="004E0FEF" w:rsidRPr="00FA6A99">
        <w:rPr>
          <w:rFonts w:ascii="Arial" w:hAnsi="Arial" w:cs="Arial"/>
          <w:sz w:val="22"/>
          <w:szCs w:val="22"/>
        </w:rPr>
        <w:t xml:space="preserve"> na forma de Adiantamento para Futuro Aumento de Capital (AFAC) e </w:t>
      </w:r>
      <w:r w:rsidR="005D2858" w:rsidRPr="00FA6A99">
        <w:rPr>
          <w:rFonts w:ascii="Arial" w:hAnsi="Arial" w:cs="Arial"/>
          <w:sz w:val="22"/>
          <w:szCs w:val="22"/>
        </w:rPr>
        <w:t xml:space="preserve">será utilizado em futuro aumento de capital da </w:t>
      </w:r>
      <w:r w:rsidR="00343D6D" w:rsidRPr="00FA6A99">
        <w:rPr>
          <w:rFonts w:ascii="Arial" w:hAnsi="Arial" w:cs="Arial"/>
          <w:sz w:val="22"/>
          <w:szCs w:val="22"/>
        </w:rPr>
        <w:t>T</w:t>
      </w:r>
      <w:r w:rsidR="000C3513" w:rsidRPr="00FA6A99">
        <w:rPr>
          <w:rFonts w:ascii="Arial" w:hAnsi="Arial" w:cs="Arial"/>
          <w:sz w:val="22"/>
          <w:szCs w:val="22"/>
        </w:rPr>
        <w:t>elebras</w:t>
      </w:r>
      <w:r w:rsidR="005D2858" w:rsidRPr="00FA6A99">
        <w:rPr>
          <w:rFonts w:ascii="Arial" w:hAnsi="Arial" w:cs="Arial"/>
          <w:sz w:val="22"/>
          <w:szCs w:val="22"/>
        </w:rPr>
        <w:t xml:space="preserve"> em favor da </w:t>
      </w:r>
      <w:r w:rsidR="000C3513" w:rsidRPr="00FA6A99">
        <w:rPr>
          <w:rFonts w:ascii="Arial" w:hAnsi="Arial" w:cs="Arial"/>
          <w:sz w:val="22"/>
          <w:szCs w:val="22"/>
        </w:rPr>
        <w:t>União</w:t>
      </w:r>
      <w:r w:rsidR="005D2858" w:rsidRPr="00FA6A99">
        <w:rPr>
          <w:rFonts w:ascii="Arial" w:hAnsi="Arial" w:cs="Arial"/>
          <w:sz w:val="22"/>
          <w:szCs w:val="22"/>
        </w:rPr>
        <w:t>, conforme sua orientação.</w:t>
      </w:r>
    </w:p>
    <w:p w14:paraId="02399913" w14:textId="77777777" w:rsidR="00AA3F2A" w:rsidRPr="00FA6A99" w:rsidRDefault="00AA3F2A" w:rsidP="005E1909">
      <w:pPr>
        <w:jc w:val="both"/>
        <w:rPr>
          <w:rFonts w:ascii="Arial" w:hAnsi="Arial" w:cs="Arial"/>
        </w:rPr>
      </w:pPr>
    </w:p>
    <w:p w14:paraId="5EC7AC3C" w14:textId="51AFB486" w:rsidR="00877A74" w:rsidRPr="00FA6A99" w:rsidRDefault="00877A74"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sidRPr="00FA6A99">
        <w:rPr>
          <w:rFonts w:ascii="Arial" w:hAnsi="Arial" w:cs="Arial"/>
        </w:rPr>
        <w:t xml:space="preserve">Composição do </w:t>
      </w:r>
      <w:r w:rsidR="005409EC" w:rsidRPr="00FA6A99">
        <w:rPr>
          <w:rFonts w:ascii="Arial" w:hAnsi="Arial" w:cs="Arial"/>
        </w:rPr>
        <w:t>saldo</w:t>
      </w:r>
      <w:r w:rsidR="007B756A" w:rsidRPr="00FA6A99">
        <w:rPr>
          <w:rFonts w:ascii="Arial" w:hAnsi="Arial" w:cs="Arial"/>
        </w:rPr>
        <w:t xml:space="preserve"> dos recursos capitalizáveis</w:t>
      </w:r>
    </w:p>
    <w:p w14:paraId="34AA4986" w14:textId="55C54B56" w:rsidR="00877A74" w:rsidRPr="00FA6A99" w:rsidRDefault="00877A74" w:rsidP="00597FE5">
      <w:pPr>
        <w:spacing w:line="276" w:lineRule="auto"/>
        <w:jc w:val="both"/>
        <w:rPr>
          <w:rFonts w:ascii="Arial" w:hAnsi="Arial" w:cs="Arial"/>
          <w:sz w:val="12"/>
          <w:szCs w:val="12"/>
        </w:rPr>
      </w:pPr>
    </w:p>
    <w:p w14:paraId="0CE7FCFC" w14:textId="73720EB7" w:rsidR="00E05FBF" w:rsidRDefault="00E05FBF" w:rsidP="00597FE5">
      <w:pPr>
        <w:spacing w:line="276" w:lineRule="auto"/>
        <w:jc w:val="both"/>
        <w:rPr>
          <w:rFonts w:ascii="Arial" w:hAnsi="Arial" w:cs="Arial"/>
          <w:sz w:val="22"/>
          <w:szCs w:val="22"/>
        </w:rPr>
      </w:pPr>
      <w:r w:rsidRPr="00FA6A99">
        <w:rPr>
          <w:rFonts w:ascii="Arial" w:hAnsi="Arial" w:cs="Arial"/>
          <w:sz w:val="22"/>
          <w:szCs w:val="22"/>
        </w:rPr>
        <w:t>O quadro a seguir apresenta os valores aportados pelo acionista controlador (a União), bem como os valores recebidos dos acionistas não controladores relativos ao exercício de preferência nos processos de capitalização dos AFAC realizados pela Companhia. Estes valores serão objeto de futuras capitalizações</w:t>
      </w:r>
      <w:r w:rsidR="005D4DEC" w:rsidRPr="00FA6A99">
        <w:rPr>
          <w:rFonts w:ascii="Arial" w:hAnsi="Arial" w:cs="Arial"/>
          <w:sz w:val="22"/>
          <w:szCs w:val="22"/>
        </w:rPr>
        <w:t xml:space="preserve"> assim que aprovados pelos Órgão</w:t>
      </w:r>
      <w:r w:rsidR="006A7569" w:rsidRPr="00FA6A99">
        <w:rPr>
          <w:rFonts w:ascii="Arial" w:hAnsi="Arial" w:cs="Arial"/>
          <w:sz w:val="22"/>
          <w:szCs w:val="22"/>
        </w:rPr>
        <w:t>s</w:t>
      </w:r>
      <w:r w:rsidR="005D4DEC" w:rsidRPr="00FA6A99">
        <w:rPr>
          <w:rFonts w:ascii="Arial" w:hAnsi="Arial" w:cs="Arial"/>
          <w:sz w:val="22"/>
          <w:szCs w:val="22"/>
        </w:rPr>
        <w:t xml:space="preserve"> controladores</w:t>
      </w:r>
      <w:r w:rsidRPr="00FA6A99">
        <w:rPr>
          <w:rFonts w:ascii="Arial" w:hAnsi="Arial" w:cs="Arial"/>
          <w:sz w:val="22"/>
          <w:szCs w:val="22"/>
        </w:rPr>
        <w:t>.</w:t>
      </w:r>
    </w:p>
    <w:p w14:paraId="79AB7AF6" w14:textId="2E54C4A9" w:rsidR="00042D9E" w:rsidRPr="00352F14" w:rsidRDefault="00042D9E" w:rsidP="00597FE5">
      <w:pPr>
        <w:spacing w:line="276" w:lineRule="auto"/>
        <w:jc w:val="both"/>
        <w:rPr>
          <w:rFonts w:ascii="Arial" w:hAnsi="Arial" w:cs="Arial"/>
          <w:sz w:val="12"/>
          <w:szCs w:val="12"/>
        </w:rPr>
      </w:pPr>
    </w:p>
    <w:tbl>
      <w:tblPr>
        <w:tblW w:w="5000" w:type="pct"/>
        <w:tblCellMar>
          <w:left w:w="70" w:type="dxa"/>
          <w:right w:w="70" w:type="dxa"/>
        </w:tblCellMar>
        <w:tblLook w:val="04A0" w:firstRow="1" w:lastRow="0" w:firstColumn="1" w:lastColumn="0" w:noHBand="0" w:noVBand="1"/>
      </w:tblPr>
      <w:tblGrid>
        <w:gridCol w:w="1392"/>
        <w:gridCol w:w="2841"/>
        <w:gridCol w:w="2087"/>
        <w:gridCol w:w="1247"/>
        <w:gridCol w:w="2204"/>
      </w:tblGrid>
      <w:tr w:rsidR="00E00527" w:rsidRPr="00F05753" w14:paraId="3D1D1406" w14:textId="77777777" w:rsidTr="00E00527">
        <w:trPr>
          <w:trHeight w:val="232"/>
          <w:tblHeader/>
        </w:trPr>
        <w:tc>
          <w:tcPr>
            <w:tcW w:w="712"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264BE3"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Ano</w:t>
            </w:r>
          </w:p>
        </w:tc>
        <w:tc>
          <w:tcPr>
            <w:tcW w:w="1454" w:type="pct"/>
            <w:tcBorders>
              <w:top w:val="single" w:sz="4" w:space="0" w:color="auto"/>
              <w:left w:val="nil"/>
              <w:bottom w:val="single" w:sz="4" w:space="0" w:color="auto"/>
              <w:right w:val="single" w:sz="4" w:space="0" w:color="auto"/>
            </w:tcBorders>
            <w:shd w:val="clear" w:color="000000" w:fill="BFBFBF"/>
            <w:noWrap/>
            <w:vAlign w:val="bottom"/>
            <w:hideMark/>
          </w:tcPr>
          <w:p w14:paraId="5C3A2CAA"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Mês de Recebimento</w:t>
            </w:r>
          </w:p>
        </w:tc>
        <w:tc>
          <w:tcPr>
            <w:tcW w:w="1068" w:type="pct"/>
            <w:tcBorders>
              <w:top w:val="single" w:sz="4" w:space="0" w:color="auto"/>
              <w:left w:val="nil"/>
              <w:bottom w:val="single" w:sz="4" w:space="0" w:color="auto"/>
              <w:right w:val="single" w:sz="4" w:space="0" w:color="auto"/>
            </w:tcBorders>
            <w:shd w:val="clear" w:color="000000" w:fill="BFBFBF"/>
            <w:noWrap/>
            <w:vAlign w:val="bottom"/>
            <w:hideMark/>
          </w:tcPr>
          <w:p w14:paraId="3ED0507F"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Valor Recebido</w:t>
            </w:r>
          </w:p>
        </w:tc>
        <w:tc>
          <w:tcPr>
            <w:tcW w:w="638" w:type="pct"/>
            <w:tcBorders>
              <w:top w:val="single" w:sz="4" w:space="0" w:color="auto"/>
              <w:left w:val="nil"/>
              <w:bottom w:val="single" w:sz="4" w:space="0" w:color="auto"/>
              <w:right w:val="single" w:sz="4" w:space="0" w:color="auto"/>
            </w:tcBorders>
            <w:shd w:val="clear" w:color="000000" w:fill="BFBFBF"/>
            <w:noWrap/>
            <w:vAlign w:val="bottom"/>
            <w:hideMark/>
          </w:tcPr>
          <w:p w14:paraId="58ACF0B3" w14:textId="5C68FE2E"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Juros(i)</w:t>
            </w:r>
          </w:p>
        </w:tc>
        <w:tc>
          <w:tcPr>
            <w:tcW w:w="1128" w:type="pct"/>
            <w:tcBorders>
              <w:top w:val="single" w:sz="4" w:space="0" w:color="auto"/>
              <w:left w:val="nil"/>
              <w:bottom w:val="single" w:sz="4" w:space="0" w:color="auto"/>
              <w:right w:val="single" w:sz="4" w:space="0" w:color="auto"/>
            </w:tcBorders>
            <w:shd w:val="clear" w:color="000000" w:fill="BFBFBF"/>
            <w:noWrap/>
            <w:vAlign w:val="bottom"/>
            <w:hideMark/>
          </w:tcPr>
          <w:p w14:paraId="7D9AF7B0"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Valor Atualizado</w:t>
            </w:r>
          </w:p>
        </w:tc>
      </w:tr>
      <w:tr w:rsidR="00E00527" w:rsidRPr="00F05753" w14:paraId="66B8A016" w14:textId="77777777" w:rsidTr="00E00527">
        <w:trPr>
          <w:trHeight w:val="232"/>
        </w:trPr>
        <w:tc>
          <w:tcPr>
            <w:tcW w:w="712" w:type="pct"/>
            <w:vMerge w:val="restart"/>
            <w:tcBorders>
              <w:top w:val="single" w:sz="8" w:space="0" w:color="auto"/>
              <w:left w:val="single" w:sz="4" w:space="0" w:color="auto"/>
              <w:bottom w:val="single" w:sz="8" w:space="0" w:color="000000"/>
              <w:right w:val="single" w:sz="4" w:space="0" w:color="auto"/>
            </w:tcBorders>
            <w:noWrap/>
            <w:vAlign w:val="center"/>
            <w:hideMark/>
          </w:tcPr>
          <w:p w14:paraId="1F95F20A"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2019</w:t>
            </w:r>
          </w:p>
        </w:tc>
        <w:tc>
          <w:tcPr>
            <w:tcW w:w="1454" w:type="pct"/>
            <w:tcBorders>
              <w:top w:val="single" w:sz="8" w:space="0" w:color="auto"/>
              <w:left w:val="nil"/>
              <w:bottom w:val="single" w:sz="4" w:space="0" w:color="auto"/>
              <w:right w:val="single" w:sz="4" w:space="0" w:color="auto"/>
            </w:tcBorders>
            <w:noWrap/>
            <w:vAlign w:val="bottom"/>
            <w:hideMark/>
          </w:tcPr>
          <w:p w14:paraId="56732487"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Março   </w:t>
            </w:r>
          </w:p>
        </w:tc>
        <w:tc>
          <w:tcPr>
            <w:tcW w:w="1068" w:type="pct"/>
            <w:tcBorders>
              <w:top w:val="single" w:sz="8" w:space="0" w:color="auto"/>
              <w:left w:val="nil"/>
              <w:bottom w:val="single" w:sz="4" w:space="0" w:color="auto"/>
              <w:right w:val="single" w:sz="4" w:space="0" w:color="auto"/>
            </w:tcBorders>
            <w:noWrap/>
            <w:vAlign w:val="bottom"/>
            <w:hideMark/>
          </w:tcPr>
          <w:p w14:paraId="1A4D200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150.021 </w:t>
            </w:r>
          </w:p>
        </w:tc>
        <w:tc>
          <w:tcPr>
            <w:tcW w:w="638" w:type="pct"/>
            <w:tcBorders>
              <w:top w:val="single" w:sz="8" w:space="0" w:color="auto"/>
              <w:left w:val="nil"/>
              <w:bottom w:val="single" w:sz="4" w:space="0" w:color="auto"/>
              <w:right w:val="single" w:sz="4" w:space="0" w:color="auto"/>
            </w:tcBorders>
            <w:noWrap/>
            <w:vAlign w:val="bottom"/>
            <w:hideMark/>
          </w:tcPr>
          <w:p w14:paraId="1BD3070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130.290 </w:t>
            </w:r>
          </w:p>
        </w:tc>
        <w:tc>
          <w:tcPr>
            <w:tcW w:w="1128" w:type="pct"/>
            <w:tcBorders>
              <w:top w:val="single" w:sz="8" w:space="0" w:color="auto"/>
              <w:left w:val="nil"/>
              <w:bottom w:val="single" w:sz="4" w:space="0" w:color="auto"/>
              <w:right w:val="single" w:sz="4" w:space="0" w:color="auto"/>
            </w:tcBorders>
            <w:noWrap/>
            <w:vAlign w:val="bottom"/>
            <w:hideMark/>
          </w:tcPr>
          <w:p w14:paraId="09C1B13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280.311 </w:t>
            </w:r>
          </w:p>
        </w:tc>
      </w:tr>
      <w:tr w:rsidR="00E00527" w:rsidRPr="00F05753" w14:paraId="0BF73AEF" w14:textId="77777777" w:rsidTr="00E00527">
        <w:trPr>
          <w:trHeight w:val="232"/>
        </w:trPr>
        <w:tc>
          <w:tcPr>
            <w:tcW w:w="712" w:type="pct"/>
            <w:vMerge/>
            <w:tcBorders>
              <w:top w:val="single" w:sz="8" w:space="0" w:color="auto"/>
              <w:left w:val="single" w:sz="4" w:space="0" w:color="auto"/>
              <w:bottom w:val="single" w:sz="8" w:space="0" w:color="000000"/>
              <w:right w:val="single" w:sz="4" w:space="0" w:color="auto"/>
            </w:tcBorders>
            <w:vAlign w:val="center"/>
            <w:hideMark/>
          </w:tcPr>
          <w:p w14:paraId="53E257AA"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single" w:sz="4" w:space="0" w:color="auto"/>
              <w:bottom w:val="single" w:sz="4" w:space="0" w:color="auto"/>
              <w:right w:val="single" w:sz="4" w:space="0" w:color="auto"/>
            </w:tcBorders>
            <w:noWrap/>
            <w:vAlign w:val="bottom"/>
            <w:hideMark/>
          </w:tcPr>
          <w:p w14:paraId="2D49EF46"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Novembro   </w:t>
            </w:r>
          </w:p>
        </w:tc>
        <w:tc>
          <w:tcPr>
            <w:tcW w:w="1068" w:type="pct"/>
            <w:tcBorders>
              <w:top w:val="single" w:sz="4" w:space="0" w:color="auto"/>
              <w:left w:val="nil"/>
              <w:bottom w:val="single" w:sz="4" w:space="0" w:color="auto"/>
              <w:right w:val="single" w:sz="4" w:space="0" w:color="auto"/>
            </w:tcBorders>
            <w:noWrap/>
            <w:vAlign w:val="bottom"/>
            <w:hideMark/>
          </w:tcPr>
          <w:p w14:paraId="086D141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14.553 </w:t>
            </w:r>
          </w:p>
        </w:tc>
        <w:tc>
          <w:tcPr>
            <w:tcW w:w="638" w:type="pct"/>
            <w:tcBorders>
              <w:top w:val="single" w:sz="4" w:space="0" w:color="auto"/>
              <w:left w:val="nil"/>
              <w:bottom w:val="single" w:sz="4" w:space="0" w:color="auto"/>
              <w:right w:val="single" w:sz="4" w:space="0" w:color="auto"/>
            </w:tcBorders>
            <w:noWrap/>
            <w:vAlign w:val="bottom"/>
            <w:hideMark/>
          </w:tcPr>
          <w:p w14:paraId="5BA8910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11.580 </w:t>
            </w:r>
          </w:p>
        </w:tc>
        <w:tc>
          <w:tcPr>
            <w:tcW w:w="1128" w:type="pct"/>
            <w:tcBorders>
              <w:top w:val="single" w:sz="4" w:space="0" w:color="auto"/>
              <w:left w:val="nil"/>
              <w:bottom w:val="single" w:sz="4" w:space="0" w:color="auto"/>
              <w:right w:val="single" w:sz="4" w:space="0" w:color="auto"/>
            </w:tcBorders>
            <w:noWrap/>
            <w:vAlign w:val="bottom"/>
            <w:hideMark/>
          </w:tcPr>
          <w:p w14:paraId="6CD03E6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26.133 </w:t>
            </w:r>
          </w:p>
        </w:tc>
      </w:tr>
      <w:tr w:rsidR="00E00527" w:rsidRPr="00F05753" w14:paraId="081783A6" w14:textId="77777777" w:rsidTr="00E00527">
        <w:trPr>
          <w:trHeight w:val="232"/>
        </w:trPr>
        <w:tc>
          <w:tcPr>
            <w:tcW w:w="712" w:type="pct"/>
            <w:vMerge/>
            <w:tcBorders>
              <w:top w:val="single" w:sz="8" w:space="0" w:color="auto"/>
              <w:left w:val="single" w:sz="4" w:space="0" w:color="auto"/>
              <w:bottom w:val="single" w:sz="8" w:space="0" w:color="000000"/>
              <w:right w:val="single" w:sz="4" w:space="0" w:color="auto"/>
            </w:tcBorders>
            <w:vAlign w:val="center"/>
            <w:hideMark/>
          </w:tcPr>
          <w:p w14:paraId="269C8ECF"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nil"/>
              <w:bottom w:val="single" w:sz="8" w:space="0" w:color="auto"/>
              <w:right w:val="single" w:sz="4" w:space="0" w:color="auto"/>
            </w:tcBorders>
            <w:noWrap/>
            <w:vAlign w:val="bottom"/>
            <w:hideMark/>
          </w:tcPr>
          <w:p w14:paraId="5F1F6693"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Dezembro</w:t>
            </w:r>
          </w:p>
        </w:tc>
        <w:tc>
          <w:tcPr>
            <w:tcW w:w="1068" w:type="pct"/>
            <w:tcBorders>
              <w:top w:val="single" w:sz="4" w:space="0" w:color="auto"/>
              <w:left w:val="nil"/>
              <w:bottom w:val="single" w:sz="8" w:space="0" w:color="auto"/>
              <w:right w:val="single" w:sz="4" w:space="0" w:color="auto"/>
            </w:tcBorders>
            <w:noWrap/>
            <w:vAlign w:val="bottom"/>
            <w:hideMark/>
          </w:tcPr>
          <w:p w14:paraId="52AF0B4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818.780 </w:t>
            </w:r>
          </w:p>
        </w:tc>
        <w:tc>
          <w:tcPr>
            <w:tcW w:w="638" w:type="pct"/>
            <w:tcBorders>
              <w:top w:val="single" w:sz="4" w:space="0" w:color="auto"/>
              <w:left w:val="nil"/>
              <w:bottom w:val="single" w:sz="8" w:space="0" w:color="auto"/>
              <w:right w:val="single" w:sz="4" w:space="0" w:color="auto"/>
            </w:tcBorders>
            <w:noWrap/>
            <w:vAlign w:val="bottom"/>
            <w:hideMark/>
          </w:tcPr>
          <w:p w14:paraId="204FFED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649.005 </w:t>
            </w:r>
          </w:p>
        </w:tc>
        <w:tc>
          <w:tcPr>
            <w:tcW w:w="1128" w:type="pct"/>
            <w:tcBorders>
              <w:top w:val="single" w:sz="4" w:space="0" w:color="auto"/>
              <w:left w:val="nil"/>
              <w:bottom w:val="single" w:sz="8" w:space="0" w:color="auto"/>
              <w:right w:val="single" w:sz="4" w:space="0" w:color="auto"/>
            </w:tcBorders>
            <w:noWrap/>
            <w:vAlign w:val="bottom"/>
            <w:hideMark/>
          </w:tcPr>
          <w:p w14:paraId="37EFDDAA"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1.467.785 </w:t>
            </w:r>
          </w:p>
        </w:tc>
      </w:tr>
      <w:tr w:rsidR="00E00527" w:rsidRPr="00F05753" w14:paraId="54947BF7" w14:textId="77777777" w:rsidTr="00E00527">
        <w:trPr>
          <w:trHeight w:val="232"/>
        </w:trPr>
        <w:tc>
          <w:tcPr>
            <w:tcW w:w="712" w:type="pct"/>
            <w:vMerge w:val="restart"/>
            <w:tcBorders>
              <w:top w:val="nil"/>
              <w:left w:val="single" w:sz="4" w:space="0" w:color="auto"/>
              <w:bottom w:val="single" w:sz="8" w:space="0" w:color="000000"/>
              <w:right w:val="single" w:sz="4" w:space="0" w:color="auto"/>
            </w:tcBorders>
            <w:noWrap/>
            <w:vAlign w:val="center"/>
            <w:hideMark/>
          </w:tcPr>
          <w:p w14:paraId="09223653"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2020</w:t>
            </w:r>
          </w:p>
        </w:tc>
        <w:tc>
          <w:tcPr>
            <w:tcW w:w="1454" w:type="pct"/>
            <w:tcBorders>
              <w:top w:val="nil"/>
              <w:left w:val="nil"/>
              <w:bottom w:val="single" w:sz="4" w:space="0" w:color="auto"/>
              <w:right w:val="single" w:sz="4" w:space="0" w:color="auto"/>
            </w:tcBorders>
            <w:noWrap/>
            <w:vAlign w:val="bottom"/>
            <w:hideMark/>
          </w:tcPr>
          <w:p w14:paraId="008AB86B"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64D17F1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52 </w:t>
            </w:r>
          </w:p>
        </w:tc>
        <w:tc>
          <w:tcPr>
            <w:tcW w:w="638" w:type="pct"/>
            <w:tcBorders>
              <w:top w:val="nil"/>
              <w:left w:val="nil"/>
              <w:bottom w:val="single" w:sz="4" w:space="0" w:color="auto"/>
              <w:right w:val="single" w:sz="4" w:space="0" w:color="auto"/>
            </w:tcBorders>
            <w:noWrap/>
            <w:vAlign w:val="bottom"/>
            <w:hideMark/>
          </w:tcPr>
          <w:p w14:paraId="540490B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40 </w:t>
            </w:r>
          </w:p>
        </w:tc>
        <w:tc>
          <w:tcPr>
            <w:tcW w:w="1128" w:type="pct"/>
            <w:tcBorders>
              <w:top w:val="nil"/>
              <w:left w:val="nil"/>
              <w:bottom w:val="single" w:sz="4" w:space="0" w:color="auto"/>
              <w:right w:val="single" w:sz="4" w:space="0" w:color="auto"/>
            </w:tcBorders>
            <w:noWrap/>
            <w:vAlign w:val="bottom"/>
            <w:hideMark/>
          </w:tcPr>
          <w:p w14:paraId="4E314E4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92 </w:t>
            </w:r>
          </w:p>
        </w:tc>
      </w:tr>
      <w:tr w:rsidR="00E00527" w:rsidRPr="00F05753" w14:paraId="60A31E59"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5F6496D5"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single" w:sz="4" w:space="0" w:color="auto"/>
              <w:bottom w:val="single" w:sz="4" w:space="0" w:color="auto"/>
              <w:right w:val="single" w:sz="4" w:space="0" w:color="auto"/>
            </w:tcBorders>
            <w:noWrap/>
            <w:vAlign w:val="bottom"/>
            <w:hideMark/>
          </w:tcPr>
          <w:p w14:paraId="30FB5CF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Abril  </w:t>
            </w:r>
          </w:p>
        </w:tc>
        <w:tc>
          <w:tcPr>
            <w:tcW w:w="1068" w:type="pct"/>
            <w:tcBorders>
              <w:top w:val="single" w:sz="4" w:space="0" w:color="auto"/>
              <w:left w:val="nil"/>
              <w:bottom w:val="single" w:sz="4" w:space="0" w:color="auto"/>
              <w:right w:val="single" w:sz="4" w:space="0" w:color="auto"/>
            </w:tcBorders>
            <w:noWrap/>
            <w:vAlign w:val="bottom"/>
            <w:hideMark/>
          </w:tcPr>
          <w:p w14:paraId="362B6087"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11 </w:t>
            </w:r>
          </w:p>
        </w:tc>
        <w:tc>
          <w:tcPr>
            <w:tcW w:w="638" w:type="pct"/>
            <w:tcBorders>
              <w:top w:val="single" w:sz="4" w:space="0" w:color="auto"/>
              <w:left w:val="nil"/>
              <w:bottom w:val="single" w:sz="4" w:space="0" w:color="auto"/>
              <w:right w:val="single" w:sz="4" w:space="0" w:color="auto"/>
            </w:tcBorders>
            <w:noWrap/>
            <w:vAlign w:val="bottom"/>
            <w:hideMark/>
          </w:tcPr>
          <w:p w14:paraId="3922F63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 </w:t>
            </w:r>
          </w:p>
        </w:tc>
        <w:tc>
          <w:tcPr>
            <w:tcW w:w="1128" w:type="pct"/>
            <w:tcBorders>
              <w:top w:val="single" w:sz="4" w:space="0" w:color="auto"/>
              <w:left w:val="nil"/>
              <w:bottom w:val="single" w:sz="4" w:space="0" w:color="auto"/>
              <w:right w:val="single" w:sz="4" w:space="0" w:color="auto"/>
            </w:tcBorders>
            <w:noWrap/>
            <w:vAlign w:val="bottom"/>
            <w:hideMark/>
          </w:tcPr>
          <w:p w14:paraId="0D4D117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19 </w:t>
            </w:r>
          </w:p>
        </w:tc>
      </w:tr>
      <w:tr w:rsidR="00E00527" w:rsidRPr="00F05753" w14:paraId="160BEF20"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6CD037A9"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0AF44DDA"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595B569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5.154 </w:t>
            </w:r>
          </w:p>
        </w:tc>
        <w:tc>
          <w:tcPr>
            <w:tcW w:w="638" w:type="pct"/>
            <w:tcBorders>
              <w:top w:val="nil"/>
              <w:left w:val="nil"/>
              <w:bottom w:val="single" w:sz="4" w:space="0" w:color="auto"/>
              <w:right w:val="single" w:sz="4" w:space="0" w:color="auto"/>
            </w:tcBorders>
            <w:noWrap/>
            <w:vAlign w:val="bottom"/>
            <w:hideMark/>
          </w:tcPr>
          <w:p w14:paraId="2016F4F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3.934 </w:t>
            </w:r>
          </w:p>
        </w:tc>
        <w:tc>
          <w:tcPr>
            <w:tcW w:w="1128" w:type="pct"/>
            <w:tcBorders>
              <w:top w:val="nil"/>
              <w:left w:val="nil"/>
              <w:bottom w:val="single" w:sz="4" w:space="0" w:color="auto"/>
              <w:right w:val="single" w:sz="4" w:space="0" w:color="auto"/>
            </w:tcBorders>
            <w:noWrap/>
            <w:vAlign w:val="bottom"/>
            <w:hideMark/>
          </w:tcPr>
          <w:p w14:paraId="2BC0947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9.088 </w:t>
            </w:r>
          </w:p>
        </w:tc>
      </w:tr>
      <w:tr w:rsidR="00E00527" w:rsidRPr="00F05753" w14:paraId="556E5EC4"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62E14EF4"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789EC68C"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7E33D5E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3.335 </w:t>
            </w:r>
          </w:p>
        </w:tc>
        <w:tc>
          <w:tcPr>
            <w:tcW w:w="638" w:type="pct"/>
            <w:tcBorders>
              <w:top w:val="nil"/>
              <w:left w:val="nil"/>
              <w:bottom w:val="single" w:sz="4" w:space="0" w:color="auto"/>
              <w:right w:val="single" w:sz="4" w:space="0" w:color="auto"/>
            </w:tcBorders>
            <w:noWrap/>
            <w:vAlign w:val="bottom"/>
            <w:hideMark/>
          </w:tcPr>
          <w:p w14:paraId="25A0FDA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2.526 </w:t>
            </w:r>
          </w:p>
        </w:tc>
        <w:tc>
          <w:tcPr>
            <w:tcW w:w="1128" w:type="pct"/>
            <w:tcBorders>
              <w:top w:val="nil"/>
              <w:left w:val="nil"/>
              <w:bottom w:val="single" w:sz="4" w:space="0" w:color="auto"/>
              <w:right w:val="single" w:sz="4" w:space="0" w:color="auto"/>
            </w:tcBorders>
            <w:noWrap/>
            <w:vAlign w:val="bottom"/>
            <w:hideMark/>
          </w:tcPr>
          <w:p w14:paraId="2C30566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5.861 </w:t>
            </w:r>
          </w:p>
        </w:tc>
      </w:tr>
      <w:tr w:rsidR="00E00527" w:rsidRPr="00F05753" w14:paraId="756F2464"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06366065"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6F1CB856"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3BD8BD8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3.947 </w:t>
            </w:r>
          </w:p>
        </w:tc>
        <w:tc>
          <w:tcPr>
            <w:tcW w:w="638" w:type="pct"/>
            <w:tcBorders>
              <w:top w:val="nil"/>
              <w:left w:val="nil"/>
              <w:bottom w:val="single" w:sz="4" w:space="0" w:color="auto"/>
              <w:right w:val="single" w:sz="4" w:space="0" w:color="auto"/>
            </w:tcBorders>
            <w:noWrap/>
            <w:vAlign w:val="bottom"/>
            <w:hideMark/>
          </w:tcPr>
          <w:p w14:paraId="04EC528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2.982 </w:t>
            </w:r>
          </w:p>
        </w:tc>
        <w:tc>
          <w:tcPr>
            <w:tcW w:w="1128" w:type="pct"/>
            <w:tcBorders>
              <w:top w:val="nil"/>
              <w:left w:val="nil"/>
              <w:bottom w:val="single" w:sz="4" w:space="0" w:color="auto"/>
              <w:right w:val="single" w:sz="4" w:space="0" w:color="auto"/>
            </w:tcBorders>
            <w:noWrap/>
            <w:vAlign w:val="bottom"/>
            <w:hideMark/>
          </w:tcPr>
          <w:p w14:paraId="7927583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6.929 </w:t>
            </w:r>
          </w:p>
        </w:tc>
      </w:tr>
      <w:tr w:rsidR="00E00527" w:rsidRPr="00F05753" w14:paraId="6F11E8B9"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43D41361"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39F83E3D"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0378876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3.657 </w:t>
            </w:r>
          </w:p>
        </w:tc>
        <w:tc>
          <w:tcPr>
            <w:tcW w:w="638" w:type="pct"/>
            <w:tcBorders>
              <w:top w:val="nil"/>
              <w:left w:val="nil"/>
              <w:bottom w:val="single" w:sz="4" w:space="0" w:color="auto"/>
              <w:right w:val="single" w:sz="4" w:space="0" w:color="auto"/>
            </w:tcBorders>
            <w:noWrap/>
            <w:vAlign w:val="bottom"/>
            <w:hideMark/>
          </w:tcPr>
          <w:p w14:paraId="41EE1FDA"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2.748 </w:t>
            </w:r>
          </w:p>
        </w:tc>
        <w:tc>
          <w:tcPr>
            <w:tcW w:w="1128" w:type="pct"/>
            <w:tcBorders>
              <w:top w:val="nil"/>
              <w:left w:val="nil"/>
              <w:bottom w:val="single" w:sz="4" w:space="0" w:color="auto"/>
              <w:right w:val="single" w:sz="4" w:space="0" w:color="auto"/>
            </w:tcBorders>
            <w:noWrap/>
            <w:vAlign w:val="bottom"/>
            <w:hideMark/>
          </w:tcPr>
          <w:p w14:paraId="6748CDF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6.405 </w:t>
            </w:r>
          </w:p>
        </w:tc>
      </w:tr>
      <w:tr w:rsidR="00E00527" w:rsidRPr="00F05753" w14:paraId="67F9BA11"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1D19EE4E"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06D7EBCC"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247DB33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1.575 </w:t>
            </w:r>
          </w:p>
        </w:tc>
        <w:tc>
          <w:tcPr>
            <w:tcW w:w="638" w:type="pct"/>
            <w:tcBorders>
              <w:top w:val="nil"/>
              <w:left w:val="nil"/>
              <w:bottom w:val="single" w:sz="4" w:space="0" w:color="auto"/>
              <w:right w:val="single" w:sz="4" w:space="0" w:color="auto"/>
            </w:tcBorders>
            <w:noWrap/>
            <w:vAlign w:val="bottom"/>
            <w:hideMark/>
          </w:tcPr>
          <w:p w14:paraId="055066F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1.179 </w:t>
            </w:r>
          </w:p>
        </w:tc>
        <w:tc>
          <w:tcPr>
            <w:tcW w:w="1128" w:type="pct"/>
            <w:tcBorders>
              <w:top w:val="nil"/>
              <w:left w:val="nil"/>
              <w:bottom w:val="single" w:sz="4" w:space="0" w:color="auto"/>
              <w:right w:val="single" w:sz="4" w:space="0" w:color="auto"/>
            </w:tcBorders>
            <w:noWrap/>
            <w:vAlign w:val="bottom"/>
            <w:hideMark/>
          </w:tcPr>
          <w:p w14:paraId="788A2D5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2.754 </w:t>
            </w:r>
          </w:p>
        </w:tc>
      </w:tr>
      <w:tr w:rsidR="00E00527" w:rsidRPr="00F05753" w14:paraId="218E65F0"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7264142F"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04675281"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0AD4C30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602 </w:t>
            </w:r>
          </w:p>
        </w:tc>
        <w:tc>
          <w:tcPr>
            <w:tcW w:w="638" w:type="pct"/>
            <w:tcBorders>
              <w:top w:val="nil"/>
              <w:left w:val="nil"/>
              <w:bottom w:val="single" w:sz="4" w:space="0" w:color="auto"/>
              <w:right w:val="single" w:sz="4" w:space="0" w:color="auto"/>
            </w:tcBorders>
            <w:noWrap/>
            <w:vAlign w:val="bottom"/>
            <w:hideMark/>
          </w:tcPr>
          <w:p w14:paraId="1F4BBFA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450 </w:t>
            </w:r>
          </w:p>
        </w:tc>
        <w:tc>
          <w:tcPr>
            <w:tcW w:w="1128" w:type="pct"/>
            <w:tcBorders>
              <w:top w:val="nil"/>
              <w:left w:val="nil"/>
              <w:bottom w:val="single" w:sz="4" w:space="0" w:color="auto"/>
              <w:right w:val="single" w:sz="4" w:space="0" w:color="auto"/>
            </w:tcBorders>
            <w:noWrap/>
            <w:vAlign w:val="bottom"/>
            <w:hideMark/>
          </w:tcPr>
          <w:p w14:paraId="38048C7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1.052 </w:t>
            </w:r>
          </w:p>
        </w:tc>
      </w:tr>
      <w:tr w:rsidR="00E00527" w:rsidRPr="00F05753" w14:paraId="725B6093"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6EE96973"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0B7F42A3"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2C2C236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3.966 </w:t>
            </w:r>
          </w:p>
        </w:tc>
        <w:tc>
          <w:tcPr>
            <w:tcW w:w="638" w:type="pct"/>
            <w:tcBorders>
              <w:top w:val="nil"/>
              <w:left w:val="nil"/>
              <w:bottom w:val="single" w:sz="4" w:space="0" w:color="auto"/>
              <w:right w:val="single" w:sz="4" w:space="0" w:color="auto"/>
            </w:tcBorders>
            <w:noWrap/>
            <w:vAlign w:val="bottom"/>
            <w:hideMark/>
          </w:tcPr>
          <w:p w14:paraId="34563AF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2.949 </w:t>
            </w:r>
          </w:p>
        </w:tc>
        <w:tc>
          <w:tcPr>
            <w:tcW w:w="1128" w:type="pct"/>
            <w:tcBorders>
              <w:top w:val="nil"/>
              <w:left w:val="nil"/>
              <w:bottom w:val="single" w:sz="4" w:space="0" w:color="auto"/>
              <w:right w:val="single" w:sz="4" w:space="0" w:color="auto"/>
            </w:tcBorders>
            <w:noWrap/>
            <w:vAlign w:val="bottom"/>
            <w:hideMark/>
          </w:tcPr>
          <w:p w14:paraId="6B212A2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6.915 </w:t>
            </w:r>
          </w:p>
        </w:tc>
      </w:tr>
      <w:tr w:rsidR="00E00527" w:rsidRPr="00F05753" w14:paraId="4914FF15"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3694E702"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nil"/>
              <w:bottom w:val="single" w:sz="8" w:space="0" w:color="auto"/>
              <w:right w:val="single" w:sz="4" w:space="0" w:color="auto"/>
            </w:tcBorders>
            <w:noWrap/>
            <w:vAlign w:val="bottom"/>
            <w:hideMark/>
          </w:tcPr>
          <w:p w14:paraId="096EF818"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Dezembro  </w:t>
            </w:r>
          </w:p>
        </w:tc>
        <w:tc>
          <w:tcPr>
            <w:tcW w:w="1068" w:type="pct"/>
            <w:tcBorders>
              <w:top w:val="single" w:sz="4" w:space="0" w:color="auto"/>
              <w:left w:val="nil"/>
              <w:bottom w:val="nil"/>
              <w:right w:val="single" w:sz="4" w:space="0" w:color="auto"/>
            </w:tcBorders>
            <w:noWrap/>
            <w:vAlign w:val="bottom"/>
            <w:hideMark/>
          </w:tcPr>
          <w:p w14:paraId="0130655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8.857 </w:t>
            </w:r>
          </w:p>
        </w:tc>
        <w:tc>
          <w:tcPr>
            <w:tcW w:w="638" w:type="pct"/>
            <w:tcBorders>
              <w:top w:val="single" w:sz="4" w:space="0" w:color="auto"/>
              <w:left w:val="nil"/>
              <w:bottom w:val="nil"/>
              <w:right w:val="single" w:sz="4" w:space="0" w:color="auto"/>
            </w:tcBorders>
            <w:noWrap/>
            <w:vAlign w:val="bottom"/>
            <w:hideMark/>
          </w:tcPr>
          <w:p w14:paraId="38ABC1E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6.553 </w:t>
            </w:r>
          </w:p>
        </w:tc>
        <w:tc>
          <w:tcPr>
            <w:tcW w:w="1128" w:type="pct"/>
            <w:tcBorders>
              <w:top w:val="single" w:sz="4" w:space="0" w:color="auto"/>
              <w:left w:val="nil"/>
              <w:bottom w:val="nil"/>
              <w:right w:val="single" w:sz="4" w:space="0" w:color="auto"/>
            </w:tcBorders>
            <w:noWrap/>
            <w:vAlign w:val="bottom"/>
            <w:hideMark/>
          </w:tcPr>
          <w:p w14:paraId="303A567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15.410 </w:t>
            </w:r>
          </w:p>
        </w:tc>
      </w:tr>
      <w:tr w:rsidR="00E00527" w:rsidRPr="00F05753" w14:paraId="2B712DBF" w14:textId="77777777" w:rsidTr="00E00527">
        <w:trPr>
          <w:trHeight w:val="232"/>
        </w:trPr>
        <w:tc>
          <w:tcPr>
            <w:tcW w:w="712" w:type="pct"/>
            <w:vMerge w:val="restart"/>
            <w:tcBorders>
              <w:top w:val="nil"/>
              <w:left w:val="single" w:sz="4" w:space="0" w:color="auto"/>
              <w:bottom w:val="single" w:sz="8" w:space="0" w:color="000000"/>
              <w:right w:val="single" w:sz="4" w:space="0" w:color="auto"/>
            </w:tcBorders>
            <w:noWrap/>
            <w:vAlign w:val="center"/>
            <w:hideMark/>
          </w:tcPr>
          <w:p w14:paraId="458AA444"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2021</w:t>
            </w:r>
          </w:p>
        </w:tc>
        <w:tc>
          <w:tcPr>
            <w:tcW w:w="1454" w:type="pct"/>
            <w:tcBorders>
              <w:top w:val="nil"/>
              <w:left w:val="nil"/>
              <w:bottom w:val="single" w:sz="4" w:space="0" w:color="auto"/>
              <w:right w:val="single" w:sz="4" w:space="0" w:color="auto"/>
            </w:tcBorders>
            <w:noWrap/>
            <w:vAlign w:val="bottom"/>
            <w:hideMark/>
          </w:tcPr>
          <w:p w14:paraId="72CCA429"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Fevereiro  </w:t>
            </w:r>
          </w:p>
        </w:tc>
        <w:tc>
          <w:tcPr>
            <w:tcW w:w="1068" w:type="pct"/>
            <w:tcBorders>
              <w:top w:val="single" w:sz="8" w:space="0" w:color="auto"/>
              <w:left w:val="nil"/>
              <w:bottom w:val="single" w:sz="4" w:space="0" w:color="auto"/>
              <w:right w:val="single" w:sz="4" w:space="0" w:color="auto"/>
            </w:tcBorders>
            <w:noWrap/>
            <w:vAlign w:val="bottom"/>
            <w:hideMark/>
          </w:tcPr>
          <w:p w14:paraId="2FC2A27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11.667 </w:t>
            </w:r>
          </w:p>
        </w:tc>
        <w:tc>
          <w:tcPr>
            <w:tcW w:w="638" w:type="pct"/>
            <w:tcBorders>
              <w:top w:val="single" w:sz="8" w:space="0" w:color="auto"/>
              <w:left w:val="nil"/>
              <w:bottom w:val="single" w:sz="4" w:space="0" w:color="auto"/>
              <w:right w:val="single" w:sz="4" w:space="0" w:color="auto"/>
            </w:tcBorders>
            <w:noWrap/>
            <w:vAlign w:val="bottom"/>
            <w:hideMark/>
          </w:tcPr>
          <w:p w14:paraId="58DFACE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8.585 </w:t>
            </w:r>
          </w:p>
        </w:tc>
        <w:tc>
          <w:tcPr>
            <w:tcW w:w="1128" w:type="pct"/>
            <w:tcBorders>
              <w:top w:val="single" w:sz="8" w:space="0" w:color="auto"/>
              <w:left w:val="nil"/>
              <w:bottom w:val="single" w:sz="4" w:space="0" w:color="auto"/>
              <w:right w:val="single" w:sz="4" w:space="0" w:color="auto"/>
            </w:tcBorders>
            <w:noWrap/>
            <w:vAlign w:val="bottom"/>
            <w:hideMark/>
          </w:tcPr>
          <w:p w14:paraId="17F84B6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20.252 </w:t>
            </w:r>
          </w:p>
        </w:tc>
      </w:tr>
      <w:tr w:rsidR="00E00527" w:rsidRPr="00F05753" w14:paraId="40FE3C1B"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2FF4B9E0"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single" w:sz="4" w:space="0" w:color="auto"/>
              <w:bottom w:val="single" w:sz="4" w:space="0" w:color="auto"/>
              <w:right w:val="single" w:sz="4" w:space="0" w:color="auto"/>
            </w:tcBorders>
            <w:noWrap/>
            <w:vAlign w:val="bottom"/>
            <w:hideMark/>
          </w:tcPr>
          <w:p w14:paraId="5A8B96C6"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Março  </w:t>
            </w:r>
          </w:p>
        </w:tc>
        <w:tc>
          <w:tcPr>
            <w:tcW w:w="1068" w:type="pct"/>
            <w:tcBorders>
              <w:top w:val="single" w:sz="4" w:space="0" w:color="auto"/>
              <w:left w:val="nil"/>
              <w:bottom w:val="single" w:sz="4" w:space="0" w:color="auto"/>
              <w:right w:val="single" w:sz="4" w:space="0" w:color="auto"/>
            </w:tcBorders>
            <w:noWrap/>
            <w:vAlign w:val="bottom"/>
            <w:hideMark/>
          </w:tcPr>
          <w:p w14:paraId="3823FFF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887 </w:t>
            </w:r>
          </w:p>
        </w:tc>
        <w:tc>
          <w:tcPr>
            <w:tcW w:w="638" w:type="pct"/>
            <w:tcBorders>
              <w:top w:val="single" w:sz="4" w:space="0" w:color="auto"/>
              <w:left w:val="nil"/>
              <w:bottom w:val="single" w:sz="4" w:space="0" w:color="auto"/>
              <w:right w:val="single" w:sz="4" w:space="0" w:color="auto"/>
            </w:tcBorders>
            <w:noWrap/>
            <w:vAlign w:val="bottom"/>
            <w:hideMark/>
          </w:tcPr>
          <w:p w14:paraId="581ED4D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650 </w:t>
            </w:r>
          </w:p>
        </w:tc>
        <w:tc>
          <w:tcPr>
            <w:tcW w:w="1128" w:type="pct"/>
            <w:tcBorders>
              <w:top w:val="single" w:sz="4" w:space="0" w:color="auto"/>
              <w:left w:val="nil"/>
              <w:bottom w:val="single" w:sz="4" w:space="0" w:color="auto"/>
              <w:right w:val="single" w:sz="4" w:space="0" w:color="auto"/>
            </w:tcBorders>
            <w:noWrap/>
            <w:vAlign w:val="bottom"/>
            <w:hideMark/>
          </w:tcPr>
          <w:p w14:paraId="31D7DB2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1.537 </w:t>
            </w:r>
          </w:p>
        </w:tc>
      </w:tr>
      <w:tr w:rsidR="00E00527" w:rsidRPr="00F05753" w14:paraId="20F121B8"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7454BDB5"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71FECA27"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569E2EA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1.386 </w:t>
            </w:r>
          </w:p>
        </w:tc>
        <w:tc>
          <w:tcPr>
            <w:tcW w:w="638" w:type="pct"/>
            <w:tcBorders>
              <w:top w:val="nil"/>
              <w:left w:val="nil"/>
              <w:bottom w:val="single" w:sz="4" w:space="0" w:color="auto"/>
              <w:right w:val="single" w:sz="4" w:space="0" w:color="auto"/>
            </w:tcBorders>
            <w:noWrap/>
            <w:vAlign w:val="bottom"/>
            <w:hideMark/>
          </w:tcPr>
          <w:p w14:paraId="0D71B47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1.010 </w:t>
            </w:r>
          </w:p>
        </w:tc>
        <w:tc>
          <w:tcPr>
            <w:tcW w:w="1128" w:type="pct"/>
            <w:tcBorders>
              <w:top w:val="nil"/>
              <w:left w:val="nil"/>
              <w:bottom w:val="single" w:sz="4" w:space="0" w:color="auto"/>
              <w:right w:val="single" w:sz="4" w:space="0" w:color="auto"/>
            </w:tcBorders>
            <w:noWrap/>
            <w:vAlign w:val="bottom"/>
            <w:hideMark/>
          </w:tcPr>
          <w:p w14:paraId="5E23DD6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2.396 </w:t>
            </w:r>
          </w:p>
        </w:tc>
      </w:tr>
      <w:tr w:rsidR="00E00527" w:rsidRPr="00F05753" w14:paraId="775A3C6C"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5DA741E5"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7497D4EA"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7FD0165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1.742 </w:t>
            </w:r>
          </w:p>
        </w:tc>
        <w:tc>
          <w:tcPr>
            <w:tcW w:w="638" w:type="pct"/>
            <w:tcBorders>
              <w:top w:val="nil"/>
              <w:left w:val="nil"/>
              <w:bottom w:val="single" w:sz="4" w:space="0" w:color="auto"/>
              <w:right w:val="single" w:sz="4" w:space="0" w:color="auto"/>
            </w:tcBorders>
            <w:noWrap/>
            <w:vAlign w:val="bottom"/>
            <w:hideMark/>
          </w:tcPr>
          <w:p w14:paraId="6CF5A87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1.263 </w:t>
            </w:r>
          </w:p>
        </w:tc>
        <w:tc>
          <w:tcPr>
            <w:tcW w:w="1128" w:type="pct"/>
            <w:tcBorders>
              <w:top w:val="nil"/>
              <w:left w:val="nil"/>
              <w:bottom w:val="single" w:sz="4" w:space="0" w:color="auto"/>
              <w:right w:val="single" w:sz="4" w:space="0" w:color="auto"/>
            </w:tcBorders>
            <w:noWrap/>
            <w:vAlign w:val="bottom"/>
            <w:hideMark/>
          </w:tcPr>
          <w:p w14:paraId="274E067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3.005 </w:t>
            </w:r>
          </w:p>
        </w:tc>
      </w:tr>
      <w:tr w:rsidR="00E00527" w:rsidRPr="00F05753" w14:paraId="1923A297"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5BCCE27C"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5E199493"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1665A9F7"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4.930 </w:t>
            </w:r>
          </w:p>
        </w:tc>
        <w:tc>
          <w:tcPr>
            <w:tcW w:w="638" w:type="pct"/>
            <w:tcBorders>
              <w:top w:val="nil"/>
              <w:left w:val="nil"/>
              <w:bottom w:val="single" w:sz="4" w:space="0" w:color="auto"/>
              <w:right w:val="single" w:sz="4" w:space="0" w:color="auto"/>
            </w:tcBorders>
            <w:noWrap/>
            <w:vAlign w:val="bottom"/>
            <w:hideMark/>
          </w:tcPr>
          <w:p w14:paraId="5536250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3.548 </w:t>
            </w:r>
          </w:p>
        </w:tc>
        <w:tc>
          <w:tcPr>
            <w:tcW w:w="1128" w:type="pct"/>
            <w:tcBorders>
              <w:top w:val="nil"/>
              <w:left w:val="nil"/>
              <w:bottom w:val="single" w:sz="4" w:space="0" w:color="auto"/>
              <w:right w:val="single" w:sz="4" w:space="0" w:color="auto"/>
            </w:tcBorders>
            <w:noWrap/>
            <w:vAlign w:val="bottom"/>
            <w:hideMark/>
          </w:tcPr>
          <w:p w14:paraId="19381FA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8.478 </w:t>
            </w:r>
          </w:p>
        </w:tc>
      </w:tr>
      <w:tr w:rsidR="00E00527" w:rsidRPr="00F05753" w14:paraId="212105C6"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07212891"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1E1DEE83"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7D53D507"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1.757 </w:t>
            </w:r>
          </w:p>
        </w:tc>
        <w:tc>
          <w:tcPr>
            <w:tcW w:w="638" w:type="pct"/>
            <w:tcBorders>
              <w:top w:val="nil"/>
              <w:left w:val="nil"/>
              <w:bottom w:val="single" w:sz="4" w:space="0" w:color="auto"/>
              <w:right w:val="single" w:sz="4" w:space="0" w:color="auto"/>
            </w:tcBorders>
            <w:noWrap/>
            <w:vAlign w:val="bottom"/>
            <w:hideMark/>
          </w:tcPr>
          <w:p w14:paraId="14206BA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1.253 </w:t>
            </w:r>
          </w:p>
        </w:tc>
        <w:tc>
          <w:tcPr>
            <w:tcW w:w="1128" w:type="pct"/>
            <w:tcBorders>
              <w:top w:val="nil"/>
              <w:left w:val="nil"/>
              <w:bottom w:val="single" w:sz="4" w:space="0" w:color="auto"/>
              <w:right w:val="single" w:sz="4" w:space="0" w:color="auto"/>
            </w:tcBorders>
            <w:noWrap/>
            <w:vAlign w:val="bottom"/>
            <w:hideMark/>
          </w:tcPr>
          <w:p w14:paraId="3ACE8DC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3.010 </w:t>
            </w:r>
          </w:p>
        </w:tc>
      </w:tr>
      <w:tr w:rsidR="00E00527" w:rsidRPr="00F05753" w14:paraId="5C56931F"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0AE73C8C"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640A8280"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023D58D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2.478 </w:t>
            </w:r>
          </w:p>
        </w:tc>
        <w:tc>
          <w:tcPr>
            <w:tcW w:w="638" w:type="pct"/>
            <w:tcBorders>
              <w:top w:val="nil"/>
              <w:left w:val="nil"/>
              <w:bottom w:val="single" w:sz="4" w:space="0" w:color="auto"/>
              <w:right w:val="single" w:sz="4" w:space="0" w:color="auto"/>
            </w:tcBorders>
            <w:noWrap/>
            <w:vAlign w:val="bottom"/>
            <w:hideMark/>
          </w:tcPr>
          <w:p w14:paraId="06852E7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1.758 </w:t>
            </w:r>
          </w:p>
        </w:tc>
        <w:tc>
          <w:tcPr>
            <w:tcW w:w="1128" w:type="pct"/>
            <w:tcBorders>
              <w:top w:val="nil"/>
              <w:left w:val="nil"/>
              <w:bottom w:val="single" w:sz="4" w:space="0" w:color="auto"/>
              <w:right w:val="single" w:sz="4" w:space="0" w:color="auto"/>
            </w:tcBorders>
            <w:noWrap/>
            <w:vAlign w:val="bottom"/>
            <w:hideMark/>
          </w:tcPr>
          <w:p w14:paraId="3E54F56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4.236 </w:t>
            </w:r>
          </w:p>
        </w:tc>
      </w:tr>
      <w:tr w:rsidR="00E00527" w:rsidRPr="00F05753" w14:paraId="2924E919"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0056F7B7"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2369C6BA"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2BF99D9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1.509 </w:t>
            </w:r>
          </w:p>
        </w:tc>
        <w:tc>
          <w:tcPr>
            <w:tcW w:w="638" w:type="pct"/>
            <w:tcBorders>
              <w:top w:val="nil"/>
              <w:left w:val="nil"/>
              <w:bottom w:val="single" w:sz="4" w:space="0" w:color="auto"/>
              <w:right w:val="single" w:sz="4" w:space="0" w:color="auto"/>
            </w:tcBorders>
            <w:noWrap/>
            <w:vAlign w:val="bottom"/>
            <w:hideMark/>
          </w:tcPr>
          <w:p w14:paraId="221FB82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1.059 </w:t>
            </w:r>
          </w:p>
        </w:tc>
        <w:tc>
          <w:tcPr>
            <w:tcW w:w="1128" w:type="pct"/>
            <w:tcBorders>
              <w:top w:val="nil"/>
              <w:left w:val="nil"/>
              <w:bottom w:val="single" w:sz="4" w:space="0" w:color="auto"/>
              <w:right w:val="single" w:sz="4" w:space="0" w:color="auto"/>
            </w:tcBorders>
            <w:noWrap/>
            <w:vAlign w:val="bottom"/>
            <w:hideMark/>
          </w:tcPr>
          <w:p w14:paraId="35E83AC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2.568 </w:t>
            </w:r>
          </w:p>
        </w:tc>
      </w:tr>
      <w:tr w:rsidR="00E00527" w:rsidRPr="00F05753" w14:paraId="6FE121D9"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080F2C04"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49185751"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45DA8B4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1.537 </w:t>
            </w:r>
          </w:p>
        </w:tc>
        <w:tc>
          <w:tcPr>
            <w:tcW w:w="638" w:type="pct"/>
            <w:tcBorders>
              <w:top w:val="nil"/>
              <w:left w:val="nil"/>
              <w:bottom w:val="single" w:sz="4" w:space="0" w:color="auto"/>
              <w:right w:val="single" w:sz="4" w:space="0" w:color="auto"/>
            </w:tcBorders>
            <w:noWrap/>
            <w:vAlign w:val="bottom"/>
            <w:hideMark/>
          </w:tcPr>
          <w:p w14:paraId="6C1EF0B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1.066 </w:t>
            </w:r>
          </w:p>
        </w:tc>
        <w:tc>
          <w:tcPr>
            <w:tcW w:w="1128" w:type="pct"/>
            <w:tcBorders>
              <w:top w:val="nil"/>
              <w:left w:val="nil"/>
              <w:bottom w:val="single" w:sz="4" w:space="0" w:color="auto"/>
              <w:right w:val="single" w:sz="4" w:space="0" w:color="auto"/>
            </w:tcBorders>
            <w:noWrap/>
            <w:vAlign w:val="bottom"/>
            <w:hideMark/>
          </w:tcPr>
          <w:p w14:paraId="7A06BF2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2.603 </w:t>
            </w:r>
          </w:p>
        </w:tc>
      </w:tr>
      <w:tr w:rsidR="00E00527" w:rsidRPr="00F05753" w14:paraId="09ACF9E9"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2ADC6F74"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65AC8516"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267A95E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1.293 </w:t>
            </w:r>
          </w:p>
        </w:tc>
        <w:tc>
          <w:tcPr>
            <w:tcW w:w="638" w:type="pct"/>
            <w:tcBorders>
              <w:top w:val="nil"/>
              <w:left w:val="nil"/>
              <w:bottom w:val="single" w:sz="4" w:space="0" w:color="auto"/>
              <w:right w:val="single" w:sz="4" w:space="0" w:color="auto"/>
            </w:tcBorders>
            <w:noWrap/>
            <w:vAlign w:val="bottom"/>
            <w:hideMark/>
          </w:tcPr>
          <w:p w14:paraId="47D6856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886 </w:t>
            </w:r>
          </w:p>
        </w:tc>
        <w:tc>
          <w:tcPr>
            <w:tcW w:w="1128" w:type="pct"/>
            <w:tcBorders>
              <w:top w:val="nil"/>
              <w:left w:val="nil"/>
              <w:bottom w:val="single" w:sz="4" w:space="0" w:color="auto"/>
              <w:right w:val="single" w:sz="4" w:space="0" w:color="auto"/>
            </w:tcBorders>
            <w:noWrap/>
            <w:vAlign w:val="bottom"/>
            <w:hideMark/>
          </w:tcPr>
          <w:p w14:paraId="0BC7C3B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2.179 </w:t>
            </w:r>
          </w:p>
        </w:tc>
      </w:tr>
      <w:tr w:rsidR="00E00527" w:rsidRPr="00F05753" w14:paraId="77B32BD8"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4BFC27BA"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nil"/>
              <w:bottom w:val="single" w:sz="8" w:space="0" w:color="auto"/>
              <w:right w:val="single" w:sz="4" w:space="0" w:color="auto"/>
            </w:tcBorders>
            <w:noWrap/>
            <w:vAlign w:val="bottom"/>
            <w:hideMark/>
          </w:tcPr>
          <w:p w14:paraId="238CDA5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Dezembro  </w:t>
            </w:r>
          </w:p>
        </w:tc>
        <w:tc>
          <w:tcPr>
            <w:tcW w:w="1068" w:type="pct"/>
            <w:tcBorders>
              <w:top w:val="single" w:sz="4" w:space="0" w:color="auto"/>
              <w:left w:val="nil"/>
              <w:bottom w:val="nil"/>
              <w:right w:val="single" w:sz="4" w:space="0" w:color="auto"/>
            </w:tcBorders>
            <w:noWrap/>
            <w:vAlign w:val="bottom"/>
            <w:hideMark/>
          </w:tcPr>
          <w:p w14:paraId="6DA2332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4.615 </w:t>
            </w:r>
          </w:p>
        </w:tc>
        <w:tc>
          <w:tcPr>
            <w:tcW w:w="638" w:type="pct"/>
            <w:tcBorders>
              <w:top w:val="single" w:sz="4" w:space="0" w:color="auto"/>
              <w:left w:val="nil"/>
              <w:bottom w:val="nil"/>
              <w:right w:val="single" w:sz="4" w:space="0" w:color="auto"/>
            </w:tcBorders>
            <w:noWrap/>
            <w:vAlign w:val="bottom"/>
            <w:hideMark/>
          </w:tcPr>
          <w:p w14:paraId="0290FAF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3.086 </w:t>
            </w:r>
          </w:p>
        </w:tc>
        <w:tc>
          <w:tcPr>
            <w:tcW w:w="1128" w:type="pct"/>
            <w:tcBorders>
              <w:top w:val="single" w:sz="4" w:space="0" w:color="auto"/>
              <w:left w:val="nil"/>
              <w:bottom w:val="nil"/>
              <w:right w:val="single" w:sz="4" w:space="0" w:color="auto"/>
            </w:tcBorders>
            <w:noWrap/>
            <w:vAlign w:val="bottom"/>
            <w:hideMark/>
          </w:tcPr>
          <w:p w14:paraId="0EF8BE8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7.701 </w:t>
            </w:r>
          </w:p>
        </w:tc>
      </w:tr>
      <w:tr w:rsidR="00E00527" w:rsidRPr="00F05753" w14:paraId="7465F747" w14:textId="77777777" w:rsidTr="00E00527">
        <w:trPr>
          <w:trHeight w:val="232"/>
        </w:trPr>
        <w:tc>
          <w:tcPr>
            <w:tcW w:w="712" w:type="pct"/>
            <w:vMerge w:val="restart"/>
            <w:tcBorders>
              <w:top w:val="nil"/>
              <w:left w:val="single" w:sz="4" w:space="0" w:color="auto"/>
              <w:bottom w:val="single" w:sz="8" w:space="0" w:color="000000"/>
              <w:right w:val="single" w:sz="4" w:space="0" w:color="auto"/>
            </w:tcBorders>
            <w:noWrap/>
            <w:vAlign w:val="center"/>
            <w:hideMark/>
          </w:tcPr>
          <w:p w14:paraId="2FA601A5"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2022</w:t>
            </w:r>
          </w:p>
        </w:tc>
        <w:tc>
          <w:tcPr>
            <w:tcW w:w="1454" w:type="pct"/>
            <w:tcBorders>
              <w:top w:val="nil"/>
              <w:left w:val="nil"/>
              <w:bottom w:val="single" w:sz="4" w:space="0" w:color="auto"/>
              <w:right w:val="single" w:sz="4" w:space="0" w:color="auto"/>
            </w:tcBorders>
            <w:noWrap/>
            <w:vAlign w:val="bottom"/>
            <w:hideMark/>
          </w:tcPr>
          <w:p w14:paraId="0E99DA4E"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Janeiro  </w:t>
            </w:r>
          </w:p>
        </w:tc>
        <w:tc>
          <w:tcPr>
            <w:tcW w:w="1068" w:type="pct"/>
            <w:tcBorders>
              <w:top w:val="single" w:sz="8" w:space="0" w:color="auto"/>
              <w:left w:val="nil"/>
              <w:bottom w:val="single" w:sz="4" w:space="0" w:color="auto"/>
              <w:right w:val="single" w:sz="4" w:space="0" w:color="auto"/>
            </w:tcBorders>
            <w:noWrap/>
            <w:vAlign w:val="bottom"/>
            <w:hideMark/>
          </w:tcPr>
          <w:p w14:paraId="3F58A12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1.403 </w:t>
            </w:r>
          </w:p>
        </w:tc>
        <w:tc>
          <w:tcPr>
            <w:tcW w:w="638" w:type="pct"/>
            <w:tcBorders>
              <w:top w:val="single" w:sz="8" w:space="0" w:color="auto"/>
              <w:left w:val="nil"/>
              <w:bottom w:val="single" w:sz="4" w:space="0" w:color="auto"/>
              <w:right w:val="single" w:sz="4" w:space="0" w:color="auto"/>
            </w:tcBorders>
            <w:noWrap/>
            <w:vAlign w:val="bottom"/>
            <w:hideMark/>
          </w:tcPr>
          <w:p w14:paraId="462A2AB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923 </w:t>
            </w:r>
          </w:p>
        </w:tc>
        <w:tc>
          <w:tcPr>
            <w:tcW w:w="1128" w:type="pct"/>
            <w:tcBorders>
              <w:top w:val="single" w:sz="8" w:space="0" w:color="auto"/>
              <w:left w:val="nil"/>
              <w:bottom w:val="single" w:sz="4" w:space="0" w:color="auto"/>
              <w:right w:val="single" w:sz="4" w:space="0" w:color="auto"/>
            </w:tcBorders>
            <w:noWrap/>
            <w:vAlign w:val="bottom"/>
            <w:hideMark/>
          </w:tcPr>
          <w:p w14:paraId="5AB532A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2.326 </w:t>
            </w:r>
          </w:p>
        </w:tc>
      </w:tr>
      <w:tr w:rsidR="00E00527" w:rsidRPr="00F05753" w14:paraId="052A45C4"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06CC563C"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single" w:sz="4" w:space="0" w:color="auto"/>
              <w:bottom w:val="single" w:sz="4" w:space="0" w:color="auto"/>
              <w:right w:val="single" w:sz="4" w:space="0" w:color="auto"/>
            </w:tcBorders>
            <w:noWrap/>
            <w:vAlign w:val="bottom"/>
            <w:hideMark/>
          </w:tcPr>
          <w:p w14:paraId="6814DD96"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Fevereiro  </w:t>
            </w:r>
          </w:p>
        </w:tc>
        <w:tc>
          <w:tcPr>
            <w:tcW w:w="1068" w:type="pct"/>
            <w:tcBorders>
              <w:top w:val="single" w:sz="4" w:space="0" w:color="auto"/>
              <w:left w:val="nil"/>
              <w:bottom w:val="single" w:sz="4" w:space="0" w:color="auto"/>
              <w:right w:val="single" w:sz="4" w:space="0" w:color="auto"/>
            </w:tcBorders>
            <w:noWrap/>
            <w:vAlign w:val="bottom"/>
            <w:hideMark/>
          </w:tcPr>
          <w:p w14:paraId="0385C0A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452 </w:t>
            </w:r>
          </w:p>
        </w:tc>
        <w:tc>
          <w:tcPr>
            <w:tcW w:w="638" w:type="pct"/>
            <w:tcBorders>
              <w:top w:val="single" w:sz="4" w:space="0" w:color="auto"/>
              <w:left w:val="nil"/>
              <w:bottom w:val="single" w:sz="4" w:space="0" w:color="auto"/>
              <w:right w:val="single" w:sz="4" w:space="0" w:color="auto"/>
            </w:tcBorders>
            <w:noWrap/>
            <w:vAlign w:val="bottom"/>
            <w:hideMark/>
          </w:tcPr>
          <w:p w14:paraId="3D3B7AA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293 </w:t>
            </w:r>
          </w:p>
        </w:tc>
        <w:tc>
          <w:tcPr>
            <w:tcW w:w="1128" w:type="pct"/>
            <w:tcBorders>
              <w:top w:val="single" w:sz="4" w:space="0" w:color="auto"/>
              <w:left w:val="nil"/>
              <w:bottom w:val="single" w:sz="4" w:space="0" w:color="auto"/>
              <w:right w:val="single" w:sz="4" w:space="0" w:color="auto"/>
            </w:tcBorders>
            <w:noWrap/>
            <w:vAlign w:val="bottom"/>
            <w:hideMark/>
          </w:tcPr>
          <w:p w14:paraId="2DDCA81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745 </w:t>
            </w:r>
          </w:p>
        </w:tc>
      </w:tr>
      <w:tr w:rsidR="00E00527" w:rsidRPr="00F05753" w14:paraId="6492E0BC"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41C332E4"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788421A0"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000AFE4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1.496 </w:t>
            </w:r>
          </w:p>
        </w:tc>
        <w:tc>
          <w:tcPr>
            <w:tcW w:w="638" w:type="pct"/>
            <w:tcBorders>
              <w:top w:val="nil"/>
              <w:left w:val="nil"/>
              <w:bottom w:val="single" w:sz="4" w:space="0" w:color="auto"/>
              <w:right w:val="single" w:sz="4" w:space="0" w:color="auto"/>
            </w:tcBorders>
            <w:noWrap/>
            <w:vAlign w:val="bottom"/>
            <w:hideMark/>
          </w:tcPr>
          <w:p w14:paraId="40CA772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953 </w:t>
            </w:r>
          </w:p>
        </w:tc>
        <w:tc>
          <w:tcPr>
            <w:tcW w:w="1128" w:type="pct"/>
            <w:tcBorders>
              <w:top w:val="nil"/>
              <w:left w:val="nil"/>
              <w:bottom w:val="single" w:sz="4" w:space="0" w:color="auto"/>
              <w:right w:val="single" w:sz="4" w:space="0" w:color="auto"/>
            </w:tcBorders>
            <w:noWrap/>
            <w:vAlign w:val="bottom"/>
            <w:hideMark/>
          </w:tcPr>
          <w:p w14:paraId="324A39A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2.449 </w:t>
            </w:r>
          </w:p>
        </w:tc>
      </w:tr>
      <w:tr w:rsidR="00E00527" w:rsidRPr="00F05753" w14:paraId="14D52D39"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71C46C0D"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1772342C"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134842C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1.253 </w:t>
            </w:r>
          </w:p>
        </w:tc>
        <w:tc>
          <w:tcPr>
            <w:tcW w:w="638" w:type="pct"/>
            <w:tcBorders>
              <w:top w:val="nil"/>
              <w:left w:val="nil"/>
              <w:bottom w:val="single" w:sz="4" w:space="0" w:color="auto"/>
              <w:right w:val="single" w:sz="4" w:space="0" w:color="auto"/>
            </w:tcBorders>
            <w:noWrap/>
            <w:vAlign w:val="bottom"/>
            <w:hideMark/>
          </w:tcPr>
          <w:p w14:paraId="5637322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775 </w:t>
            </w:r>
          </w:p>
        </w:tc>
        <w:tc>
          <w:tcPr>
            <w:tcW w:w="1128" w:type="pct"/>
            <w:tcBorders>
              <w:top w:val="nil"/>
              <w:left w:val="nil"/>
              <w:bottom w:val="single" w:sz="4" w:space="0" w:color="auto"/>
              <w:right w:val="single" w:sz="4" w:space="0" w:color="auto"/>
            </w:tcBorders>
            <w:noWrap/>
            <w:vAlign w:val="bottom"/>
            <w:hideMark/>
          </w:tcPr>
          <w:p w14:paraId="1E8CA65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2.028 </w:t>
            </w:r>
          </w:p>
        </w:tc>
      </w:tr>
      <w:tr w:rsidR="00E00527" w:rsidRPr="00F05753" w14:paraId="00A763C5"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5134953C"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694DFB1B"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6FA7329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3.276 </w:t>
            </w:r>
          </w:p>
        </w:tc>
        <w:tc>
          <w:tcPr>
            <w:tcW w:w="638" w:type="pct"/>
            <w:tcBorders>
              <w:top w:val="nil"/>
              <w:left w:val="nil"/>
              <w:bottom w:val="single" w:sz="4" w:space="0" w:color="auto"/>
              <w:right w:val="single" w:sz="4" w:space="0" w:color="auto"/>
            </w:tcBorders>
            <w:noWrap/>
            <w:vAlign w:val="bottom"/>
            <w:hideMark/>
          </w:tcPr>
          <w:p w14:paraId="7C4DC23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1.982 </w:t>
            </w:r>
          </w:p>
        </w:tc>
        <w:tc>
          <w:tcPr>
            <w:tcW w:w="1128" w:type="pct"/>
            <w:tcBorders>
              <w:top w:val="nil"/>
              <w:left w:val="nil"/>
              <w:bottom w:val="single" w:sz="4" w:space="0" w:color="auto"/>
              <w:right w:val="single" w:sz="4" w:space="0" w:color="auto"/>
            </w:tcBorders>
            <w:noWrap/>
            <w:vAlign w:val="bottom"/>
            <w:hideMark/>
          </w:tcPr>
          <w:p w14:paraId="4E21C5A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5.258 </w:t>
            </w:r>
          </w:p>
        </w:tc>
      </w:tr>
      <w:tr w:rsidR="00E00527" w:rsidRPr="00F05753" w14:paraId="0F7F18F5"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30AB2B79"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31AF8F8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372334A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3.288 </w:t>
            </w:r>
          </w:p>
        </w:tc>
        <w:tc>
          <w:tcPr>
            <w:tcW w:w="638" w:type="pct"/>
            <w:tcBorders>
              <w:top w:val="nil"/>
              <w:left w:val="nil"/>
              <w:bottom w:val="single" w:sz="4" w:space="0" w:color="auto"/>
              <w:right w:val="single" w:sz="4" w:space="0" w:color="auto"/>
            </w:tcBorders>
            <w:noWrap/>
            <w:vAlign w:val="bottom"/>
            <w:hideMark/>
          </w:tcPr>
          <w:p w14:paraId="5CA8E39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1.945 </w:t>
            </w:r>
          </w:p>
        </w:tc>
        <w:tc>
          <w:tcPr>
            <w:tcW w:w="1128" w:type="pct"/>
            <w:tcBorders>
              <w:top w:val="nil"/>
              <w:left w:val="nil"/>
              <w:bottom w:val="single" w:sz="4" w:space="0" w:color="auto"/>
              <w:right w:val="single" w:sz="4" w:space="0" w:color="auto"/>
            </w:tcBorders>
            <w:noWrap/>
            <w:vAlign w:val="bottom"/>
            <w:hideMark/>
          </w:tcPr>
          <w:p w14:paraId="5630216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5.233 </w:t>
            </w:r>
          </w:p>
        </w:tc>
      </w:tr>
      <w:tr w:rsidR="00E00527" w:rsidRPr="00F05753" w14:paraId="5876372C"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19ED37FD"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3C89953D"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052F251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6.112 </w:t>
            </w:r>
          </w:p>
        </w:tc>
        <w:tc>
          <w:tcPr>
            <w:tcW w:w="638" w:type="pct"/>
            <w:tcBorders>
              <w:top w:val="nil"/>
              <w:left w:val="nil"/>
              <w:bottom w:val="single" w:sz="4" w:space="0" w:color="auto"/>
              <w:right w:val="single" w:sz="4" w:space="0" w:color="auto"/>
            </w:tcBorders>
            <w:noWrap/>
            <w:vAlign w:val="bottom"/>
            <w:hideMark/>
          </w:tcPr>
          <w:p w14:paraId="7CADEA3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3.506 </w:t>
            </w:r>
          </w:p>
        </w:tc>
        <w:tc>
          <w:tcPr>
            <w:tcW w:w="1128" w:type="pct"/>
            <w:tcBorders>
              <w:top w:val="nil"/>
              <w:left w:val="nil"/>
              <w:bottom w:val="single" w:sz="4" w:space="0" w:color="auto"/>
              <w:right w:val="single" w:sz="4" w:space="0" w:color="auto"/>
            </w:tcBorders>
            <w:noWrap/>
            <w:vAlign w:val="bottom"/>
            <w:hideMark/>
          </w:tcPr>
          <w:p w14:paraId="36FE650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9.618 </w:t>
            </w:r>
          </w:p>
        </w:tc>
      </w:tr>
      <w:tr w:rsidR="00E00527" w:rsidRPr="00F05753" w14:paraId="143DAA7F"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4A2F8254"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1BA7A736"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09C67C2A"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3.069 </w:t>
            </w:r>
          </w:p>
        </w:tc>
        <w:tc>
          <w:tcPr>
            <w:tcW w:w="638" w:type="pct"/>
            <w:tcBorders>
              <w:top w:val="nil"/>
              <w:left w:val="nil"/>
              <w:bottom w:val="single" w:sz="4" w:space="0" w:color="auto"/>
              <w:right w:val="single" w:sz="4" w:space="0" w:color="auto"/>
            </w:tcBorders>
            <w:noWrap/>
            <w:vAlign w:val="bottom"/>
            <w:hideMark/>
          </w:tcPr>
          <w:p w14:paraId="1E961DE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1.721 </w:t>
            </w:r>
          </w:p>
        </w:tc>
        <w:tc>
          <w:tcPr>
            <w:tcW w:w="1128" w:type="pct"/>
            <w:tcBorders>
              <w:top w:val="nil"/>
              <w:left w:val="nil"/>
              <w:bottom w:val="single" w:sz="4" w:space="0" w:color="auto"/>
              <w:right w:val="single" w:sz="4" w:space="0" w:color="auto"/>
            </w:tcBorders>
            <w:noWrap/>
            <w:vAlign w:val="bottom"/>
            <w:hideMark/>
          </w:tcPr>
          <w:p w14:paraId="00067ED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4.790 </w:t>
            </w:r>
          </w:p>
        </w:tc>
      </w:tr>
      <w:tr w:rsidR="00E00527" w:rsidRPr="00F05753" w14:paraId="652C99BE"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1CC2852F"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6D7C224C"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4E3CBD8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1.181 </w:t>
            </w:r>
          </w:p>
        </w:tc>
        <w:tc>
          <w:tcPr>
            <w:tcW w:w="638" w:type="pct"/>
            <w:tcBorders>
              <w:top w:val="nil"/>
              <w:left w:val="nil"/>
              <w:bottom w:val="single" w:sz="4" w:space="0" w:color="auto"/>
              <w:right w:val="single" w:sz="4" w:space="0" w:color="auto"/>
            </w:tcBorders>
            <w:noWrap/>
            <w:vAlign w:val="bottom"/>
            <w:hideMark/>
          </w:tcPr>
          <w:p w14:paraId="0B3F26D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623 </w:t>
            </w:r>
          </w:p>
        </w:tc>
        <w:tc>
          <w:tcPr>
            <w:tcW w:w="1128" w:type="pct"/>
            <w:tcBorders>
              <w:top w:val="nil"/>
              <w:left w:val="nil"/>
              <w:bottom w:val="single" w:sz="4" w:space="0" w:color="auto"/>
              <w:right w:val="single" w:sz="4" w:space="0" w:color="auto"/>
            </w:tcBorders>
            <w:noWrap/>
            <w:vAlign w:val="bottom"/>
            <w:hideMark/>
          </w:tcPr>
          <w:p w14:paraId="10C15D7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1.804 </w:t>
            </w:r>
          </w:p>
        </w:tc>
      </w:tr>
      <w:tr w:rsidR="00E00527" w:rsidRPr="00F05753" w14:paraId="52A48756"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7B12E83C"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1F643A50"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631DD3E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4.920 </w:t>
            </w:r>
          </w:p>
        </w:tc>
        <w:tc>
          <w:tcPr>
            <w:tcW w:w="638" w:type="pct"/>
            <w:tcBorders>
              <w:top w:val="nil"/>
              <w:left w:val="nil"/>
              <w:bottom w:val="single" w:sz="4" w:space="0" w:color="auto"/>
              <w:right w:val="single" w:sz="4" w:space="0" w:color="auto"/>
            </w:tcBorders>
            <w:noWrap/>
            <w:vAlign w:val="bottom"/>
            <w:hideMark/>
          </w:tcPr>
          <w:p w14:paraId="0A57DBC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2.224 </w:t>
            </w:r>
          </w:p>
        </w:tc>
        <w:tc>
          <w:tcPr>
            <w:tcW w:w="1128" w:type="pct"/>
            <w:tcBorders>
              <w:top w:val="nil"/>
              <w:left w:val="nil"/>
              <w:bottom w:val="single" w:sz="4" w:space="0" w:color="auto"/>
              <w:right w:val="single" w:sz="4" w:space="0" w:color="auto"/>
            </w:tcBorders>
            <w:noWrap/>
            <w:vAlign w:val="bottom"/>
            <w:hideMark/>
          </w:tcPr>
          <w:p w14:paraId="679823D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7.144 </w:t>
            </w:r>
          </w:p>
        </w:tc>
      </w:tr>
      <w:tr w:rsidR="00E00527" w:rsidRPr="00F05753" w14:paraId="3BC7905B"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0CE8D4F9"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5B3F090E"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1C4B4B8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616 </w:t>
            </w:r>
          </w:p>
        </w:tc>
        <w:tc>
          <w:tcPr>
            <w:tcW w:w="638" w:type="pct"/>
            <w:tcBorders>
              <w:top w:val="nil"/>
              <w:left w:val="nil"/>
              <w:bottom w:val="single" w:sz="4" w:space="0" w:color="auto"/>
              <w:right w:val="single" w:sz="4" w:space="0" w:color="auto"/>
            </w:tcBorders>
            <w:noWrap/>
            <w:vAlign w:val="bottom"/>
            <w:hideMark/>
          </w:tcPr>
          <w:p w14:paraId="0F9E6EE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313 </w:t>
            </w:r>
          </w:p>
        </w:tc>
        <w:tc>
          <w:tcPr>
            <w:tcW w:w="1128" w:type="pct"/>
            <w:tcBorders>
              <w:top w:val="nil"/>
              <w:left w:val="nil"/>
              <w:bottom w:val="single" w:sz="4" w:space="0" w:color="auto"/>
              <w:right w:val="single" w:sz="4" w:space="0" w:color="auto"/>
            </w:tcBorders>
            <w:noWrap/>
            <w:vAlign w:val="bottom"/>
            <w:hideMark/>
          </w:tcPr>
          <w:p w14:paraId="4C10CE4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929 </w:t>
            </w:r>
          </w:p>
        </w:tc>
      </w:tr>
      <w:tr w:rsidR="00E00527" w:rsidRPr="00F05753" w14:paraId="78F55FB2"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71F9BCDC"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nil"/>
              <w:bottom w:val="single" w:sz="8" w:space="0" w:color="auto"/>
              <w:right w:val="single" w:sz="4" w:space="0" w:color="auto"/>
            </w:tcBorders>
            <w:noWrap/>
            <w:vAlign w:val="bottom"/>
            <w:hideMark/>
          </w:tcPr>
          <w:p w14:paraId="14CF40E8"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Dezembro  </w:t>
            </w:r>
          </w:p>
        </w:tc>
        <w:tc>
          <w:tcPr>
            <w:tcW w:w="1068" w:type="pct"/>
            <w:tcBorders>
              <w:top w:val="single" w:sz="4" w:space="0" w:color="auto"/>
              <w:left w:val="nil"/>
              <w:bottom w:val="nil"/>
              <w:right w:val="single" w:sz="4" w:space="0" w:color="auto"/>
            </w:tcBorders>
            <w:noWrap/>
            <w:vAlign w:val="bottom"/>
            <w:hideMark/>
          </w:tcPr>
          <w:p w14:paraId="6DF9B6D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3.796 </w:t>
            </w:r>
          </w:p>
        </w:tc>
        <w:tc>
          <w:tcPr>
            <w:tcW w:w="638" w:type="pct"/>
            <w:tcBorders>
              <w:top w:val="single" w:sz="4" w:space="0" w:color="auto"/>
              <w:left w:val="nil"/>
              <w:bottom w:val="nil"/>
              <w:right w:val="single" w:sz="4" w:space="0" w:color="auto"/>
            </w:tcBorders>
            <w:noWrap/>
            <w:vAlign w:val="bottom"/>
            <w:hideMark/>
          </w:tcPr>
          <w:p w14:paraId="1FE8E0B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1.855 </w:t>
            </w:r>
          </w:p>
        </w:tc>
        <w:tc>
          <w:tcPr>
            <w:tcW w:w="1128" w:type="pct"/>
            <w:tcBorders>
              <w:top w:val="single" w:sz="4" w:space="0" w:color="auto"/>
              <w:left w:val="nil"/>
              <w:bottom w:val="nil"/>
              <w:right w:val="single" w:sz="4" w:space="0" w:color="auto"/>
            </w:tcBorders>
            <w:noWrap/>
            <w:vAlign w:val="bottom"/>
            <w:hideMark/>
          </w:tcPr>
          <w:p w14:paraId="440117A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5.651 </w:t>
            </w:r>
          </w:p>
        </w:tc>
      </w:tr>
      <w:tr w:rsidR="00E00527" w:rsidRPr="00F05753" w14:paraId="00BD2A1F" w14:textId="77777777" w:rsidTr="00E00527">
        <w:trPr>
          <w:trHeight w:val="232"/>
        </w:trPr>
        <w:tc>
          <w:tcPr>
            <w:tcW w:w="712" w:type="pct"/>
            <w:vMerge w:val="restart"/>
            <w:tcBorders>
              <w:top w:val="nil"/>
              <w:left w:val="single" w:sz="4" w:space="0" w:color="auto"/>
              <w:bottom w:val="single" w:sz="8" w:space="0" w:color="000000"/>
              <w:right w:val="single" w:sz="4" w:space="0" w:color="auto"/>
            </w:tcBorders>
            <w:noWrap/>
            <w:vAlign w:val="center"/>
            <w:hideMark/>
          </w:tcPr>
          <w:p w14:paraId="78651D6E"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2023</w:t>
            </w:r>
          </w:p>
        </w:tc>
        <w:tc>
          <w:tcPr>
            <w:tcW w:w="1454" w:type="pct"/>
            <w:tcBorders>
              <w:top w:val="nil"/>
              <w:left w:val="nil"/>
              <w:bottom w:val="single" w:sz="4" w:space="0" w:color="auto"/>
              <w:right w:val="single" w:sz="4" w:space="0" w:color="auto"/>
            </w:tcBorders>
            <w:noWrap/>
            <w:vAlign w:val="bottom"/>
            <w:hideMark/>
          </w:tcPr>
          <w:p w14:paraId="5A270935"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Janeiro  </w:t>
            </w:r>
          </w:p>
        </w:tc>
        <w:tc>
          <w:tcPr>
            <w:tcW w:w="1068" w:type="pct"/>
            <w:tcBorders>
              <w:top w:val="single" w:sz="8" w:space="0" w:color="auto"/>
              <w:left w:val="nil"/>
              <w:bottom w:val="single" w:sz="4" w:space="0" w:color="auto"/>
              <w:right w:val="single" w:sz="4" w:space="0" w:color="auto"/>
            </w:tcBorders>
            <w:noWrap/>
            <w:vAlign w:val="bottom"/>
            <w:hideMark/>
          </w:tcPr>
          <w:p w14:paraId="2699270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4.134 </w:t>
            </w:r>
          </w:p>
        </w:tc>
        <w:tc>
          <w:tcPr>
            <w:tcW w:w="638" w:type="pct"/>
            <w:tcBorders>
              <w:top w:val="single" w:sz="8" w:space="0" w:color="auto"/>
              <w:left w:val="nil"/>
              <w:bottom w:val="single" w:sz="4" w:space="0" w:color="auto"/>
              <w:right w:val="single" w:sz="4" w:space="0" w:color="auto"/>
            </w:tcBorders>
            <w:noWrap/>
            <w:vAlign w:val="bottom"/>
            <w:hideMark/>
          </w:tcPr>
          <w:p w14:paraId="5C7AD2D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1.991 </w:t>
            </w:r>
          </w:p>
        </w:tc>
        <w:tc>
          <w:tcPr>
            <w:tcW w:w="1128" w:type="pct"/>
            <w:tcBorders>
              <w:top w:val="single" w:sz="8" w:space="0" w:color="auto"/>
              <w:left w:val="nil"/>
              <w:bottom w:val="single" w:sz="4" w:space="0" w:color="auto"/>
              <w:right w:val="single" w:sz="4" w:space="0" w:color="auto"/>
            </w:tcBorders>
            <w:noWrap/>
            <w:vAlign w:val="bottom"/>
            <w:hideMark/>
          </w:tcPr>
          <w:p w14:paraId="6EF67A4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6.125 </w:t>
            </w:r>
          </w:p>
        </w:tc>
      </w:tr>
      <w:tr w:rsidR="00E00527" w:rsidRPr="00F05753" w14:paraId="6CE09EE8"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7405895A"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single" w:sz="4" w:space="0" w:color="auto"/>
              <w:bottom w:val="single" w:sz="4" w:space="0" w:color="auto"/>
              <w:right w:val="single" w:sz="4" w:space="0" w:color="auto"/>
            </w:tcBorders>
            <w:noWrap/>
            <w:vAlign w:val="bottom"/>
            <w:hideMark/>
          </w:tcPr>
          <w:p w14:paraId="13733457"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Fevereiro  </w:t>
            </w:r>
          </w:p>
        </w:tc>
        <w:tc>
          <w:tcPr>
            <w:tcW w:w="1068" w:type="pct"/>
            <w:tcBorders>
              <w:top w:val="single" w:sz="4" w:space="0" w:color="auto"/>
              <w:left w:val="nil"/>
              <w:bottom w:val="single" w:sz="4" w:space="0" w:color="auto"/>
              <w:right w:val="single" w:sz="4" w:space="0" w:color="auto"/>
            </w:tcBorders>
            <w:noWrap/>
            <w:vAlign w:val="bottom"/>
            <w:hideMark/>
          </w:tcPr>
          <w:p w14:paraId="45ABA92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754 </w:t>
            </w:r>
          </w:p>
        </w:tc>
        <w:tc>
          <w:tcPr>
            <w:tcW w:w="638" w:type="pct"/>
            <w:tcBorders>
              <w:top w:val="single" w:sz="4" w:space="0" w:color="auto"/>
              <w:left w:val="nil"/>
              <w:bottom w:val="single" w:sz="4" w:space="0" w:color="auto"/>
              <w:right w:val="single" w:sz="4" w:space="0" w:color="auto"/>
            </w:tcBorders>
            <w:noWrap/>
            <w:vAlign w:val="bottom"/>
            <w:hideMark/>
          </w:tcPr>
          <w:p w14:paraId="6585E65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349 </w:t>
            </w:r>
          </w:p>
        </w:tc>
        <w:tc>
          <w:tcPr>
            <w:tcW w:w="1128" w:type="pct"/>
            <w:tcBorders>
              <w:top w:val="single" w:sz="4" w:space="0" w:color="auto"/>
              <w:left w:val="nil"/>
              <w:bottom w:val="single" w:sz="4" w:space="0" w:color="auto"/>
              <w:right w:val="single" w:sz="4" w:space="0" w:color="auto"/>
            </w:tcBorders>
            <w:noWrap/>
            <w:vAlign w:val="bottom"/>
            <w:hideMark/>
          </w:tcPr>
          <w:p w14:paraId="5CE2338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1.103 </w:t>
            </w:r>
          </w:p>
        </w:tc>
      </w:tr>
      <w:tr w:rsidR="00E00527" w:rsidRPr="00F05753" w14:paraId="5F61F9A6"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003D1FB3"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43F5BB6B"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4523C3DA"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9.271 </w:t>
            </w:r>
          </w:p>
        </w:tc>
        <w:tc>
          <w:tcPr>
            <w:tcW w:w="638" w:type="pct"/>
            <w:tcBorders>
              <w:top w:val="nil"/>
              <w:left w:val="nil"/>
              <w:bottom w:val="single" w:sz="4" w:space="0" w:color="auto"/>
              <w:right w:val="single" w:sz="4" w:space="0" w:color="auto"/>
            </w:tcBorders>
            <w:noWrap/>
            <w:vAlign w:val="bottom"/>
            <w:hideMark/>
          </w:tcPr>
          <w:p w14:paraId="081D4B1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4.069 </w:t>
            </w:r>
          </w:p>
        </w:tc>
        <w:tc>
          <w:tcPr>
            <w:tcW w:w="1128" w:type="pct"/>
            <w:tcBorders>
              <w:top w:val="nil"/>
              <w:left w:val="nil"/>
              <w:bottom w:val="single" w:sz="4" w:space="0" w:color="auto"/>
              <w:right w:val="single" w:sz="4" w:space="0" w:color="auto"/>
            </w:tcBorders>
            <w:noWrap/>
            <w:vAlign w:val="bottom"/>
            <w:hideMark/>
          </w:tcPr>
          <w:p w14:paraId="66D6F42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13.340 </w:t>
            </w:r>
          </w:p>
        </w:tc>
      </w:tr>
      <w:tr w:rsidR="00E00527" w:rsidRPr="00F05753" w14:paraId="62475FC6"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4CB341F3"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13F5EFA8"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5CF7B47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2.328 </w:t>
            </w:r>
          </w:p>
        </w:tc>
        <w:tc>
          <w:tcPr>
            <w:tcW w:w="638" w:type="pct"/>
            <w:tcBorders>
              <w:top w:val="nil"/>
              <w:left w:val="nil"/>
              <w:bottom w:val="single" w:sz="4" w:space="0" w:color="auto"/>
              <w:right w:val="single" w:sz="4" w:space="0" w:color="auto"/>
            </w:tcBorders>
            <w:noWrap/>
            <w:vAlign w:val="bottom"/>
            <w:hideMark/>
          </w:tcPr>
          <w:p w14:paraId="25D3B23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1.000 </w:t>
            </w:r>
          </w:p>
        </w:tc>
        <w:tc>
          <w:tcPr>
            <w:tcW w:w="1128" w:type="pct"/>
            <w:tcBorders>
              <w:top w:val="nil"/>
              <w:left w:val="nil"/>
              <w:bottom w:val="single" w:sz="4" w:space="0" w:color="auto"/>
              <w:right w:val="single" w:sz="4" w:space="0" w:color="auto"/>
            </w:tcBorders>
            <w:noWrap/>
            <w:vAlign w:val="bottom"/>
            <w:hideMark/>
          </w:tcPr>
          <w:p w14:paraId="4568D88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3.328 </w:t>
            </w:r>
          </w:p>
        </w:tc>
      </w:tr>
      <w:tr w:rsidR="00E00527" w:rsidRPr="00F05753" w14:paraId="41E58D55"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673219A0"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080E0225"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1C74F1F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8.726 </w:t>
            </w:r>
          </w:p>
        </w:tc>
        <w:tc>
          <w:tcPr>
            <w:tcW w:w="638" w:type="pct"/>
            <w:tcBorders>
              <w:top w:val="nil"/>
              <w:left w:val="nil"/>
              <w:bottom w:val="single" w:sz="4" w:space="0" w:color="auto"/>
              <w:right w:val="single" w:sz="4" w:space="0" w:color="auto"/>
            </w:tcBorders>
            <w:noWrap/>
            <w:vAlign w:val="bottom"/>
            <w:hideMark/>
          </w:tcPr>
          <w:p w14:paraId="4D72CD1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3.616 </w:t>
            </w:r>
          </w:p>
        </w:tc>
        <w:tc>
          <w:tcPr>
            <w:tcW w:w="1128" w:type="pct"/>
            <w:tcBorders>
              <w:top w:val="nil"/>
              <w:left w:val="nil"/>
              <w:bottom w:val="single" w:sz="4" w:space="0" w:color="auto"/>
              <w:right w:val="single" w:sz="4" w:space="0" w:color="auto"/>
            </w:tcBorders>
            <w:noWrap/>
            <w:vAlign w:val="bottom"/>
            <w:hideMark/>
          </w:tcPr>
          <w:p w14:paraId="4832048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12.342 </w:t>
            </w:r>
          </w:p>
        </w:tc>
      </w:tr>
      <w:tr w:rsidR="00E00527" w:rsidRPr="00F05753" w14:paraId="35871F36"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1E6BD63D"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2A06AC44"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5D0B78D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7.759 </w:t>
            </w:r>
          </w:p>
        </w:tc>
        <w:tc>
          <w:tcPr>
            <w:tcW w:w="638" w:type="pct"/>
            <w:tcBorders>
              <w:top w:val="nil"/>
              <w:left w:val="nil"/>
              <w:bottom w:val="single" w:sz="4" w:space="0" w:color="auto"/>
              <w:right w:val="single" w:sz="4" w:space="0" w:color="auto"/>
            </w:tcBorders>
            <w:noWrap/>
            <w:vAlign w:val="bottom"/>
            <w:hideMark/>
          </w:tcPr>
          <w:p w14:paraId="1C274BD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3.083 </w:t>
            </w:r>
          </w:p>
        </w:tc>
        <w:tc>
          <w:tcPr>
            <w:tcW w:w="1128" w:type="pct"/>
            <w:tcBorders>
              <w:top w:val="nil"/>
              <w:left w:val="nil"/>
              <w:bottom w:val="single" w:sz="4" w:space="0" w:color="auto"/>
              <w:right w:val="single" w:sz="4" w:space="0" w:color="auto"/>
            </w:tcBorders>
            <w:noWrap/>
            <w:vAlign w:val="bottom"/>
            <w:hideMark/>
          </w:tcPr>
          <w:p w14:paraId="2A951D0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10.842 </w:t>
            </w:r>
          </w:p>
        </w:tc>
      </w:tr>
      <w:tr w:rsidR="00E00527" w:rsidRPr="00F05753" w14:paraId="52483754"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1BC51EA8"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7435C3C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4DA5BF8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123 </w:t>
            </w:r>
          </w:p>
        </w:tc>
        <w:tc>
          <w:tcPr>
            <w:tcW w:w="638" w:type="pct"/>
            <w:tcBorders>
              <w:top w:val="nil"/>
              <w:left w:val="nil"/>
              <w:bottom w:val="single" w:sz="4" w:space="0" w:color="auto"/>
              <w:right w:val="single" w:sz="4" w:space="0" w:color="auto"/>
            </w:tcBorders>
            <w:noWrap/>
            <w:vAlign w:val="bottom"/>
            <w:hideMark/>
          </w:tcPr>
          <w:p w14:paraId="6AB27F07"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46 </w:t>
            </w:r>
          </w:p>
        </w:tc>
        <w:tc>
          <w:tcPr>
            <w:tcW w:w="1128" w:type="pct"/>
            <w:tcBorders>
              <w:top w:val="nil"/>
              <w:left w:val="nil"/>
              <w:bottom w:val="single" w:sz="4" w:space="0" w:color="auto"/>
              <w:right w:val="single" w:sz="4" w:space="0" w:color="auto"/>
            </w:tcBorders>
            <w:noWrap/>
            <w:vAlign w:val="bottom"/>
            <w:hideMark/>
          </w:tcPr>
          <w:p w14:paraId="5CC0249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169 </w:t>
            </w:r>
          </w:p>
        </w:tc>
      </w:tr>
      <w:tr w:rsidR="00E00527" w:rsidRPr="00F05753" w14:paraId="0AD06389"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377F6B21"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2E3DB41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1033C8A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1.991 </w:t>
            </w:r>
          </w:p>
        </w:tc>
        <w:tc>
          <w:tcPr>
            <w:tcW w:w="638" w:type="pct"/>
            <w:tcBorders>
              <w:top w:val="nil"/>
              <w:left w:val="nil"/>
              <w:bottom w:val="single" w:sz="4" w:space="0" w:color="auto"/>
              <w:right w:val="single" w:sz="4" w:space="0" w:color="auto"/>
            </w:tcBorders>
            <w:noWrap/>
            <w:vAlign w:val="bottom"/>
            <w:hideMark/>
          </w:tcPr>
          <w:p w14:paraId="2DA57BC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728 </w:t>
            </w:r>
          </w:p>
        </w:tc>
        <w:tc>
          <w:tcPr>
            <w:tcW w:w="1128" w:type="pct"/>
            <w:tcBorders>
              <w:top w:val="nil"/>
              <w:left w:val="nil"/>
              <w:bottom w:val="single" w:sz="4" w:space="0" w:color="auto"/>
              <w:right w:val="single" w:sz="4" w:space="0" w:color="auto"/>
            </w:tcBorders>
            <w:noWrap/>
            <w:vAlign w:val="bottom"/>
            <w:hideMark/>
          </w:tcPr>
          <w:p w14:paraId="408A0AE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2.719 </w:t>
            </w:r>
          </w:p>
        </w:tc>
      </w:tr>
      <w:tr w:rsidR="00E00527" w:rsidRPr="00F05753" w14:paraId="572104C1"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778733AA"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18D60A1B"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664E5F5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2.469 </w:t>
            </w:r>
          </w:p>
        </w:tc>
        <w:tc>
          <w:tcPr>
            <w:tcW w:w="638" w:type="pct"/>
            <w:tcBorders>
              <w:top w:val="nil"/>
              <w:left w:val="nil"/>
              <w:bottom w:val="single" w:sz="4" w:space="0" w:color="auto"/>
              <w:right w:val="single" w:sz="4" w:space="0" w:color="auto"/>
            </w:tcBorders>
            <w:noWrap/>
            <w:vAlign w:val="bottom"/>
            <w:hideMark/>
          </w:tcPr>
          <w:p w14:paraId="67AC428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884 </w:t>
            </w:r>
          </w:p>
        </w:tc>
        <w:tc>
          <w:tcPr>
            <w:tcW w:w="1128" w:type="pct"/>
            <w:tcBorders>
              <w:top w:val="nil"/>
              <w:left w:val="nil"/>
              <w:bottom w:val="single" w:sz="4" w:space="0" w:color="auto"/>
              <w:right w:val="single" w:sz="4" w:space="0" w:color="auto"/>
            </w:tcBorders>
            <w:noWrap/>
            <w:vAlign w:val="bottom"/>
            <w:hideMark/>
          </w:tcPr>
          <w:p w14:paraId="5682130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3.353 </w:t>
            </w:r>
          </w:p>
        </w:tc>
      </w:tr>
      <w:tr w:rsidR="00E00527" w:rsidRPr="00F05753" w14:paraId="5BFDD2D9"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28C03AB4"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7198D604"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0F57545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384 </w:t>
            </w:r>
          </w:p>
        </w:tc>
        <w:tc>
          <w:tcPr>
            <w:tcW w:w="638" w:type="pct"/>
            <w:tcBorders>
              <w:top w:val="nil"/>
              <w:left w:val="nil"/>
              <w:bottom w:val="single" w:sz="4" w:space="0" w:color="auto"/>
              <w:right w:val="single" w:sz="4" w:space="0" w:color="auto"/>
            </w:tcBorders>
            <w:noWrap/>
            <w:vAlign w:val="bottom"/>
            <w:hideMark/>
          </w:tcPr>
          <w:p w14:paraId="244C1F7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133 </w:t>
            </w:r>
          </w:p>
        </w:tc>
        <w:tc>
          <w:tcPr>
            <w:tcW w:w="1128" w:type="pct"/>
            <w:tcBorders>
              <w:top w:val="nil"/>
              <w:left w:val="nil"/>
              <w:bottom w:val="single" w:sz="4" w:space="0" w:color="auto"/>
              <w:right w:val="single" w:sz="4" w:space="0" w:color="auto"/>
            </w:tcBorders>
            <w:noWrap/>
            <w:vAlign w:val="bottom"/>
            <w:hideMark/>
          </w:tcPr>
          <w:p w14:paraId="17601477"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517 </w:t>
            </w:r>
          </w:p>
        </w:tc>
      </w:tr>
      <w:tr w:rsidR="00E00527" w:rsidRPr="00F05753" w14:paraId="609DA296"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338EC2D2"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06D4D306"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Novembro  </w:t>
            </w:r>
          </w:p>
        </w:tc>
        <w:tc>
          <w:tcPr>
            <w:tcW w:w="1068" w:type="pct"/>
            <w:tcBorders>
              <w:top w:val="nil"/>
              <w:left w:val="nil"/>
              <w:bottom w:val="single" w:sz="4" w:space="0" w:color="auto"/>
              <w:right w:val="single" w:sz="4" w:space="0" w:color="auto"/>
            </w:tcBorders>
            <w:noWrap/>
            <w:vAlign w:val="bottom"/>
            <w:hideMark/>
          </w:tcPr>
          <w:p w14:paraId="2DB053C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241 </w:t>
            </w:r>
          </w:p>
        </w:tc>
        <w:tc>
          <w:tcPr>
            <w:tcW w:w="638" w:type="pct"/>
            <w:tcBorders>
              <w:top w:val="nil"/>
              <w:left w:val="nil"/>
              <w:bottom w:val="single" w:sz="4" w:space="0" w:color="auto"/>
              <w:right w:val="single" w:sz="4" w:space="0" w:color="auto"/>
            </w:tcBorders>
            <w:noWrap/>
            <w:vAlign w:val="bottom"/>
            <w:hideMark/>
          </w:tcPr>
          <w:p w14:paraId="608A3DB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80 </w:t>
            </w:r>
          </w:p>
        </w:tc>
        <w:tc>
          <w:tcPr>
            <w:tcW w:w="1128" w:type="pct"/>
            <w:tcBorders>
              <w:top w:val="nil"/>
              <w:left w:val="nil"/>
              <w:bottom w:val="single" w:sz="4" w:space="0" w:color="auto"/>
              <w:right w:val="single" w:sz="4" w:space="0" w:color="auto"/>
            </w:tcBorders>
            <w:noWrap/>
            <w:vAlign w:val="bottom"/>
            <w:hideMark/>
          </w:tcPr>
          <w:p w14:paraId="326ED2E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321 </w:t>
            </w:r>
          </w:p>
        </w:tc>
      </w:tr>
      <w:tr w:rsidR="00E00527" w:rsidRPr="00F05753" w14:paraId="08BA5417" w14:textId="77777777" w:rsidTr="00E00527">
        <w:trPr>
          <w:trHeight w:val="232"/>
        </w:trPr>
        <w:tc>
          <w:tcPr>
            <w:tcW w:w="712" w:type="pct"/>
            <w:vMerge/>
            <w:tcBorders>
              <w:top w:val="nil"/>
              <w:left w:val="single" w:sz="4" w:space="0" w:color="auto"/>
              <w:bottom w:val="single" w:sz="8" w:space="0" w:color="000000"/>
              <w:right w:val="single" w:sz="4" w:space="0" w:color="auto"/>
            </w:tcBorders>
            <w:vAlign w:val="center"/>
            <w:hideMark/>
          </w:tcPr>
          <w:p w14:paraId="1A7336F3"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nil"/>
              <w:bottom w:val="single" w:sz="8" w:space="0" w:color="auto"/>
              <w:right w:val="single" w:sz="4" w:space="0" w:color="auto"/>
            </w:tcBorders>
            <w:noWrap/>
            <w:vAlign w:val="bottom"/>
            <w:hideMark/>
          </w:tcPr>
          <w:p w14:paraId="510FD5AD"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Dezembro  </w:t>
            </w:r>
          </w:p>
        </w:tc>
        <w:tc>
          <w:tcPr>
            <w:tcW w:w="1068" w:type="pct"/>
            <w:tcBorders>
              <w:top w:val="single" w:sz="4" w:space="0" w:color="auto"/>
              <w:left w:val="nil"/>
              <w:bottom w:val="nil"/>
              <w:right w:val="single" w:sz="4" w:space="0" w:color="auto"/>
            </w:tcBorders>
            <w:noWrap/>
            <w:vAlign w:val="bottom"/>
            <w:hideMark/>
          </w:tcPr>
          <w:p w14:paraId="6785400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6.228 </w:t>
            </w:r>
          </w:p>
        </w:tc>
        <w:tc>
          <w:tcPr>
            <w:tcW w:w="638" w:type="pct"/>
            <w:tcBorders>
              <w:top w:val="single" w:sz="4" w:space="0" w:color="auto"/>
              <w:left w:val="nil"/>
              <w:bottom w:val="nil"/>
              <w:right w:val="single" w:sz="4" w:space="0" w:color="auto"/>
            </w:tcBorders>
            <w:noWrap/>
            <w:vAlign w:val="bottom"/>
            <w:hideMark/>
          </w:tcPr>
          <w:p w14:paraId="7DF6929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1.951 </w:t>
            </w:r>
          </w:p>
        </w:tc>
        <w:tc>
          <w:tcPr>
            <w:tcW w:w="1128" w:type="pct"/>
            <w:tcBorders>
              <w:top w:val="single" w:sz="4" w:space="0" w:color="auto"/>
              <w:left w:val="nil"/>
              <w:bottom w:val="nil"/>
              <w:right w:val="single" w:sz="4" w:space="0" w:color="auto"/>
            </w:tcBorders>
            <w:noWrap/>
            <w:vAlign w:val="bottom"/>
            <w:hideMark/>
          </w:tcPr>
          <w:p w14:paraId="7762148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8.179 </w:t>
            </w:r>
          </w:p>
        </w:tc>
      </w:tr>
      <w:tr w:rsidR="00E00527" w:rsidRPr="00F05753" w14:paraId="2BBC99A3" w14:textId="77777777" w:rsidTr="00E00527">
        <w:trPr>
          <w:trHeight w:val="232"/>
        </w:trPr>
        <w:tc>
          <w:tcPr>
            <w:tcW w:w="712" w:type="pct"/>
            <w:vMerge w:val="restart"/>
            <w:tcBorders>
              <w:top w:val="nil"/>
              <w:left w:val="single" w:sz="4" w:space="0" w:color="auto"/>
              <w:bottom w:val="single" w:sz="4" w:space="0" w:color="auto"/>
              <w:right w:val="single" w:sz="4" w:space="0" w:color="auto"/>
            </w:tcBorders>
            <w:noWrap/>
            <w:vAlign w:val="center"/>
            <w:hideMark/>
          </w:tcPr>
          <w:p w14:paraId="6F38B01F"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2024</w:t>
            </w:r>
          </w:p>
        </w:tc>
        <w:tc>
          <w:tcPr>
            <w:tcW w:w="1454" w:type="pct"/>
            <w:tcBorders>
              <w:top w:val="nil"/>
              <w:left w:val="single" w:sz="4" w:space="0" w:color="auto"/>
              <w:bottom w:val="single" w:sz="4" w:space="0" w:color="auto"/>
              <w:right w:val="single" w:sz="4" w:space="0" w:color="auto"/>
            </w:tcBorders>
            <w:noWrap/>
            <w:vAlign w:val="bottom"/>
            <w:hideMark/>
          </w:tcPr>
          <w:p w14:paraId="6CC9972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Janeiro  </w:t>
            </w:r>
          </w:p>
        </w:tc>
        <w:tc>
          <w:tcPr>
            <w:tcW w:w="1068" w:type="pct"/>
            <w:tcBorders>
              <w:top w:val="single" w:sz="8" w:space="0" w:color="auto"/>
              <w:left w:val="nil"/>
              <w:bottom w:val="single" w:sz="4" w:space="0" w:color="auto"/>
              <w:right w:val="single" w:sz="4" w:space="0" w:color="auto"/>
            </w:tcBorders>
            <w:noWrap/>
            <w:vAlign w:val="bottom"/>
            <w:hideMark/>
          </w:tcPr>
          <w:p w14:paraId="0CB9E51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256 </w:t>
            </w:r>
          </w:p>
        </w:tc>
        <w:tc>
          <w:tcPr>
            <w:tcW w:w="638" w:type="pct"/>
            <w:tcBorders>
              <w:top w:val="single" w:sz="8" w:space="0" w:color="auto"/>
              <w:left w:val="nil"/>
              <w:bottom w:val="single" w:sz="4" w:space="0" w:color="auto"/>
              <w:right w:val="single" w:sz="4" w:space="0" w:color="auto"/>
            </w:tcBorders>
            <w:noWrap/>
            <w:vAlign w:val="bottom"/>
            <w:hideMark/>
          </w:tcPr>
          <w:p w14:paraId="5296059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78 </w:t>
            </w:r>
          </w:p>
        </w:tc>
        <w:tc>
          <w:tcPr>
            <w:tcW w:w="1128" w:type="pct"/>
            <w:tcBorders>
              <w:top w:val="single" w:sz="8" w:space="0" w:color="auto"/>
              <w:left w:val="nil"/>
              <w:bottom w:val="single" w:sz="4" w:space="0" w:color="auto"/>
              <w:right w:val="single" w:sz="4" w:space="0" w:color="auto"/>
            </w:tcBorders>
            <w:noWrap/>
            <w:vAlign w:val="bottom"/>
            <w:hideMark/>
          </w:tcPr>
          <w:p w14:paraId="6062073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334 </w:t>
            </w:r>
          </w:p>
        </w:tc>
      </w:tr>
      <w:tr w:rsidR="00E00527" w:rsidRPr="00F05753" w14:paraId="0CD75BBE"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7D5EB9F5"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nil"/>
              <w:bottom w:val="single" w:sz="4" w:space="0" w:color="auto"/>
              <w:right w:val="single" w:sz="4" w:space="0" w:color="auto"/>
            </w:tcBorders>
            <w:noWrap/>
            <w:vAlign w:val="bottom"/>
            <w:hideMark/>
          </w:tcPr>
          <w:p w14:paraId="3610F19A"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Fevereiro  </w:t>
            </w:r>
          </w:p>
        </w:tc>
        <w:tc>
          <w:tcPr>
            <w:tcW w:w="1068" w:type="pct"/>
            <w:tcBorders>
              <w:top w:val="single" w:sz="4" w:space="0" w:color="auto"/>
              <w:left w:val="nil"/>
              <w:bottom w:val="single" w:sz="4" w:space="0" w:color="auto"/>
              <w:right w:val="single" w:sz="4" w:space="0" w:color="auto"/>
            </w:tcBorders>
            <w:noWrap/>
            <w:vAlign w:val="bottom"/>
            <w:hideMark/>
          </w:tcPr>
          <w:p w14:paraId="431175B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484 </w:t>
            </w:r>
          </w:p>
        </w:tc>
        <w:tc>
          <w:tcPr>
            <w:tcW w:w="638" w:type="pct"/>
            <w:tcBorders>
              <w:top w:val="single" w:sz="4" w:space="0" w:color="auto"/>
              <w:left w:val="nil"/>
              <w:bottom w:val="single" w:sz="4" w:space="0" w:color="auto"/>
              <w:right w:val="single" w:sz="4" w:space="0" w:color="auto"/>
            </w:tcBorders>
            <w:noWrap/>
            <w:vAlign w:val="bottom"/>
            <w:hideMark/>
          </w:tcPr>
          <w:p w14:paraId="0FDCCB7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142 </w:t>
            </w:r>
          </w:p>
        </w:tc>
        <w:tc>
          <w:tcPr>
            <w:tcW w:w="1128" w:type="pct"/>
            <w:tcBorders>
              <w:top w:val="single" w:sz="4" w:space="0" w:color="auto"/>
              <w:left w:val="nil"/>
              <w:bottom w:val="single" w:sz="4" w:space="0" w:color="auto"/>
              <w:right w:val="single" w:sz="4" w:space="0" w:color="auto"/>
            </w:tcBorders>
            <w:noWrap/>
            <w:vAlign w:val="bottom"/>
            <w:hideMark/>
          </w:tcPr>
          <w:p w14:paraId="2477392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626 </w:t>
            </w:r>
          </w:p>
        </w:tc>
      </w:tr>
      <w:tr w:rsidR="00E00527" w:rsidRPr="00F05753" w14:paraId="668F507E"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3CE736B4" w14:textId="77777777" w:rsidR="00E00527" w:rsidRPr="00F05753" w:rsidRDefault="00E00527">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0D2A7774"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31354B5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2.174 </w:t>
            </w:r>
          </w:p>
        </w:tc>
        <w:tc>
          <w:tcPr>
            <w:tcW w:w="638" w:type="pct"/>
            <w:tcBorders>
              <w:top w:val="nil"/>
              <w:left w:val="nil"/>
              <w:bottom w:val="single" w:sz="4" w:space="0" w:color="auto"/>
              <w:right w:val="single" w:sz="4" w:space="0" w:color="auto"/>
            </w:tcBorders>
            <w:noWrap/>
            <w:vAlign w:val="bottom"/>
            <w:hideMark/>
          </w:tcPr>
          <w:p w14:paraId="6499581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609 </w:t>
            </w:r>
          </w:p>
        </w:tc>
        <w:tc>
          <w:tcPr>
            <w:tcW w:w="1128" w:type="pct"/>
            <w:tcBorders>
              <w:top w:val="nil"/>
              <w:left w:val="nil"/>
              <w:bottom w:val="single" w:sz="4" w:space="0" w:color="auto"/>
              <w:right w:val="single" w:sz="4" w:space="0" w:color="auto"/>
            </w:tcBorders>
            <w:noWrap/>
            <w:vAlign w:val="bottom"/>
            <w:hideMark/>
          </w:tcPr>
          <w:p w14:paraId="69D68A9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2.783 </w:t>
            </w:r>
          </w:p>
        </w:tc>
      </w:tr>
      <w:tr w:rsidR="00E00527" w:rsidRPr="00F05753" w14:paraId="2A3A585D"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230FCDDD" w14:textId="77777777" w:rsidR="00E00527" w:rsidRPr="00F05753" w:rsidRDefault="00E00527">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305953D4"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Abril  </w:t>
            </w:r>
          </w:p>
        </w:tc>
        <w:tc>
          <w:tcPr>
            <w:tcW w:w="1068" w:type="pct"/>
            <w:tcBorders>
              <w:top w:val="nil"/>
              <w:left w:val="nil"/>
              <w:bottom w:val="single" w:sz="4" w:space="0" w:color="auto"/>
              <w:right w:val="single" w:sz="4" w:space="0" w:color="auto"/>
            </w:tcBorders>
            <w:noWrap/>
            <w:vAlign w:val="bottom"/>
            <w:hideMark/>
          </w:tcPr>
          <w:p w14:paraId="6DF1BCD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5.858 </w:t>
            </w:r>
          </w:p>
        </w:tc>
        <w:tc>
          <w:tcPr>
            <w:tcW w:w="638" w:type="pct"/>
            <w:tcBorders>
              <w:top w:val="nil"/>
              <w:left w:val="nil"/>
              <w:bottom w:val="single" w:sz="4" w:space="0" w:color="auto"/>
              <w:right w:val="single" w:sz="4" w:space="0" w:color="auto"/>
            </w:tcBorders>
            <w:noWrap/>
            <w:vAlign w:val="bottom"/>
            <w:hideMark/>
          </w:tcPr>
          <w:p w14:paraId="6DE743B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1.608 </w:t>
            </w:r>
          </w:p>
        </w:tc>
        <w:tc>
          <w:tcPr>
            <w:tcW w:w="1128" w:type="pct"/>
            <w:tcBorders>
              <w:top w:val="nil"/>
              <w:left w:val="nil"/>
              <w:bottom w:val="single" w:sz="4" w:space="0" w:color="auto"/>
              <w:right w:val="single" w:sz="4" w:space="0" w:color="auto"/>
            </w:tcBorders>
            <w:noWrap/>
            <w:vAlign w:val="bottom"/>
            <w:hideMark/>
          </w:tcPr>
          <w:p w14:paraId="5C1EF21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7.466 </w:t>
            </w:r>
          </w:p>
        </w:tc>
      </w:tr>
      <w:tr w:rsidR="00E00527" w:rsidRPr="00F05753" w14:paraId="547B398F"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1B5CB2DE" w14:textId="77777777" w:rsidR="00E00527" w:rsidRPr="00F05753" w:rsidRDefault="00E00527">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4E46A246"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06CC370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1.267 </w:t>
            </w:r>
          </w:p>
        </w:tc>
        <w:tc>
          <w:tcPr>
            <w:tcW w:w="638" w:type="pct"/>
            <w:tcBorders>
              <w:top w:val="nil"/>
              <w:left w:val="nil"/>
              <w:bottom w:val="single" w:sz="4" w:space="0" w:color="auto"/>
              <w:right w:val="single" w:sz="4" w:space="0" w:color="auto"/>
            </w:tcBorders>
            <w:noWrap/>
            <w:vAlign w:val="bottom"/>
            <w:hideMark/>
          </w:tcPr>
          <w:p w14:paraId="63684BC7"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334 </w:t>
            </w:r>
          </w:p>
        </w:tc>
        <w:tc>
          <w:tcPr>
            <w:tcW w:w="1128" w:type="pct"/>
            <w:tcBorders>
              <w:top w:val="nil"/>
              <w:left w:val="nil"/>
              <w:bottom w:val="single" w:sz="4" w:space="0" w:color="auto"/>
              <w:right w:val="single" w:sz="4" w:space="0" w:color="auto"/>
            </w:tcBorders>
            <w:noWrap/>
            <w:vAlign w:val="bottom"/>
            <w:hideMark/>
          </w:tcPr>
          <w:p w14:paraId="333006A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1.601 </w:t>
            </w:r>
          </w:p>
        </w:tc>
      </w:tr>
      <w:tr w:rsidR="00E00527" w:rsidRPr="00F05753" w14:paraId="74E6DBF9"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165C1272" w14:textId="77777777" w:rsidR="00E00527" w:rsidRPr="00F05753" w:rsidRDefault="00E00527">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53C5DAD"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57E2B3E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496 </w:t>
            </w:r>
          </w:p>
        </w:tc>
        <w:tc>
          <w:tcPr>
            <w:tcW w:w="638" w:type="pct"/>
            <w:tcBorders>
              <w:top w:val="nil"/>
              <w:left w:val="nil"/>
              <w:bottom w:val="single" w:sz="4" w:space="0" w:color="auto"/>
              <w:right w:val="single" w:sz="4" w:space="0" w:color="auto"/>
            </w:tcBorders>
            <w:noWrap/>
            <w:vAlign w:val="bottom"/>
            <w:hideMark/>
          </w:tcPr>
          <w:p w14:paraId="2F1B862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125 </w:t>
            </w:r>
          </w:p>
        </w:tc>
        <w:tc>
          <w:tcPr>
            <w:tcW w:w="1128" w:type="pct"/>
            <w:tcBorders>
              <w:top w:val="nil"/>
              <w:left w:val="nil"/>
              <w:bottom w:val="single" w:sz="4" w:space="0" w:color="auto"/>
              <w:right w:val="single" w:sz="4" w:space="0" w:color="auto"/>
            </w:tcBorders>
            <w:noWrap/>
            <w:vAlign w:val="bottom"/>
            <w:hideMark/>
          </w:tcPr>
          <w:p w14:paraId="4DF6174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621 </w:t>
            </w:r>
          </w:p>
        </w:tc>
      </w:tr>
      <w:tr w:rsidR="00E00527" w:rsidRPr="00F05753" w14:paraId="729655EB"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5791C49C" w14:textId="77777777" w:rsidR="00E00527" w:rsidRPr="00F05753" w:rsidRDefault="00E00527">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0E3076E8"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Julho  </w:t>
            </w:r>
          </w:p>
        </w:tc>
        <w:tc>
          <w:tcPr>
            <w:tcW w:w="1068" w:type="pct"/>
            <w:tcBorders>
              <w:top w:val="nil"/>
              <w:left w:val="nil"/>
              <w:bottom w:val="single" w:sz="4" w:space="0" w:color="auto"/>
              <w:right w:val="single" w:sz="4" w:space="0" w:color="auto"/>
            </w:tcBorders>
            <w:noWrap/>
            <w:vAlign w:val="bottom"/>
            <w:hideMark/>
          </w:tcPr>
          <w:p w14:paraId="744E5AC6"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2.326 </w:t>
            </w:r>
          </w:p>
        </w:tc>
        <w:tc>
          <w:tcPr>
            <w:tcW w:w="638" w:type="pct"/>
            <w:tcBorders>
              <w:top w:val="nil"/>
              <w:left w:val="nil"/>
              <w:bottom w:val="single" w:sz="4" w:space="0" w:color="auto"/>
              <w:right w:val="single" w:sz="4" w:space="0" w:color="auto"/>
            </w:tcBorders>
            <w:noWrap/>
            <w:vAlign w:val="bottom"/>
            <w:hideMark/>
          </w:tcPr>
          <w:p w14:paraId="7CFD5C7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564 </w:t>
            </w:r>
          </w:p>
        </w:tc>
        <w:tc>
          <w:tcPr>
            <w:tcW w:w="1128" w:type="pct"/>
            <w:tcBorders>
              <w:top w:val="nil"/>
              <w:left w:val="nil"/>
              <w:bottom w:val="single" w:sz="4" w:space="0" w:color="auto"/>
              <w:right w:val="single" w:sz="4" w:space="0" w:color="auto"/>
            </w:tcBorders>
            <w:noWrap/>
            <w:vAlign w:val="bottom"/>
            <w:hideMark/>
          </w:tcPr>
          <w:p w14:paraId="1ED1D2F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2.890 </w:t>
            </w:r>
          </w:p>
        </w:tc>
      </w:tr>
      <w:tr w:rsidR="00E00527" w:rsidRPr="00F05753" w14:paraId="58839184"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0C6B0791" w14:textId="77777777" w:rsidR="00E00527" w:rsidRPr="00F05753" w:rsidRDefault="00E00527">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010E0E6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Agosto  </w:t>
            </w:r>
          </w:p>
        </w:tc>
        <w:tc>
          <w:tcPr>
            <w:tcW w:w="1068" w:type="pct"/>
            <w:tcBorders>
              <w:top w:val="nil"/>
              <w:left w:val="nil"/>
              <w:bottom w:val="single" w:sz="4" w:space="0" w:color="auto"/>
              <w:right w:val="single" w:sz="4" w:space="0" w:color="auto"/>
            </w:tcBorders>
            <w:noWrap/>
            <w:vAlign w:val="bottom"/>
            <w:hideMark/>
          </w:tcPr>
          <w:p w14:paraId="134C7A1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461 </w:t>
            </w:r>
          </w:p>
        </w:tc>
        <w:tc>
          <w:tcPr>
            <w:tcW w:w="638" w:type="pct"/>
            <w:tcBorders>
              <w:top w:val="nil"/>
              <w:left w:val="nil"/>
              <w:bottom w:val="single" w:sz="4" w:space="0" w:color="auto"/>
              <w:right w:val="single" w:sz="4" w:space="0" w:color="auto"/>
            </w:tcBorders>
            <w:noWrap/>
            <w:vAlign w:val="bottom"/>
            <w:hideMark/>
          </w:tcPr>
          <w:p w14:paraId="77F5707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106 </w:t>
            </w:r>
          </w:p>
        </w:tc>
        <w:tc>
          <w:tcPr>
            <w:tcW w:w="1128" w:type="pct"/>
            <w:tcBorders>
              <w:top w:val="nil"/>
              <w:left w:val="nil"/>
              <w:bottom w:val="single" w:sz="4" w:space="0" w:color="auto"/>
              <w:right w:val="single" w:sz="4" w:space="0" w:color="auto"/>
            </w:tcBorders>
            <w:noWrap/>
            <w:vAlign w:val="bottom"/>
            <w:hideMark/>
          </w:tcPr>
          <w:p w14:paraId="1DE7967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567 </w:t>
            </w:r>
          </w:p>
        </w:tc>
      </w:tr>
      <w:tr w:rsidR="00E00527" w:rsidRPr="00F05753" w14:paraId="5B6DCE59"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4A7269B1" w14:textId="77777777" w:rsidR="00E00527" w:rsidRPr="00F05753" w:rsidRDefault="00E00527">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224D84FE"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Setembro  </w:t>
            </w:r>
          </w:p>
        </w:tc>
        <w:tc>
          <w:tcPr>
            <w:tcW w:w="1068" w:type="pct"/>
            <w:tcBorders>
              <w:top w:val="nil"/>
              <w:left w:val="nil"/>
              <w:bottom w:val="single" w:sz="4" w:space="0" w:color="auto"/>
              <w:right w:val="single" w:sz="4" w:space="0" w:color="auto"/>
            </w:tcBorders>
            <w:noWrap/>
            <w:vAlign w:val="bottom"/>
            <w:hideMark/>
          </w:tcPr>
          <w:p w14:paraId="12F3C80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638 </w:t>
            </w:r>
          </w:p>
        </w:tc>
        <w:tc>
          <w:tcPr>
            <w:tcW w:w="638" w:type="pct"/>
            <w:tcBorders>
              <w:top w:val="nil"/>
              <w:left w:val="nil"/>
              <w:bottom w:val="single" w:sz="4" w:space="0" w:color="auto"/>
              <w:right w:val="single" w:sz="4" w:space="0" w:color="auto"/>
            </w:tcBorders>
            <w:noWrap/>
            <w:vAlign w:val="bottom"/>
            <w:hideMark/>
          </w:tcPr>
          <w:p w14:paraId="2D4CD65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140 </w:t>
            </w:r>
          </w:p>
        </w:tc>
        <w:tc>
          <w:tcPr>
            <w:tcW w:w="1128" w:type="pct"/>
            <w:tcBorders>
              <w:top w:val="nil"/>
              <w:left w:val="nil"/>
              <w:bottom w:val="single" w:sz="4" w:space="0" w:color="auto"/>
              <w:right w:val="single" w:sz="4" w:space="0" w:color="auto"/>
            </w:tcBorders>
            <w:noWrap/>
            <w:vAlign w:val="bottom"/>
            <w:hideMark/>
          </w:tcPr>
          <w:p w14:paraId="77C854E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778 </w:t>
            </w:r>
          </w:p>
        </w:tc>
      </w:tr>
      <w:tr w:rsidR="00E00527" w:rsidRPr="00F05753" w14:paraId="472FA37F"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1E922199" w14:textId="77777777" w:rsidR="00E00527" w:rsidRPr="00F05753" w:rsidRDefault="00E00527">
            <w:pPr>
              <w:rPr>
                <w:rFonts w:ascii="Arial" w:hAnsi="Arial" w:cs="Arial"/>
                <w:b/>
                <w:bCs/>
                <w:color w:val="000000"/>
                <w:sz w:val="18"/>
                <w:szCs w:val="18"/>
              </w:rPr>
            </w:pPr>
          </w:p>
        </w:tc>
        <w:tc>
          <w:tcPr>
            <w:tcW w:w="1454" w:type="pct"/>
            <w:tcBorders>
              <w:top w:val="nil"/>
              <w:left w:val="nil"/>
              <w:bottom w:val="single" w:sz="4" w:space="0" w:color="auto"/>
              <w:right w:val="single" w:sz="4" w:space="0" w:color="auto"/>
            </w:tcBorders>
            <w:noWrap/>
            <w:vAlign w:val="bottom"/>
            <w:hideMark/>
          </w:tcPr>
          <w:p w14:paraId="671FA852"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Outubro  </w:t>
            </w:r>
          </w:p>
        </w:tc>
        <w:tc>
          <w:tcPr>
            <w:tcW w:w="1068" w:type="pct"/>
            <w:tcBorders>
              <w:top w:val="nil"/>
              <w:left w:val="nil"/>
              <w:bottom w:val="single" w:sz="4" w:space="0" w:color="auto"/>
              <w:right w:val="single" w:sz="4" w:space="0" w:color="auto"/>
            </w:tcBorders>
            <w:noWrap/>
            <w:vAlign w:val="bottom"/>
            <w:hideMark/>
          </w:tcPr>
          <w:p w14:paraId="44894567"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403 </w:t>
            </w:r>
          </w:p>
        </w:tc>
        <w:tc>
          <w:tcPr>
            <w:tcW w:w="638" w:type="pct"/>
            <w:tcBorders>
              <w:top w:val="nil"/>
              <w:left w:val="nil"/>
              <w:bottom w:val="single" w:sz="4" w:space="0" w:color="auto"/>
              <w:right w:val="single" w:sz="4" w:space="0" w:color="auto"/>
            </w:tcBorders>
            <w:noWrap/>
            <w:vAlign w:val="bottom"/>
            <w:hideMark/>
          </w:tcPr>
          <w:p w14:paraId="613864A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85 </w:t>
            </w:r>
          </w:p>
        </w:tc>
        <w:tc>
          <w:tcPr>
            <w:tcW w:w="1128" w:type="pct"/>
            <w:tcBorders>
              <w:top w:val="nil"/>
              <w:left w:val="nil"/>
              <w:bottom w:val="single" w:sz="4" w:space="0" w:color="auto"/>
              <w:right w:val="single" w:sz="4" w:space="0" w:color="auto"/>
            </w:tcBorders>
            <w:noWrap/>
            <w:vAlign w:val="bottom"/>
            <w:hideMark/>
          </w:tcPr>
          <w:p w14:paraId="4B7AF5AC"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488 </w:t>
            </w:r>
          </w:p>
        </w:tc>
      </w:tr>
      <w:tr w:rsidR="00E00527" w:rsidRPr="00F05753" w14:paraId="3805FDD5" w14:textId="77777777" w:rsidTr="00E00527">
        <w:trPr>
          <w:trHeight w:val="232"/>
        </w:trPr>
        <w:tc>
          <w:tcPr>
            <w:tcW w:w="712" w:type="pct"/>
            <w:vMerge/>
            <w:tcBorders>
              <w:top w:val="nil"/>
              <w:left w:val="single" w:sz="4" w:space="0" w:color="auto"/>
              <w:bottom w:val="single" w:sz="4" w:space="0" w:color="auto"/>
              <w:right w:val="single" w:sz="4" w:space="0" w:color="auto"/>
            </w:tcBorders>
            <w:vAlign w:val="center"/>
            <w:hideMark/>
          </w:tcPr>
          <w:p w14:paraId="09A01B14"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single" w:sz="4" w:space="0" w:color="auto"/>
              <w:bottom w:val="single" w:sz="8" w:space="0" w:color="auto"/>
              <w:right w:val="single" w:sz="4" w:space="0" w:color="auto"/>
            </w:tcBorders>
            <w:noWrap/>
            <w:vAlign w:val="bottom"/>
            <w:hideMark/>
          </w:tcPr>
          <w:p w14:paraId="5E3B7CD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Novembro  </w:t>
            </w:r>
          </w:p>
        </w:tc>
        <w:tc>
          <w:tcPr>
            <w:tcW w:w="1068" w:type="pct"/>
            <w:tcBorders>
              <w:top w:val="single" w:sz="4" w:space="0" w:color="auto"/>
              <w:left w:val="nil"/>
              <w:bottom w:val="nil"/>
              <w:right w:val="single" w:sz="4" w:space="0" w:color="auto"/>
            </w:tcBorders>
            <w:noWrap/>
            <w:vAlign w:val="bottom"/>
            <w:hideMark/>
          </w:tcPr>
          <w:p w14:paraId="2B32501A"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129 </w:t>
            </w:r>
          </w:p>
        </w:tc>
        <w:tc>
          <w:tcPr>
            <w:tcW w:w="638" w:type="pct"/>
            <w:tcBorders>
              <w:top w:val="single" w:sz="4" w:space="0" w:color="auto"/>
              <w:left w:val="nil"/>
              <w:bottom w:val="nil"/>
              <w:right w:val="single" w:sz="4" w:space="0" w:color="auto"/>
            </w:tcBorders>
            <w:noWrap/>
            <w:vAlign w:val="bottom"/>
            <w:hideMark/>
          </w:tcPr>
          <w:p w14:paraId="4437CE29"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25 </w:t>
            </w:r>
          </w:p>
        </w:tc>
        <w:tc>
          <w:tcPr>
            <w:tcW w:w="1128" w:type="pct"/>
            <w:tcBorders>
              <w:top w:val="single" w:sz="4" w:space="0" w:color="auto"/>
              <w:left w:val="nil"/>
              <w:bottom w:val="nil"/>
              <w:right w:val="single" w:sz="4" w:space="0" w:color="auto"/>
            </w:tcBorders>
            <w:noWrap/>
            <w:vAlign w:val="bottom"/>
            <w:hideMark/>
          </w:tcPr>
          <w:p w14:paraId="2BECD72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154 </w:t>
            </w:r>
          </w:p>
        </w:tc>
      </w:tr>
      <w:tr w:rsidR="00E00527" w:rsidRPr="00F05753" w14:paraId="65F9425D" w14:textId="77777777" w:rsidTr="00E00527">
        <w:trPr>
          <w:trHeight w:val="232"/>
        </w:trPr>
        <w:tc>
          <w:tcPr>
            <w:tcW w:w="712" w:type="pct"/>
            <w:vMerge w:val="restart"/>
            <w:tcBorders>
              <w:top w:val="single" w:sz="8" w:space="0" w:color="auto"/>
              <w:left w:val="single" w:sz="4" w:space="0" w:color="auto"/>
              <w:bottom w:val="single" w:sz="4" w:space="0" w:color="auto"/>
              <w:right w:val="single" w:sz="4" w:space="0" w:color="auto"/>
            </w:tcBorders>
            <w:noWrap/>
            <w:vAlign w:val="center"/>
            <w:hideMark/>
          </w:tcPr>
          <w:p w14:paraId="58E79CFC" w14:textId="77777777" w:rsidR="00E00527" w:rsidRPr="00F05753" w:rsidRDefault="00E00527">
            <w:pPr>
              <w:jc w:val="center"/>
              <w:rPr>
                <w:rFonts w:ascii="Arial" w:hAnsi="Arial" w:cs="Arial"/>
                <w:b/>
                <w:bCs/>
                <w:color w:val="000000"/>
                <w:sz w:val="18"/>
                <w:szCs w:val="18"/>
              </w:rPr>
            </w:pPr>
            <w:r w:rsidRPr="00F05753">
              <w:rPr>
                <w:rFonts w:ascii="Arial" w:hAnsi="Arial" w:cs="Arial"/>
                <w:b/>
                <w:bCs/>
                <w:color w:val="000000"/>
                <w:sz w:val="18"/>
                <w:szCs w:val="18"/>
              </w:rPr>
              <w:t>2025</w:t>
            </w:r>
          </w:p>
        </w:tc>
        <w:tc>
          <w:tcPr>
            <w:tcW w:w="1454" w:type="pct"/>
            <w:tcBorders>
              <w:top w:val="nil"/>
              <w:left w:val="nil"/>
              <w:bottom w:val="single" w:sz="4" w:space="0" w:color="auto"/>
              <w:right w:val="single" w:sz="4" w:space="0" w:color="auto"/>
            </w:tcBorders>
            <w:noWrap/>
            <w:vAlign w:val="bottom"/>
            <w:hideMark/>
          </w:tcPr>
          <w:p w14:paraId="487E49C3"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Janeiro  </w:t>
            </w:r>
          </w:p>
        </w:tc>
        <w:tc>
          <w:tcPr>
            <w:tcW w:w="1068" w:type="pct"/>
            <w:tcBorders>
              <w:top w:val="single" w:sz="8" w:space="0" w:color="auto"/>
              <w:left w:val="nil"/>
              <w:bottom w:val="single" w:sz="4" w:space="0" w:color="auto"/>
              <w:right w:val="single" w:sz="4" w:space="0" w:color="auto"/>
            </w:tcBorders>
            <w:noWrap/>
            <w:vAlign w:val="bottom"/>
            <w:hideMark/>
          </w:tcPr>
          <w:p w14:paraId="2FE08BF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1.356 </w:t>
            </w:r>
          </w:p>
        </w:tc>
        <w:tc>
          <w:tcPr>
            <w:tcW w:w="638" w:type="pct"/>
            <w:tcBorders>
              <w:top w:val="single" w:sz="8" w:space="0" w:color="auto"/>
              <w:left w:val="nil"/>
              <w:bottom w:val="single" w:sz="4" w:space="0" w:color="auto"/>
              <w:right w:val="single" w:sz="4" w:space="0" w:color="auto"/>
            </w:tcBorders>
            <w:noWrap/>
            <w:vAlign w:val="bottom"/>
            <w:hideMark/>
          </w:tcPr>
          <w:p w14:paraId="5467540F"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242 </w:t>
            </w:r>
          </w:p>
        </w:tc>
        <w:tc>
          <w:tcPr>
            <w:tcW w:w="1128" w:type="pct"/>
            <w:tcBorders>
              <w:top w:val="single" w:sz="8" w:space="0" w:color="auto"/>
              <w:left w:val="nil"/>
              <w:bottom w:val="single" w:sz="4" w:space="0" w:color="auto"/>
              <w:right w:val="single" w:sz="4" w:space="0" w:color="auto"/>
            </w:tcBorders>
            <w:noWrap/>
            <w:vAlign w:val="bottom"/>
            <w:hideMark/>
          </w:tcPr>
          <w:p w14:paraId="1B10938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1.598 </w:t>
            </w:r>
          </w:p>
        </w:tc>
      </w:tr>
      <w:tr w:rsidR="00E00527" w:rsidRPr="00F05753" w14:paraId="13E11A7A" w14:textId="77777777" w:rsidTr="00E00527">
        <w:trPr>
          <w:trHeight w:val="232"/>
        </w:trPr>
        <w:tc>
          <w:tcPr>
            <w:tcW w:w="712" w:type="pct"/>
            <w:vMerge/>
            <w:tcBorders>
              <w:top w:val="single" w:sz="8" w:space="0" w:color="auto"/>
              <w:left w:val="single" w:sz="4" w:space="0" w:color="auto"/>
              <w:bottom w:val="single" w:sz="4" w:space="0" w:color="auto"/>
              <w:right w:val="single" w:sz="4" w:space="0" w:color="auto"/>
            </w:tcBorders>
            <w:vAlign w:val="center"/>
            <w:hideMark/>
          </w:tcPr>
          <w:p w14:paraId="2673E831"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single" w:sz="4" w:space="0" w:color="auto"/>
              <w:bottom w:val="single" w:sz="4" w:space="0" w:color="auto"/>
              <w:right w:val="single" w:sz="4" w:space="0" w:color="auto"/>
            </w:tcBorders>
            <w:noWrap/>
            <w:vAlign w:val="bottom"/>
            <w:hideMark/>
          </w:tcPr>
          <w:p w14:paraId="479F63B0"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Fevereiro  </w:t>
            </w:r>
          </w:p>
        </w:tc>
        <w:tc>
          <w:tcPr>
            <w:tcW w:w="1068" w:type="pct"/>
            <w:tcBorders>
              <w:top w:val="single" w:sz="4" w:space="0" w:color="auto"/>
              <w:left w:val="nil"/>
              <w:bottom w:val="single" w:sz="4" w:space="0" w:color="auto"/>
              <w:right w:val="single" w:sz="4" w:space="0" w:color="auto"/>
            </w:tcBorders>
            <w:noWrap/>
            <w:vAlign w:val="bottom"/>
            <w:hideMark/>
          </w:tcPr>
          <w:p w14:paraId="48C0202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364 </w:t>
            </w:r>
          </w:p>
        </w:tc>
        <w:tc>
          <w:tcPr>
            <w:tcW w:w="638" w:type="pct"/>
            <w:tcBorders>
              <w:top w:val="single" w:sz="4" w:space="0" w:color="auto"/>
              <w:left w:val="nil"/>
              <w:bottom w:val="single" w:sz="4" w:space="0" w:color="auto"/>
              <w:right w:val="single" w:sz="4" w:space="0" w:color="auto"/>
            </w:tcBorders>
            <w:noWrap/>
            <w:vAlign w:val="bottom"/>
            <w:hideMark/>
          </w:tcPr>
          <w:p w14:paraId="0D9DF0AE"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61 </w:t>
            </w:r>
          </w:p>
        </w:tc>
        <w:tc>
          <w:tcPr>
            <w:tcW w:w="1128" w:type="pct"/>
            <w:tcBorders>
              <w:top w:val="single" w:sz="4" w:space="0" w:color="auto"/>
              <w:left w:val="nil"/>
              <w:bottom w:val="single" w:sz="4" w:space="0" w:color="auto"/>
              <w:right w:val="single" w:sz="4" w:space="0" w:color="auto"/>
            </w:tcBorders>
            <w:noWrap/>
            <w:vAlign w:val="bottom"/>
            <w:hideMark/>
          </w:tcPr>
          <w:p w14:paraId="7F26F064"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425 </w:t>
            </w:r>
          </w:p>
        </w:tc>
      </w:tr>
      <w:tr w:rsidR="00E00527" w:rsidRPr="00F05753" w14:paraId="45EA821E" w14:textId="77777777" w:rsidTr="00E00527">
        <w:trPr>
          <w:trHeight w:val="232"/>
        </w:trPr>
        <w:tc>
          <w:tcPr>
            <w:tcW w:w="712" w:type="pct"/>
            <w:vMerge/>
            <w:tcBorders>
              <w:top w:val="single" w:sz="8" w:space="0" w:color="auto"/>
              <w:left w:val="single" w:sz="4" w:space="0" w:color="auto"/>
              <w:bottom w:val="single" w:sz="4" w:space="0" w:color="auto"/>
              <w:right w:val="single" w:sz="4" w:space="0" w:color="auto"/>
            </w:tcBorders>
            <w:vAlign w:val="center"/>
            <w:hideMark/>
          </w:tcPr>
          <w:p w14:paraId="3DC16E65"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40B4FBBF"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Março  </w:t>
            </w:r>
          </w:p>
        </w:tc>
        <w:tc>
          <w:tcPr>
            <w:tcW w:w="1068" w:type="pct"/>
            <w:tcBorders>
              <w:top w:val="nil"/>
              <w:left w:val="nil"/>
              <w:bottom w:val="single" w:sz="4" w:space="0" w:color="auto"/>
              <w:right w:val="single" w:sz="4" w:space="0" w:color="auto"/>
            </w:tcBorders>
            <w:noWrap/>
            <w:vAlign w:val="bottom"/>
            <w:hideMark/>
          </w:tcPr>
          <w:p w14:paraId="7A2AAD2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127 </w:t>
            </w:r>
          </w:p>
        </w:tc>
        <w:tc>
          <w:tcPr>
            <w:tcW w:w="638" w:type="pct"/>
            <w:tcBorders>
              <w:top w:val="nil"/>
              <w:left w:val="nil"/>
              <w:bottom w:val="single" w:sz="4" w:space="0" w:color="auto"/>
              <w:right w:val="single" w:sz="4" w:space="0" w:color="auto"/>
            </w:tcBorders>
            <w:noWrap/>
            <w:vAlign w:val="bottom"/>
            <w:hideMark/>
          </w:tcPr>
          <w:p w14:paraId="5242423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19 </w:t>
            </w:r>
          </w:p>
        </w:tc>
        <w:tc>
          <w:tcPr>
            <w:tcW w:w="1128" w:type="pct"/>
            <w:tcBorders>
              <w:top w:val="nil"/>
              <w:left w:val="nil"/>
              <w:bottom w:val="single" w:sz="4" w:space="0" w:color="auto"/>
              <w:right w:val="single" w:sz="4" w:space="0" w:color="auto"/>
            </w:tcBorders>
            <w:noWrap/>
            <w:vAlign w:val="bottom"/>
            <w:hideMark/>
          </w:tcPr>
          <w:p w14:paraId="52F2C132"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146 </w:t>
            </w:r>
          </w:p>
        </w:tc>
      </w:tr>
      <w:tr w:rsidR="00E00527" w:rsidRPr="00F05753" w14:paraId="377DA060" w14:textId="77777777" w:rsidTr="00E00527">
        <w:trPr>
          <w:trHeight w:val="232"/>
        </w:trPr>
        <w:tc>
          <w:tcPr>
            <w:tcW w:w="712" w:type="pct"/>
            <w:vMerge/>
            <w:tcBorders>
              <w:top w:val="single" w:sz="8" w:space="0" w:color="auto"/>
              <w:left w:val="single" w:sz="4" w:space="0" w:color="auto"/>
              <w:bottom w:val="single" w:sz="4" w:space="0" w:color="auto"/>
              <w:right w:val="single" w:sz="4" w:space="0" w:color="auto"/>
            </w:tcBorders>
            <w:vAlign w:val="center"/>
            <w:hideMark/>
          </w:tcPr>
          <w:p w14:paraId="508E8267"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062D8A87"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Maio  </w:t>
            </w:r>
          </w:p>
        </w:tc>
        <w:tc>
          <w:tcPr>
            <w:tcW w:w="1068" w:type="pct"/>
            <w:tcBorders>
              <w:top w:val="nil"/>
              <w:left w:val="nil"/>
              <w:bottom w:val="single" w:sz="4" w:space="0" w:color="auto"/>
              <w:right w:val="single" w:sz="4" w:space="0" w:color="auto"/>
            </w:tcBorders>
            <w:noWrap/>
            <w:vAlign w:val="bottom"/>
            <w:hideMark/>
          </w:tcPr>
          <w:p w14:paraId="1C28201B"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 </w:t>
            </w:r>
          </w:p>
        </w:tc>
        <w:tc>
          <w:tcPr>
            <w:tcW w:w="638" w:type="pct"/>
            <w:tcBorders>
              <w:top w:val="nil"/>
              <w:left w:val="nil"/>
              <w:bottom w:val="single" w:sz="4" w:space="0" w:color="auto"/>
              <w:right w:val="single" w:sz="4" w:space="0" w:color="auto"/>
            </w:tcBorders>
            <w:noWrap/>
            <w:vAlign w:val="bottom"/>
            <w:hideMark/>
          </w:tcPr>
          <w:p w14:paraId="4A647517"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 </w:t>
            </w:r>
          </w:p>
        </w:tc>
        <w:tc>
          <w:tcPr>
            <w:tcW w:w="1128" w:type="pct"/>
            <w:tcBorders>
              <w:top w:val="nil"/>
              <w:left w:val="nil"/>
              <w:bottom w:val="single" w:sz="4" w:space="0" w:color="auto"/>
              <w:right w:val="single" w:sz="4" w:space="0" w:color="auto"/>
            </w:tcBorders>
            <w:noWrap/>
            <w:vAlign w:val="bottom"/>
            <w:hideMark/>
          </w:tcPr>
          <w:p w14:paraId="0AECBF90"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3 </w:t>
            </w:r>
          </w:p>
        </w:tc>
      </w:tr>
      <w:tr w:rsidR="00E00527" w:rsidRPr="00F05753" w14:paraId="108A8081" w14:textId="77777777" w:rsidTr="00E00527">
        <w:trPr>
          <w:trHeight w:val="232"/>
        </w:trPr>
        <w:tc>
          <w:tcPr>
            <w:tcW w:w="712" w:type="pct"/>
            <w:vMerge/>
            <w:tcBorders>
              <w:top w:val="single" w:sz="8" w:space="0" w:color="auto"/>
              <w:left w:val="single" w:sz="4" w:space="0" w:color="auto"/>
              <w:bottom w:val="single" w:sz="4" w:space="0" w:color="auto"/>
              <w:right w:val="single" w:sz="4" w:space="0" w:color="auto"/>
            </w:tcBorders>
            <w:vAlign w:val="center"/>
            <w:hideMark/>
          </w:tcPr>
          <w:p w14:paraId="697E4B07" w14:textId="77777777" w:rsidR="00E00527" w:rsidRPr="00F05753" w:rsidRDefault="00E00527">
            <w:pPr>
              <w:rPr>
                <w:rFonts w:ascii="Arial" w:hAnsi="Arial" w:cs="Arial"/>
                <w:b/>
                <w:bCs/>
                <w:color w:val="000000"/>
                <w:sz w:val="18"/>
                <w:szCs w:val="18"/>
              </w:rPr>
            </w:pPr>
          </w:p>
        </w:tc>
        <w:tc>
          <w:tcPr>
            <w:tcW w:w="1454" w:type="pct"/>
            <w:tcBorders>
              <w:top w:val="nil"/>
              <w:left w:val="single" w:sz="4" w:space="0" w:color="auto"/>
              <w:bottom w:val="single" w:sz="4" w:space="0" w:color="auto"/>
              <w:right w:val="single" w:sz="4" w:space="0" w:color="auto"/>
            </w:tcBorders>
            <w:noWrap/>
            <w:vAlign w:val="bottom"/>
            <w:hideMark/>
          </w:tcPr>
          <w:p w14:paraId="2D1148AD"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Junho   </w:t>
            </w:r>
          </w:p>
        </w:tc>
        <w:tc>
          <w:tcPr>
            <w:tcW w:w="1068" w:type="pct"/>
            <w:tcBorders>
              <w:top w:val="nil"/>
              <w:left w:val="nil"/>
              <w:bottom w:val="single" w:sz="4" w:space="0" w:color="auto"/>
              <w:right w:val="single" w:sz="4" w:space="0" w:color="auto"/>
            </w:tcBorders>
            <w:noWrap/>
            <w:vAlign w:val="bottom"/>
            <w:hideMark/>
          </w:tcPr>
          <w:p w14:paraId="0B1DD55D"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10 </w:t>
            </w:r>
          </w:p>
        </w:tc>
        <w:tc>
          <w:tcPr>
            <w:tcW w:w="638" w:type="pct"/>
            <w:tcBorders>
              <w:top w:val="nil"/>
              <w:left w:val="nil"/>
              <w:bottom w:val="single" w:sz="4" w:space="0" w:color="auto"/>
              <w:right w:val="single" w:sz="4" w:space="0" w:color="auto"/>
            </w:tcBorders>
            <w:noWrap/>
            <w:vAlign w:val="bottom"/>
            <w:hideMark/>
          </w:tcPr>
          <w:p w14:paraId="128F1353"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2 </w:t>
            </w:r>
          </w:p>
        </w:tc>
        <w:tc>
          <w:tcPr>
            <w:tcW w:w="1128" w:type="pct"/>
            <w:tcBorders>
              <w:top w:val="nil"/>
              <w:left w:val="nil"/>
              <w:bottom w:val="single" w:sz="4" w:space="0" w:color="auto"/>
              <w:right w:val="single" w:sz="4" w:space="0" w:color="auto"/>
            </w:tcBorders>
            <w:noWrap/>
            <w:vAlign w:val="bottom"/>
            <w:hideMark/>
          </w:tcPr>
          <w:p w14:paraId="15E51605"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12 </w:t>
            </w:r>
          </w:p>
        </w:tc>
      </w:tr>
      <w:tr w:rsidR="00E00527" w:rsidRPr="00F05753" w14:paraId="6D16D1F6" w14:textId="77777777" w:rsidTr="00E00527">
        <w:trPr>
          <w:trHeight w:val="232"/>
        </w:trPr>
        <w:tc>
          <w:tcPr>
            <w:tcW w:w="712" w:type="pct"/>
            <w:vMerge/>
            <w:tcBorders>
              <w:top w:val="single" w:sz="8" w:space="0" w:color="auto"/>
              <w:left w:val="single" w:sz="4" w:space="0" w:color="auto"/>
              <w:bottom w:val="single" w:sz="4" w:space="0" w:color="auto"/>
              <w:right w:val="single" w:sz="4" w:space="0" w:color="auto"/>
            </w:tcBorders>
            <w:vAlign w:val="center"/>
            <w:hideMark/>
          </w:tcPr>
          <w:p w14:paraId="2C70A1AB" w14:textId="77777777" w:rsidR="00E00527" w:rsidRPr="00F05753" w:rsidRDefault="00E00527">
            <w:pPr>
              <w:rPr>
                <w:rFonts w:ascii="Arial" w:hAnsi="Arial" w:cs="Arial"/>
                <w:b/>
                <w:bCs/>
                <w:color w:val="000000"/>
                <w:sz w:val="18"/>
                <w:szCs w:val="18"/>
              </w:rPr>
            </w:pPr>
          </w:p>
        </w:tc>
        <w:tc>
          <w:tcPr>
            <w:tcW w:w="1454" w:type="pct"/>
            <w:tcBorders>
              <w:top w:val="single" w:sz="4" w:space="0" w:color="auto"/>
              <w:left w:val="nil"/>
              <w:bottom w:val="nil"/>
              <w:right w:val="single" w:sz="4" w:space="0" w:color="auto"/>
            </w:tcBorders>
            <w:noWrap/>
            <w:vAlign w:val="bottom"/>
            <w:hideMark/>
          </w:tcPr>
          <w:p w14:paraId="77F6D790" w14:textId="77777777" w:rsidR="00E00527" w:rsidRPr="00F05753" w:rsidRDefault="00E00527">
            <w:pPr>
              <w:rPr>
                <w:rFonts w:ascii="Arial" w:hAnsi="Arial" w:cs="Arial"/>
                <w:color w:val="000000"/>
                <w:sz w:val="18"/>
                <w:szCs w:val="18"/>
              </w:rPr>
            </w:pPr>
            <w:r w:rsidRPr="00F05753">
              <w:rPr>
                <w:rFonts w:ascii="Arial" w:hAnsi="Arial" w:cs="Arial"/>
                <w:color w:val="000000"/>
                <w:sz w:val="18"/>
                <w:szCs w:val="18"/>
              </w:rPr>
              <w:t xml:space="preserve">Julho  </w:t>
            </w:r>
          </w:p>
        </w:tc>
        <w:tc>
          <w:tcPr>
            <w:tcW w:w="1068" w:type="pct"/>
            <w:tcBorders>
              <w:top w:val="single" w:sz="4" w:space="0" w:color="auto"/>
              <w:left w:val="nil"/>
              <w:bottom w:val="nil"/>
              <w:right w:val="single" w:sz="4" w:space="0" w:color="auto"/>
            </w:tcBorders>
            <w:noWrap/>
            <w:vAlign w:val="bottom"/>
            <w:hideMark/>
          </w:tcPr>
          <w:p w14:paraId="53B8A33A"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68 </w:t>
            </w:r>
          </w:p>
        </w:tc>
        <w:tc>
          <w:tcPr>
            <w:tcW w:w="638" w:type="pct"/>
            <w:tcBorders>
              <w:top w:val="single" w:sz="4" w:space="0" w:color="auto"/>
              <w:left w:val="nil"/>
              <w:bottom w:val="nil"/>
              <w:right w:val="single" w:sz="4" w:space="0" w:color="auto"/>
            </w:tcBorders>
            <w:noWrap/>
            <w:vAlign w:val="bottom"/>
            <w:hideMark/>
          </w:tcPr>
          <w:p w14:paraId="6D5AC1E8"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 </w:t>
            </w:r>
          </w:p>
        </w:tc>
        <w:tc>
          <w:tcPr>
            <w:tcW w:w="1128" w:type="pct"/>
            <w:tcBorders>
              <w:top w:val="single" w:sz="4" w:space="0" w:color="auto"/>
              <w:left w:val="nil"/>
              <w:bottom w:val="nil"/>
              <w:right w:val="single" w:sz="4" w:space="0" w:color="auto"/>
            </w:tcBorders>
            <w:noWrap/>
            <w:vAlign w:val="bottom"/>
            <w:hideMark/>
          </w:tcPr>
          <w:p w14:paraId="4DCDD951" w14:textId="77777777" w:rsidR="00E00527" w:rsidRPr="00F05753" w:rsidRDefault="00E00527" w:rsidP="008C6FBE">
            <w:pPr>
              <w:jc w:val="right"/>
              <w:rPr>
                <w:rFonts w:ascii="Arial" w:hAnsi="Arial" w:cs="Arial"/>
                <w:color w:val="000000"/>
                <w:sz w:val="18"/>
                <w:szCs w:val="18"/>
              </w:rPr>
            </w:pPr>
            <w:r w:rsidRPr="00F05753">
              <w:rPr>
                <w:rFonts w:ascii="Arial" w:hAnsi="Arial" w:cs="Arial"/>
                <w:color w:val="000000"/>
                <w:sz w:val="18"/>
                <w:szCs w:val="18"/>
              </w:rPr>
              <w:t xml:space="preserve">                        75 </w:t>
            </w:r>
          </w:p>
        </w:tc>
      </w:tr>
      <w:tr w:rsidR="00E00527" w14:paraId="6C277F01" w14:textId="77777777" w:rsidTr="00E00527">
        <w:trPr>
          <w:trHeight w:val="232"/>
        </w:trPr>
        <w:tc>
          <w:tcPr>
            <w:tcW w:w="712" w:type="pct"/>
            <w:tcBorders>
              <w:top w:val="single" w:sz="8" w:space="0" w:color="auto"/>
              <w:left w:val="single" w:sz="4" w:space="0" w:color="auto"/>
              <w:bottom w:val="single" w:sz="8" w:space="0" w:color="auto"/>
              <w:right w:val="single" w:sz="4" w:space="0" w:color="auto"/>
            </w:tcBorders>
            <w:noWrap/>
            <w:vAlign w:val="bottom"/>
            <w:hideMark/>
          </w:tcPr>
          <w:p w14:paraId="1F81CCE5" w14:textId="77777777" w:rsidR="00E00527" w:rsidRPr="00F05753" w:rsidRDefault="00E00527">
            <w:pPr>
              <w:rPr>
                <w:rFonts w:ascii="Arial" w:hAnsi="Arial" w:cs="Arial"/>
                <w:b/>
                <w:bCs/>
                <w:color w:val="000000"/>
                <w:sz w:val="18"/>
                <w:szCs w:val="18"/>
              </w:rPr>
            </w:pPr>
            <w:r w:rsidRPr="00F05753">
              <w:rPr>
                <w:rFonts w:ascii="Arial" w:hAnsi="Arial" w:cs="Arial"/>
                <w:b/>
                <w:bCs/>
                <w:color w:val="000000"/>
                <w:sz w:val="18"/>
                <w:szCs w:val="18"/>
              </w:rPr>
              <w:t>Totais</w:t>
            </w:r>
          </w:p>
        </w:tc>
        <w:tc>
          <w:tcPr>
            <w:tcW w:w="1454" w:type="pct"/>
            <w:tcBorders>
              <w:top w:val="single" w:sz="8" w:space="0" w:color="auto"/>
              <w:left w:val="nil"/>
              <w:bottom w:val="single" w:sz="8" w:space="0" w:color="auto"/>
              <w:right w:val="single" w:sz="4" w:space="0" w:color="auto"/>
            </w:tcBorders>
            <w:noWrap/>
            <w:vAlign w:val="bottom"/>
            <w:hideMark/>
          </w:tcPr>
          <w:p w14:paraId="519E30DA" w14:textId="77777777" w:rsidR="00E00527" w:rsidRPr="00F05753" w:rsidRDefault="00E00527">
            <w:pPr>
              <w:rPr>
                <w:rFonts w:ascii="Arial" w:hAnsi="Arial" w:cs="Arial"/>
                <w:b/>
                <w:bCs/>
                <w:color w:val="000000"/>
                <w:sz w:val="18"/>
                <w:szCs w:val="18"/>
              </w:rPr>
            </w:pPr>
            <w:r w:rsidRPr="00F05753">
              <w:rPr>
                <w:rFonts w:ascii="Arial" w:hAnsi="Arial" w:cs="Arial"/>
                <w:b/>
                <w:bCs/>
                <w:color w:val="000000"/>
                <w:sz w:val="18"/>
                <w:szCs w:val="18"/>
              </w:rPr>
              <w:t> </w:t>
            </w:r>
          </w:p>
        </w:tc>
        <w:tc>
          <w:tcPr>
            <w:tcW w:w="1068" w:type="pct"/>
            <w:tcBorders>
              <w:top w:val="single" w:sz="8" w:space="0" w:color="auto"/>
              <w:left w:val="nil"/>
              <w:bottom w:val="single" w:sz="8" w:space="0" w:color="auto"/>
              <w:right w:val="single" w:sz="4" w:space="0" w:color="auto"/>
            </w:tcBorders>
            <w:noWrap/>
            <w:vAlign w:val="bottom"/>
            <w:hideMark/>
          </w:tcPr>
          <w:p w14:paraId="3CC4F5DC" w14:textId="77777777" w:rsidR="00E00527" w:rsidRPr="00F05753" w:rsidRDefault="00E00527" w:rsidP="008C6FBE">
            <w:pPr>
              <w:jc w:val="right"/>
              <w:rPr>
                <w:rFonts w:ascii="Arial" w:hAnsi="Arial" w:cs="Arial"/>
                <w:b/>
                <w:bCs/>
                <w:color w:val="000000"/>
                <w:sz w:val="18"/>
                <w:szCs w:val="18"/>
              </w:rPr>
            </w:pPr>
            <w:r w:rsidRPr="00F05753">
              <w:rPr>
                <w:rFonts w:ascii="Arial" w:hAnsi="Arial" w:cs="Arial"/>
                <w:b/>
                <w:bCs/>
                <w:color w:val="000000"/>
                <w:sz w:val="18"/>
                <w:szCs w:val="18"/>
              </w:rPr>
              <w:t xml:space="preserve">          1.140.000 </w:t>
            </w:r>
          </w:p>
        </w:tc>
        <w:tc>
          <w:tcPr>
            <w:tcW w:w="638" w:type="pct"/>
            <w:tcBorders>
              <w:top w:val="single" w:sz="8" w:space="0" w:color="auto"/>
              <w:left w:val="nil"/>
              <w:bottom w:val="single" w:sz="8" w:space="0" w:color="auto"/>
              <w:right w:val="single" w:sz="4" w:space="0" w:color="auto"/>
            </w:tcBorders>
            <w:noWrap/>
            <w:vAlign w:val="bottom"/>
            <w:hideMark/>
          </w:tcPr>
          <w:p w14:paraId="6B18CA84" w14:textId="77777777" w:rsidR="00E00527" w:rsidRPr="00F05753" w:rsidRDefault="00E00527" w:rsidP="008C6FBE">
            <w:pPr>
              <w:jc w:val="right"/>
              <w:rPr>
                <w:rFonts w:ascii="Arial" w:hAnsi="Arial" w:cs="Arial"/>
                <w:b/>
                <w:bCs/>
                <w:color w:val="000000"/>
                <w:sz w:val="18"/>
                <w:szCs w:val="18"/>
              </w:rPr>
            </w:pPr>
            <w:r w:rsidRPr="00F05753">
              <w:rPr>
                <w:rFonts w:ascii="Arial" w:hAnsi="Arial" w:cs="Arial"/>
                <w:b/>
                <w:bCs/>
                <w:color w:val="000000"/>
                <w:sz w:val="18"/>
                <w:szCs w:val="18"/>
              </w:rPr>
              <w:t xml:space="preserve"> 877.599 </w:t>
            </w:r>
          </w:p>
        </w:tc>
        <w:tc>
          <w:tcPr>
            <w:tcW w:w="1128" w:type="pct"/>
            <w:tcBorders>
              <w:top w:val="single" w:sz="8" w:space="0" w:color="auto"/>
              <w:left w:val="nil"/>
              <w:bottom w:val="single" w:sz="8" w:space="0" w:color="auto"/>
              <w:right w:val="single" w:sz="4" w:space="0" w:color="auto"/>
            </w:tcBorders>
            <w:noWrap/>
            <w:vAlign w:val="bottom"/>
            <w:hideMark/>
          </w:tcPr>
          <w:p w14:paraId="311E22BD" w14:textId="77777777" w:rsidR="00E00527" w:rsidRDefault="00E00527" w:rsidP="008C6FBE">
            <w:pPr>
              <w:jc w:val="right"/>
              <w:rPr>
                <w:rFonts w:ascii="Arial" w:hAnsi="Arial" w:cs="Arial"/>
                <w:b/>
                <w:bCs/>
                <w:color w:val="000000"/>
                <w:sz w:val="18"/>
                <w:szCs w:val="18"/>
              </w:rPr>
            </w:pPr>
            <w:r w:rsidRPr="00F05753">
              <w:rPr>
                <w:rFonts w:ascii="Arial" w:hAnsi="Arial" w:cs="Arial"/>
                <w:b/>
                <w:bCs/>
                <w:color w:val="000000"/>
                <w:sz w:val="18"/>
                <w:szCs w:val="18"/>
              </w:rPr>
              <w:t xml:space="preserve">            2.017.599</w:t>
            </w:r>
            <w:r>
              <w:rPr>
                <w:rFonts w:ascii="Arial" w:hAnsi="Arial" w:cs="Arial"/>
                <w:b/>
                <w:bCs/>
                <w:color w:val="000000"/>
                <w:sz w:val="18"/>
                <w:szCs w:val="18"/>
              </w:rPr>
              <w:t xml:space="preserve"> </w:t>
            </w:r>
          </w:p>
        </w:tc>
      </w:tr>
    </w:tbl>
    <w:p w14:paraId="606B6713" w14:textId="77777777" w:rsidR="002E4C1C" w:rsidRPr="002E4C1C" w:rsidRDefault="00E67DE3" w:rsidP="002E4C1C">
      <w:pPr>
        <w:spacing w:line="276" w:lineRule="auto"/>
        <w:jc w:val="both"/>
        <w:rPr>
          <w:rFonts w:ascii="Arial" w:hAnsi="Arial" w:cs="Arial"/>
          <w:sz w:val="22"/>
          <w:szCs w:val="22"/>
        </w:rPr>
      </w:pPr>
      <w:r w:rsidRPr="00FA6A99">
        <w:rPr>
          <w:rFonts w:ascii="Arial" w:hAnsi="Arial" w:cs="Arial"/>
          <w:sz w:val="22"/>
          <w:szCs w:val="22"/>
        </w:rPr>
        <w:t xml:space="preserve">i) </w:t>
      </w:r>
      <w:r w:rsidR="002E4C1C" w:rsidRPr="002E4C1C">
        <w:rPr>
          <w:rFonts w:ascii="Arial" w:hAnsi="Arial" w:cs="Arial"/>
          <w:sz w:val="22"/>
          <w:szCs w:val="22"/>
        </w:rPr>
        <w:t>Juros apurados a partir do dia útil subsequente ao aporte dos valores e calculados até a data das demonstrações contábeis em referência.</w:t>
      </w:r>
    </w:p>
    <w:p w14:paraId="7838363F" w14:textId="135E26A9" w:rsidR="00E67DE3" w:rsidRPr="00FA6A99" w:rsidRDefault="00E67DE3" w:rsidP="00597FE5">
      <w:pPr>
        <w:spacing w:line="276" w:lineRule="auto"/>
        <w:jc w:val="both"/>
        <w:rPr>
          <w:rFonts w:ascii="Arial" w:hAnsi="Arial" w:cs="Arial"/>
          <w:sz w:val="22"/>
          <w:szCs w:val="22"/>
        </w:rPr>
      </w:pPr>
    </w:p>
    <w:p w14:paraId="3319CF96" w14:textId="324BA5E4" w:rsidR="00877A74" w:rsidRPr="00FA6A99" w:rsidRDefault="00877A74"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r w:rsidRPr="00FA6A99">
        <w:rPr>
          <w:rFonts w:ascii="Arial" w:hAnsi="Arial" w:cs="Arial"/>
        </w:rPr>
        <w:t xml:space="preserve">Movimentação </w:t>
      </w:r>
      <w:r w:rsidR="002E4C1C">
        <w:rPr>
          <w:rFonts w:ascii="Arial" w:hAnsi="Arial" w:cs="Arial"/>
        </w:rPr>
        <w:t>das operações de AFAC no exercício</w:t>
      </w:r>
    </w:p>
    <w:p w14:paraId="245072CC" w14:textId="5DF723D5" w:rsidR="00D833EC" w:rsidRPr="00FA6A99" w:rsidRDefault="00D833EC" w:rsidP="00597FE5">
      <w:pPr>
        <w:spacing w:line="276" w:lineRule="auto"/>
        <w:jc w:val="both"/>
        <w:rPr>
          <w:rFonts w:ascii="Arial" w:hAnsi="Arial" w:cs="Arial"/>
          <w:sz w:val="14"/>
          <w:szCs w:val="14"/>
        </w:rPr>
      </w:pPr>
    </w:p>
    <w:p w14:paraId="028BAC47" w14:textId="408D666B" w:rsidR="00F05A9E" w:rsidRPr="00F05A9E" w:rsidRDefault="00F05A9E" w:rsidP="00F05A9E">
      <w:pPr>
        <w:spacing w:line="276" w:lineRule="auto"/>
        <w:jc w:val="both"/>
        <w:rPr>
          <w:rFonts w:ascii="Arial" w:hAnsi="Arial" w:cs="Arial"/>
          <w:sz w:val="22"/>
          <w:szCs w:val="22"/>
        </w:rPr>
      </w:pPr>
      <w:r w:rsidRPr="00F05A9E">
        <w:rPr>
          <w:rFonts w:ascii="Arial" w:hAnsi="Arial" w:cs="Arial"/>
          <w:sz w:val="22"/>
          <w:szCs w:val="22"/>
        </w:rPr>
        <w:t xml:space="preserve">O quadro a seguir apresenta a movimentação dos Adiantamentos para Futuro Aumento de Capital (AFAC) no </w:t>
      </w:r>
      <w:r w:rsidR="009C2BB3">
        <w:rPr>
          <w:rFonts w:ascii="Arial" w:hAnsi="Arial" w:cs="Arial"/>
          <w:sz w:val="22"/>
          <w:szCs w:val="22"/>
        </w:rPr>
        <w:t>primeiro trimestre</w:t>
      </w:r>
      <w:r w:rsidRPr="00F05A9E">
        <w:rPr>
          <w:rFonts w:ascii="Arial" w:hAnsi="Arial" w:cs="Arial"/>
          <w:sz w:val="22"/>
          <w:szCs w:val="22"/>
        </w:rPr>
        <w:t xml:space="preserve"> de 202</w:t>
      </w:r>
      <w:r w:rsidR="009C2BB3">
        <w:rPr>
          <w:rFonts w:ascii="Arial" w:hAnsi="Arial" w:cs="Arial"/>
          <w:sz w:val="22"/>
          <w:szCs w:val="22"/>
        </w:rPr>
        <w:t>6</w:t>
      </w:r>
      <w:r w:rsidRPr="00F05A9E">
        <w:rPr>
          <w:rFonts w:ascii="Arial" w:hAnsi="Arial" w:cs="Arial"/>
          <w:sz w:val="22"/>
          <w:szCs w:val="22"/>
        </w:rPr>
        <w:t>, de acordo com a sua destinação.</w:t>
      </w:r>
    </w:p>
    <w:p w14:paraId="60E58DDC" w14:textId="77777777" w:rsidR="00FA6A99" w:rsidRDefault="00FA6A99" w:rsidP="00E05FBF">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434"/>
        <w:gridCol w:w="2337"/>
      </w:tblGrid>
      <w:tr w:rsidR="00B45FEB" w:rsidRPr="00064F47" w14:paraId="6F69BF93" w14:textId="77777777" w:rsidTr="00B45FEB">
        <w:trPr>
          <w:trHeight w:val="232"/>
        </w:trPr>
        <w:tc>
          <w:tcPr>
            <w:tcW w:w="3804" w:type="pct"/>
            <w:tcBorders>
              <w:top w:val="single" w:sz="4" w:space="0" w:color="auto"/>
              <w:left w:val="single" w:sz="4" w:space="0" w:color="auto"/>
              <w:bottom w:val="single" w:sz="4" w:space="0" w:color="auto"/>
              <w:right w:val="single" w:sz="4" w:space="0" w:color="auto"/>
            </w:tcBorders>
            <w:noWrap/>
            <w:vAlign w:val="center"/>
            <w:hideMark/>
          </w:tcPr>
          <w:p w14:paraId="0F0B400B" w14:textId="77777777" w:rsidR="00B45FEB" w:rsidRPr="00064F47" w:rsidRDefault="00B45FEB">
            <w:pPr>
              <w:rPr>
                <w:rFonts w:ascii="Arial" w:hAnsi="Arial" w:cs="Arial"/>
                <w:b/>
                <w:bCs/>
                <w:color w:val="000000"/>
                <w:sz w:val="18"/>
                <w:szCs w:val="18"/>
              </w:rPr>
            </w:pPr>
            <w:r w:rsidRPr="00064F47">
              <w:rPr>
                <w:rFonts w:ascii="Arial" w:hAnsi="Arial" w:cs="Arial"/>
                <w:b/>
                <w:bCs/>
                <w:color w:val="000000"/>
                <w:sz w:val="18"/>
                <w:szCs w:val="18"/>
              </w:rPr>
              <w:t>Saldo em 31 de dezembro de 2025</w:t>
            </w:r>
          </w:p>
        </w:tc>
        <w:tc>
          <w:tcPr>
            <w:tcW w:w="1196" w:type="pct"/>
            <w:tcBorders>
              <w:top w:val="single" w:sz="4" w:space="0" w:color="auto"/>
              <w:left w:val="nil"/>
              <w:bottom w:val="single" w:sz="4" w:space="0" w:color="auto"/>
              <w:right w:val="single" w:sz="4" w:space="0" w:color="auto"/>
            </w:tcBorders>
            <w:noWrap/>
            <w:vAlign w:val="center"/>
            <w:hideMark/>
          </w:tcPr>
          <w:p w14:paraId="3DA49EB8" w14:textId="77777777" w:rsidR="00B45FEB" w:rsidRPr="00064F47" w:rsidRDefault="00B45FEB">
            <w:pPr>
              <w:jc w:val="right"/>
              <w:rPr>
                <w:rFonts w:ascii="Arial" w:hAnsi="Arial" w:cs="Arial"/>
                <w:b/>
                <w:bCs/>
                <w:color w:val="000000"/>
                <w:sz w:val="18"/>
                <w:szCs w:val="18"/>
              </w:rPr>
            </w:pPr>
            <w:r w:rsidRPr="00064F47">
              <w:rPr>
                <w:rFonts w:ascii="Arial" w:hAnsi="Arial" w:cs="Arial"/>
                <w:b/>
                <w:bCs/>
                <w:color w:val="000000"/>
                <w:sz w:val="18"/>
                <w:szCs w:val="18"/>
              </w:rPr>
              <w:t>1.951.045</w:t>
            </w:r>
          </w:p>
        </w:tc>
      </w:tr>
      <w:tr w:rsidR="00B45FEB" w:rsidRPr="00064F47" w14:paraId="41130D2F" w14:textId="77777777" w:rsidTr="00B45FEB">
        <w:trPr>
          <w:trHeight w:val="232"/>
        </w:trPr>
        <w:tc>
          <w:tcPr>
            <w:tcW w:w="3804" w:type="pct"/>
            <w:tcBorders>
              <w:top w:val="nil"/>
              <w:left w:val="single" w:sz="4" w:space="0" w:color="auto"/>
              <w:bottom w:val="single" w:sz="4" w:space="0" w:color="auto"/>
              <w:right w:val="single" w:sz="4" w:space="0" w:color="auto"/>
            </w:tcBorders>
            <w:noWrap/>
            <w:vAlign w:val="center"/>
            <w:hideMark/>
          </w:tcPr>
          <w:p w14:paraId="46E75639" w14:textId="77777777" w:rsidR="00B45FEB" w:rsidRPr="00064F47" w:rsidRDefault="00B45FEB">
            <w:pPr>
              <w:rPr>
                <w:rFonts w:ascii="Arial" w:hAnsi="Arial" w:cs="Arial"/>
                <w:color w:val="000000"/>
                <w:sz w:val="18"/>
                <w:szCs w:val="18"/>
              </w:rPr>
            </w:pPr>
            <w:r w:rsidRPr="00064F47">
              <w:rPr>
                <w:rFonts w:ascii="Arial" w:hAnsi="Arial" w:cs="Arial"/>
                <w:color w:val="000000"/>
                <w:sz w:val="18"/>
                <w:szCs w:val="18"/>
              </w:rPr>
              <w:t>Juros sobre Afac - Selic</w:t>
            </w:r>
          </w:p>
        </w:tc>
        <w:tc>
          <w:tcPr>
            <w:tcW w:w="1196" w:type="pct"/>
            <w:tcBorders>
              <w:top w:val="nil"/>
              <w:left w:val="nil"/>
              <w:bottom w:val="single" w:sz="4" w:space="0" w:color="auto"/>
              <w:right w:val="single" w:sz="4" w:space="0" w:color="auto"/>
            </w:tcBorders>
            <w:noWrap/>
            <w:vAlign w:val="center"/>
            <w:hideMark/>
          </w:tcPr>
          <w:p w14:paraId="33E3B13C" w14:textId="77777777" w:rsidR="00B45FEB" w:rsidRPr="00064F47" w:rsidRDefault="00B45FEB">
            <w:pPr>
              <w:jc w:val="right"/>
              <w:rPr>
                <w:rFonts w:ascii="Arial" w:hAnsi="Arial" w:cs="Arial"/>
                <w:color w:val="000000"/>
                <w:sz w:val="18"/>
                <w:szCs w:val="18"/>
              </w:rPr>
            </w:pPr>
            <w:r w:rsidRPr="00064F47">
              <w:rPr>
                <w:rFonts w:ascii="Arial" w:hAnsi="Arial" w:cs="Arial"/>
                <w:color w:val="000000"/>
                <w:sz w:val="18"/>
                <w:szCs w:val="18"/>
              </w:rPr>
              <w:t>66.554</w:t>
            </w:r>
          </w:p>
        </w:tc>
      </w:tr>
      <w:tr w:rsidR="00B45FEB" w14:paraId="5E373B51" w14:textId="77777777" w:rsidTr="00B45FEB">
        <w:trPr>
          <w:trHeight w:val="232"/>
        </w:trPr>
        <w:tc>
          <w:tcPr>
            <w:tcW w:w="3804" w:type="pct"/>
            <w:tcBorders>
              <w:top w:val="nil"/>
              <w:left w:val="single" w:sz="4" w:space="0" w:color="auto"/>
              <w:bottom w:val="single" w:sz="4" w:space="0" w:color="auto"/>
              <w:right w:val="single" w:sz="4" w:space="0" w:color="auto"/>
            </w:tcBorders>
            <w:noWrap/>
            <w:vAlign w:val="center"/>
            <w:hideMark/>
          </w:tcPr>
          <w:p w14:paraId="12ED9B5E" w14:textId="77777777" w:rsidR="00B45FEB" w:rsidRPr="00064F47" w:rsidRDefault="00B45FEB">
            <w:pPr>
              <w:rPr>
                <w:rFonts w:ascii="Arial" w:hAnsi="Arial" w:cs="Arial"/>
                <w:b/>
                <w:bCs/>
                <w:color w:val="000000"/>
                <w:sz w:val="18"/>
                <w:szCs w:val="18"/>
              </w:rPr>
            </w:pPr>
            <w:r w:rsidRPr="00064F47">
              <w:rPr>
                <w:rFonts w:ascii="Arial" w:hAnsi="Arial" w:cs="Arial"/>
                <w:b/>
                <w:bCs/>
                <w:color w:val="000000"/>
                <w:sz w:val="18"/>
                <w:szCs w:val="18"/>
              </w:rPr>
              <w:t>Saldo em 31 de março de 2026</w:t>
            </w:r>
          </w:p>
        </w:tc>
        <w:tc>
          <w:tcPr>
            <w:tcW w:w="1196" w:type="pct"/>
            <w:tcBorders>
              <w:top w:val="nil"/>
              <w:left w:val="nil"/>
              <w:bottom w:val="single" w:sz="4" w:space="0" w:color="auto"/>
              <w:right w:val="single" w:sz="4" w:space="0" w:color="auto"/>
            </w:tcBorders>
            <w:noWrap/>
            <w:vAlign w:val="center"/>
            <w:hideMark/>
          </w:tcPr>
          <w:p w14:paraId="406E3014" w14:textId="77777777" w:rsidR="00B45FEB" w:rsidRDefault="00B45FEB">
            <w:pPr>
              <w:jc w:val="right"/>
              <w:rPr>
                <w:rFonts w:ascii="Arial" w:hAnsi="Arial" w:cs="Arial"/>
                <w:b/>
                <w:bCs/>
                <w:color w:val="000000"/>
                <w:sz w:val="18"/>
                <w:szCs w:val="18"/>
              </w:rPr>
            </w:pPr>
            <w:r w:rsidRPr="00064F47">
              <w:rPr>
                <w:rFonts w:ascii="Arial" w:hAnsi="Arial" w:cs="Arial"/>
                <w:b/>
                <w:bCs/>
                <w:color w:val="000000"/>
                <w:sz w:val="18"/>
                <w:szCs w:val="18"/>
              </w:rPr>
              <w:t>2.017.599</w:t>
            </w:r>
          </w:p>
        </w:tc>
      </w:tr>
    </w:tbl>
    <w:p w14:paraId="185A680D" w14:textId="77777777" w:rsidR="00F46D9C" w:rsidRDefault="00F46D9C" w:rsidP="00E05FBF">
      <w:pPr>
        <w:spacing w:line="276" w:lineRule="auto"/>
        <w:jc w:val="both"/>
        <w:rPr>
          <w:rFonts w:ascii="Arial" w:hAnsi="Arial" w:cs="Arial"/>
          <w:sz w:val="22"/>
          <w:szCs w:val="22"/>
        </w:rPr>
      </w:pPr>
    </w:p>
    <w:p w14:paraId="56FA37FD" w14:textId="18E9582E" w:rsidR="001A2823" w:rsidRPr="005719B3" w:rsidRDefault="00557D7F" w:rsidP="009541E1">
      <w:pPr>
        <w:pStyle w:val="Ttulo2"/>
        <w:numPr>
          <w:ilvl w:val="0"/>
          <w:numId w:val="7"/>
        </w:numPr>
        <w:tabs>
          <w:tab w:val="clear" w:pos="284"/>
          <w:tab w:val="clear" w:pos="340"/>
        </w:tabs>
        <w:spacing w:before="0" w:after="0"/>
        <w:ind w:left="851" w:hanging="851"/>
        <w:jc w:val="both"/>
        <w:rPr>
          <w:rFonts w:ascii="Arial" w:hAnsi="Arial" w:cs="Arial"/>
        </w:rPr>
      </w:pPr>
      <w:r w:rsidRPr="005719B3">
        <w:rPr>
          <w:rFonts w:ascii="Arial" w:hAnsi="Arial" w:cs="Arial"/>
        </w:rPr>
        <w:lastRenderedPageBreak/>
        <w:t>ARRENDAMENTO MERCANTIL FINANCEIRO</w:t>
      </w:r>
    </w:p>
    <w:p w14:paraId="56D39467" w14:textId="77777777" w:rsidR="00AA422E" w:rsidRDefault="00AA422E" w:rsidP="00AA43BA">
      <w:pPr>
        <w:autoSpaceDE w:val="0"/>
        <w:autoSpaceDN w:val="0"/>
        <w:adjustRightInd w:val="0"/>
        <w:spacing w:line="276" w:lineRule="auto"/>
        <w:jc w:val="both"/>
        <w:rPr>
          <w:rFonts w:ascii="Arial" w:hAnsi="Arial" w:cs="Arial"/>
          <w:sz w:val="22"/>
          <w:szCs w:val="22"/>
          <w:lang w:eastAsia="en-US"/>
        </w:rPr>
      </w:pPr>
    </w:p>
    <w:p w14:paraId="48688C71" w14:textId="4AE88F70" w:rsidR="00AA43BA" w:rsidRPr="00AA43BA" w:rsidRDefault="00AA43BA" w:rsidP="00AA43BA">
      <w:pPr>
        <w:autoSpaceDE w:val="0"/>
        <w:autoSpaceDN w:val="0"/>
        <w:adjustRightInd w:val="0"/>
        <w:spacing w:line="276" w:lineRule="auto"/>
        <w:jc w:val="both"/>
        <w:rPr>
          <w:rFonts w:ascii="Arial" w:hAnsi="Arial" w:cs="Arial"/>
          <w:sz w:val="22"/>
          <w:szCs w:val="22"/>
          <w:lang w:eastAsia="en-US"/>
        </w:rPr>
      </w:pPr>
      <w:r w:rsidRPr="00AA43BA">
        <w:rPr>
          <w:rFonts w:ascii="Arial" w:hAnsi="Arial" w:cs="Arial"/>
          <w:sz w:val="22"/>
          <w:szCs w:val="22"/>
          <w:lang w:eastAsia="en-US"/>
        </w:rPr>
        <w:t>A Telebras mantém contratos de arrendamento mercantil financeiro relativos à locação de imóveis (sede da Companhia), de terrenos onde estão instalados equipamentos utilizados na prestação de serviços (Estações), bem como de equipamentos de informática e de telecomunicações. Os prazos desses contratos variam entre 5 (cinco) e 15 (quinze) anos, com vencimentos compreendidos entre 2021 e 2032. A taxa de desconto aplicada para mensuração dos passivos de arrendamento é de 6% a.a. para contratos de locação de imóveis, terrenos e equipamentos de informática, e de 12,38% a.a. para os equipamentos de telecomunicações.</w:t>
      </w:r>
    </w:p>
    <w:p w14:paraId="07031B92" w14:textId="38A257E8" w:rsidR="00487C0B" w:rsidRPr="00EE76A7" w:rsidRDefault="00487C0B" w:rsidP="00AA43BA">
      <w:pPr>
        <w:autoSpaceDE w:val="0"/>
        <w:autoSpaceDN w:val="0"/>
        <w:adjustRightInd w:val="0"/>
        <w:spacing w:line="276" w:lineRule="auto"/>
        <w:jc w:val="both"/>
        <w:rPr>
          <w:rFonts w:ascii="Arial" w:hAnsi="Arial" w:cs="Arial"/>
          <w:sz w:val="16"/>
          <w:szCs w:val="16"/>
          <w:lang w:eastAsia="en-US"/>
        </w:rPr>
      </w:pPr>
      <w:r w:rsidRPr="002A36CE">
        <w:rPr>
          <w:rFonts w:ascii="Arial" w:hAnsi="Arial" w:cs="Arial"/>
          <w:sz w:val="22"/>
          <w:szCs w:val="22"/>
          <w:lang w:eastAsia="en-US"/>
        </w:rPr>
        <w:t xml:space="preserve"> </w:t>
      </w:r>
    </w:p>
    <w:p w14:paraId="19ADB0B4" w14:textId="6BC50FD4" w:rsidR="00557D7F" w:rsidRDefault="00557D7F" w:rsidP="00557D7F">
      <w:pPr>
        <w:autoSpaceDE w:val="0"/>
        <w:autoSpaceDN w:val="0"/>
        <w:adjustRightInd w:val="0"/>
        <w:jc w:val="both"/>
        <w:rPr>
          <w:rFonts w:ascii="Arial" w:hAnsi="Arial" w:cs="Arial"/>
          <w:sz w:val="22"/>
          <w:szCs w:val="22"/>
          <w:lang w:eastAsia="en-US"/>
        </w:rPr>
      </w:pPr>
      <w:r w:rsidRPr="002A36CE">
        <w:rPr>
          <w:rFonts w:ascii="Arial" w:hAnsi="Arial" w:cs="Arial"/>
          <w:sz w:val="22"/>
          <w:szCs w:val="22"/>
          <w:lang w:eastAsia="en-US"/>
        </w:rPr>
        <w:t xml:space="preserve">Os valores do imobilizado </w:t>
      </w:r>
      <w:r w:rsidR="001F2B87" w:rsidRPr="002A36CE">
        <w:rPr>
          <w:rFonts w:ascii="Arial" w:hAnsi="Arial" w:cs="Arial"/>
          <w:sz w:val="22"/>
          <w:szCs w:val="22"/>
          <w:lang w:eastAsia="en-US"/>
        </w:rPr>
        <w:t>registrados na rubrica de Direito de Uso de Ativo,</w:t>
      </w:r>
      <w:r w:rsidRPr="002A36CE">
        <w:rPr>
          <w:rFonts w:ascii="Arial" w:hAnsi="Arial" w:cs="Arial"/>
          <w:sz w:val="22"/>
          <w:szCs w:val="22"/>
          <w:lang w:eastAsia="en-US"/>
        </w:rPr>
        <w:t xml:space="preserve"> líquido de depreciação, e do passivo correspondentes a esses </w:t>
      </w:r>
      <w:r w:rsidR="001F2B87" w:rsidRPr="002A36CE">
        <w:rPr>
          <w:rFonts w:ascii="Arial" w:hAnsi="Arial" w:cs="Arial"/>
          <w:sz w:val="22"/>
          <w:szCs w:val="22"/>
          <w:lang w:eastAsia="en-US"/>
        </w:rPr>
        <w:t>ativos</w:t>
      </w:r>
      <w:r w:rsidRPr="00A0630A">
        <w:rPr>
          <w:rFonts w:ascii="Arial" w:hAnsi="Arial" w:cs="Arial"/>
          <w:sz w:val="22"/>
          <w:szCs w:val="22"/>
          <w:lang w:eastAsia="en-US"/>
        </w:rPr>
        <w:t xml:space="preserve"> estão </w:t>
      </w:r>
      <w:r w:rsidR="003F0F66" w:rsidRPr="00A0630A">
        <w:rPr>
          <w:rFonts w:ascii="Arial" w:hAnsi="Arial" w:cs="Arial"/>
          <w:sz w:val="22"/>
          <w:szCs w:val="22"/>
          <w:lang w:eastAsia="en-US"/>
        </w:rPr>
        <w:t>demonstrados a seguir.</w:t>
      </w:r>
    </w:p>
    <w:p w14:paraId="36F82E27" w14:textId="77777777" w:rsidR="004E16DD" w:rsidRPr="002A36CE" w:rsidRDefault="004E16DD" w:rsidP="00557D7F">
      <w:pPr>
        <w:autoSpaceDE w:val="0"/>
        <w:autoSpaceDN w:val="0"/>
        <w:adjustRightInd w:val="0"/>
        <w:jc w:val="both"/>
        <w:rPr>
          <w:rFonts w:ascii="Arial" w:hAnsi="Arial" w:cs="Arial"/>
          <w:sz w:val="22"/>
          <w:szCs w:val="22"/>
          <w:lang w:eastAsia="en-US"/>
        </w:rPr>
      </w:pPr>
    </w:p>
    <w:p w14:paraId="253A9412" w14:textId="62B8DD15" w:rsidR="00513EB3" w:rsidRPr="002A36CE" w:rsidRDefault="00513EB3" w:rsidP="009E7707">
      <w:pPr>
        <w:pStyle w:val="Ttulo2"/>
        <w:numPr>
          <w:ilvl w:val="1"/>
          <w:numId w:val="7"/>
        </w:numPr>
        <w:tabs>
          <w:tab w:val="clear" w:pos="284"/>
          <w:tab w:val="clear" w:pos="340"/>
        </w:tabs>
        <w:spacing w:before="0" w:after="0"/>
        <w:ind w:left="851" w:hanging="1004"/>
        <w:jc w:val="both"/>
        <w:rPr>
          <w:rFonts w:ascii="Arial" w:hAnsi="Arial" w:cs="Arial"/>
        </w:rPr>
      </w:pPr>
      <w:r w:rsidRPr="002A36CE">
        <w:rPr>
          <w:rFonts w:ascii="Arial" w:hAnsi="Arial" w:cs="Arial"/>
        </w:rPr>
        <w:t>Direito de uso de ativo</w:t>
      </w:r>
      <w:r w:rsidR="00467862" w:rsidRPr="002A36CE">
        <w:rPr>
          <w:rFonts w:ascii="Arial" w:hAnsi="Arial" w:cs="Arial"/>
        </w:rPr>
        <w:t xml:space="preserve"> (valor contábil)</w:t>
      </w:r>
    </w:p>
    <w:p w14:paraId="2F4A1258" w14:textId="62C365D1" w:rsidR="00F7733D" w:rsidRDefault="00F7733D" w:rsidP="00513E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024353" w:rsidRPr="004473C0" w14:paraId="073E14AD" w14:textId="77777777" w:rsidTr="00024353">
        <w:trPr>
          <w:trHeight w:val="232"/>
        </w:trPr>
        <w:tc>
          <w:tcPr>
            <w:tcW w:w="3022" w:type="pct"/>
            <w:shd w:val="clear" w:color="000000" w:fill="BFBFBF"/>
            <w:noWrap/>
            <w:vAlign w:val="center"/>
            <w:hideMark/>
          </w:tcPr>
          <w:p w14:paraId="57E657F2" w14:textId="77777777" w:rsidR="00024353" w:rsidRPr="004473C0" w:rsidRDefault="00024353">
            <w:pPr>
              <w:rPr>
                <w:rFonts w:ascii="Arial" w:hAnsi="Arial" w:cs="Arial"/>
                <w:b/>
                <w:bCs/>
                <w:color w:val="000000"/>
                <w:sz w:val="18"/>
                <w:szCs w:val="18"/>
              </w:rPr>
            </w:pPr>
            <w:r>
              <w:rPr>
                <w:rFonts w:ascii="Arial" w:hAnsi="Arial" w:cs="Arial"/>
                <w:b/>
                <w:bCs/>
                <w:color w:val="000000"/>
                <w:sz w:val="18"/>
                <w:szCs w:val="18"/>
              </w:rPr>
              <w:t> </w:t>
            </w:r>
            <w:r w:rsidRPr="004473C0">
              <w:rPr>
                <w:rFonts w:ascii="Arial" w:hAnsi="Arial" w:cs="Arial"/>
                <w:b/>
                <w:bCs/>
                <w:color w:val="000000"/>
                <w:sz w:val="18"/>
                <w:szCs w:val="18"/>
              </w:rPr>
              <w:t>Bens/Direitos:</w:t>
            </w:r>
          </w:p>
        </w:tc>
        <w:tc>
          <w:tcPr>
            <w:tcW w:w="989" w:type="pct"/>
            <w:noWrap/>
            <w:vAlign w:val="center"/>
            <w:hideMark/>
          </w:tcPr>
          <w:p w14:paraId="3AC8D1EE" w14:textId="77777777" w:rsidR="00024353" w:rsidRPr="004473C0" w:rsidRDefault="00024353">
            <w:pPr>
              <w:jc w:val="center"/>
              <w:rPr>
                <w:rFonts w:ascii="Arial" w:hAnsi="Arial" w:cs="Arial"/>
                <w:b/>
                <w:bCs/>
                <w:color w:val="000000"/>
                <w:sz w:val="18"/>
                <w:szCs w:val="18"/>
              </w:rPr>
            </w:pPr>
            <w:r w:rsidRPr="004473C0">
              <w:rPr>
                <w:rFonts w:ascii="Arial" w:hAnsi="Arial" w:cs="Arial"/>
                <w:b/>
                <w:bCs/>
                <w:color w:val="000000"/>
                <w:sz w:val="18"/>
                <w:szCs w:val="18"/>
              </w:rPr>
              <w:t>31/03/2026</w:t>
            </w:r>
          </w:p>
        </w:tc>
        <w:tc>
          <w:tcPr>
            <w:tcW w:w="989" w:type="pct"/>
            <w:noWrap/>
            <w:vAlign w:val="center"/>
            <w:hideMark/>
          </w:tcPr>
          <w:p w14:paraId="452A6A55" w14:textId="77777777" w:rsidR="00024353" w:rsidRPr="004473C0" w:rsidRDefault="00024353">
            <w:pPr>
              <w:jc w:val="center"/>
              <w:rPr>
                <w:rFonts w:ascii="Arial" w:hAnsi="Arial" w:cs="Arial"/>
                <w:b/>
                <w:bCs/>
                <w:color w:val="000000"/>
                <w:sz w:val="18"/>
                <w:szCs w:val="18"/>
              </w:rPr>
            </w:pPr>
            <w:r w:rsidRPr="004473C0">
              <w:rPr>
                <w:rFonts w:ascii="Arial" w:hAnsi="Arial" w:cs="Arial"/>
                <w:b/>
                <w:bCs/>
                <w:color w:val="000000"/>
                <w:sz w:val="18"/>
                <w:szCs w:val="18"/>
              </w:rPr>
              <w:t>31/12/2025</w:t>
            </w:r>
          </w:p>
        </w:tc>
      </w:tr>
      <w:tr w:rsidR="00024353" w:rsidRPr="004473C0" w14:paraId="530DF6DC" w14:textId="77777777" w:rsidTr="00024353">
        <w:trPr>
          <w:trHeight w:val="232"/>
        </w:trPr>
        <w:tc>
          <w:tcPr>
            <w:tcW w:w="3022" w:type="pct"/>
            <w:noWrap/>
            <w:vAlign w:val="center"/>
            <w:hideMark/>
          </w:tcPr>
          <w:p w14:paraId="73ABE37F" w14:textId="77777777" w:rsidR="00024353" w:rsidRPr="004473C0" w:rsidRDefault="00024353">
            <w:pPr>
              <w:rPr>
                <w:rFonts w:ascii="Arial" w:hAnsi="Arial" w:cs="Arial"/>
                <w:color w:val="000000"/>
                <w:sz w:val="18"/>
                <w:szCs w:val="18"/>
              </w:rPr>
            </w:pPr>
            <w:r w:rsidRPr="004473C0">
              <w:rPr>
                <w:rFonts w:ascii="Arial" w:hAnsi="Arial" w:cs="Arial"/>
                <w:color w:val="000000"/>
                <w:sz w:val="18"/>
                <w:szCs w:val="18"/>
              </w:rPr>
              <w:t xml:space="preserve">Imóveis </w:t>
            </w:r>
          </w:p>
        </w:tc>
        <w:tc>
          <w:tcPr>
            <w:tcW w:w="989" w:type="pct"/>
            <w:noWrap/>
            <w:vAlign w:val="center"/>
            <w:hideMark/>
          </w:tcPr>
          <w:p w14:paraId="24437740" w14:textId="77777777" w:rsidR="00024353" w:rsidRPr="004473C0" w:rsidRDefault="00024353">
            <w:pPr>
              <w:jc w:val="right"/>
              <w:rPr>
                <w:rFonts w:ascii="Arial" w:hAnsi="Arial" w:cs="Arial"/>
                <w:color w:val="000000"/>
                <w:sz w:val="18"/>
                <w:szCs w:val="18"/>
              </w:rPr>
            </w:pPr>
            <w:r w:rsidRPr="004473C0">
              <w:rPr>
                <w:rFonts w:ascii="Arial" w:hAnsi="Arial" w:cs="Arial"/>
                <w:color w:val="000000"/>
                <w:sz w:val="18"/>
                <w:szCs w:val="18"/>
                <w:lang w:eastAsia="en-US"/>
              </w:rPr>
              <w:t>14.647</w:t>
            </w:r>
          </w:p>
        </w:tc>
        <w:tc>
          <w:tcPr>
            <w:tcW w:w="989" w:type="pct"/>
            <w:noWrap/>
            <w:vAlign w:val="center"/>
            <w:hideMark/>
          </w:tcPr>
          <w:p w14:paraId="4B428C52" w14:textId="77777777" w:rsidR="00024353" w:rsidRPr="004473C0" w:rsidRDefault="00024353">
            <w:pPr>
              <w:jc w:val="right"/>
              <w:rPr>
                <w:rFonts w:ascii="Arial" w:hAnsi="Arial" w:cs="Arial"/>
                <w:color w:val="000000"/>
                <w:sz w:val="18"/>
                <w:szCs w:val="18"/>
              </w:rPr>
            </w:pPr>
            <w:r w:rsidRPr="004473C0">
              <w:rPr>
                <w:rFonts w:ascii="Arial" w:hAnsi="Arial" w:cs="Arial"/>
                <w:color w:val="000000"/>
                <w:sz w:val="18"/>
                <w:szCs w:val="18"/>
                <w:lang w:eastAsia="en-US"/>
              </w:rPr>
              <w:t>14.179</w:t>
            </w:r>
          </w:p>
        </w:tc>
      </w:tr>
      <w:tr w:rsidR="00024353" w:rsidRPr="004473C0" w14:paraId="65B959F7" w14:textId="77777777" w:rsidTr="00024353">
        <w:trPr>
          <w:trHeight w:val="232"/>
        </w:trPr>
        <w:tc>
          <w:tcPr>
            <w:tcW w:w="3022" w:type="pct"/>
            <w:noWrap/>
            <w:vAlign w:val="center"/>
            <w:hideMark/>
          </w:tcPr>
          <w:p w14:paraId="59C4444A" w14:textId="77777777" w:rsidR="00024353" w:rsidRPr="004473C0" w:rsidRDefault="00024353">
            <w:pPr>
              <w:rPr>
                <w:rFonts w:ascii="Arial" w:hAnsi="Arial" w:cs="Arial"/>
                <w:color w:val="000000"/>
                <w:sz w:val="18"/>
                <w:szCs w:val="18"/>
              </w:rPr>
            </w:pPr>
            <w:r w:rsidRPr="004473C0">
              <w:rPr>
                <w:rFonts w:ascii="Arial" w:hAnsi="Arial" w:cs="Arial"/>
                <w:color w:val="000000"/>
                <w:sz w:val="18"/>
                <w:szCs w:val="18"/>
              </w:rPr>
              <w:t>Terrenos (Estações)</w:t>
            </w:r>
          </w:p>
        </w:tc>
        <w:tc>
          <w:tcPr>
            <w:tcW w:w="989" w:type="pct"/>
            <w:noWrap/>
            <w:vAlign w:val="center"/>
            <w:hideMark/>
          </w:tcPr>
          <w:p w14:paraId="597CBA13" w14:textId="77777777" w:rsidR="00024353" w:rsidRPr="004473C0" w:rsidRDefault="00024353">
            <w:pPr>
              <w:jc w:val="right"/>
              <w:rPr>
                <w:rFonts w:ascii="Arial" w:hAnsi="Arial" w:cs="Arial"/>
                <w:color w:val="000000"/>
                <w:sz w:val="18"/>
                <w:szCs w:val="18"/>
              </w:rPr>
            </w:pPr>
            <w:r w:rsidRPr="004473C0">
              <w:rPr>
                <w:rFonts w:ascii="Arial" w:hAnsi="Arial" w:cs="Arial"/>
                <w:color w:val="000000"/>
                <w:sz w:val="18"/>
                <w:szCs w:val="18"/>
              </w:rPr>
              <w:t>3.438</w:t>
            </w:r>
          </w:p>
        </w:tc>
        <w:tc>
          <w:tcPr>
            <w:tcW w:w="989" w:type="pct"/>
            <w:noWrap/>
            <w:vAlign w:val="center"/>
            <w:hideMark/>
          </w:tcPr>
          <w:p w14:paraId="20FB5A06" w14:textId="77777777" w:rsidR="00024353" w:rsidRPr="004473C0" w:rsidRDefault="00024353">
            <w:pPr>
              <w:jc w:val="right"/>
              <w:rPr>
                <w:rFonts w:ascii="Arial" w:hAnsi="Arial" w:cs="Arial"/>
                <w:color w:val="000000"/>
                <w:sz w:val="18"/>
                <w:szCs w:val="18"/>
              </w:rPr>
            </w:pPr>
            <w:r w:rsidRPr="004473C0">
              <w:rPr>
                <w:rFonts w:ascii="Arial" w:hAnsi="Arial" w:cs="Arial"/>
                <w:color w:val="000000"/>
                <w:sz w:val="18"/>
                <w:szCs w:val="18"/>
              </w:rPr>
              <w:t>3.839</w:t>
            </w:r>
          </w:p>
        </w:tc>
      </w:tr>
      <w:tr w:rsidR="00024353" w:rsidRPr="004473C0" w14:paraId="350C5A56" w14:textId="77777777" w:rsidTr="00024353">
        <w:trPr>
          <w:trHeight w:val="232"/>
        </w:trPr>
        <w:tc>
          <w:tcPr>
            <w:tcW w:w="3022" w:type="pct"/>
            <w:noWrap/>
            <w:vAlign w:val="center"/>
            <w:hideMark/>
          </w:tcPr>
          <w:p w14:paraId="12BD4501" w14:textId="77777777" w:rsidR="00024353" w:rsidRPr="004473C0" w:rsidRDefault="00024353">
            <w:pPr>
              <w:rPr>
                <w:rFonts w:ascii="Arial" w:hAnsi="Arial" w:cs="Arial"/>
                <w:color w:val="000000"/>
                <w:sz w:val="18"/>
                <w:szCs w:val="18"/>
              </w:rPr>
            </w:pPr>
            <w:r w:rsidRPr="004473C0">
              <w:rPr>
                <w:rFonts w:ascii="Arial" w:hAnsi="Arial" w:cs="Arial"/>
                <w:color w:val="000000"/>
                <w:sz w:val="18"/>
                <w:szCs w:val="18"/>
              </w:rPr>
              <w:t>Equipamentos de Telecomunicações</w:t>
            </w:r>
          </w:p>
        </w:tc>
        <w:tc>
          <w:tcPr>
            <w:tcW w:w="989" w:type="pct"/>
            <w:noWrap/>
            <w:vAlign w:val="center"/>
            <w:hideMark/>
          </w:tcPr>
          <w:p w14:paraId="020CFCE7" w14:textId="77777777" w:rsidR="00024353" w:rsidRPr="004473C0" w:rsidRDefault="00024353">
            <w:pPr>
              <w:jc w:val="right"/>
              <w:rPr>
                <w:rFonts w:ascii="Arial" w:hAnsi="Arial" w:cs="Arial"/>
                <w:color w:val="000000"/>
                <w:sz w:val="18"/>
                <w:szCs w:val="18"/>
              </w:rPr>
            </w:pPr>
            <w:r w:rsidRPr="004473C0">
              <w:rPr>
                <w:rFonts w:ascii="Arial" w:hAnsi="Arial" w:cs="Arial"/>
                <w:color w:val="000000"/>
                <w:sz w:val="18"/>
                <w:szCs w:val="18"/>
              </w:rPr>
              <w:t>1176</w:t>
            </w:r>
          </w:p>
        </w:tc>
        <w:tc>
          <w:tcPr>
            <w:tcW w:w="989" w:type="pct"/>
            <w:noWrap/>
            <w:vAlign w:val="center"/>
            <w:hideMark/>
          </w:tcPr>
          <w:p w14:paraId="474ECC9C" w14:textId="77777777" w:rsidR="00024353" w:rsidRPr="004473C0" w:rsidRDefault="00024353">
            <w:pPr>
              <w:jc w:val="right"/>
              <w:rPr>
                <w:rFonts w:ascii="Arial" w:hAnsi="Arial" w:cs="Arial"/>
                <w:color w:val="000000"/>
                <w:sz w:val="18"/>
                <w:szCs w:val="18"/>
              </w:rPr>
            </w:pPr>
            <w:r w:rsidRPr="004473C0">
              <w:rPr>
                <w:rFonts w:ascii="Arial" w:hAnsi="Arial" w:cs="Arial"/>
                <w:color w:val="000000"/>
                <w:sz w:val="18"/>
                <w:szCs w:val="18"/>
              </w:rPr>
              <w:t>1272</w:t>
            </w:r>
          </w:p>
        </w:tc>
      </w:tr>
      <w:tr w:rsidR="00024353" w14:paraId="06A4BAB8" w14:textId="77777777" w:rsidTr="00024353">
        <w:trPr>
          <w:trHeight w:val="232"/>
        </w:trPr>
        <w:tc>
          <w:tcPr>
            <w:tcW w:w="3022" w:type="pct"/>
            <w:noWrap/>
            <w:vAlign w:val="center"/>
            <w:hideMark/>
          </w:tcPr>
          <w:p w14:paraId="35F261AC" w14:textId="77777777" w:rsidR="00024353" w:rsidRPr="004473C0" w:rsidRDefault="00024353">
            <w:pPr>
              <w:rPr>
                <w:rFonts w:ascii="Arial" w:hAnsi="Arial" w:cs="Arial"/>
                <w:b/>
                <w:bCs/>
                <w:color w:val="000000"/>
                <w:sz w:val="18"/>
                <w:szCs w:val="18"/>
              </w:rPr>
            </w:pPr>
            <w:r w:rsidRPr="004473C0">
              <w:rPr>
                <w:rFonts w:ascii="Arial" w:hAnsi="Arial" w:cs="Arial"/>
                <w:b/>
                <w:bCs/>
                <w:color w:val="000000"/>
                <w:sz w:val="18"/>
                <w:szCs w:val="18"/>
              </w:rPr>
              <w:t>Total</w:t>
            </w:r>
          </w:p>
        </w:tc>
        <w:tc>
          <w:tcPr>
            <w:tcW w:w="989" w:type="pct"/>
            <w:noWrap/>
            <w:vAlign w:val="center"/>
            <w:hideMark/>
          </w:tcPr>
          <w:p w14:paraId="2E99C174" w14:textId="77777777" w:rsidR="00024353" w:rsidRPr="004473C0" w:rsidRDefault="00024353">
            <w:pPr>
              <w:jc w:val="right"/>
              <w:rPr>
                <w:rFonts w:ascii="Arial" w:hAnsi="Arial" w:cs="Arial"/>
                <w:b/>
                <w:bCs/>
                <w:color w:val="000000"/>
                <w:sz w:val="18"/>
                <w:szCs w:val="18"/>
              </w:rPr>
            </w:pPr>
            <w:r w:rsidRPr="004473C0">
              <w:rPr>
                <w:rFonts w:ascii="Arial" w:hAnsi="Arial" w:cs="Arial"/>
                <w:b/>
                <w:bCs/>
                <w:color w:val="000000"/>
                <w:sz w:val="18"/>
                <w:szCs w:val="18"/>
                <w:lang w:eastAsia="en-US"/>
              </w:rPr>
              <w:t>19.261</w:t>
            </w:r>
          </w:p>
        </w:tc>
        <w:tc>
          <w:tcPr>
            <w:tcW w:w="989" w:type="pct"/>
            <w:noWrap/>
            <w:vAlign w:val="center"/>
            <w:hideMark/>
          </w:tcPr>
          <w:p w14:paraId="5B9F3AEF" w14:textId="77777777" w:rsidR="00024353" w:rsidRDefault="00024353">
            <w:pPr>
              <w:jc w:val="right"/>
              <w:rPr>
                <w:rFonts w:ascii="Arial" w:hAnsi="Arial" w:cs="Arial"/>
                <w:b/>
                <w:bCs/>
                <w:color w:val="000000"/>
                <w:sz w:val="18"/>
                <w:szCs w:val="18"/>
              </w:rPr>
            </w:pPr>
            <w:r w:rsidRPr="004473C0">
              <w:rPr>
                <w:rFonts w:ascii="Arial" w:hAnsi="Arial" w:cs="Arial"/>
                <w:b/>
                <w:bCs/>
                <w:color w:val="000000"/>
                <w:sz w:val="18"/>
                <w:szCs w:val="18"/>
                <w:lang w:eastAsia="en-US"/>
              </w:rPr>
              <w:t>19.290</w:t>
            </w:r>
          </w:p>
        </w:tc>
      </w:tr>
    </w:tbl>
    <w:p w14:paraId="24708689" w14:textId="05B4B9CD" w:rsidR="0013696B" w:rsidRDefault="00845D26" w:rsidP="0026662D">
      <w:pPr>
        <w:pStyle w:val="Ttulo2"/>
        <w:numPr>
          <w:ilvl w:val="2"/>
          <w:numId w:val="7"/>
        </w:numPr>
        <w:tabs>
          <w:tab w:val="clear" w:pos="284"/>
          <w:tab w:val="clear" w:pos="340"/>
        </w:tabs>
        <w:ind w:left="851" w:hanging="851"/>
        <w:jc w:val="both"/>
        <w:rPr>
          <w:rFonts w:ascii="Arial" w:hAnsi="Arial" w:cs="Arial"/>
        </w:rPr>
      </w:pPr>
      <w:r>
        <w:rPr>
          <w:rFonts w:ascii="Arial" w:hAnsi="Arial" w:cs="Arial"/>
        </w:rPr>
        <w:t>Obrigações com arredamento mercantil</w:t>
      </w:r>
      <w:r w:rsidR="00BC7A4B">
        <w:rPr>
          <w:rFonts w:ascii="Arial" w:hAnsi="Arial" w:cs="Arial"/>
        </w:rPr>
        <w:t xml:space="preserve"> financeiro</w:t>
      </w:r>
      <w:r>
        <w:rPr>
          <w:rFonts w:ascii="Arial" w:hAnsi="Arial" w:cs="Arial"/>
        </w:rPr>
        <w:t xml:space="preserve"> (Direito de </w:t>
      </w:r>
      <w:r w:rsidR="00BC7A4B">
        <w:rPr>
          <w:rFonts w:ascii="Arial" w:hAnsi="Arial" w:cs="Arial"/>
        </w:rPr>
        <w:t>u</w:t>
      </w:r>
      <w:r>
        <w:rPr>
          <w:rFonts w:ascii="Arial" w:hAnsi="Arial" w:cs="Arial"/>
        </w:rPr>
        <w:t>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5"/>
        <w:gridCol w:w="1933"/>
        <w:gridCol w:w="1933"/>
      </w:tblGrid>
      <w:tr w:rsidR="00F52EDC" w:rsidRPr="004473C0" w14:paraId="763479C3" w14:textId="77777777" w:rsidTr="00F52EDC">
        <w:trPr>
          <w:trHeight w:val="232"/>
        </w:trPr>
        <w:tc>
          <w:tcPr>
            <w:tcW w:w="3022" w:type="pct"/>
            <w:shd w:val="clear" w:color="000000" w:fill="BFBFBF"/>
            <w:noWrap/>
            <w:vAlign w:val="center"/>
            <w:hideMark/>
          </w:tcPr>
          <w:p w14:paraId="5094C65F" w14:textId="77777777" w:rsidR="00F52EDC" w:rsidRPr="004473C0" w:rsidRDefault="00F52EDC">
            <w:pPr>
              <w:rPr>
                <w:rFonts w:ascii="Arial" w:hAnsi="Arial" w:cs="Arial"/>
                <w:b/>
                <w:bCs/>
                <w:color w:val="000000"/>
                <w:sz w:val="18"/>
                <w:szCs w:val="18"/>
              </w:rPr>
            </w:pPr>
            <w:r w:rsidRPr="004473C0">
              <w:rPr>
                <w:rFonts w:ascii="Arial" w:hAnsi="Arial" w:cs="Arial"/>
                <w:b/>
                <w:bCs/>
                <w:color w:val="000000"/>
                <w:sz w:val="18"/>
                <w:szCs w:val="18"/>
              </w:rPr>
              <w:t>Bens/Direitos:</w:t>
            </w:r>
          </w:p>
        </w:tc>
        <w:tc>
          <w:tcPr>
            <w:tcW w:w="989" w:type="pct"/>
            <w:noWrap/>
            <w:vAlign w:val="center"/>
            <w:hideMark/>
          </w:tcPr>
          <w:p w14:paraId="768B1761" w14:textId="77777777" w:rsidR="00F52EDC" w:rsidRPr="004473C0" w:rsidRDefault="00F52EDC">
            <w:pPr>
              <w:jc w:val="center"/>
              <w:rPr>
                <w:rFonts w:ascii="Arial" w:hAnsi="Arial" w:cs="Arial"/>
                <w:b/>
                <w:bCs/>
                <w:color w:val="000000"/>
                <w:sz w:val="18"/>
                <w:szCs w:val="18"/>
              </w:rPr>
            </w:pPr>
            <w:r w:rsidRPr="004473C0">
              <w:rPr>
                <w:rFonts w:ascii="Arial" w:hAnsi="Arial" w:cs="Arial"/>
                <w:b/>
                <w:bCs/>
                <w:color w:val="000000"/>
                <w:sz w:val="18"/>
                <w:szCs w:val="18"/>
              </w:rPr>
              <w:t>31/03/2026</w:t>
            </w:r>
          </w:p>
        </w:tc>
        <w:tc>
          <w:tcPr>
            <w:tcW w:w="989" w:type="pct"/>
            <w:noWrap/>
            <w:vAlign w:val="center"/>
            <w:hideMark/>
          </w:tcPr>
          <w:p w14:paraId="510CE185" w14:textId="77777777" w:rsidR="00F52EDC" w:rsidRPr="004473C0" w:rsidRDefault="00F52EDC">
            <w:pPr>
              <w:jc w:val="center"/>
              <w:rPr>
                <w:rFonts w:ascii="Arial" w:hAnsi="Arial" w:cs="Arial"/>
                <w:b/>
                <w:bCs/>
                <w:color w:val="000000"/>
                <w:sz w:val="18"/>
                <w:szCs w:val="18"/>
              </w:rPr>
            </w:pPr>
            <w:r w:rsidRPr="004473C0">
              <w:rPr>
                <w:rFonts w:ascii="Arial" w:hAnsi="Arial" w:cs="Arial"/>
                <w:b/>
                <w:bCs/>
                <w:color w:val="000000"/>
                <w:sz w:val="18"/>
                <w:szCs w:val="18"/>
              </w:rPr>
              <w:t>31/12/2025</w:t>
            </w:r>
          </w:p>
        </w:tc>
      </w:tr>
      <w:tr w:rsidR="00F52EDC" w:rsidRPr="004473C0" w14:paraId="28D5100D" w14:textId="77777777" w:rsidTr="00F52EDC">
        <w:trPr>
          <w:trHeight w:val="232"/>
        </w:trPr>
        <w:tc>
          <w:tcPr>
            <w:tcW w:w="3022" w:type="pct"/>
            <w:noWrap/>
            <w:vAlign w:val="center"/>
            <w:hideMark/>
          </w:tcPr>
          <w:p w14:paraId="563034DC" w14:textId="77777777" w:rsidR="00F52EDC" w:rsidRPr="004473C0" w:rsidRDefault="00F52EDC">
            <w:pPr>
              <w:rPr>
                <w:rFonts w:ascii="Arial" w:hAnsi="Arial" w:cs="Arial"/>
                <w:color w:val="000000"/>
                <w:sz w:val="18"/>
                <w:szCs w:val="18"/>
              </w:rPr>
            </w:pPr>
            <w:r w:rsidRPr="004473C0">
              <w:rPr>
                <w:rFonts w:ascii="Arial" w:hAnsi="Arial" w:cs="Arial"/>
                <w:color w:val="000000"/>
                <w:sz w:val="18"/>
                <w:szCs w:val="18"/>
              </w:rPr>
              <w:t>Terrenos (Estações)</w:t>
            </w:r>
          </w:p>
        </w:tc>
        <w:tc>
          <w:tcPr>
            <w:tcW w:w="989" w:type="pct"/>
            <w:noWrap/>
            <w:vAlign w:val="center"/>
            <w:hideMark/>
          </w:tcPr>
          <w:p w14:paraId="1268C20D" w14:textId="77777777" w:rsidR="00F52EDC" w:rsidRPr="004473C0" w:rsidRDefault="00F52EDC">
            <w:pPr>
              <w:jc w:val="right"/>
              <w:rPr>
                <w:rFonts w:ascii="Arial" w:hAnsi="Arial" w:cs="Arial"/>
                <w:color w:val="000000"/>
                <w:sz w:val="18"/>
                <w:szCs w:val="18"/>
              </w:rPr>
            </w:pPr>
            <w:r w:rsidRPr="004473C0">
              <w:rPr>
                <w:rFonts w:ascii="Arial" w:hAnsi="Arial" w:cs="Arial"/>
                <w:color w:val="000000"/>
                <w:sz w:val="18"/>
                <w:szCs w:val="18"/>
                <w:lang w:eastAsia="en-US"/>
              </w:rPr>
              <w:t>14.756</w:t>
            </w:r>
          </w:p>
        </w:tc>
        <w:tc>
          <w:tcPr>
            <w:tcW w:w="989" w:type="pct"/>
            <w:noWrap/>
            <w:vAlign w:val="center"/>
            <w:hideMark/>
          </w:tcPr>
          <w:p w14:paraId="57E9364D" w14:textId="77777777" w:rsidR="00F52EDC" w:rsidRPr="004473C0" w:rsidRDefault="00F52EDC">
            <w:pPr>
              <w:jc w:val="right"/>
              <w:rPr>
                <w:rFonts w:ascii="Arial" w:hAnsi="Arial" w:cs="Arial"/>
                <w:color w:val="000000"/>
                <w:sz w:val="18"/>
                <w:szCs w:val="18"/>
              </w:rPr>
            </w:pPr>
            <w:r w:rsidRPr="004473C0">
              <w:rPr>
                <w:rFonts w:ascii="Arial" w:hAnsi="Arial" w:cs="Arial"/>
                <w:color w:val="000000"/>
                <w:sz w:val="18"/>
                <w:szCs w:val="18"/>
                <w:lang w:eastAsia="en-US"/>
              </w:rPr>
              <w:t>14.015</w:t>
            </w:r>
          </w:p>
        </w:tc>
      </w:tr>
      <w:tr w:rsidR="00F52EDC" w:rsidRPr="004473C0" w14:paraId="3755519F" w14:textId="77777777" w:rsidTr="00F52EDC">
        <w:trPr>
          <w:trHeight w:val="232"/>
        </w:trPr>
        <w:tc>
          <w:tcPr>
            <w:tcW w:w="3022" w:type="pct"/>
            <w:noWrap/>
            <w:vAlign w:val="center"/>
            <w:hideMark/>
          </w:tcPr>
          <w:p w14:paraId="10D581AA" w14:textId="77777777" w:rsidR="00F52EDC" w:rsidRPr="004473C0" w:rsidRDefault="00F52EDC">
            <w:pPr>
              <w:rPr>
                <w:rFonts w:ascii="Arial" w:hAnsi="Arial" w:cs="Arial"/>
                <w:color w:val="000000"/>
                <w:sz w:val="18"/>
                <w:szCs w:val="18"/>
              </w:rPr>
            </w:pPr>
            <w:r w:rsidRPr="004473C0">
              <w:rPr>
                <w:rFonts w:ascii="Arial" w:hAnsi="Arial" w:cs="Arial"/>
                <w:color w:val="000000"/>
                <w:sz w:val="18"/>
                <w:szCs w:val="18"/>
              </w:rPr>
              <w:t>Imóveis</w:t>
            </w:r>
          </w:p>
        </w:tc>
        <w:tc>
          <w:tcPr>
            <w:tcW w:w="989" w:type="pct"/>
            <w:noWrap/>
            <w:vAlign w:val="center"/>
            <w:hideMark/>
          </w:tcPr>
          <w:p w14:paraId="69DC2069" w14:textId="77777777" w:rsidR="00F52EDC" w:rsidRPr="004473C0" w:rsidRDefault="00F52EDC">
            <w:pPr>
              <w:jc w:val="right"/>
              <w:rPr>
                <w:rFonts w:ascii="Arial" w:hAnsi="Arial" w:cs="Arial"/>
                <w:color w:val="000000"/>
                <w:sz w:val="18"/>
                <w:szCs w:val="18"/>
              </w:rPr>
            </w:pPr>
            <w:r w:rsidRPr="004473C0">
              <w:rPr>
                <w:rFonts w:ascii="Arial" w:hAnsi="Arial" w:cs="Arial"/>
                <w:color w:val="000000"/>
                <w:sz w:val="18"/>
                <w:szCs w:val="18"/>
                <w:lang w:eastAsia="en-US"/>
              </w:rPr>
              <w:t>3.743</w:t>
            </w:r>
          </w:p>
        </w:tc>
        <w:tc>
          <w:tcPr>
            <w:tcW w:w="989" w:type="pct"/>
            <w:noWrap/>
            <w:vAlign w:val="center"/>
            <w:hideMark/>
          </w:tcPr>
          <w:p w14:paraId="3CD44B30" w14:textId="77777777" w:rsidR="00F52EDC" w:rsidRPr="004473C0" w:rsidRDefault="00F52EDC">
            <w:pPr>
              <w:jc w:val="right"/>
              <w:rPr>
                <w:rFonts w:ascii="Arial" w:hAnsi="Arial" w:cs="Arial"/>
                <w:color w:val="000000"/>
                <w:sz w:val="18"/>
                <w:szCs w:val="18"/>
              </w:rPr>
            </w:pPr>
            <w:r w:rsidRPr="004473C0">
              <w:rPr>
                <w:rFonts w:ascii="Arial" w:hAnsi="Arial" w:cs="Arial"/>
                <w:color w:val="000000"/>
                <w:sz w:val="18"/>
                <w:szCs w:val="18"/>
                <w:lang w:eastAsia="en-US"/>
              </w:rPr>
              <w:t>4.176</w:t>
            </w:r>
          </w:p>
        </w:tc>
      </w:tr>
      <w:tr w:rsidR="00F52EDC" w:rsidRPr="004473C0" w14:paraId="3BCAF5D3" w14:textId="77777777" w:rsidTr="00F52EDC">
        <w:trPr>
          <w:trHeight w:val="232"/>
        </w:trPr>
        <w:tc>
          <w:tcPr>
            <w:tcW w:w="3022" w:type="pct"/>
            <w:noWrap/>
            <w:vAlign w:val="center"/>
            <w:hideMark/>
          </w:tcPr>
          <w:p w14:paraId="5F290ACA" w14:textId="77777777" w:rsidR="00F52EDC" w:rsidRPr="004473C0" w:rsidRDefault="00F52EDC">
            <w:pPr>
              <w:rPr>
                <w:rFonts w:ascii="Arial" w:hAnsi="Arial" w:cs="Arial"/>
                <w:color w:val="000000"/>
                <w:sz w:val="18"/>
                <w:szCs w:val="18"/>
              </w:rPr>
            </w:pPr>
            <w:r w:rsidRPr="004473C0">
              <w:rPr>
                <w:rFonts w:ascii="Arial" w:hAnsi="Arial" w:cs="Arial"/>
                <w:color w:val="000000"/>
                <w:sz w:val="18"/>
                <w:szCs w:val="18"/>
              </w:rPr>
              <w:t>Equipamentos de Telecomunicações</w:t>
            </w:r>
          </w:p>
        </w:tc>
        <w:tc>
          <w:tcPr>
            <w:tcW w:w="989" w:type="pct"/>
            <w:noWrap/>
            <w:vAlign w:val="center"/>
            <w:hideMark/>
          </w:tcPr>
          <w:p w14:paraId="448FD2E8" w14:textId="77777777" w:rsidR="00F52EDC" w:rsidRPr="004473C0" w:rsidRDefault="00F52EDC">
            <w:pPr>
              <w:jc w:val="right"/>
              <w:rPr>
                <w:rFonts w:ascii="Arial" w:hAnsi="Arial" w:cs="Arial"/>
                <w:color w:val="000000"/>
                <w:sz w:val="18"/>
                <w:szCs w:val="18"/>
              </w:rPr>
            </w:pPr>
            <w:r w:rsidRPr="004473C0">
              <w:rPr>
                <w:rFonts w:ascii="Arial" w:hAnsi="Arial" w:cs="Arial"/>
                <w:color w:val="000000"/>
                <w:sz w:val="18"/>
                <w:szCs w:val="18"/>
                <w:lang w:eastAsia="en-US"/>
              </w:rPr>
              <w:t>1.483</w:t>
            </w:r>
          </w:p>
        </w:tc>
        <w:tc>
          <w:tcPr>
            <w:tcW w:w="989" w:type="pct"/>
            <w:noWrap/>
            <w:vAlign w:val="center"/>
            <w:hideMark/>
          </w:tcPr>
          <w:p w14:paraId="5C9ADADB" w14:textId="77777777" w:rsidR="00F52EDC" w:rsidRPr="004473C0" w:rsidRDefault="00F52EDC">
            <w:pPr>
              <w:jc w:val="right"/>
              <w:rPr>
                <w:rFonts w:ascii="Arial" w:hAnsi="Arial" w:cs="Arial"/>
                <w:color w:val="000000"/>
                <w:sz w:val="18"/>
                <w:szCs w:val="18"/>
              </w:rPr>
            </w:pPr>
            <w:r w:rsidRPr="004473C0">
              <w:rPr>
                <w:rFonts w:ascii="Arial" w:hAnsi="Arial" w:cs="Arial"/>
                <w:color w:val="000000"/>
                <w:sz w:val="18"/>
                <w:szCs w:val="18"/>
                <w:lang w:eastAsia="en-US"/>
              </w:rPr>
              <w:t>1.688</w:t>
            </w:r>
          </w:p>
        </w:tc>
      </w:tr>
      <w:tr w:rsidR="00F52EDC" w:rsidRPr="004473C0" w14:paraId="709C3B22" w14:textId="77777777" w:rsidTr="00F52EDC">
        <w:trPr>
          <w:trHeight w:val="232"/>
        </w:trPr>
        <w:tc>
          <w:tcPr>
            <w:tcW w:w="3022" w:type="pct"/>
            <w:noWrap/>
            <w:vAlign w:val="center"/>
            <w:hideMark/>
          </w:tcPr>
          <w:p w14:paraId="74457990" w14:textId="77777777" w:rsidR="00F52EDC" w:rsidRPr="004473C0" w:rsidRDefault="00F52EDC">
            <w:pPr>
              <w:rPr>
                <w:rFonts w:ascii="Arial" w:hAnsi="Arial" w:cs="Arial"/>
                <w:b/>
                <w:bCs/>
                <w:color w:val="000000"/>
                <w:sz w:val="18"/>
                <w:szCs w:val="18"/>
              </w:rPr>
            </w:pPr>
            <w:r w:rsidRPr="004473C0">
              <w:rPr>
                <w:rFonts w:ascii="Arial" w:hAnsi="Arial" w:cs="Arial"/>
                <w:b/>
                <w:bCs/>
                <w:color w:val="000000"/>
                <w:sz w:val="18"/>
                <w:szCs w:val="18"/>
              </w:rPr>
              <w:t>Total</w:t>
            </w:r>
          </w:p>
        </w:tc>
        <w:tc>
          <w:tcPr>
            <w:tcW w:w="989" w:type="pct"/>
            <w:noWrap/>
            <w:vAlign w:val="center"/>
            <w:hideMark/>
          </w:tcPr>
          <w:p w14:paraId="28558851" w14:textId="77777777" w:rsidR="00F52EDC" w:rsidRPr="004473C0" w:rsidRDefault="00F52EDC">
            <w:pPr>
              <w:jc w:val="right"/>
              <w:rPr>
                <w:rFonts w:ascii="Arial" w:hAnsi="Arial" w:cs="Arial"/>
                <w:b/>
                <w:bCs/>
                <w:color w:val="000000"/>
                <w:sz w:val="18"/>
                <w:szCs w:val="18"/>
              </w:rPr>
            </w:pPr>
            <w:r w:rsidRPr="004473C0">
              <w:rPr>
                <w:rFonts w:ascii="Arial" w:hAnsi="Arial" w:cs="Arial"/>
                <w:b/>
                <w:bCs/>
                <w:color w:val="000000"/>
                <w:sz w:val="18"/>
                <w:szCs w:val="18"/>
                <w:lang w:eastAsia="en-US"/>
              </w:rPr>
              <w:t>19.982</w:t>
            </w:r>
          </w:p>
        </w:tc>
        <w:tc>
          <w:tcPr>
            <w:tcW w:w="989" w:type="pct"/>
            <w:noWrap/>
            <w:vAlign w:val="center"/>
            <w:hideMark/>
          </w:tcPr>
          <w:p w14:paraId="745B60C4" w14:textId="77777777" w:rsidR="00F52EDC" w:rsidRPr="004473C0" w:rsidRDefault="00F52EDC">
            <w:pPr>
              <w:jc w:val="right"/>
              <w:rPr>
                <w:rFonts w:ascii="Arial" w:hAnsi="Arial" w:cs="Arial"/>
                <w:b/>
                <w:bCs/>
                <w:color w:val="000000"/>
                <w:sz w:val="18"/>
                <w:szCs w:val="18"/>
              </w:rPr>
            </w:pPr>
            <w:r w:rsidRPr="004473C0">
              <w:rPr>
                <w:rFonts w:ascii="Arial" w:hAnsi="Arial" w:cs="Arial"/>
                <w:b/>
                <w:bCs/>
                <w:color w:val="000000"/>
                <w:sz w:val="18"/>
                <w:szCs w:val="18"/>
                <w:lang w:eastAsia="en-US"/>
              </w:rPr>
              <w:t>19.879</w:t>
            </w:r>
          </w:p>
        </w:tc>
      </w:tr>
      <w:tr w:rsidR="00F52EDC" w:rsidRPr="004473C0" w14:paraId="497600DE" w14:textId="77777777" w:rsidTr="00F52EDC">
        <w:trPr>
          <w:trHeight w:val="232"/>
        </w:trPr>
        <w:tc>
          <w:tcPr>
            <w:tcW w:w="3022" w:type="pct"/>
            <w:noWrap/>
            <w:vAlign w:val="center"/>
            <w:hideMark/>
          </w:tcPr>
          <w:p w14:paraId="349571FA" w14:textId="77777777" w:rsidR="00F52EDC" w:rsidRPr="004473C0" w:rsidRDefault="00F52EDC">
            <w:pPr>
              <w:rPr>
                <w:rFonts w:ascii="Arial" w:hAnsi="Arial" w:cs="Arial"/>
                <w:b/>
                <w:bCs/>
                <w:color w:val="000000"/>
                <w:sz w:val="18"/>
                <w:szCs w:val="18"/>
              </w:rPr>
            </w:pPr>
            <w:r w:rsidRPr="004473C0">
              <w:rPr>
                <w:rFonts w:ascii="Arial" w:hAnsi="Arial" w:cs="Arial"/>
                <w:b/>
                <w:bCs/>
                <w:color w:val="000000"/>
                <w:sz w:val="18"/>
                <w:szCs w:val="18"/>
              </w:rPr>
              <w:t>Circulante</w:t>
            </w:r>
          </w:p>
        </w:tc>
        <w:tc>
          <w:tcPr>
            <w:tcW w:w="989" w:type="pct"/>
            <w:noWrap/>
            <w:vAlign w:val="center"/>
            <w:hideMark/>
          </w:tcPr>
          <w:p w14:paraId="64424994" w14:textId="77777777" w:rsidR="00F52EDC" w:rsidRPr="004473C0" w:rsidRDefault="00F52EDC">
            <w:pPr>
              <w:jc w:val="right"/>
              <w:rPr>
                <w:rFonts w:ascii="Arial" w:hAnsi="Arial" w:cs="Arial"/>
                <w:b/>
                <w:bCs/>
                <w:color w:val="000000"/>
                <w:sz w:val="18"/>
                <w:szCs w:val="18"/>
              </w:rPr>
            </w:pPr>
            <w:r w:rsidRPr="004473C0">
              <w:rPr>
                <w:rFonts w:ascii="Arial" w:hAnsi="Arial" w:cs="Arial"/>
                <w:b/>
                <w:bCs/>
                <w:color w:val="000000"/>
                <w:sz w:val="18"/>
                <w:szCs w:val="18"/>
              </w:rPr>
              <w:t>5.250</w:t>
            </w:r>
          </w:p>
        </w:tc>
        <w:tc>
          <w:tcPr>
            <w:tcW w:w="989" w:type="pct"/>
            <w:noWrap/>
            <w:vAlign w:val="center"/>
            <w:hideMark/>
          </w:tcPr>
          <w:p w14:paraId="5E0D90B9" w14:textId="77777777" w:rsidR="00F52EDC" w:rsidRPr="004473C0" w:rsidRDefault="00F52EDC">
            <w:pPr>
              <w:jc w:val="right"/>
              <w:rPr>
                <w:rFonts w:ascii="Arial" w:hAnsi="Arial" w:cs="Arial"/>
                <w:b/>
                <w:bCs/>
                <w:color w:val="000000"/>
                <w:sz w:val="18"/>
                <w:szCs w:val="18"/>
              </w:rPr>
            </w:pPr>
            <w:r w:rsidRPr="004473C0">
              <w:rPr>
                <w:rFonts w:ascii="Arial" w:hAnsi="Arial" w:cs="Arial"/>
                <w:b/>
                <w:bCs/>
                <w:color w:val="000000"/>
                <w:sz w:val="18"/>
                <w:szCs w:val="18"/>
              </w:rPr>
              <w:t>5.093</w:t>
            </w:r>
          </w:p>
        </w:tc>
      </w:tr>
      <w:tr w:rsidR="00F52EDC" w14:paraId="5D7B545A" w14:textId="77777777" w:rsidTr="00F52EDC">
        <w:trPr>
          <w:trHeight w:val="232"/>
        </w:trPr>
        <w:tc>
          <w:tcPr>
            <w:tcW w:w="3022" w:type="pct"/>
            <w:noWrap/>
            <w:vAlign w:val="center"/>
            <w:hideMark/>
          </w:tcPr>
          <w:p w14:paraId="4F0C218F" w14:textId="77777777" w:rsidR="00F52EDC" w:rsidRPr="004473C0" w:rsidRDefault="00F52EDC">
            <w:pPr>
              <w:rPr>
                <w:rFonts w:ascii="Arial" w:hAnsi="Arial" w:cs="Arial"/>
                <w:b/>
                <w:bCs/>
                <w:color w:val="000000"/>
                <w:sz w:val="18"/>
                <w:szCs w:val="18"/>
              </w:rPr>
            </w:pPr>
            <w:r w:rsidRPr="004473C0">
              <w:rPr>
                <w:rFonts w:ascii="Arial" w:hAnsi="Arial" w:cs="Arial"/>
                <w:b/>
                <w:bCs/>
                <w:color w:val="000000"/>
                <w:sz w:val="18"/>
                <w:szCs w:val="18"/>
              </w:rPr>
              <w:t>Não Circulante</w:t>
            </w:r>
          </w:p>
        </w:tc>
        <w:tc>
          <w:tcPr>
            <w:tcW w:w="989" w:type="pct"/>
            <w:noWrap/>
            <w:vAlign w:val="center"/>
            <w:hideMark/>
          </w:tcPr>
          <w:p w14:paraId="1F704DC8" w14:textId="77777777" w:rsidR="00F52EDC" w:rsidRPr="004473C0" w:rsidRDefault="00F52EDC">
            <w:pPr>
              <w:jc w:val="right"/>
              <w:rPr>
                <w:rFonts w:ascii="Arial" w:hAnsi="Arial" w:cs="Arial"/>
                <w:b/>
                <w:bCs/>
                <w:color w:val="000000"/>
                <w:sz w:val="18"/>
                <w:szCs w:val="18"/>
              </w:rPr>
            </w:pPr>
            <w:r w:rsidRPr="004473C0">
              <w:rPr>
                <w:rFonts w:ascii="Arial" w:hAnsi="Arial" w:cs="Arial"/>
                <w:b/>
                <w:bCs/>
                <w:color w:val="000000"/>
                <w:sz w:val="18"/>
                <w:szCs w:val="18"/>
              </w:rPr>
              <w:t>14.732</w:t>
            </w:r>
          </w:p>
        </w:tc>
        <w:tc>
          <w:tcPr>
            <w:tcW w:w="989" w:type="pct"/>
            <w:noWrap/>
            <w:vAlign w:val="center"/>
            <w:hideMark/>
          </w:tcPr>
          <w:p w14:paraId="3264BB89" w14:textId="77777777" w:rsidR="00F52EDC" w:rsidRDefault="00F52EDC">
            <w:pPr>
              <w:jc w:val="right"/>
              <w:rPr>
                <w:rFonts w:ascii="Arial" w:hAnsi="Arial" w:cs="Arial"/>
                <w:b/>
                <w:bCs/>
                <w:color w:val="000000"/>
                <w:sz w:val="18"/>
                <w:szCs w:val="18"/>
              </w:rPr>
            </w:pPr>
            <w:r w:rsidRPr="004473C0">
              <w:rPr>
                <w:rFonts w:ascii="Arial" w:hAnsi="Arial" w:cs="Arial"/>
                <w:b/>
                <w:bCs/>
                <w:color w:val="000000"/>
                <w:sz w:val="18"/>
                <w:szCs w:val="18"/>
              </w:rPr>
              <w:t>14.786</w:t>
            </w:r>
          </w:p>
        </w:tc>
      </w:tr>
    </w:tbl>
    <w:p w14:paraId="20B5F509" w14:textId="00173C58" w:rsidR="00452DBB" w:rsidRDefault="00452DBB" w:rsidP="00513EB3"/>
    <w:p w14:paraId="48D9444F" w14:textId="3BF207F7" w:rsidR="00557D7F" w:rsidRPr="002A36CE" w:rsidRDefault="00B34293" w:rsidP="00B34293">
      <w:pPr>
        <w:autoSpaceDE w:val="0"/>
        <w:autoSpaceDN w:val="0"/>
        <w:adjustRightInd w:val="0"/>
        <w:jc w:val="both"/>
        <w:rPr>
          <w:rFonts w:ascii="Arial" w:hAnsi="Arial" w:cs="Arial"/>
          <w:sz w:val="22"/>
          <w:szCs w:val="22"/>
        </w:rPr>
      </w:pPr>
      <w:r w:rsidRPr="002A36CE">
        <w:rPr>
          <w:rFonts w:ascii="Arial" w:hAnsi="Arial" w:cs="Arial"/>
          <w:sz w:val="22"/>
          <w:szCs w:val="22"/>
          <w:lang w:eastAsia="en-US"/>
        </w:rPr>
        <w:t>Os desembolsos futuros (contraprestações)</w:t>
      </w:r>
      <w:r w:rsidR="007A09E1">
        <w:rPr>
          <w:rFonts w:ascii="Arial" w:hAnsi="Arial" w:cs="Arial"/>
          <w:sz w:val="22"/>
          <w:szCs w:val="22"/>
          <w:lang w:eastAsia="en-US"/>
        </w:rPr>
        <w:t xml:space="preserve"> de longo prazo</w:t>
      </w:r>
      <w:r w:rsidRPr="002A36CE">
        <w:rPr>
          <w:rFonts w:ascii="Arial" w:hAnsi="Arial" w:cs="Arial"/>
          <w:sz w:val="22"/>
          <w:szCs w:val="22"/>
          <w:lang w:eastAsia="en-US"/>
        </w:rPr>
        <w:t>, assumidos em decorrência desses contratos, estão apresentados abaixo:</w:t>
      </w:r>
    </w:p>
    <w:p w14:paraId="66A4FF6E" w14:textId="77777777" w:rsidR="00F46D9C" w:rsidRDefault="00F46D9C" w:rsidP="002B5598">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1"/>
        <w:gridCol w:w="1591"/>
        <w:gridCol w:w="1591"/>
        <w:gridCol w:w="1528"/>
      </w:tblGrid>
      <w:tr w:rsidR="00234B7A" w:rsidRPr="004473C0" w14:paraId="31B66156" w14:textId="77777777" w:rsidTr="00234B7A">
        <w:trPr>
          <w:trHeight w:val="232"/>
        </w:trPr>
        <w:tc>
          <w:tcPr>
            <w:tcW w:w="2590" w:type="pct"/>
            <w:shd w:val="clear" w:color="000000" w:fill="BFBFBF"/>
            <w:vAlign w:val="center"/>
            <w:hideMark/>
          </w:tcPr>
          <w:p w14:paraId="6CECDF2D" w14:textId="77777777" w:rsidR="00234B7A" w:rsidRPr="004473C0" w:rsidRDefault="00234B7A">
            <w:pPr>
              <w:rPr>
                <w:rFonts w:ascii="Arial" w:hAnsi="Arial" w:cs="Arial"/>
                <w:b/>
                <w:bCs/>
                <w:color w:val="000000"/>
                <w:sz w:val="18"/>
                <w:szCs w:val="18"/>
              </w:rPr>
            </w:pPr>
            <w:r w:rsidRPr="004473C0">
              <w:rPr>
                <w:rFonts w:ascii="Arial" w:hAnsi="Arial" w:cs="Arial"/>
                <w:b/>
                <w:bCs/>
                <w:color w:val="000000"/>
                <w:sz w:val="18"/>
                <w:szCs w:val="18"/>
              </w:rPr>
              <w:t>Vencimentos:</w:t>
            </w:r>
          </w:p>
        </w:tc>
        <w:tc>
          <w:tcPr>
            <w:tcW w:w="814" w:type="pct"/>
            <w:vAlign w:val="center"/>
            <w:hideMark/>
          </w:tcPr>
          <w:p w14:paraId="563AAE5E" w14:textId="77777777" w:rsidR="00234B7A" w:rsidRPr="004473C0" w:rsidRDefault="00234B7A">
            <w:pPr>
              <w:jc w:val="center"/>
              <w:rPr>
                <w:rFonts w:ascii="Arial" w:hAnsi="Arial" w:cs="Arial"/>
                <w:b/>
                <w:bCs/>
                <w:color w:val="000000"/>
                <w:sz w:val="18"/>
                <w:szCs w:val="18"/>
              </w:rPr>
            </w:pPr>
            <w:r w:rsidRPr="004473C0">
              <w:rPr>
                <w:rFonts w:ascii="Arial" w:hAnsi="Arial" w:cs="Arial"/>
                <w:b/>
                <w:bCs/>
                <w:color w:val="000000"/>
                <w:sz w:val="18"/>
                <w:szCs w:val="18"/>
              </w:rPr>
              <w:t>principal</w:t>
            </w:r>
          </w:p>
        </w:tc>
        <w:tc>
          <w:tcPr>
            <w:tcW w:w="814" w:type="pct"/>
            <w:vAlign w:val="center"/>
            <w:hideMark/>
          </w:tcPr>
          <w:p w14:paraId="24403114" w14:textId="77777777" w:rsidR="00234B7A" w:rsidRPr="004473C0" w:rsidRDefault="00234B7A">
            <w:pPr>
              <w:jc w:val="center"/>
              <w:rPr>
                <w:rFonts w:ascii="Arial" w:hAnsi="Arial" w:cs="Arial"/>
                <w:b/>
                <w:bCs/>
                <w:color w:val="000000"/>
                <w:sz w:val="18"/>
                <w:szCs w:val="18"/>
              </w:rPr>
            </w:pPr>
            <w:r w:rsidRPr="004473C0">
              <w:rPr>
                <w:rFonts w:ascii="Arial" w:hAnsi="Arial" w:cs="Arial"/>
                <w:b/>
                <w:bCs/>
                <w:color w:val="000000"/>
                <w:sz w:val="18"/>
                <w:szCs w:val="18"/>
              </w:rPr>
              <w:t>Juros a Incorrer</w:t>
            </w:r>
          </w:p>
        </w:tc>
        <w:tc>
          <w:tcPr>
            <w:tcW w:w="782" w:type="pct"/>
            <w:vAlign w:val="center"/>
            <w:hideMark/>
          </w:tcPr>
          <w:p w14:paraId="4DA79971" w14:textId="77777777" w:rsidR="00234B7A" w:rsidRPr="004473C0" w:rsidRDefault="00234B7A">
            <w:pPr>
              <w:jc w:val="center"/>
              <w:rPr>
                <w:rFonts w:ascii="Arial" w:hAnsi="Arial" w:cs="Arial"/>
                <w:b/>
                <w:bCs/>
                <w:color w:val="000000"/>
                <w:sz w:val="18"/>
                <w:szCs w:val="18"/>
              </w:rPr>
            </w:pPr>
            <w:r w:rsidRPr="004473C0">
              <w:rPr>
                <w:rFonts w:ascii="Arial" w:hAnsi="Arial" w:cs="Arial"/>
                <w:b/>
                <w:bCs/>
                <w:color w:val="000000"/>
                <w:sz w:val="18"/>
                <w:szCs w:val="18"/>
              </w:rPr>
              <w:t>Total</w:t>
            </w:r>
          </w:p>
        </w:tc>
      </w:tr>
      <w:tr w:rsidR="00234B7A" w:rsidRPr="004473C0" w14:paraId="077C56DC" w14:textId="77777777" w:rsidTr="00234B7A">
        <w:trPr>
          <w:trHeight w:val="232"/>
        </w:trPr>
        <w:tc>
          <w:tcPr>
            <w:tcW w:w="2590" w:type="pct"/>
            <w:noWrap/>
            <w:vAlign w:val="center"/>
            <w:hideMark/>
          </w:tcPr>
          <w:p w14:paraId="3CC0FF8D" w14:textId="77777777" w:rsidR="00234B7A" w:rsidRPr="004473C0" w:rsidRDefault="00234B7A">
            <w:pPr>
              <w:rPr>
                <w:rFonts w:ascii="Arial" w:hAnsi="Arial" w:cs="Arial"/>
                <w:color w:val="000000"/>
                <w:sz w:val="18"/>
                <w:szCs w:val="18"/>
              </w:rPr>
            </w:pPr>
            <w:r w:rsidRPr="004473C0">
              <w:rPr>
                <w:rFonts w:ascii="Arial" w:hAnsi="Arial" w:cs="Arial"/>
                <w:color w:val="000000"/>
                <w:sz w:val="18"/>
                <w:szCs w:val="18"/>
              </w:rPr>
              <w:t>2027</w:t>
            </w:r>
          </w:p>
        </w:tc>
        <w:tc>
          <w:tcPr>
            <w:tcW w:w="814" w:type="pct"/>
            <w:noWrap/>
            <w:vAlign w:val="center"/>
            <w:hideMark/>
          </w:tcPr>
          <w:p w14:paraId="53189FDC"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4.152 </w:t>
            </w:r>
          </w:p>
        </w:tc>
        <w:tc>
          <w:tcPr>
            <w:tcW w:w="814" w:type="pct"/>
            <w:noWrap/>
            <w:vAlign w:val="center"/>
            <w:hideMark/>
          </w:tcPr>
          <w:p w14:paraId="72B99A61"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(620)</w:t>
            </w:r>
          </w:p>
        </w:tc>
        <w:tc>
          <w:tcPr>
            <w:tcW w:w="782" w:type="pct"/>
            <w:noWrap/>
            <w:vAlign w:val="center"/>
            <w:hideMark/>
          </w:tcPr>
          <w:p w14:paraId="556464D0"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3.532 </w:t>
            </w:r>
          </w:p>
        </w:tc>
      </w:tr>
      <w:tr w:rsidR="00234B7A" w:rsidRPr="004473C0" w14:paraId="6A8F7A8A" w14:textId="77777777" w:rsidTr="00234B7A">
        <w:trPr>
          <w:trHeight w:val="232"/>
        </w:trPr>
        <w:tc>
          <w:tcPr>
            <w:tcW w:w="2590" w:type="pct"/>
            <w:noWrap/>
            <w:vAlign w:val="center"/>
            <w:hideMark/>
          </w:tcPr>
          <w:p w14:paraId="481CDA7D" w14:textId="77777777" w:rsidR="00234B7A" w:rsidRPr="004473C0" w:rsidRDefault="00234B7A">
            <w:pPr>
              <w:rPr>
                <w:rFonts w:ascii="Arial" w:hAnsi="Arial" w:cs="Arial"/>
                <w:color w:val="000000"/>
                <w:sz w:val="18"/>
                <w:szCs w:val="18"/>
              </w:rPr>
            </w:pPr>
            <w:r w:rsidRPr="004473C0">
              <w:rPr>
                <w:rFonts w:ascii="Arial" w:hAnsi="Arial" w:cs="Arial"/>
                <w:color w:val="000000"/>
                <w:sz w:val="18"/>
                <w:szCs w:val="18"/>
              </w:rPr>
              <w:t>2028</w:t>
            </w:r>
          </w:p>
        </w:tc>
        <w:tc>
          <w:tcPr>
            <w:tcW w:w="814" w:type="pct"/>
            <w:noWrap/>
            <w:vAlign w:val="center"/>
            <w:hideMark/>
          </w:tcPr>
          <w:p w14:paraId="15F6B977"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4.577 </w:t>
            </w:r>
          </w:p>
        </w:tc>
        <w:tc>
          <w:tcPr>
            <w:tcW w:w="814" w:type="pct"/>
            <w:noWrap/>
            <w:vAlign w:val="center"/>
            <w:hideMark/>
          </w:tcPr>
          <w:p w14:paraId="3535CBB8"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(586)</w:t>
            </w:r>
          </w:p>
        </w:tc>
        <w:tc>
          <w:tcPr>
            <w:tcW w:w="782" w:type="pct"/>
            <w:noWrap/>
            <w:vAlign w:val="center"/>
            <w:hideMark/>
          </w:tcPr>
          <w:p w14:paraId="6BD5223D"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3.991 </w:t>
            </w:r>
          </w:p>
        </w:tc>
      </w:tr>
      <w:tr w:rsidR="00234B7A" w:rsidRPr="004473C0" w14:paraId="78D6E8DF" w14:textId="77777777" w:rsidTr="00234B7A">
        <w:trPr>
          <w:trHeight w:val="232"/>
        </w:trPr>
        <w:tc>
          <w:tcPr>
            <w:tcW w:w="2590" w:type="pct"/>
            <w:noWrap/>
            <w:vAlign w:val="center"/>
            <w:hideMark/>
          </w:tcPr>
          <w:p w14:paraId="1D5CEE0E" w14:textId="77777777" w:rsidR="00234B7A" w:rsidRPr="004473C0" w:rsidRDefault="00234B7A">
            <w:pPr>
              <w:rPr>
                <w:rFonts w:ascii="Arial" w:hAnsi="Arial" w:cs="Arial"/>
                <w:color w:val="000000"/>
                <w:sz w:val="18"/>
                <w:szCs w:val="18"/>
              </w:rPr>
            </w:pPr>
            <w:r w:rsidRPr="004473C0">
              <w:rPr>
                <w:rFonts w:ascii="Arial" w:hAnsi="Arial" w:cs="Arial"/>
                <w:color w:val="000000"/>
                <w:sz w:val="18"/>
                <w:szCs w:val="18"/>
              </w:rPr>
              <w:t>2029</w:t>
            </w:r>
          </w:p>
        </w:tc>
        <w:tc>
          <w:tcPr>
            <w:tcW w:w="814" w:type="pct"/>
            <w:noWrap/>
            <w:vAlign w:val="center"/>
            <w:hideMark/>
          </w:tcPr>
          <w:p w14:paraId="11255479"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4.160 </w:t>
            </w:r>
          </w:p>
        </w:tc>
        <w:tc>
          <w:tcPr>
            <w:tcW w:w="814" w:type="pct"/>
            <w:noWrap/>
            <w:vAlign w:val="center"/>
            <w:hideMark/>
          </w:tcPr>
          <w:p w14:paraId="60266113"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(340)</w:t>
            </w:r>
          </w:p>
        </w:tc>
        <w:tc>
          <w:tcPr>
            <w:tcW w:w="782" w:type="pct"/>
            <w:noWrap/>
            <w:vAlign w:val="center"/>
            <w:hideMark/>
          </w:tcPr>
          <w:p w14:paraId="3B66FBCE"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3.820 </w:t>
            </w:r>
          </w:p>
        </w:tc>
      </w:tr>
      <w:tr w:rsidR="00234B7A" w:rsidRPr="004473C0" w14:paraId="000C0AD2" w14:textId="77777777" w:rsidTr="00234B7A">
        <w:trPr>
          <w:trHeight w:val="232"/>
        </w:trPr>
        <w:tc>
          <w:tcPr>
            <w:tcW w:w="2590" w:type="pct"/>
            <w:noWrap/>
            <w:vAlign w:val="center"/>
            <w:hideMark/>
          </w:tcPr>
          <w:p w14:paraId="67B0A773" w14:textId="77777777" w:rsidR="00234B7A" w:rsidRPr="004473C0" w:rsidRDefault="00234B7A">
            <w:pPr>
              <w:rPr>
                <w:rFonts w:ascii="Arial" w:hAnsi="Arial" w:cs="Arial"/>
                <w:color w:val="000000"/>
                <w:sz w:val="18"/>
                <w:szCs w:val="18"/>
              </w:rPr>
            </w:pPr>
            <w:r w:rsidRPr="004473C0">
              <w:rPr>
                <w:rFonts w:ascii="Arial" w:hAnsi="Arial" w:cs="Arial"/>
                <w:color w:val="000000"/>
                <w:sz w:val="18"/>
                <w:szCs w:val="18"/>
              </w:rPr>
              <w:t>2030</w:t>
            </w:r>
          </w:p>
        </w:tc>
        <w:tc>
          <w:tcPr>
            <w:tcW w:w="814" w:type="pct"/>
            <w:noWrap/>
            <w:vAlign w:val="center"/>
            <w:hideMark/>
          </w:tcPr>
          <w:p w14:paraId="7F14CB1A"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3.470 </w:t>
            </w:r>
          </w:p>
        </w:tc>
        <w:tc>
          <w:tcPr>
            <w:tcW w:w="814" w:type="pct"/>
            <w:noWrap/>
            <w:vAlign w:val="center"/>
            <w:hideMark/>
          </w:tcPr>
          <w:p w14:paraId="5BC0ACF7"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(105)</w:t>
            </w:r>
          </w:p>
        </w:tc>
        <w:tc>
          <w:tcPr>
            <w:tcW w:w="782" w:type="pct"/>
            <w:noWrap/>
            <w:vAlign w:val="center"/>
            <w:hideMark/>
          </w:tcPr>
          <w:p w14:paraId="09B857C6"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3.365 </w:t>
            </w:r>
          </w:p>
        </w:tc>
      </w:tr>
      <w:tr w:rsidR="00234B7A" w:rsidRPr="004473C0" w14:paraId="2491ABE6" w14:textId="77777777" w:rsidTr="00234B7A">
        <w:trPr>
          <w:trHeight w:val="232"/>
        </w:trPr>
        <w:tc>
          <w:tcPr>
            <w:tcW w:w="2590" w:type="pct"/>
            <w:noWrap/>
            <w:vAlign w:val="center"/>
            <w:hideMark/>
          </w:tcPr>
          <w:p w14:paraId="6907BD21" w14:textId="77777777" w:rsidR="00234B7A" w:rsidRPr="004473C0" w:rsidRDefault="00234B7A">
            <w:pPr>
              <w:rPr>
                <w:rFonts w:ascii="Arial" w:hAnsi="Arial" w:cs="Arial"/>
                <w:color w:val="000000"/>
                <w:sz w:val="18"/>
                <w:szCs w:val="18"/>
              </w:rPr>
            </w:pPr>
            <w:r w:rsidRPr="004473C0">
              <w:rPr>
                <w:rFonts w:ascii="Arial" w:hAnsi="Arial" w:cs="Arial"/>
                <w:color w:val="000000"/>
                <w:sz w:val="18"/>
                <w:szCs w:val="18"/>
              </w:rPr>
              <w:t>2031 em diante</w:t>
            </w:r>
          </w:p>
        </w:tc>
        <w:tc>
          <w:tcPr>
            <w:tcW w:w="814" w:type="pct"/>
            <w:noWrap/>
            <w:vAlign w:val="center"/>
            <w:hideMark/>
          </w:tcPr>
          <w:p w14:paraId="68EF8696"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26 </w:t>
            </w:r>
          </w:p>
        </w:tc>
        <w:tc>
          <w:tcPr>
            <w:tcW w:w="814" w:type="pct"/>
            <w:noWrap/>
            <w:vAlign w:val="center"/>
            <w:hideMark/>
          </w:tcPr>
          <w:p w14:paraId="480B09AD"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(2)</w:t>
            </w:r>
          </w:p>
        </w:tc>
        <w:tc>
          <w:tcPr>
            <w:tcW w:w="782" w:type="pct"/>
            <w:noWrap/>
            <w:vAlign w:val="center"/>
            <w:hideMark/>
          </w:tcPr>
          <w:p w14:paraId="6A7EFBE0" w14:textId="77777777" w:rsidR="00234B7A" w:rsidRPr="004473C0" w:rsidRDefault="00234B7A">
            <w:pPr>
              <w:jc w:val="right"/>
              <w:rPr>
                <w:rFonts w:ascii="Arial" w:hAnsi="Arial" w:cs="Arial"/>
                <w:color w:val="000000"/>
                <w:sz w:val="18"/>
                <w:szCs w:val="18"/>
              </w:rPr>
            </w:pPr>
            <w:r w:rsidRPr="004473C0">
              <w:rPr>
                <w:rFonts w:ascii="Arial" w:hAnsi="Arial" w:cs="Arial"/>
                <w:color w:val="000000"/>
                <w:sz w:val="18"/>
                <w:szCs w:val="18"/>
              </w:rPr>
              <w:t xml:space="preserve">            24 </w:t>
            </w:r>
          </w:p>
        </w:tc>
      </w:tr>
      <w:tr w:rsidR="00234B7A" w14:paraId="2C0FCBD8" w14:textId="77777777" w:rsidTr="00234B7A">
        <w:trPr>
          <w:trHeight w:val="232"/>
        </w:trPr>
        <w:tc>
          <w:tcPr>
            <w:tcW w:w="2590" w:type="pct"/>
            <w:noWrap/>
            <w:vAlign w:val="center"/>
            <w:hideMark/>
          </w:tcPr>
          <w:p w14:paraId="037C6323" w14:textId="77777777" w:rsidR="00234B7A" w:rsidRPr="004473C0" w:rsidRDefault="00234B7A">
            <w:pPr>
              <w:rPr>
                <w:rFonts w:ascii="Arial" w:hAnsi="Arial" w:cs="Arial"/>
                <w:b/>
                <w:bCs/>
                <w:color w:val="000000"/>
                <w:sz w:val="18"/>
                <w:szCs w:val="18"/>
              </w:rPr>
            </w:pPr>
            <w:r w:rsidRPr="004473C0">
              <w:rPr>
                <w:rFonts w:ascii="Arial" w:hAnsi="Arial" w:cs="Arial"/>
                <w:b/>
                <w:bCs/>
                <w:color w:val="000000"/>
                <w:sz w:val="18"/>
                <w:szCs w:val="18"/>
              </w:rPr>
              <w:t>Totais</w:t>
            </w:r>
          </w:p>
        </w:tc>
        <w:tc>
          <w:tcPr>
            <w:tcW w:w="814" w:type="pct"/>
            <w:noWrap/>
            <w:vAlign w:val="center"/>
            <w:hideMark/>
          </w:tcPr>
          <w:p w14:paraId="55F3DB41" w14:textId="77777777" w:rsidR="00234B7A" w:rsidRPr="004473C0" w:rsidRDefault="00234B7A">
            <w:pPr>
              <w:jc w:val="right"/>
              <w:rPr>
                <w:rFonts w:ascii="Arial" w:hAnsi="Arial" w:cs="Arial"/>
                <w:b/>
                <w:bCs/>
                <w:color w:val="000000"/>
                <w:sz w:val="18"/>
                <w:szCs w:val="18"/>
              </w:rPr>
            </w:pPr>
            <w:r w:rsidRPr="004473C0">
              <w:rPr>
                <w:rFonts w:ascii="Arial" w:hAnsi="Arial" w:cs="Arial"/>
                <w:b/>
                <w:bCs/>
                <w:color w:val="000000"/>
                <w:sz w:val="18"/>
                <w:szCs w:val="18"/>
              </w:rPr>
              <w:t xml:space="preserve">      16.385 </w:t>
            </w:r>
          </w:p>
        </w:tc>
        <w:tc>
          <w:tcPr>
            <w:tcW w:w="814" w:type="pct"/>
            <w:noWrap/>
            <w:vAlign w:val="center"/>
            <w:hideMark/>
          </w:tcPr>
          <w:p w14:paraId="072F2688" w14:textId="77777777" w:rsidR="00234B7A" w:rsidRPr="004473C0" w:rsidRDefault="00234B7A">
            <w:pPr>
              <w:jc w:val="right"/>
              <w:rPr>
                <w:rFonts w:ascii="Arial" w:hAnsi="Arial" w:cs="Arial"/>
                <w:b/>
                <w:bCs/>
                <w:color w:val="000000"/>
                <w:sz w:val="18"/>
                <w:szCs w:val="18"/>
              </w:rPr>
            </w:pPr>
            <w:r w:rsidRPr="004473C0">
              <w:rPr>
                <w:rFonts w:ascii="Arial" w:hAnsi="Arial" w:cs="Arial"/>
                <w:b/>
                <w:bCs/>
                <w:color w:val="000000"/>
                <w:sz w:val="18"/>
                <w:szCs w:val="18"/>
              </w:rPr>
              <w:t xml:space="preserve">       (1.653)</w:t>
            </w:r>
          </w:p>
        </w:tc>
        <w:tc>
          <w:tcPr>
            <w:tcW w:w="782" w:type="pct"/>
            <w:noWrap/>
            <w:vAlign w:val="center"/>
            <w:hideMark/>
          </w:tcPr>
          <w:p w14:paraId="36E5E1AF" w14:textId="77777777" w:rsidR="00234B7A" w:rsidRDefault="00234B7A">
            <w:pPr>
              <w:jc w:val="right"/>
              <w:rPr>
                <w:rFonts w:ascii="Arial" w:hAnsi="Arial" w:cs="Arial"/>
                <w:b/>
                <w:bCs/>
                <w:color w:val="000000"/>
                <w:sz w:val="18"/>
                <w:szCs w:val="18"/>
              </w:rPr>
            </w:pPr>
            <w:r w:rsidRPr="004473C0">
              <w:rPr>
                <w:rFonts w:ascii="Arial" w:hAnsi="Arial" w:cs="Arial"/>
                <w:b/>
                <w:bCs/>
                <w:color w:val="000000"/>
                <w:sz w:val="18"/>
                <w:szCs w:val="18"/>
              </w:rPr>
              <w:t xml:space="preserve">     14.732</w:t>
            </w:r>
            <w:r>
              <w:rPr>
                <w:rFonts w:ascii="Arial" w:hAnsi="Arial" w:cs="Arial"/>
                <w:b/>
                <w:bCs/>
                <w:color w:val="000000"/>
                <w:sz w:val="18"/>
                <w:szCs w:val="18"/>
              </w:rPr>
              <w:t xml:space="preserve"> </w:t>
            </w:r>
          </w:p>
        </w:tc>
      </w:tr>
    </w:tbl>
    <w:p w14:paraId="04BC57BE" w14:textId="77777777" w:rsidR="00234B7A" w:rsidRDefault="00234B7A" w:rsidP="002B5598">
      <w:pPr>
        <w:jc w:val="both"/>
        <w:rPr>
          <w:rFonts w:ascii="Arial" w:hAnsi="Arial" w:cs="Arial"/>
          <w:sz w:val="22"/>
          <w:szCs w:val="22"/>
        </w:rPr>
      </w:pPr>
    </w:p>
    <w:p w14:paraId="7099C292" w14:textId="0D69FC67" w:rsidR="00923EBC" w:rsidRDefault="00120DEF" w:rsidP="002B5598">
      <w:pPr>
        <w:jc w:val="both"/>
        <w:rPr>
          <w:rFonts w:ascii="Arial" w:hAnsi="Arial" w:cs="Arial"/>
          <w:sz w:val="22"/>
          <w:szCs w:val="22"/>
        </w:rPr>
      </w:pPr>
      <w:r w:rsidRPr="005719B3">
        <w:rPr>
          <w:rFonts w:ascii="Arial" w:hAnsi="Arial" w:cs="Arial"/>
          <w:sz w:val="22"/>
          <w:szCs w:val="22"/>
        </w:rPr>
        <w:t>A movimentação do</w:t>
      </w:r>
      <w:r w:rsidR="00AB52DB" w:rsidRPr="005719B3">
        <w:rPr>
          <w:rFonts w:ascii="Arial" w:hAnsi="Arial" w:cs="Arial"/>
          <w:sz w:val="22"/>
          <w:szCs w:val="22"/>
        </w:rPr>
        <w:t>s</w:t>
      </w:r>
      <w:r w:rsidRPr="005719B3">
        <w:rPr>
          <w:rFonts w:ascii="Arial" w:hAnsi="Arial" w:cs="Arial"/>
          <w:sz w:val="22"/>
          <w:szCs w:val="22"/>
        </w:rPr>
        <w:t xml:space="preserve"> financiamento</w:t>
      </w:r>
      <w:r w:rsidR="00AB52DB" w:rsidRPr="005719B3">
        <w:rPr>
          <w:rFonts w:ascii="Arial" w:hAnsi="Arial" w:cs="Arial"/>
          <w:sz w:val="22"/>
          <w:szCs w:val="22"/>
        </w:rPr>
        <w:t>s (</w:t>
      </w:r>
      <w:r w:rsidR="00B8591E">
        <w:rPr>
          <w:rFonts w:ascii="Arial" w:hAnsi="Arial" w:cs="Arial"/>
          <w:sz w:val="22"/>
          <w:szCs w:val="22"/>
        </w:rPr>
        <w:t>a</w:t>
      </w:r>
      <w:r w:rsidR="00AB52DB" w:rsidRPr="005719B3">
        <w:rPr>
          <w:rFonts w:ascii="Arial" w:hAnsi="Arial" w:cs="Arial"/>
          <w:sz w:val="22"/>
          <w:szCs w:val="22"/>
        </w:rPr>
        <w:t>rrendamento mercantil financeiro)</w:t>
      </w:r>
      <w:r w:rsidRPr="005719B3">
        <w:rPr>
          <w:rFonts w:ascii="Arial" w:hAnsi="Arial" w:cs="Arial"/>
          <w:sz w:val="22"/>
          <w:szCs w:val="22"/>
        </w:rPr>
        <w:t xml:space="preserve"> </w:t>
      </w:r>
      <w:r w:rsidR="00545E8B">
        <w:rPr>
          <w:rFonts w:ascii="Arial" w:hAnsi="Arial" w:cs="Arial"/>
          <w:sz w:val="22"/>
          <w:szCs w:val="22"/>
        </w:rPr>
        <w:t xml:space="preserve">no </w:t>
      </w:r>
      <w:r w:rsidR="004473C0">
        <w:rPr>
          <w:rFonts w:ascii="Arial" w:hAnsi="Arial" w:cs="Arial"/>
          <w:sz w:val="22"/>
          <w:szCs w:val="22"/>
        </w:rPr>
        <w:t>primeiro trimestre</w:t>
      </w:r>
      <w:r w:rsidR="00D84EB1">
        <w:rPr>
          <w:rFonts w:ascii="Arial" w:hAnsi="Arial" w:cs="Arial"/>
          <w:sz w:val="22"/>
          <w:szCs w:val="22"/>
        </w:rPr>
        <w:t xml:space="preserve"> de 202</w:t>
      </w:r>
      <w:r w:rsidR="004473C0">
        <w:rPr>
          <w:rFonts w:ascii="Arial" w:hAnsi="Arial" w:cs="Arial"/>
          <w:sz w:val="22"/>
          <w:szCs w:val="22"/>
        </w:rPr>
        <w:t>6</w:t>
      </w:r>
      <w:r w:rsidR="00B63E65" w:rsidRPr="005719B3">
        <w:rPr>
          <w:rFonts w:ascii="Arial" w:hAnsi="Arial" w:cs="Arial"/>
          <w:sz w:val="22"/>
          <w:szCs w:val="22"/>
        </w:rPr>
        <w:t xml:space="preserve"> está apresentada a seguir:</w:t>
      </w:r>
    </w:p>
    <w:p w14:paraId="4AB03B2A" w14:textId="77777777" w:rsidR="002D190A" w:rsidRDefault="002D190A" w:rsidP="002B5598">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616"/>
        <w:gridCol w:w="2155"/>
      </w:tblGrid>
      <w:tr w:rsidR="00F5386B" w:rsidRPr="004473C0" w14:paraId="2E7FBDCB" w14:textId="77777777" w:rsidTr="00F5386B">
        <w:trPr>
          <w:trHeight w:val="232"/>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59A78BE0" w14:textId="77777777" w:rsidR="00F5386B" w:rsidRPr="004473C0" w:rsidRDefault="00F5386B">
            <w:pPr>
              <w:rPr>
                <w:rFonts w:ascii="Arial" w:hAnsi="Arial" w:cs="Arial"/>
                <w:b/>
                <w:bCs/>
                <w:color w:val="000000"/>
                <w:sz w:val="18"/>
                <w:szCs w:val="18"/>
              </w:rPr>
            </w:pPr>
            <w:r w:rsidRPr="004473C0">
              <w:rPr>
                <w:rFonts w:ascii="Arial" w:hAnsi="Arial" w:cs="Arial"/>
                <w:b/>
                <w:bCs/>
                <w:color w:val="000000"/>
                <w:sz w:val="18"/>
                <w:szCs w:val="18"/>
              </w:rPr>
              <w:t>Saldo em 31 de dezembro de 2025</w:t>
            </w:r>
          </w:p>
        </w:tc>
        <w:tc>
          <w:tcPr>
            <w:tcW w:w="1103" w:type="pct"/>
            <w:tcBorders>
              <w:top w:val="single" w:sz="4" w:space="0" w:color="auto"/>
              <w:left w:val="nil"/>
              <w:bottom w:val="single" w:sz="4" w:space="0" w:color="auto"/>
              <w:right w:val="single" w:sz="4" w:space="0" w:color="auto"/>
            </w:tcBorders>
            <w:noWrap/>
            <w:vAlign w:val="center"/>
            <w:hideMark/>
          </w:tcPr>
          <w:p w14:paraId="0BAE0844" w14:textId="27E3119A" w:rsidR="00F5386B" w:rsidRPr="004473C0" w:rsidRDefault="00F5386B">
            <w:pPr>
              <w:jc w:val="right"/>
              <w:rPr>
                <w:rFonts w:ascii="Arial" w:hAnsi="Arial" w:cs="Arial"/>
                <w:b/>
                <w:bCs/>
                <w:color w:val="000000"/>
                <w:sz w:val="18"/>
                <w:szCs w:val="18"/>
              </w:rPr>
            </w:pPr>
            <w:r w:rsidRPr="004473C0">
              <w:rPr>
                <w:rFonts w:ascii="Arial" w:hAnsi="Arial" w:cs="Arial"/>
                <w:b/>
                <w:bCs/>
                <w:color w:val="000000"/>
                <w:sz w:val="18"/>
                <w:szCs w:val="18"/>
              </w:rPr>
              <w:t xml:space="preserve">      19.8</w:t>
            </w:r>
            <w:r w:rsidR="00F52DD1">
              <w:rPr>
                <w:rFonts w:ascii="Arial" w:hAnsi="Arial" w:cs="Arial"/>
                <w:b/>
                <w:bCs/>
                <w:color w:val="000000"/>
                <w:sz w:val="18"/>
                <w:szCs w:val="18"/>
              </w:rPr>
              <w:t>79</w:t>
            </w:r>
            <w:r w:rsidRPr="004473C0">
              <w:rPr>
                <w:rFonts w:ascii="Arial" w:hAnsi="Arial" w:cs="Arial"/>
                <w:b/>
                <w:bCs/>
                <w:color w:val="000000"/>
                <w:sz w:val="18"/>
                <w:szCs w:val="18"/>
              </w:rPr>
              <w:t xml:space="preserve"> </w:t>
            </w:r>
          </w:p>
        </w:tc>
      </w:tr>
      <w:tr w:rsidR="00F5386B" w:rsidRPr="004473C0" w14:paraId="0EDE01A5" w14:textId="77777777" w:rsidTr="00F5386B">
        <w:trPr>
          <w:trHeight w:val="232"/>
        </w:trPr>
        <w:tc>
          <w:tcPr>
            <w:tcW w:w="3897" w:type="pct"/>
            <w:tcBorders>
              <w:top w:val="nil"/>
              <w:left w:val="single" w:sz="4" w:space="0" w:color="auto"/>
              <w:bottom w:val="single" w:sz="4" w:space="0" w:color="auto"/>
              <w:right w:val="single" w:sz="4" w:space="0" w:color="auto"/>
            </w:tcBorders>
            <w:noWrap/>
            <w:vAlign w:val="center"/>
            <w:hideMark/>
          </w:tcPr>
          <w:p w14:paraId="75A0EB36" w14:textId="77777777" w:rsidR="00F5386B" w:rsidRPr="004473C0" w:rsidRDefault="00F5386B">
            <w:pPr>
              <w:rPr>
                <w:rFonts w:ascii="Arial" w:hAnsi="Arial" w:cs="Arial"/>
                <w:color w:val="000000"/>
                <w:sz w:val="18"/>
                <w:szCs w:val="18"/>
              </w:rPr>
            </w:pPr>
            <w:r w:rsidRPr="004473C0">
              <w:rPr>
                <w:rFonts w:ascii="Arial" w:hAnsi="Arial" w:cs="Arial"/>
                <w:color w:val="000000"/>
                <w:sz w:val="18"/>
                <w:szCs w:val="18"/>
              </w:rPr>
              <w:t xml:space="preserve"> Ingressos - Novos/Renovação de contratos </w:t>
            </w:r>
          </w:p>
        </w:tc>
        <w:tc>
          <w:tcPr>
            <w:tcW w:w="1103" w:type="pct"/>
            <w:tcBorders>
              <w:top w:val="nil"/>
              <w:left w:val="nil"/>
              <w:bottom w:val="single" w:sz="4" w:space="0" w:color="auto"/>
              <w:right w:val="single" w:sz="4" w:space="0" w:color="auto"/>
            </w:tcBorders>
            <w:noWrap/>
            <w:vAlign w:val="center"/>
            <w:hideMark/>
          </w:tcPr>
          <w:p w14:paraId="396C67FC" w14:textId="4F08B960" w:rsidR="00F5386B" w:rsidRPr="004473C0" w:rsidRDefault="00F5386B">
            <w:pPr>
              <w:jc w:val="right"/>
              <w:rPr>
                <w:rFonts w:ascii="Arial" w:hAnsi="Arial" w:cs="Arial"/>
                <w:color w:val="000000"/>
                <w:sz w:val="18"/>
                <w:szCs w:val="18"/>
              </w:rPr>
            </w:pPr>
            <w:r w:rsidRPr="004473C0">
              <w:rPr>
                <w:rFonts w:ascii="Arial" w:hAnsi="Arial" w:cs="Arial"/>
                <w:color w:val="000000"/>
                <w:sz w:val="18"/>
                <w:szCs w:val="18"/>
              </w:rPr>
              <w:t xml:space="preserve">        1.5</w:t>
            </w:r>
            <w:r w:rsidR="00F52DD1">
              <w:rPr>
                <w:rFonts w:ascii="Arial" w:hAnsi="Arial" w:cs="Arial"/>
                <w:color w:val="000000"/>
                <w:sz w:val="18"/>
                <w:szCs w:val="18"/>
              </w:rPr>
              <w:t>20</w:t>
            </w:r>
            <w:r w:rsidRPr="004473C0">
              <w:rPr>
                <w:rFonts w:ascii="Arial" w:hAnsi="Arial" w:cs="Arial"/>
                <w:color w:val="000000"/>
                <w:sz w:val="18"/>
                <w:szCs w:val="18"/>
              </w:rPr>
              <w:t xml:space="preserve"> </w:t>
            </w:r>
          </w:p>
        </w:tc>
      </w:tr>
      <w:tr w:rsidR="00F5386B" w:rsidRPr="004473C0" w14:paraId="7BD58B5B" w14:textId="77777777" w:rsidTr="00F5386B">
        <w:trPr>
          <w:trHeight w:val="232"/>
        </w:trPr>
        <w:tc>
          <w:tcPr>
            <w:tcW w:w="3897" w:type="pct"/>
            <w:tcBorders>
              <w:top w:val="nil"/>
              <w:left w:val="single" w:sz="4" w:space="0" w:color="auto"/>
              <w:bottom w:val="single" w:sz="4" w:space="0" w:color="auto"/>
              <w:right w:val="single" w:sz="4" w:space="0" w:color="auto"/>
            </w:tcBorders>
            <w:noWrap/>
            <w:vAlign w:val="center"/>
            <w:hideMark/>
          </w:tcPr>
          <w:p w14:paraId="75F1DB46" w14:textId="77777777" w:rsidR="00F5386B" w:rsidRPr="004473C0" w:rsidRDefault="00F5386B">
            <w:pPr>
              <w:rPr>
                <w:rFonts w:ascii="Arial" w:hAnsi="Arial" w:cs="Arial"/>
                <w:color w:val="000000"/>
                <w:sz w:val="18"/>
                <w:szCs w:val="18"/>
              </w:rPr>
            </w:pPr>
            <w:r w:rsidRPr="004473C0">
              <w:rPr>
                <w:rFonts w:ascii="Arial" w:hAnsi="Arial" w:cs="Arial"/>
                <w:color w:val="000000"/>
                <w:sz w:val="18"/>
                <w:szCs w:val="18"/>
              </w:rPr>
              <w:t xml:space="preserve"> Pagamento de Principal </w:t>
            </w:r>
          </w:p>
        </w:tc>
        <w:tc>
          <w:tcPr>
            <w:tcW w:w="1103" w:type="pct"/>
            <w:tcBorders>
              <w:top w:val="nil"/>
              <w:left w:val="nil"/>
              <w:bottom w:val="single" w:sz="4" w:space="0" w:color="auto"/>
              <w:right w:val="single" w:sz="4" w:space="0" w:color="auto"/>
            </w:tcBorders>
            <w:noWrap/>
            <w:vAlign w:val="center"/>
            <w:hideMark/>
          </w:tcPr>
          <w:p w14:paraId="5A75FF71" w14:textId="77777777" w:rsidR="00F5386B" w:rsidRPr="004473C0" w:rsidRDefault="00F5386B">
            <w:pPr>
              <w:jc w:val="right"/>
              <w:rPr>
                <w:rFonts w:ascii="Arial" w:hAnsi="Arial" w:cs="Arial"/>
                <w:color w:val="000000"/>
                <w:sz w:val="18"/>
                <w:szCs w:val="18"/>
              </w:rPr>
            </w:pPr>
            <w:r w:rsidRPr="004473C0">
              <w:rPr>
                <w:rFonts w:ascii="Arial" w:hAnsi="Arial" w:cs="Arial"/>
                <w:color w:val="000000"/>
                <w:sz w:val="18"/>
                <w:szCs w:val="18"/>
              </w:rPr>
              <w:t xml:space="preserve">       (1.417)</w:t>
            </w:r>
          </w:p>
        </w:tc>
      </w:tr>
      <w:tr w:rsidR="00F5386B" w:rsidRPr="004473C0" w14:paraId="03C7CBF6" w14:textId="77777777" w:rsidTr="00F5386B">
        <w:trPr>
          <w:trHeight w:val="232"/>
        </w:trPr>
        <w:tc>
          <w:tcPr>
            <w:tcW w:w="3897" w:type="pct"/>
            <w:tcBorders>
              <w:top w:val="nil"/>
              <w:left w:val="single" w:sz="4" w:space="0" w:color="auto"/>
              <w:bottom w:val="single" w:sz="4" w:space="0" w:color="auto"/>
              <w:right w:val="single" w:sz="4" w:space="0" w:color="auto"/>
            </w:tcBorders>
            <w:noWrap/>
            <w:vAlign w:val="center"/>
            <w:hideMark/>
          </w:tcPr>
          <w:p w14:paraId="4A50252F" w14:textId="77777777" w:rsidR="00F5386B" w:rsidRPr="004473C0" w:rsidRDefault="00F5386B">
            <w:pPr>
              <w:rPr>
                <w:rFonts w:ascii="Arial" w:hAnsi="Arial" w:cs="Arial"/>
                <w:color w:val="000000"/>
                <w:sz w:val="18"/>
                <w:szCs w:val="18"/>
              </w:rPr>
            </w:pPr>
            <w:r w:rsidRPr="004473C0">
              <w:rPr>
                <w:rFonts w:ascii="Arial" w:hAnsi="Arial" w:cs="Arial"/>
                <w:color w:val="000000"/>
                <w:sz w:val="18"/>
                <w:szCs w:val="18"/>
              </w:rPr>
              <w:t xml:space="preserve"> Apropriação de Juros no Período</w:t>
            </w:r>
          </w:p>
        </w:tc>
        <w:tc>
          <w:tcPr>
            <w:tcW w:w="1103" w:type="pct"/>
            <w:tcBorders>
              <w:top w:val="nil"/>
              <w:left w:val="nil"/>
              <w:bottom w:val="single" w:sz="4" w:space="0" w:color="auto"/>
              <w:right w:val="single" w:sz="4" w:space="0" w:color="auto"/>
            </w:tcBorders>
            <w:noWrap/>
            <w:vAlign w:val="center"/>
            <w:hideMark/>
          </w:tcPr>
          <w:p w14:paraId="7FAF511D" w14:textId="77777777" w:rsidR="00F5386B" w:rsidRPr="004473C0" w:rsidRDefault="00F5386B">
            <w:pPr>
              <w:jc w:val="right"/>
              <w:rPr>
                <w:rFonts w:ascii="Arial" w:hAnsi="Arial" w:cs="Arial"/>
                <w:color w:val="000000"/>
                <w:sz w:val="18"/>
                <w:szCs w:val="18"/>
              </w:rPr>
            </w:pPr>
            <w:r w:rsidRPr="004473C0">
              <w:rPr>
                <w:rFonts w:ascii="Arial" w:hAnsi="Arial" w:cs="Arial"/>
                <w:color w:val="000000"/>
                <w:sz w:val="18"/>
                <w:szCs w:val="18"/>
              </w:rPr>
              <w:t xml:space="preserve">           329 </w:t>
            </w:r>
          </w:p>
        </w:tc>
      </w:tr>
      <w:tr w:rsidR="00F5386B" w:rsidRPr="004473C0" w14:paraId="40A194E7" w14:textId="77777777" w:rsidTr="00F5386B">
        <w:trPr>
          <w:trHeight w:val="232"/>
        </w:trPr>
        <w:tc>
          <w:tcPr>
            <w:tcW w:w="3897" w:type="pct"/>
            <w:tcBorders>
              <w:top w:val="nil"/>
              <w:left w:val="single" w:sz="4" w:space="0" w:color="auto"/>
              <w:bottom w:val="single" w:sz="4" w:space="0" w:color="auto"/>
              <w:right w:val="single" w:sz="4" w:space="0" w:color="auto"/>
            </w:tcBorders>
            <w:noWrap/>
            <w:vAlign w:val="center"/>
            <w:hideMark/>
          </w:tcPr>
          <w:p w14:paraId="22E84AC0" w14:textId="77777777" w:rsidR="00F5386B" w:rsidRPr="004473C0" w:rsidRDefault="00F5386B">
            <w:pPr>
              <w:rPr>
                <w:rFonts w:ascii="Arial" w:hAnsi="Arial" w:cs="Arial"/>
                <w:color w:val="000000"/>
                <w:sz w:val="18"/>
                <w:szCs w:val="18"/>
              </w:rPr>
            </w:pPr>
            <w:r w:rsidRPr="004473C0">
              <w:rPr>
                <w:rFonts w:ascii="Arial" w:hAnsi="Arial" w:cs="Arial"/>
                <w:color w:val="000000"/>
                <w:sz w:val="18"/>
                <w:szCs w:val="18"/>
              </w:rPr>
              <w:t xml:space="preserve"> Pagamento de Juros  </w:t>
            </w:r>
          </w:p>
        </w:tc>
        <w:tc>
          <w:tcPr>
            <w:tcW w:w="1103" w:type="pct"/>
            <w:tcBorders>
              <w:top w:val="nil"/>
              <w:left w:val="nil"/>
              <w:bottom w:val="single" w:sz="4" w:space="0" w:color="auto"/>
              <w:right w:val="single" w:sz="4" w:space="0" w:color="auto"/>
            </w:tcBorders>
            <w:noWrap/>
            <w:vAlign w:val="center"/>
            <w:hideMark/>
          </w:tcPr>
          <w:p w14:paraId="44886BEF" w14:textId="77777777" w:rsidR="00F5386B" w:rsidRPr="004473C0" w:rsidRDefault="00F5386B">
            <w:pPr>
              <w:jc w:val="right"/>
              <w:rPr>
                <w:rFonts w:ascii="Arial" w:hAnsi="Arial" w:cs="Arial"/>
                <w:color w:val="000000"/>
                <w:sz w:val="18"/>
                <w:szCs w:val="18"/>
              </w:rPr>
            </w:pPr>
            <w:r w:rsidRPr="004473C0">
              <w:rPr>
                <w:rFonts w:ascii="Arial" w:hAnsi="Arial" w:cs="Arial"/>
                <w:color w:val="000000"/>
                <w:sz w:val="18"/>
                <w:szCs w:val="18"/>
              </w:rPr>
              <w:t xml:space="preserve">          (329)</w:t>
            </w:r>
          </w:p>
        </w:tc>
      </w:tr>
      <w:tr w:rsidR="00F5386B" w14:paraId="2AB6BA56" w14:textId="77777777" w:rsidTr="00F5386B">
        <w:trPr>
          <w:trHeight w:val="232"/>
        </w:trPr>
        <w:tc>
          <w:tcPr>
            <w:tcW w:w="3897" w:type="pct"/>
            <w:tcBorders>
              <w:top w:val="nil"/>
              <w:left w:val="single" w:sz="4" w:space="0" w:color="auto"/>
              <w:bottom w:val="single" w:sz="4" w:space="0" w:color="auto"/>
              <w:right w:val="single" w:sz="4" w:space="0" w:color="auto"/>
            </w:tcBorders>
            <w:noWrap/>
            <w:vAlign w:val="center"/>
            <w:hideMark/>
          </w:tcPr>
          <w:p w14:paraId="11DA3D09" w14:textId="77777777" w:rsidR="00F5386B" w:rsidRPr="004473C0" w:rsidRDefault="00F5386B">
            <w:pPr>
              <w:rPr>
                <w:rFonts w:ascii="Arial" w:hAnsi="Arial" w:cs="Arial"/>
                <w:b/>
                <w:bCs/>
                <w:color w:val="000000"/>
                <w:sz w:val="18"/>
                <w:szCs w:val="18"/>
              </w:rPr>
            </w:pPr>
            <w:r w:rsidRPr="004473C0">
              <w:rPr>
                <w:rFonts w:ascii="Arial" w:hAnsi="Arial" w:cs="Arial"/>
                <w:b/>
                <w:bCs/>
                <w:color w:val="000000"/>
                <w:sz w:val="18"/>
                <w:szCs w:val="18"/>
              </w:rPr>
              <w:t>Saldo em 31 de março de 2026</w:t>
            </w:r>
          </w:p>
        </w:tc>
        <w:tc>
          <w:tcPr>
            <w:tcW w:w="1103" w:type="pct"/>
            <w:tcBorders>
              <w:top w:val="nil"/>
              <w:left w:val="nil"/>
              <w:bottom w:val="single" w:sz="4" w:space="0" w:color="auto"/>
              <w:right w:val="single" w:sz="4" w:space="0" w:color="auto"/>
            </w:tcBorders>
            <w:noWrap/>
            <w:vAlign w:val="center"/>
            <w:hideMark/>
          </w:tcPr>
          <w:p w14:paraId="7C6430F2" w14:textId="77777777" w:rsidR="00F5386B" w:rsidRDefault="00F5386B">
            <w:pPr>
              <w:jc w:val="right"/>
              <w:rPr>
                <w:rFonts w:ascii="Arial" w:hAnsi="Arial" w:cs="Arial"/>
                <w:b/>
                <w:bCs/>
                <w:color w:val="000000"/>
                <w:sz w:val="18"/>
                <w:szCs w:val="18"/>
              </w:rPr>
            </w:pPr>
            <w:r w:rsidRPr="004473C0">
              <w:rPr>
                <w:rFonts w:ascii="Arial" w:hAnsi="Arial" w:cs="Arial"/>
                <w:b/>
                <w:bCs/>
                <w:color w:val="000000"/>
                <w:sz w:val="18"/>
                <w:szCs w:val="18"/>
              </w:rPr>
              <w:t xml:space="preserve">      19.982</w:t>
            </w:r>
            <w:r>
              <w:rPr>
                <w:rFonts w:ascii="Arial" w:hAnsi="Arial" w:cs="Arial"/>
                <w:b/>
                <w:bCs/>
                <w:color w:val="000000"/>
                <w:sz w:val="18"/>
                <w:szCs w:val="18"/>
              </w:rPr>
              <w:t xml:space="preserve"> </w:t>
            </w:r>
          </w:p>
        </w:tc>
      </w:tr>
    </w:tbl>
    <w:p w14:paraId="1FF15ABF" w14:textId="31503237" w:rsidR="00E32BB2" w:rsidRPr="00F44F8A" w:rsidRDefault="00E32BB2" w:rsidP="009541E1">
      <w:pPr>
        <w:pStyle w:val="Ttulo2"/>
        <w:numPr>
          <w:ilvl w:val="0"/>
          <w:numId w:val="7"/>
        </w:numPr>
        <w:tabs>
          <w:tab w:val="clear" w:pos="284"/>
          <w:tab w:val="clear" w:pos="340"/>
        </w:tabs>
        <w:spacing w:line="276" w:lineRule="auto"/>
        <w:ind w:left="851" w:hanging="851"/>
        <w:jc w:val="both"/>
        <w:rPr>
          <w:rFonts w:ascii="Arial" w:hAnsi="Arial" w:cs="Arial"/>
        </w:rPr>
      </w:pPr>
      <w:r w:rsidRPr="00F44F8A">
        <w:rPr>
          <w:rFonts w:ascii="Arial" w:hAnsi="Arial" w:cs="Arial"/>
        </w:rPr>
        <w:lastRenderedPageBreak/>
        <w:t>RECEITAS DIFERIDAS</w:t>
      </w:r>
    </w:p>
    <w:p w14:paraId="3D929FE6" w14:textId="05AC7C9F" w:rsidR="008F0C82" w:rsidRDefault="008F0C82" w:rsidP="008F0C82">
      <w:pPr>
        <w:spacing w:line="276" w:lineRule="auto"/>
        <w:jc w:val="both"/>
        <w:rPr>
          <w:rFonts w:ascii="Arial" w:hAnsi="Arial" w:cs="Arial"/>
          <w:sz w:val="22"/>
          <w:szCs w:val="22"/>
        </w:rPr>
      </w:pPr>
      <w:r w:rsidRPr="008F0C82">
        <w:rPr>
          <w:rFonts w:ascii="Arial" w:hAnsi="Arial" w:cs="Arial"/>
          <w:sz w:val="22"/>
          <w:szCs w:val="22"/>
        </w:rPr>
        <w:t xml:space="preserve">Em 31 de </w:t>
      </w:r>
      <w:r w:rsidR="00845CB2">
        <w:rPr>
          <w:rFonts w:ascii="Arial" w:hAnsi="Arial" w:cs="Arial"/>
          <w:sz w:val="22"/>
          <w:szCs w:val="22"/>
        </w:rPr>
        <w:t>março</w:t>
      </w:r>
      <w:r w:rsidRPr="008F0C82">
        <w:rPr>
          <w:rFonts w:ascii="Arial" w:hAnsi="Arial" w:cs="Arial"/>
          <w:sz w:val="22"/>
          <w:szCs w:val="22"/>
        </w:rPr>
        <w:t xml:space="preserve"> de 202</w:t>
      </w:r>
      <w:r w:rsidR="00845CB2">
        <w:rPr>
          <w:rFonts w:ascii="Arial" w:hAnsi="Arial" w:cs="Arial"/>
          <w:sz w:val="22"/>
          <w:szCs w:val="22"/>
        </w:rPr>
        <w:t>6</w:t>
      </w:r>
      <w:r w:rsidRPr="008F0C82">
        <w:rPr>
          <w:rFonts w:ascii="Arial" w:hAnsi="Arial" w:cs="Arial"/>
          <w:sz w:val="22"/>
          <w:szCs w:val="22"/>
        </w:rPr>
        <w:t xml:space="preserve">, a Companhia registrou o montante de R$ </w:t>
      </w:r>
      <w:r w:rsidR="0067420F">
        <w:rPr>
          <w:rFonts w:ascii="Arial" w:hAnsi="Arial" w:cs="Arial"/>
          <w:sz w:val="22"/>
          <w:szCs w:val="22"/>
        </w:rPr>
        <w:t>276.637</w:t>
      </w:r>
      <w:r w:rsidRPr="008F0C82">
        <w:rPr>
          <w:rFonts w:ascii="Arial" w:hAnsi="Arial" w:cs="Arial"/>
          <w:sz w:val="22"/>
          <w:szCs w:val="22"/>
        </w:rPr>
        <w:t xml:space="preserve"> (R$ </w:t>
      </w:r>
      <w:r w:rsidR="00845CB2">
        <w:rPr>
          <w:rFonts w:ascii="Arial" w:hAnsi="Arial" w:cs="Arial"/>
          <w:sz w:val="22"/>
          <w:szCs w:val="22"/>
        </w:rPr>
        <w:t>285.757</w:t>
      </w:r>
      <w:r w:rsidRPr="008F0C82">
        <w:rPr>
          <w:rFonts w:ascii="Arial" w:hAnsi="Arial" w:cs="Arial"/>
          <w:sz w:val="22"/>
          <w:szCs w:val="22"/>
        </w:rPr>
        <w:t xml:space="preserve"> em 31 de dezembro de 202</w:t>
      </w:r>
      <w:r w:rsidR="00845CB2">
        <w:rPr>
          <w:rFonts w:ascii="Arial" w:hAnsi="Arial" w:cs="Arial"/>
          <w:sz w:val="22"/>
          <w:szCs w:val="22"/>
        </w:rPr>
        <w:t>5</w:t>
      </w:r>
      <w:r w:rsidRPr="008F0C82">
        <w:rPr>
          <w:rFonts w:ascii="Arial" w:hAnsi="Arial" w:cs="Arial"/>
          <w:sz w:val="22"/>
          <w:szCs w:val="22"/>
        </w:rPr>
        <w:t>), composto pelos valores recebidos do Ministério da Defesa referentes ao pagamento pelo direito de uso futuro da Banda X do Satélite (IRU – Projeto SGDC), pelos recursos repassados pelo Ministério das Comunicações (MCOM) para execução do Programa GESAC, e pela operação de IRU firmada com a empresa V.tal.</w:t>
      </w:r>
    </w:p>
    <w:p w14:paraId="11C8E8EA" w14:textId="77777777" w:rsidR="008F0C82" w:rsidRPr="008F0C82" w:rsidRDefault="008F0C82" w:rsidP="008F0C82">
      <w:pPr>
        <w:spacing w:line="276" w:lineRule="auto"/>
        <w:jc w:val="both"/>
        <w:rPr>
          <w:rFonts w:ascii="Arial" w:hAnsi="Arial" w:cs="Arial"/>
          <w:sz w:val="22"/>
          <w:szCs w:val="22"/>
        </w:rPr>
      </w:pPr>
    </w:p>
    <w:p w14:paraId="3D0D01AA" w14:textId="6C25F47A" w:rsidR="008F0C82" w:rsidRPr="008F0C82" w:rsidRDefault="008F0C82" w:rsidP="008F0C82">
      <w:pPr>
        <w:spacing w:line="276" w:lineRule="auto"/>
        <w:jc w:val="both"/>
        <w:rPr>
          <w:rFonts w:ascii="Arial" w:hAnsi="Arial" w:cs="Arial"/>
          <w:sz w:val="22"/>
          <w:szCs w:val="22"/>
        </w:rPr>
      </w:pPr>
      <w:r w:rsidRPr="008F0C82">
        <w:rPr>
          <w:rFonts w:ascii="Arial" w:hAnsi="Arial" w:cs="Arial"/>
          <w:sz w:val="22"/>
          <w:szCs w:val="22"/>
        </w:rPr>
        <w:t>Desde o terceiro trimestre de 2018, a Companhia passou a reconhecer no resultado a receita correspondente ao serviço de locação de capacidade satelital prestado ao Ministério da Defesa (Banda X). O reconhecimento dessa receita ocorrerá ao longo de 15 anos, conforme estabelecido no contrato entre as partes. O valor mensal registrado como receita no resultado da Telebras é de R$ 3.040 (três milhões e quarenta mil reais).</w:t>
      </w:r>
    </w:p>
    <w:p w14:paraId="034076B7" w14:textId="77777777" w:rsidR="008F0C82" w:rsidRPr="00EB00BD" w:rsidRDefault="008F0C82" w:rsidP="00597FE5">
      <w:pPr>
        <w:spacing w:line="276" w:lineRule="auto"/>
        <w:jc w:val="both"/>
        <w:rPr>
          <w:rFonts w:ascii="Arial" w:hAnsi="Arial" w:cs="Arial"/>
          <w:sz w:val="14"/>
          <w:szCs w:val="14"/>
        </w:rPr>
      </w:pPr>
    </w:p>
    <w:p w14:paraId="657B13D2" w14:textId="564BCFF4" w:rsidR="002208F4" w:rsidRPr="002208F4" w:rsidRDefault="002208F4" w:rsidP="002208F4">
      <w:pPr>
        <w:spacing w:line="276" w:lineRule="auto"/>
        <w:jc w:val="both"/>
        <w:rPr>
          <w:rFonts w:ascii="Arial" w:hAnsi="Arial" w:cs="Arial"/>
          <w:sz w:val="22"/>
          <w:szCs w:val="22"/>
        </w:rPr>
      </w:pPr>
      <w:r w:rsidRPr="002208F4">
        <w:rPr>
          <w:rFonts w:ascii="Arial" w:hAnsi="Arial" w:cs="Arial"/>
          <w:sz w:val="22"/>
          <w:szCs w:val="22"/>
        </w:rPr>
        <w:t xml:space="preserve">A movimentação e composição das receitas diferidas no </w:t>
      </w:r>
      <w:r w:rsidR="004473C0">
        <w:rPr>
          <w:rFonts w:ascii="Arial" w:hAnsi="Arial" w:cs="Arial"/>
          <w:sz w:val="22"/>
          <w:szCs w:val="22"/>
        </w:rPr>
        <w:t>primeiro trimestre</w:t>
      </w:r>
      <w:r w:rsidRPr="002208F4">
        <w:rPr>
          <w:rFonts w:ascii="Arial" w:hAnsi="Arial" w:cs="Arial"/>
          <w:sz w:val="22"/>
          <w:szCs w:val="22"/>
        </w:rPr>
        <w:t xml:space="preserve"> de 202</w:t>
      </w:r>
      <w:r w:rsidR="004473C0">
        <w:rPr>
          <w:rFonts w:ascii="Arial" w:hAnsi="Arial" w:cs="Arial"/>
          <w:sz w:val="22"/>
          <w:szCs w:val="22"/>
        </w:rPr>
        <w:t>6</w:t>
      </w:r>
      <w:r w:rsidRPr="002208F4">
        <w:rPr>
          <w:rFonts w:ascii="Arial" w:hAnsi="Arial" w:cs="Arial"/>
          <w:sz w:val="22"/>
          <w:szCs w:val="22"/>
        </w:rPr>
        <w:t xml:space="preserve"> é apresentada no quadro a seguir:</w:t>
      </w:r>
    </w:p>
    <w:p w14:paraId="4A2DD9BC" w14:textId="77777777" w:rsidR="0085618A" w:rsidRDefault="0085618A" w:rsidP="00597FE5">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2"/>
        <w:gridCol w:w="1176"/>
        <w:gridCol w:w="1415"/>
        <w:gridCol w:w="1118"/>
        <w:gridCol w:w="1130"/>
      </w:tblGrid>
      <w:tr w:rsidR="002765DF" w:rsidRPr="004473C0" w14:paraId="33B7A2D6" w14:textId="77777777" w:rsidTr="002765DF">
        <w:trPr>
          <w:trHeight w:val="232"/>
        </w:trPr>
        <w:tc>
          <w:tcPr>
            <w:tcW w:w="2524" w:type="pct"/>
            <w:shd w:val="clear" w:color="000000" w:fill="BFBFBF"/>
            <w:noWrap/>
            <w:vAlign w:val="center"/>
            <w:hideMark/>
          </w:tcPr>
          <w:p w14:paraId="2591EA4F" w14:textId="77777777" w:rsidR="002765DF" w:rsidRPr="004473C0" w:rsidRDefault="002765DF">
            <w:pPr>
              <w:rPr>
                <w:rFonts w:ascii="Arial" w:hAnsi="Arial" w:cs="Arial"/>
                <w:b/>
                <w:bCs/>
                <w:color w:val="000000"/>
                <w:sz w:val="18"/>
                <w:szCs w:val="18"/>
              </w:rPr>
            </w:pPr>
            <w:r>
              <w:rPr>
                <w:rFonts w:ascii="Arial" w:hAnsi="Arial" w:cs="Arial"/>
                <w:b/>
                <w:bCs/>
                <w:color w:val="000000"/>
                <w:sz w:val="18"/>
                <w:szCs w:val="18"/>
              </w:rPr>
              <w:t> </w:t>
            </w:r>
            <w:r w:rsidRPr="004473C0">
              <w:rPr>
                <w:rFonts w:ascii="Arial" w:hAnsi="Arial" w:cs="Arial"/>
                <w:b/>
                <w:bCs/>
                <w:color w:val="000000"/>
                <w:sz w:val="18"/>
                <w:szCs w:val="18"/>
              </w:rPr>
              <w:t>Movimentação:</w:t>
            </w:r>
          </w:p>
        </w:tc>
        <w:tc>
          <w:tcPr>
            <w:tcW w:w="602" w:type="pct"/>
            <w:vAlign w:val="center"/>
            <w:hideMark/>
          </w:tcPr>
          <w:p w14:paraId="69D6A4D3" w14:textId="77777777" w:rsidR="002765DF" w:rsidRPr="004473C0" w:rsidRDefault="002765DF">
            <w:pPr>
              <w:jc w:val="center"/>
              <w:rPr>
                <w:rFonts w:ascii="Arial" w:hAnsi="Arial" w:cs="Arial"/>
                <w:b/>
                <w:bCs/>
                <w:color w:val="000000"/>
                <w:sz w:val="18"/>
                <w:szCs w:val="18"/>
              </w:rPr>
            </w:pPr>
            <w:r w:rsidRPr="004473C0">
              <w:rPr>
                <w:rFonts w:ascii="Arial" w:hAnsi="Arial" w:cs="Arial"/>
                <w:b/>
                <w:bCs/>
                <w:color w:val="000000"/>
                <w:sz w:val="18"/>
                <w:szCs w:val="18"/>
              </w:rPr>
              <w:t>Ministério da Defesa</w:t>
            </w:r>
          </w:p>
        </w:tc>
        <w:tc>
          <w:tcPr>
            <w:tcW w:w="724" w:type="pct"/>
            <w:vAlign w:val="center"/>
            <w:hideMark/>
          </w:tcPr>
          <w:p w14:paraId="6A7E2178" w14:textId="77777777" w:rsidR="002765DF" w:rsidRPr="004473C0" w:rsidRDefault="002765DF">
            <w:pPr>
              <w:jc w:val="center"/>
              <w:rPr>
                <w:rFonts w:ascii="Arial" w:hAnsi="Arial" w:cs="Arial"/>
                <w:b/>
                <w:bCs/>
                <w:color w:val="000000"/>
                <w:sz w:val="18"/>
                <w:szCs w:val="18"/>
              </w:rPr>
            </w:pPr>
            <w:r w:rsidRPr="004473C0">
              <w:rPr>
                <w:rFonts w:ascii="Arial" w:hAnsi="Arial" w:cs="Arial"/>
                <w:b/>
                <w:bCs/>
                <w:color w:val="000000"/>
                <w:sz w:val="18"/>
                <w:szCs w:val="18"/>
              </w:rPr>
              <w:t>MCOM</w:t>
            </w:r>
          </w:p>
        </w:tc>
        <w:tc>
          <w:tcPr>
            <w:tcW w:w="572" w:type="pct"/>
            <w:vAlign w:val="center"/>
            <w:hideMark/>
          </w:tcPr>
          <w:p w14:paraId="03D6EB3D" w14:textId="77777777" w:rsidR="002765DF" w:rsidRPr="004473C0" w:rsidRDefault="002765DF">
            <w:pPr>
              <w:jc w:val="center"/>
              <w:rPr>
                <w:rFonts w:ascii="Arial" w:hAnsi="Arial" w:cs="Arial"/>
                <w:b/>
                <w:bCs/>
                <w:color w:val="000000"/>
                <w:sz w:val="18"/>
                <w:szCs w:val="18"/>
              </w:rPr>
            </w:pPr>
            <w:r w:rsidRPr="004473C0">
              <w:rPr>
                <w:rFonts w:ascii="Arial" w:hAnsi="Arial" w:cs="Arial"/>
                <w:b/>
                <w:bCs/>
                <w:color w:val="000000"/>
                <w:sz w:val="18"/>
                <w:szCs w:val="18"/>
              </w:rPr>
              <w:t>V.tal</w:t>
            </w:r>
          </w:p>
        </w:tc>
        <w:tc>
          <w:tcPr>
            <w:tcW w:w="578" w:type="pct"/>
            <w:vAlign w:val="center"/>
            <w:hideMark/>
          </w:tcPr>
          <w:p w14:paraId="670B3330" w14:textId="77777777" w:rsidR="002765DF" w:rsidRPr="004473C0" w:rsidRDefault="002765DF">
            <w:pPr>
              <w:jc w:val="center"/>
              <w:rPr>
                <w:rFonts w:ascii="Arial" w:hAnsi="Arial" w:cs="Arial"/>
                <w:b/>
                <w:bCs/>
                <w:color w:val="000000"/>
                <w:sz w:val="18"/>
                <w:szCs w:val="18"/>
              </w:rPr>
            </w:pPr>
            <w:r w:rsidRPr="004473C0">
              <w:rPr>
                <w:rFonts w:ascii="Arial" w:hAnsi="Arial" w:cs="Arial"/>
                <w:b/>
                <w:bCs/>
                <w:color w:val="000000"/>
                <w:sz w:val="18"/>
                <w:szCs w:val="18"/>
              </w:rPr>
              <w:t>Total</w:t>
            </w:r>
          </w:p>
        </w:tc>
      </w:tr>
      <w:tr w:rsidR="002765DF" w:rsidRPr="004473C0" w14:paraId="3366EED0" w14:textId="77777777" w:rsidTr="002765DF">
        <w:trPr>
          <w:trHeight w:val="232"/>
        </w:trPr>
        <w:tc>
          <w:tcPr>
            <w:tcW w:w="2524" w:type="pct"/>
            <w:noWrap/>
            <w:vAlign w:val="center"/>
            <w:hideMark/>
          </w:tcPr>
          <w:p w14:paraId="26EEC2E3" w14:textId="77777777" w:rsidR="002765DF" w:rsidRPr="004473C0" w:rsidRDefault="002765DF">
            <w:pPr>
              <w:rPr>
                <w:rFonts w:ascii="Arial" w:hAnsi="Arial" w:cs="Arial"/>
                <w:b/>
                <w:bCs/>
                <w:color w:val="000000"/>
                <w:sz w:val="18"/>
                <w:szCs w:val="18"/>
              </w:rPr>
            </w:pPr>
            <w:r w:rsidRPr="004473C0">
              <w:rPr>
                <w:rFonts w:ascii="Arial" w:hAnsi="Arial" w:cs="Arial"/>
                <w:b/>
                <w:bCs/>
                <w:color w:val="000000"/>
                <w:sz w:val="18"/>
                <w:szCs w:val="18"/>
              </w:rPr>
              <w:t>Saldo em 31 de dezembro de 2025</w:t>
            </w:r>
          </w:p>
        </w:tc>
        <w:tc>
          <w:tcPr>
            <w:tcW w:w="602" w:type="pct"/>
            <w:noWrap/>
            <w:vAlign w:val="center"/>
            <w:hideMark/>
          </w:tcPr>
          <w:p w14:paraId="30B73B75"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273.605 </w:t>
            </w:r>
          </w:p>
        </w:tc>
        <w:tc>
          <w:tcPr>
            <w:tcW w:w="724" w:type="pct"/>
            <w:noWrap/>
            <w:vAlign w:val="center"/>
            <w:hideMark/>
          </w:tcPr>
          <w:p w14:paraId="0070CBCD"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7.926 </w:t>
            </w:r>
          </w:p>
        </w:tc>
        <w:tc>
          <w:tcPr>
            <w:tcW w:w="572" w:type="pct"/>
            <w:noWrap/>
            <w:vAlign w:val="center"/>
            <w:hideMark/>
          </w:tcPr>
          <w:p w14:paraId="02473837"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4.226 </w:t>
            </w:r>
          </w:p>
        </w:tc>
        <w:tc>
          <w:tcPr>
            <w:tcW w:w="578" w:type="pct"/>
            <w:noWrap/>
            <w:vAlign w:val="center"/>
            <w:hideMark/>
          </w:tcPr>
          <w:p w14:paraId="01444710"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285.757 </w:t>
            </w:r>
          </w:p>
        </w:tc>
      </w:tr>
      <w:tr w:rsidR="002765DF" w:rsidRPr="004473C0" w14:paraId="1CF96C4C" w14:textId="77777777" w:rsidTr="002765DF">
        <w:trPr>
          <w:trHeight w:val="232"/>
        </w:trPr>
        <w:tc>
          <w:tcPr>
            <w:tcW w:w="2524" w:type="pct"/>
            <w:noWrap/>
            <w:vAlign w:val="center"/>
            <w:hideMark/>
          </w:tcPr>
          <w:p w14:paraId="0EE48365" w14:textId="77777777" w:rsidR="002765DF" w:rsidRPr="004473C0" w:rsidRDefault="002765DF">
            <w:pPr>
              <w:rPr>
                <w:rFonts w:ascii="Arial" w:hAnsi="Arial" w:cs="Arial"/>
                <w:color w:val="000000"/>
                <w:sz w:val="18"/>
                <w:szCs w:val="18"/>
              </w:rPr>
            </w:pPr>
            <w:r w:rsidRPr="004473C0">
              <w:rPr>
                <w:rFonts w:ascii="Arial" w:hAnsi="Arial" w:cs="Arial"/>
                <w:color w:val="000000"/>
                <w:sz w:val="18"/>
                <w:szCs w:val="18"/>
              </w:rPr>
              <w:t>Baixa de Receita por Serviços Prestados - Banda X</w:t>
            </w:r>
          </w:p>
        </w:tc>
        <w:tc>
          <w:tcPr>
            <w:tcW w:w="602" w:type="pct"/>
            <w:noWrap/>
            <w:vAlign w:val="center"/>
            <w:hideMark/>
          </w:tcPr>
          <w:p w14:paraId="6F9162C9" w14:textId="77777777" w:rsidR="002765DF" w:rsidRPr="004473C0" w:rsidRDefault="002765DF">
            <w:pPr>
              <w:jc w:val="right"/>
              <w:rPr>
                <w:rFonts w:ascii="Arial" w:hAnsi="Arial" w:cs="Arial"/>
                <w:color w:val="000000"/>
                <w:sz w:val="18"/>
                <w:szCs w:val="18"/>
              </w:rPr>
            </w:pPr>
            <w:r w:rsidRPr="004473C0">
              <w:rPr>
                <w:rFonts w:ascii="Arial" w:hAnsi="Arial" w:cs="Arial"/>
                <w:color w:val="000000"/>
                <w:sz w:val="18"/>
                <w:szCs w:val="18"/>
              </w:rPr>
              <w:t xml:space="preserve">       (9.120)</w:t>
            </w:r>
          </w:p>
        </w:tc>
        <w:tc>
          <w:tcPr>
            <w:tcW w:w="724" w:type="pct"/>
            <w:noWrap/>
            <w:vAlign w:val="center"/>
            <w:hideMark/>
          </w:tcPr>
          <w:p w14:paraId="3787BE35" w14:textId="77777777" w:rsidR="002765DF" w:rsidRPr="004473C0" w:rsidRDefault="002765DF">
            <w:pPr>
              <w:jc w:val="right"/>
              <w:rPr>
                <w:rFonts w:ascii="Arial" w:hAnsi="Arial" w:cs="Arial"/>
                <w:color w:val="000000"/>
                <w:sz w:val="18"/>
                <w:szCs w:val="18"/>
              </w:rPr>
            </w:pPr>
            <w:r w:rsidRPr="004473C0">
              <w:rPr>
                <w:rFonts w:ascii="Arial" w:hAnsi="Arial" w:cs="Arial"/>
                <w:color w:val="000000"/>
                <w:sz w:val="18"/>
                <w:szCs w:val="18"/>
              </w:rPr>
              <w:t xml:space="preserve">                      -         </w:t>
            </w:r>
          </w:p>
        </w:tc>
        <w:tc>
          <w:tcPr>
            <w:tcW w:w="572" w:type="pct"/>
            <w:noWrap/>
            <w:vAlign w:val="center"/>
            <w:hideMark/>
          </w:tcPr>
          <w:p w14:paraId="6D98B8D0" w14:textId="77777777" w:rsidR="002765DF" w:rsidRPr="004473C0" w:rsidRDefault="002765DF">
            <w:pPr>
              <w:jc w:val="right"/>
              <w:rPr>
                <w:rFonts w:ascii="Arial" w:hAnsi="Arial" w:cs="Arial"/>
                <w:color w:val="000000"/>
                <w:sz w:val="18"/>
                <w:szCs w:val="18"/>
              </w:rPr>
            </w:pPr>
            <w:r w:rsidRPr="004473C0">
              <w:rPr>
                <w:rFonts w:ascii="Arial" w:hAnsi="Arial" w:cs="Arial"/>
                <w:color w:val="000000"/>
                <w:sz w:val="18"/>
                <w:szCs w:val="18"/>
              </w:rPr>
              <w:t xml:space="preserve">                 -    </w:t>
            </w:r>
          </w:p>
        </w:tc>
        <w:tc>
          <w:tcPr>
            <w:tcW w:w="578" w:type="pct"/>
            <w:noWrap/>
            <w:vAlign w:val="center"/>
            <w:hideMark/>
          </w:tcPr>
          <w:p w14:paraId="16F7014C"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(9.120)</w:t>
            </w:r>
          </w:p>
        </w:tc>
      </w:tr>
      <w:tr w:rsidR="002765DF" w:rsidRPr="004473C0" w14:paraId="05812E56" w14:textId="77777777" w:rsidTr="002765DF">
        <w:trPr>
          <w:trHeight w:val="232"/>
        </w:trPr>
        <w:tc>
          <w:tcPr>
            <w:tcW w:w="2524" w:type="pct"/>
            <w:noWrap/>
            <w:vAlign w:val="center"/>
            <w:hideMark/>
          </w:tcPr>
          <w:p w14:paraId="27BC4F1E" w14:textId="77777777" w:rsidR="002765DF" w:rsidRPr="004473C0" w:rsidRDefault="002765DF">
            <w:pPr>
              <w:rPr>
                <w:rFonts w:ascii="Arial" w:hAnsi="Arial" w:cs="Arial"/>
                <w:b/>
                <w:bCs/>
                <w:color w:val="000000"/>
                <w:sz w:val="18"/>
                <w:szCs w:val="18"/>
              </w:rPr>
            </w:pPr>
            <w:r w:rsidRPr="004473C0">
              <w:rPr>
                <w:rFonts w:ascii="Arial" w:hAnsi="Arial" w:cs="Arial"/>
                <w:b/>
                <w:bCs/>
                <w:color w:val="000000"/>
                <w:sz w:val="18"/>
                <w:szCs w:val="18"/>
              </w:rPr>
              <w:t>Saldo em 31 de março de 2026</w:t>
            </w:r>
          </w:p>
        </w:tc>
        <w:tc>
          <w:tcPr>
            <w:tcW w:w="602" w:type="pct"/>
            <w:noWrap/>
            <w:vAlign w:val="center"/>
            <w:hideMark/>
          </w:tcPr>
          <w:p w14:paraId="7E33EB84"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264.485 </w:t>
            </w:r>
          </w:p>
        </w:tc>
        <w:tc>
          <w:tcPr>
            <w:tcW w:w="724" w:type="pct"/>
            <w:noWrap/>
            <w:vAlign w:val="center"/>
            <w:hideMark/>
          </w:tcPr>
          <w:p w14:paraId="28DF1AF2"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7.926 </w:t>
            </w:r>
          </w:p>
        </w:tc>
        <w:tc>
          <w:tcPr>
            <w:tcW w:w="572" w:type="pct"/>
            <w:noWrap/>
            <w:vAlign w:val="center"/>
            <w:hideMark/>
          </w:tcPr>
          <w:p w14:paraId="12197049"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4.226 </w:t>
            </w:r>
          </w:p>
        </w:tc>
        <w:tc>
          <w:tcPr>
            <w:tcW w:w="578" w:type="pct"/>
            <w:noWrap/>
            <w:vAlign w:val="center"/>
            <w:hideMark/>
          </w:tcPr>
          <w:p w14:paraId="74F56719"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276.637 </w:t>
            </w:r>
          </w:p>
        </w:tc>
      </w:tr>
      <w:tr w:rsidR="002765DF" w:rsidRPr="004473C0" w14:paraId="0A7F44A0" w14:textId="77777777" w:rsidTr="002765DF">
        <w:trPr>
          <w:trHeight w:val="232"/>
        </w:trPr>
        <w:tc>
          <w:tcPr>
            <w:tcW w:w="2524" w:type="pct"/>
            <w:noWrap/>
            <w:vAlign w:val="center"/>
            <w:hideMark/>
          </w:tcPr>
          <w:p w14:paraId="47DB3D48" w14:textId="77777777" w:rsidR="002765DF" w:rsidRPr="004473C0" w:rsidRDefault="002765DF">
            <w:pPr>
              <w:rPr>
                <w:rFonts w:ascii="Arial" w:hAnsi="Arial" w:cs="Arial"/>
                <w:b/>
                <w:bCs/>
                <w:color w:val="000000"/>
                <w:sz w:val="18"/>
                <w:szCs w:val="18"/>
              </w:rPr>
            </w:pPr>
            <w:r w:rsidRPr="004473C0">
              <w:rPr>
                <w:rFonts w:ascii="Arial" w:hAnsi="Arial" w:cs="Arial"/>
                <w:b/>
                <w:bCs/>
                <w:color w:val="000000"/>
                <w:sz w:val="18"/>
                <w:szCs w:val="18"/>
              </w:rPr>
              <w:t>Circulante</w:t>
            </w:r>
          </w:p>
        </w:tc>
        <w:tc>
          <w:tcPr>
            <w:tcW w:w="602" w:type="pct"/>
            <w:noWrap/>
            <w:vAlign w:val="center"/>
            <w:hideMark/>
          </w:tcPr>
          <w:p w14:paraId="40CADB28"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36.480 </w:t>
            </w:r>
          </w:p>
        </w:tc>
        <w:tc>
          <w:tcPr>
            <w:tcW w:w="724" w:type="pct"/>
            <w:noWrap/>
            <w:vAlign w:val="center"/>
            <w:hideMark/>
          </w:tcPr>
          <w:p w14:paraId="41466BDE"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7.926 </w:t>
            </w:r>
          </w:p>
        </w:tc>
        <w:tc>
          <w:tcPr>
            <w:tcW w:w="572" w:type="pct"/>
            <w:noWrap/>
            <w:vAlign w:val="center"/>
            <w:hideMark/>
          </w:tcPr>
          <w:p w14:paraId="45A4F16D"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w:t>
            </w:r>
          </w:p>
        </w:tc>
        <w:tc>
          <w:tcPr>
            <w:tcW w:w="578" w:type="pct"/>
            <w:noWrap/>
            <w:vAlign w:val="center"/>
            <w:hideMark/>
          </w:tcPr>
          <w:p w14:paraId="63CEAAE7"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44.406 </w:t>
            </w:r>
          </w:p>
        </w:tc>
      </w:tr>
      <w:tr w:rsidR="002765DF" w14:paraId="61B82E33" w14:textId="77777777" w:rsidTr="002765DF">
        <w:trPr>
          <w:trHeight w:val="232"/>
        </w:trPr>
        <w:tc>
          <w:tcPr>
            <w:tcW w:w="2524" w:type="pct"/>
            <w:noWrap/>
            <w:vAlign w:val="center"/>
            <w:hideMark/>
          </w:tcPr>
          <w:p w14:paraId="4F786665" w14:textId="77777777" w:rsidR="002765DF" w:rsidRPr="004473C0" w:rsidRDefault="002765DF">
            <w:pPr>
              <w:rPr>
                <w:rFonts w:ascii="Arial" w:hAnsi="Arial" w:cs="Arial"/>
                <w:b/>
                <w:bCs/>
                <w:color w:val="000000"/>
                <w:sz w:val="18"/>
                <w:szCs w:val="18"/>
              </w:rPr>
            </w:pPr>
            <w:r w:rsidRPr="004473C0">
              <w:rPr>
                <w:rFonts w:ascii="Arial" w:hAnsi="Arial" w:cs="Arial"/>
                <w:b/>
                <w:bCs/>
                <w:color w:val="000000"/>
                <w:sz w:val="18"/>
                <w:szCs w:val="18"/>
              </w:rPr>
              <w:t>Não Circulante</w:t>
            </w:r>
          </w:p>
        </w:tc>
        <w:tc>
          <w:tcPr>
            <w:tcW w:w="602" w:type="pct"/>
            <w:noWrap/>
            <w:vAlign w:val="center"/>
            <w:hideMark/>
          </w:tcPr>
          <w:p w14:paraId="58FD1A57"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228.005 </w:t>
            </w:r>
          </w:p>
        </w:tc>
        <w:tc>
          <w:tcPr>
            <w:tcW w:w="724" w:type="pct"/>
            <w:noWrap/>
            <w:vAlign w:val="center"/>
            <w:hideMark/>
          </w:tcPr>
          <w:p w14:paraId="00E859CB" w14:textId="77777777" w:rsidR="002765DF" w:rsidRPr="004473C0" w:rsidRDefault="002765DF">
            <w:pPr>
              <w:jc w:val="right"/>
              <w:rPr>
                <w:rFonts w:ascii="Arial" w:hAnsi="Arial" w:cs="Arial"/>
                <w:color w:val="000000"/>
                <w:sz w:val="18"/>
                <w:szCs w:val="18"/>
              </w:rPr>
            </w:pPr>
            <w:r w:rsidRPr="004473C0">
              <w:rPr>
                <w:rFonts w:ascii="Arial" w:hAnsi="Arial" w:cs="Arial"/>
                <w:color w:val="000000"/>
                <w:sz w:val="18"/>
                <w:szCs w:val="18"/>
              </w:rPr>
              <w:t xml:space="preserve">   -   </w:t>
            </w:r>
          </w:p>
        </w:tc>
        <w:tc>
          <w:tcPr>
            <w:tcW w:w="572" w:type="pct"/>
            <w:noWrap/>
            <w:vAlign w:val="center"/>
            <w:hideMark/>
          </w:tcPr>
          <w:p w14:paraId="6CC98095" w14:textId="77777777" w:rsidR="002765DF" w:rsidRPr="004473C0"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4.226 </w:t>
            </w:r>
          </w:p>
        </w:tc>
        <w:tc>
          <w:tcPr>
            <w:tcW w:w="578" w:type="pct"/>
            <w:noWrap/>
            <w:vAlign w:val="center"/>
            <w:hideMark/>
          </w:tcPr>
          <w:p w14:paraId="0956CB0C" w14:textId="77777777" w:rsidR="002765DF" w:rsidRDefault="002765DF">
            <w:pPr>
              <w:jc w:val="right"/>
              <w:rPr>
                <w:rFonts w:ascii="Arial" w:hAnsi="Arial" w:cs="Arial"/>
                <w:b/>
                <w:bCs/>
                <w:color w:val="000000"/>
                <w:sz w:val="18"/>
                <w:szCs w:val="18"/>
              </w:rPr>
            </w:pPr>
            <w:r w:rsidRPr="004473C0">
              <w:rPr>
                <w:rFonts w:ascii="Arial" w:hAnsi="Arial" w:cs="Arial"/>
                <w:b/>
                <w:bCs/>
                <w:color w:val="000000"/>
                <w:sz w:val="18"/>
                <w:szCs w:val="18"/>
              </w:rPr>
              <w:t xml:space="preserve">     232.231</w:t>
            </w:r>
            <w:r>
              <w:rPr>
                <w:rFonts w:ascii="Arial" w:hAnsi="Arial" w:cs="Arial"/>
                <w:b/>
                <w:bCs/>
                <w:color w:val="000000"/>
                <w:sz w:val="18"/>
                <w:szCs w:val="18"/>
              </w:rPr>
              <w:t xml:space="preserve"> </w:t>
            </w:r>
          </w:p>
        </w:tc>
      </w:tr>
    </w:tbl>
    <w:p w14:paraId="1ECA926B" w14:textId="77777777" w:rsidR="003E7819" w:rsidRDefault="003E7819" w:rsidP="00597FE5">
      <w:pPr>
        <w:spacing w:line="276" w:lineRule="auto"/>
        <w:jc w:val="both"/>
        <w:rPr>
          <w:rFonts w:ascii="Arial" w:hAnsi="Arial" w:cs="Arial"/>
          <w:sz w:val="22"/>
          <w:szCs w:val="22"/>
        </w:rPr>
      </w:pPr>
    </w:p>
    <w:p w14:paraId="3B670BB5" w14:textId="4C4C2511" w:rsidR="00F30691" w:rsidRDefault="00F30691" w:rsidP="00F30691">
      <w:pPr>
        <w:pStyle w:val="Ttulo2"/>
        <w:numPr>
          <w:ilvl w:val="0"/>
          <w:numId w:val="7"/>
        </w:numPr>
        <w:tabs>
          <w:tab w:val="clear" w:pos="284"/>
          <w:tab w:val="clear" w:pos="340"/>
        </w:tabs>
        <w:spacing w:before="0" w:after="0"/>
        <w:ind w:left="851" w:hanging="851"/>
        <w:jc w:val="both"/>
        <w:rPr>
          <w:rFonts w:ascii="Arial" w:hAnsi="Arial" w:cs="Arial"/>
        </w:rPr>
      </w:pPr>
      <w:r>
        <w:rPr>
          <w:rFonts w:ascii="Arial" w:hAnsi="Arial" w:cs="Arial"/>
        </w:rPr>
        <w:t>SUBVENÇÕES ORÇAMENTÁRIAS A REALIZAR</w:t>
      </w:r>
    </w:p>
    <w:p w14:paraId="7B38FA03" w14:textId="77777777" w:rsidR="00F30691" w:rsidRDefault="00F30691" w:rsidP="00F30691">
      <w:pPr>
        <w:rPr>
          <w:sz w:val="8"/>
          <w:szCs w:val="8"/>
        </w:rPr>
      </w:pPr>
    </w:p>
    <w:p w14:paraId="1277EA6B" w14:textId="77777777" w:rsidR="00F30691" w:rsidRDefault="00F30691" w:rsidP="00597FE5">
      <w:pPr>
        <w:spacing w:line="276" w:lineRule="auto"/>
        <w:jc w:val="both"/>
        <w:rPr>
          <w:rFonts w:ascii="Arial" w:hAnsi="Arial" w:cs="Arial"/>
          <w:sz w:val="22"/>
          <w:szCs w:val="22"/>
        </w:rPr>
      </w:pPr>
    </w:p>
    <w:p w14:paraId="72CD76B7" w14:textId="2663BFB8" w:rsidR="009116FD" w:rsidRDefault="009116FD" w:rsidP="009116FD">
      <w:pPr>
        <w:spacing w:line="276" w:lineRule="auto"/>
        <w:jc w:val="both"/>
        <w:rPr>
          <w:rFonts w:ascii="Arial" w:hAnsi="Arial" w:cs="Arial"/>
          <w:sz w:val="22"/>
          <w:szCs w:val="22"/>
        </w:rPr>
      </w:pPr>
      <w:r w:rsidRPr="002F1987">
        <w:rPr>
          <w:rFonts w:ascii="Arial" w:hAnsi="Arial" w:cs="Arial"/>
          <w:sz w:val="22"/>
          <w:szCs w:val="22"/>
        </w:rPr>
        <w:t xml:space="preserve">Em 31 de </w:t>
      </w:r>
      <w:r w:rsidR="004473C0">
        <w:rPr>
          <w:rFonts w:ascii="Arial" w:hAnsi="Arial" w:cs="Arial"/>
          <w:sz w:val="22"/>
          <w:szCs w:val="22"/>
        </w:rPr>
        <w:t xml:space="preserve">março </w:t>
      </w:r>
      <w:r w:rsidRPr="002F1987">
        <w:rPr>
          <w:rFonts w:ascii="Arial" w:hAnsi="Arial" w:cs="Arial"/>
          <w:sz w:val="22"/>
          <w:szCs w:val="22"/>
        </w:rPr>
        <w:t>de 202</w:t>
      </w:r>
      <w:r w:rsidR="004473C0">
        <w:rPr>
          <w:rFonts w:ascii="Arial" w:hAnsi="Arial" w:cs="Arial"/>
          <w:sz w:val="22"/>
          <w:szCs w:val="22"/>
        </w:rPr>
        <w:t>6</w:t>
      </w:r>
      <w:r w:rsidRPr="002F1987">
        <w:rPr>
          <w:rFonts w:ascii="Arial" w:hAnsi="Arial" w:cs="Arial"/>
          <w:sz w:val="22"/>
          <w:szCs w:val="22"/>
        </w:rPr>
        <w:t xml:space="preserve">, o saldo de subvenções a realizar totalizava R$ </w:t>
      </w:r>
      <w:r w:rsidR="004473C0">
        <w:rPr>
          <w:rFonts w:ascii="Arial" w:hAnsi="Arial" w:cs="Arial"/>
          <w:sz w:val="22"/>
          <w:szCs w:val="22"/>
        </w:rPr>
        <w:t>67.562 (R$ 52.741 em 31 de dezembro de 2025)</w:t>
      </w:r>
      <w:r w:rsidRPr="002F1987">
        <w:rPr>
          <w:rFonts w:ascii="Arial" w:hAnsi="Arial" w:cs="Arial"/>
          <w:sz w:val="22"/>
          <w:szCs w:val="22"/>
        </w:rPr>
        <w:t xml:space="preserve">, correspondente ao valor </w:t>
      </w:r>
      <w:r w:rsidR="004473C0">
        <w:rPr>
          <w:rFonts w:ascii="Arial" w:hAnsi="Arial" w:cs="Arial"/>
          <w:sz w:val="22"/>
          <w:szCs w:val="22"/>
        </w:rPr>
        <w:t>recebido</w:t>
      </w:r>
      <w:r w:rsidRPr="002F1987">
        <w:rPr>
          <w:rFonts w:ascii="Arial" w:hAnsi="Arial" w:cs="Arial"/>
          <w:sz w:val="22"/>
          <w:szCs w:val="22"/>
        </w:rPr>
        <w:t xml:space="preserve"> do contrato de gestão firmado com o Ministério das Comunicações no terceiro trimestre de 2025. Esse saldo será reconhecido no resultado à medida que ocorrer o pagamento das obrigações contraídas na operação da Companhia.</w:t>
      </w:r>
    </w:p>
    <w:p w14:paraId="4046B45C" w14:textId="77777777" w:rsidR="004473C0" w:rsidRDefault="004473C0" w:rsidP="009116FD">
      <w:pPr>
        <w:spacing w:line="276" w:lineRule="auto"/>
        <w:jc w:val="both"/>
        <w:rPr>
          <w:rFonts w:ascii="Arial" w:hAnsi="Arial" w:cs="Arial"/>
          <w:sz w:val="22"/>
          <w:szCs w:val="22"/>
        </w:rPr>
      </w:pPr>
    </w:p>
    <w:p w14:paraId="606B6F58" w14:textId="226B6A42" w:rsidR="004473C0" w:rsidRDefault="004473C0" w:rsidP="009116FD">
      <w:pPr>
        <w:spacing w:line="276" w:lineRule="auto"/>
        <w:jc w:val="both"/>
        <w:rPr>
          <w:rFonts w:ascii="Arial" w:hAnsi="Arial" w:cs="Arial"/>
          <w:sz w:val="22"/>
          <w:szCs w:val="22"/>
        </w:rPr>
      </w:pPr>
      <w:r>
        <w:rPr>
          <w:rFonts w:ascii="Arial" w:hAnsi="Arial" w:cs="Arial"/>
          <w:sz w:val="22"/>
          <w:szCs w:val="22"/>
        </w:rPr>
        <w:t>A movimentação das subvenções no primeiro trimestre de 2026 é apresentada a seguir:</w:t>
      </w:r>
    </w:p>
    <w:p w14:paraId="390729C6" w14:textId="77777777" w:rsidR="004473C0" w:rsidRPr="00352F14" w:rsidRDefault="004473C0" w:rsidP="009116FD">
      <w:pPr>
        <w:spacing w:line="276" w:lineRule="auto"/>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9"/>
        <w:gridCol w:w="1102"/>
      </w:tblGrid>
      <w:tr w:rsidR="00737E46" w14:paraId="009A484F" w14:textId="77777777" w:rsidTr="00737E46">
        <w:trPr>
          <w:trHeight w:val="232"/>
        </w:trPr>
        <w:tc>
          <w:tcPr>
            <w:tcW w:w="4436" w:type="pct"/>
            <w:noWrap/>
            <w:vAlign w:val="center"/>
            <w:hideMark/>
          </w:tcPr>
          <w:p w14:paraId="3DDC24E8" w14:textId="77777777" w:rsidR="00737E46" w:rsidRDefault="00737E46">
            <w:pPr>
              <w:rPr>
                <w:rFonts w:ascii="Arial" w:hAnsi="Arial" w:cs="Arial"/>
                <w:b/>
                <w:bCs/>
                <w:color w:val="000000"/>
                <w:sz w:val="18"/>
                <w:szCs w:val="18"/>
              </w:rPr>
            </w:pPr>
            <w:r>
              <w:rPr>
                <w:rFonts w:ascii="Arial" w:hAnsi="Arial" w:cs="Arial"/>
                <w:b/>
                <w:bCs/>
                <w:color w:val="000000"/>
                <w:sz w:val="18"/>
                <w:szCs w:val="18"/>
              </w:rPr>
              <w:t>Saldo em 31 de dezembro de 2025</w:t>
            </w:r>
          </w:p>
        </w:tc>
        <w:tc>
          <w:tcPr>
            <w:tcW w:w="564" w:type="pct"/>
            <w:noWrap/>
            <w:vAlign w:val="center"/>
            <w:hideMark/>
          </w:tcPr>
          <w:p w14:paraId="4180ADD9" w14:textId="77777777" w:rsidR="00737E46" w:rsidRDefault="00737E46">
            <w:pPr>
              <w:jc w:val="right"/>
              <w:rPr>
                <w:rFonts w:ascii="Arial" w:hAnsi="Arial" w:cs="Arial"/>
                <w:b/>
                <w:bCs/>
                <w:color w:val="000000"/>
                <w:sz w:val="18"/>
                <w:szCs w:val="18"/>
              </w:rPr>
            </w:pPr>
            <w:r>
              <w:rPr>
                <w:rFonts w:ascii="Arial" w:hAnsi="Arial" w:cs="Arial"/>
                <w:b/>
                <w:bCs/>
                <w:color w:val="000000"/>
                <w:sz w:val="18"/>
                <w:szCs w:val="18"/>
              </w:rPr>
              <w:t xml:space="preserve">      52.741 </w:t>
            </w:r>
          </w:p>
        </w:tc>
      </w:tr>
      <w:tr w:rsidR="00737E46" w14:paraId="23A04A71" w14:textId="77777777" w:rsidTr="00737E46">
        <w:trPr>
          <w:trHeight w:val="232"/>
        </w:trPr>
        <w:tc>
          <w:tcPr>
            <w:tcW w:w="4436" w:type="pct"/>
            <w:noWrap/>
            <w:vAlign w:val="center"/>
            <w:hideMark/>
          </w:tcPr>
          <w:p w14:paraId="39D4B672" w14:textId="77777777" w:rsidR="00737E46" w:rsidRDefault="00737E46">
            <w:pPr>
              <w:rPr>
                <w:rFonts w:ascii="Arial" w:hAnsi="Arial" w:cs="Arial"/>
                <w:color w:val="000000"/>
                <w:sz w:val="18"/>
                <w:szCs w:val="18"/>
              </w:rPr>
            </w:pPr>
            <w:r>
              <w:rPr>
                <w:rFonts w:ascii="Arial" w:hAnsi="Arial" w:cs="Arial"/>
                <w:color w:val="000000"/>
                <w:sz w:val="18"/>
                <w:szCs w:val="18"/>
              </w:rPr>
              <w:t>Valor Recebido no Período</w:t>
            </w:r>
          </w:p>
        </w:tc>
        <w:tc>
          <w:tcPr>
            <w:tcW w:w="564" w:type="pct"/>
            <w:noWrap/>
            <w:vAlign w:val="center"/>
            <w:hideMark/>
          </w:tcPr>
          <w:p w14:paraId="306812A6" w14:textId="77777777" w:rsidR="00737E46" w:rsidRDefault="00737E46">
            <w:pPr>
              <w:jc w:val="right"/>
              <w:rPr>
                <w:rFonts w:ascii="Arial" w:hAnsi="Arial" w:cs="Arial"/>
                <w:color w:val="000000"/>
                <w:sz w:val="18"/>
                <w:szCs w:val="18"/>
              </w:rPr>
            </w:pPr>
            <w:r>
              <w:rPr>
                <w:rFonts w:ascii="Arial" w:hAnsi="Arial" w:cs="Arial"/>
                <w:color w:val="000000"/>
                <w:sz w:val="18"/>
                <w:szCs w:val="18"/>
              </w:rPr>
              <w:t xml:space="preserve">      22.000 </w:t>
            </w:r>
          </w:p>
        </w:tc>
      </w:tr>
      <w:tr w:rsidR="00737E46" w14:paraId="3914C95B" w14:textId="77777777" w:rsidTr="00737E46">
        <w:trPr>
          <w:trHeight w:val="232"/>
        </w:trPr>
        <w:tc>
          <w:tcPr>
            <w:tcW w:w="4436" w:type="pct"/>
            <w:noWrap/>
            <w:vAlign w:val="center"/>
            <w:hideMark/>
          </w:tcPr>
          <w:p w14:paraId="57548640" w14:textId="77777777" w:rsidR="00737E46" w:rsidRDefault="00737E46">
            <w:pPr>
              <w:rPr>
                <w:rFonts w:ascii="Arial" w:hAnsi="Arial" w:cs="Arial"/>
                <w:color w:val="000000"/>
                <w:sz w:val="18"/>
                <w:szCs w:val="18"/>
              </w:rPr>
            </w:pPr>
            <w:r>
              <w:rPr>
                <w:rFonts w:ascii="Arial" w:hAnsi="Arial" w:cs="Arial"/>
                <w:color w:val="000000"/>
                <w:sz w:val="18"/>
                <w:szCs w:val="18"/>
              </w:rPr>
              <w:t>Valor Utilizado no Pagamento de Obrigações/Custos e Despesas</w:t>
            </w:r>
          </w:p>
        </w:tc>
        <w:tc>
          <w:tcPr>
            <w:tcW w:w="564" w:type="pct"/>
            <w:noWrap/>
            <w:vAlign w:val="center"/>
            <w:hideMark/>
          </w:tcPr>
          <w:p w14:paraId="60AF1DBD" w14:textId="77777777" w:rsidR="00737E46" w:rsidRDefault="00737E46">
            <w:pPr>
              <w:jc w:val="right"/>
              <w:rPr>
                <w:rFonts w:ascii="Arial" w:hAnsi="Arial" w:cs="Arial"/>
                <w:color w:val="000000"/>
                <w:sz w:val="18"/>
                <w:szCs w:val="18"/>
              </w:rPr>
            </w:pPr>
            <w:r>
              <w:rPr>
                <w:rFonts w:ascii="Arial" w:hAnsi="Arial" w:cs="Arial"/>
                <w:color w:val="000000"/>
                <w:sz w:val="18"/>
                <w:szCs w:val="18"/>
              </w:rPr>
              <w:t xml:space="preserve">       (7.179)</w:t>
            </w:r>
          </w:p>
        </w:tc>
      </w:tr>
      <w:tr w:rsidR="00737E46" w14:paraId="23DFCCFC" w14:textId="77777777" w:rsidTr="00737E46">
        <w:trPr>
          <w:trHeight w:val="232"/>
        </w:trPr>
        <w:tc>
          <w:tcPr>
            <w:tcW w:w="4436" w:type="pct"/>
            <w:noWrap/>
            <w:vAlign w:val="center"/>
            <w:hideMark/>
          </w:tcPr>
          <w:p w14:paraId="6D7D7EE6" w14:textId="77777777" w:rsidR="00737E46" w:rsidRDefault="00737E46">
            <w:pPr>
              <w:rPr>
                <w:rFonts w:ascii="Arial" w:hAnsi="Arial" w:cs="Arial"/>
                <w:b/>
                <w:bCs/>
                <w:color w:val="000000"/>
                <w:sz w:val="18"/>
                <w:szCs w:val="18"/>
              </w:rPr>
            </w:pPr>
            <w:r>
              <w:rPr>
                <w:rFonts w:ascii="Arial" w:hAnsi="Arial" w:cs="Arial"/>
                <w:b/>
                <w:bCs/>
                <w:color w:val="000000"/>
                <w:sz w:val="18"/>
                <w:szCs w:val="18"/>
              </w:rPr>
              <w:t>Saldo em 31 de março de 2026</w:t>
            </w:r>
          </w:p>
        </w:tc>
        <w:tc>
          <w:tcPr>
            <w:tcW w:w="564" w:type="pct"/>
            <w:noWrap/>
            <w:vAlign w:val="center"/>
            <w:hideMark/>
          </w:tcPr>
          <w:p w14:paraId="027A2B67" w14:textId="77777777" w:rsidR="00737E46" w:rsidRDefault="00737E46">
            <w:pPr>
              <w:jc w:val="right"/>
              <w:rPr>
                <w:rFonts w:ascii="Arial" w:hAnsi="Arial" w:cs="Arial"/>
                <w:b/>
                <w:bCs/>
                <w:color w:val="000000"/>
                <w:sz w:val="18"/>
                <w:szCs w:val="18"/>
              </w:rPr>
            </w:pPr>
            <w:r>
              <w:rPr>
                <w:rFonts w:ascii="Arial" w:hAnsi="Arial" w:cs="Arial"/>
                <w:b/>
                <w:bCs/>
                <w:color w:val="000000"/>
                <w:sz w:val="18"/>
                <w:szCs w:val="18"/>
              </w:rPr>
              <w:t xml:space="preserve">      67.562 </w:t>
            </w:r>
          </w:p>
        </w:tc>
      </w:tr>
    </w:tbl>
    <w:p w14:paraId="10B2B697" w14:textId="77777777" w:rsidR="00F30691" w:rsidRDefault="00F30691" w:rsidP="00597FE5">
      <w:pPr>
        <w:spacing w:line="276" w:lineRule="auto"/>
        <w:jc w:val="both"/>
        <w:rPr>
          <w:rFonts w:ascii="Arial" w:hAnsi="Arial" w:cs="Arial"/>
          <w:sz w:val="22"/>
          <w:szCs w:val="22"/>
        </w:rPr>
      </w:pPr>
    </w:p>
    <w:p w14:paraId="334E8E22" w14:textId="0EBAD790" w:rsidR="001A2823" w:rsidRDefault="00DB4B51" w:rsidP="009541E1">
      <w:pPr>
        <w:pStyle w:val="Ttulo2"/>
        <w:numPr>
          <w:ilvl w:val="0"/>
          <w:numId w:val="7"/>
        </w:numPr>
        <w:tabs>
          <w:tab w:val="clear" w:pos="284"/>
          <w:tab w:val="clear" w:pos="340"/>
        </w:tabs>
        <w:spacing w:before="0" w:after="0"/>
        <w:ind w:left="851" w:hanging="851"/>
        <w:jc w:val="both"/>
        <w:rPr>
          <w:rFonts w:ascii="Arial" w:hAnsi="Arial" w:cs="Arial"/>
        </w:rPr>
      </w:pPr>
      <w:bookmarkStart w:id="52" w:name="_Toc491337760"/>
      <w:r w:rsidRPr="002A36CE">
        <w:rPr>
          <w:rFonts w:ascii="Arial" w:hAnsi="Arial" w:cs="Arial"/>
        </w:rPr>
        <w:t>OUTRAS</w:t>
      </w:r>
      <w:r w:rsidR="001A2823" w:rsidRPr="002A36CE">
        <w:rPr>
          <w:rFonts w:ascii="Arial" w:hAnsi="Arial" w:cs="Arial"/>
        </w:rPr>
        <w:t xml:space="preserve"> OBRIGAÇÕES</w:t>
      </w:r>
      <w:bookmarkEnd w:id="52"/>
    </w:p>
    <w:p w14:paraId="30EC56CD" w14:textId="72BAC1D5" w:rsidR="00BB2034" w:rsidRDefault="00BB2034" w:rsidP="00BB2034">
      <w:pPr>
        <w:rPr>
          <w:sz w:val="8"/>
          <w:szCs w:val="8"/>
        </w:rPr>
      </w:pPr>
    </w:p>
    <w:p w14:paraId="30C6964F" w14:textId="77777777" w:rsidR="00FD6E33" w:rsidRDefault="00FD6E33" w:rsidP="00BB2034">
      <w:pPr>
        <w:rPr>
          <w:sz w:val="8"/>
          <w:szCs w:val="8"/>
        </w:rPr>
      </w:pPr>
    </w:p>
    <w:p w14:paraId="6B85081C" w14:textId="77777777" w:rsidR="00FD6E33" w:rsidRDefault="00FD6E33" w:rsidP="00BB2034">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8"/>
        <w:gridCol w:w="1419"/>
        <w:gridCol w:w="1554"/>
      </w:tblGrid>
      <w:tr w:rsidR="00FD6E33" w:rsidRPr="00C92836" w14:paraId="02F655B2" w14:textId="77777777" w:rsidTr="00C92836">
        <w:trPr>
          <w:trHeight w:val="232"/>
        </w:trPr>
        <w:tc>
          <w:tcPr>
            <w:tcW w:w="3479" w:type="pct"/>
            <w:shd w:val="clear" w:color="000000" w:fill="D9D9D9"/>
            <w:noWrap/>
            <w:vAlign w:val="center"/>
            <w:hideMark/>
          </w:tcPr>
          <w:p w14:paraId="76F2A5E2" w14:textId="77777777" w:rsidR="00FD6E33" w:rsidRPr="00C92836" w:rsidRDefault="00FD6E33">
            <w:pPr>
              <w:rPr>
                <w:rFonts w:ascii="Arial" w:hAnsi="Arial" w:cs="Arial"/>
                <w:b/>
                <w:bCs/>
                <w:color w:val="000000"/>
                <w:sz w:val="18"/>
                <w:szCs w:val="18"/>
              </w:rPr>
            </w:pPr>
            <w:r w:rsidRPr="00C92836">
              <w:rPr>
                <w:rFonts w:ascii="Arial" w:hAnsi="Arial" w:cs="Arial"/>
                <w:b/>
                <w:bCs/>
                <w:color w:val="000000"/>
                <w:sz w:val="18"/>
                <w:szCs w:val="18"/>
              </w:rPr>
              <w:t>Composição: </w:t>
            </w:r>
          </w:p>
        </w:tc>
        <w:tc>
          <w:tcPr>
            <w:tcW w:w="726" w:type="pct"/>
            <w:noWrap/>
            <w:vAlign w:val="center"/>
            <w:hideMark/>
          </w:tcPr>
          <w:p w14:paraId="55D2C6B0" w14:textId="77777777" w:rsidR="00FD6E33" w:rsidRPr="00C92836" w:rsidRDefault="00FD6E33">
            <w:pPr>
              <w:jc w:val="center"/>
              <w:rPr>
                <w:rFonts w:ascii="Arial" w:hAnsi="Arial" w:cs="Arial"/>
                <w:b/>
                <w:bCs/>
                <w:color w:val="000000"/>
                <w:sz w:val="18"/>
                <w:szCs w:val="18"/>
              </w:rPr>
            </w:pPr>
            <w:r w:rsidRPr="00C92836">
              <w:rPr>
                <w:rFonts w:ascii="Arial" w:hAnsi="Arial" w:cs="Arial"/>
                <w:b/>
                <w:bCs/>
                <w:color w:val="000000"/>
                <w:sz w:val="18"/>
                <w:szCs w:val="18"/>
              </w:rPr>
              <w:t>31/03/2026</w:t>
            </w:r>
          </w:p>
        </w:tc>
        <w:tc>
          <w:tcPr>
            <w:tcW w:w="795" w:type="pct"/>
            <w:noWrap/>
            <w:vAlign w:val="center"/>
            <w:hideMark/>
          </w:tcPr>
          <w:p w14:paraId="121D23E2" w14:textId="77777777" w:rsidR="00FD6E33" w:rsidRPr="00C92836" w:rsidRDefault="00FD6E33">
            <w:pPr>
              <w:jc w:val="center"/>
              <w:rPr>
                <w:rFonts w:ascii="Arial" w:hAnsi="Arial" w:cs="Arial"/>
                <w:b/>
                <w:bCs/>
                <w:color w:val="000000"/>
                <w:sz w:val="18"/>
                <w:szCs w:val="18"/>
              </w:rPr>
            </w:pPr>
            <w:r w:rsidRPr="00C92836">
              <w:rPr>
                <w:rFonts w:ascii="Arial" w:hAnsi="Arial" w:cs="Arial"/>
                <w:b/>
                <w:bCs/>
                <w:color w:val="000000"/>
                <w:sz w:val="18"/>
                <w:szCs w:val="18"/>
              </w:rPr>
              <w:t>31/12/2025</w:t>
            </w:r>
          </w:p>
        </w:tc>
      </w:tr>
      <w:tr w:rsidR="00FD6E33" w:rsidRPr="00C92836" w14:paraId="6A7ECD65" w14:textId="77777777" w:rsidTr="00C92836">
        <w:trPr>
          <w:trHeight w:val="232"/>
        </w:trPr>
        <w:tc>
          <w:tcPr>
            <w:tcW w:w="3479" w:type="pct"/>
            <w:noWrap/>
            <w:vAlign w:val="center"/>
            <w:hideMark/>
          </w:tcPr>
          <w:p w14:paraId="3F4230CE" w14:textId="2F01D841" w:rsidR="00FD6E33" w:rsidRPr="00C92836" w:rsidRDefault="00FD6E33">
            <w:pPr>
              <w:rPr>
                <w:rFonts w:ascii="Arial" w:hAnsi="Arial" w:cs="Arial"/>
                <w:color w:val="000000"/>
                <w:sz w:val="18"/>
                <w:szCs w:val="18"/>
              </w:rPr>
            </w:pPr>
            <w:r w:rsidRPr="00C92836">
              <w:rPr>
                <w:rFonts w:ascii="Arial" w:hAnsi="Arial" w:cs="Arial"/>
                <w:color w:val="000000"/>
                <w:sz w:val="18"/>
                <w:szCs w:val="18"/>
              </w:rPr>
              <w:t>Passivo a Repassar a Terceiros</w:t>
            </w:r>
            <w:r w:rsidR="00C92836">
              <w:rPr>
                <w:rFonts w:ascii="Arial" w:hAnsi="Arial" w:cs="Arial"/>
                <w:color w:val="000000"/>
                <w:sz w:val="18"/>
                <w:szCs w:val="18"/>
              </w:rPr>
              <w:t xml:space="preserve"> (i)</w:t>
            </w:r>
          </w:p>
        </w:tc>
        <w:tc>
          <w:tcPr>
            <w:tcW w:w="726" w:type="pct"/>
            <w:noWrap/>
            <w:vAlign w:val="center"/>
            <w:hideMark/>
          </w:tcPr>
          <w:p w14:paraId="69572FF1"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 xml:space="preserve">      49.314 </w:t>
            </w:r>
          </w:p>
        </w:tc>
        <w:tc>
          <w:tcPr>
            <w:tcW w:w="795" w:type="pct"/>
            <w:noWrap/>
            <w:vAlign w:val="center"/>
            <w:hideMark/>
          </w:tcPr>
          <w:p w14:paraId="50D730FA"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 xml:space="preserve">              -   </w:t>
            </w:r>
          </w:p>
        </w:tc>
      </w:tr>
      <w:tr w:rsidR="00FD6E33" w:rsidRPr="00C92836" w14:paraId="39C29C67" w14:textId="77777777" w:rsidTr="00C92836">
        <w:trPr>
          <w:trHeight w:val="232"/>
        </w:trPr>
        <w:tc>
          <w:tcPr>
            <w:tcW w:w="3479" w:type="pct"/>
            <w:noWrap/>
            <w:vAlign w:val="center"/>
            <w:hideMark/>
          </w:tcPr>
          <w:p w14:paraId="1D9A8F15" w14:textId="77777777" w:rsidR="00FD6E33" w:rsidRPr="00C92836" w:rsidRDefault="00FD6E33">
            <w:pPr>
              <w:rPr>
                <w:rFonts w:ascii="Arial" w:hAnsi="Arial" w:cs="Arial"/>
                <w:color w:val="000000"/>
                <w:sz w:val="18"/>
                <w:szCs w:val="18"/>
              </w:rPr>
            </w:pPr>
            <w:r w:rsidRPr="00C92836">
              <w:rPr>
                <w:rFonts w:ascii="Arial" w:hAnsi="Arial" w:cs="Arial"/>
                <w:color w:val="000000"/>
                <w:sz w:val="18"/>
                <w:szCs w:val="18"/>
              </w:rPr>
              <w:t>Retenções Passivas Tributárias</w:t>
            </w:r>
          </w:p>
        </w:tc>
        <w:tc>
          <w:tcPr>
            <w:tcW w:w="726" w:type="pct"/>
            <w:noWrap/>
            <w:vAlign w:val="center"/>
            <w:hideMark/>
          </w:tcPr>
          <w:p w14:paraId="4D6FE7FA"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 xml:space="preserve">        7.119 </w:t>
            </w:r>
          </w:p>
        </w:tc>
        <w:tc>
          <w:tcPr>
            <w:tcW w:w="795" w:type="pct"/>
            <w:noWrap/>
            <w:vAlign w:val="center"/>
            <w:hideMark/>
          </w:tcPr>
          <w:p w14:paraId="5923495F"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23.768</w:t>
            </w:r>
          </w:p>
        </w:tc>
      </w:tr>
      <w:tr w:rsidR="00FD6E33" w:rsidRPr="00C92836" w14:paraId="79C50035" w14:textId="77777777" w:rsidTr="00C92836">
        <w:trPr>
          <w:trHeight w:val="232"/>
        </w:trPr>
        <w:tc>
          <w:tcPr>
            <w:tcW w:w="3479" w:type="pct"/>
            <w:noWrap/>
            <w:vAlign w:val="center"/>
            <w:hideMark/>
          </w:tcPr>
          <w:p w14:paraId="79F6DB8E" w14:textId="77777777" w:rsidR="00FD6E33" w:rsidRPr="00C92836" w:rsidRDefault="00FD6E33">
            <w:pPr>
              <w:rPr>
                <w:rFonts w:ascii="Arial" w:hAnsi="Arial" w:cs="Arial"/>
                <w:color w:val="000000"/>
                <w:sz w:val="18"/>
                <w:szCs w:val="18"/>
              </w:rPr>
            </w:pPr>
            <w:r w:rsidRPr="00C92836">
              <w:rPr>
                <w:rFonts w:ascii="Arial" w:hAnsi="Arial" w:cs="Arial"/>
                <w:color w:val="000000"/>
                <w:sz w:val="18"/>
                <w:szCs w:val="18"/>
              </w:rPr>
              <w:t>Retenções Passivas não Tributárias</w:t>
            </w:r>
          </w:p>
        </w:tc>
        <w:tc>
          <w:tcPr>
            <w:tcW w:w="726" w:type="pct"/>
            <w:noWrap/>
            <w:vAlign w:val="center"/>
            <w:hideMark/>
          </w:tcPr>
          <w:p w14:paraId="0E51C303"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 xml:space="preserve">           982 </w:t>
            </w:r>
          </w:p>
        </w:tc>
        <w:tc>
          <w:tcPr>
            <w:tcW w:w="795" w:type="pct"/>
            <w:noWrap/>
            <w:vAlign w:val="center"/>
            <w:hideMark/>
          </w:tcPr>
          <w:p w14:paraId="71B2F745"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989</w:t>
            </w:r>
          </w:p>
        </w:tc>
      </w:tr>
      <w:tr w:rsidR="00FD6E33" w:rsidRPr="00C92836" w14:paraId="6F264665" w14:textId="77777777" w:rsidTr="00C92836">
        <w:trPr>
          <w:trHeight w:val="232"/>
        </w:trPr>
        <w:tc>
          <w:tcPr>
            <w:tcW w:w="3479" w:type="pct"/>
            <w:noWrap/>
            <w:vAlign w:val="center"/>
            <w:hideMark/>
          </w:tcPr>
          <w:p w14:paraId="15A5F20F" w14:textId="77777777" w:rsidR="00FD6E33" w:rsidRPr="00C92836" w:rsidRDefault="00FD6E33">
            <w:pPr>
              <w:rPr>
                <w:rFonts w:ascii="Arial" w:hAnsi="Arial" w:cs="Arial"/>
                <w:color w:val="000000"/>
                <w:sz w:val="18"/>
                <w:szCs w:val="18"/>
              </w:rPr>
            </w:pPr>
            <w:r w:rsidRPr="00C92836">
              <w:rPr>
                <w:rFonts w:ascii="Arial" w:hAnsi="Arial" w:cs="Arial"/>
                <w:color w:val="000000"/>
                <w:sz w:val="18"/>
                <w:szCs w:val="18"/>
              </w:rPr>
              <w:t xml:space="preserve">Projetos em Andamento </w:t>
            </w:r>
          </w:p>
        </w:tc>
        <w:tc>
          <w:tcPr>
            <w:tcW w:w="726" w:type="pct"/>
            <w:noWrap/>
            <w:vAlign w:val="center"/>
            <w:hideMark/>
          </w:tcPr>
          <w:p w14:paraId="1A43E638"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 xml:space="preserve">             56 </w:t>
            </w:r>
          </w:p>
        </w:tc>
        <w:tc>
          <w:tcPr>
            <w:tcW w:w="795" w:type="pct"/>
            <w:noWrap/>
            <w:vAlign w:val="center"/>
            <w:hideMark/>
          </w:tcPr>
          <w:p w14:paraId="39E3B1BC"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56</w:t>
            </w:r>
          </w:p>
        </w:tc>
      </w:tr>
      <w:tr w:rsidR="00FD6E33" w:rsidRPr="00C92836" w14:paraId="21223E8C" w14:textId="77777777" w:rsidTr="00C92836">
        <w:trPr>
          <w:trHeight w:val="232"/>
        </w:trPr>
        <w:tc>
          <w:tcPr>
            <w:tcW w:w="3479" w:type="pct"/>
            <w:vAlign w:val="center"/>
            <w:hideMark/>
          </w:tcPr>
          <w:p w14:paraId="2A678D60" w14:textId="77777777" w:rsidR="00FD6E33" w:rsidRPr="00C92836" w:rsidRDefault="00FD6E33">
            <w:pPr>
              <w:rPr>
                <w:rFonts w:ascii="Arial" w:hAnsi="Arial" w:cs="Arial"/>
                <w:color w:val="000000"/>
                <w:sz w:val="18"/>
                <w:szCs w:val="18"/>
              </w:rPr>
            </w:pPr>
            <w:r w:rsidRPr="00C92836">
              <w:rPr>
                <w:rFonts w:ascii="Arial" w:hAnsi="Arial" w:cs="Arial"/>
                <w:color w:val="000000"/>
                <w:sz w:val="18"/>
                <w:szCs w:val="18"/>
              </w:rPr>
              <w:t xml:space="preserve">Outras Obrigações </w:t>
            </w:r>
          </w:p>
        </w:tc>
        <w:tc>
          <w:tcPr>
            <w:tcW w:w="726" w:type="pct"/>
            <w:noWrap/>
            <w:vAlign w:val="center"/>
            <w:hideMark/>
          </w:tcPr>
          <w:p w14:paraId="61A758F1"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 xml:space="preserve">           323 </w:t>
            </w:r>
          </w:p>
        </w:tc>
        <w:tc>
          <w:tcPr>
            <w:tcW w:w="795" w:type="pct"/>
            <w:noWrap/>
            <w:vAlign w:val="center"/>
            <w:hideMark/>
          </w:tcPr>
          <w:p w14:paraId="6C0BF0D0" w14:textId="77777777" w:rsidR="00FD6E33" w:rsidRPr="00C92836" w:rsidRDefault="00FD6E33">
            <w:pPr>
              <w:jc w:val="right"/>
              <w:rPr>
                <w:rFonts w:ascii="Arial" w:hAnsi="Arial" w:cs="Arial"/>
                <w:color w:val="000000"/>
                <w:sz w:val="18"/>
                <w:szCs w:val="18"/>
              </w:rPr>
            </w:pPr>
            <w:r w:rsidRPr="00C92836">
              <w:rPr>
                <w:rFonts w:ascii="Arial" w:hAnsi="Arial" w:cs="Arial"/>
                <w:color w:val="000000"/>
                <w:sz w:val="18"/>
                <w:szCs w:val="18"/>
              </w:rPr>
              <w:t>324</w:t>
            </w:r>
          </w:p>
        </w:tc>
      </w:tr>
      <w:tr w:rsidR="00FD6E33" w:rsidRPr="00C92836" w14:paraId="25114C03" w14:textId="77777777" w:rsidTr="00C92836">
        <w:trPr>
          <w:trHeight w:val="232"/>
        </w:trPr>
        <w:tc>
          <w:tcPr>
            <w:tcW w:w="3479" w:type="pct"/>
            <w:vAlign w:val="center"/>
            <w:hideMark/>
          </w:tcPr>
          <w:p w14:paraId="39C63263" w14:textId="77777777" w:rsidR="00FD6E33" w:rsidRPr="00C92836" w:rsidRDefault="00FD6E33">
            <w:pPr>
              <w:rPr>
                <w:rFonts w:ascii="Arial" w:hAnsi="Arial" w:cs="Arial"/>
                <w:b/>
                <w:bCs/>
                <w:color w:val="000000"/>
                <w:sz w:val="18"/>
                <w:szCs w:val="18"/>
              </w:rPr>
            </w:pPr>
            <w:r w:rsidRPr="00C92836">
              <w:rPr>
                <w:rFonts w:ascii="Arial" w:hAnsi="Arial" w:cs="Arial"/>
                <w:b/>
                <w:bCs/>
                <w:color w:val="000000"/>
                <w:sz w:val="18"/>
                <w:szCs w:val="18"/>
              </w:rPr>
              <w:t>Total</w:t>
            </w:r>
          </w:p>
        </w:tc>
        <w:tc>
          <w:tcPr>
            <w:tcW w:w="726" w:type="pct"/>
            <w:noWrap/>
            <w:vAlign w:val="center"/>
            <w:hideMark/>
          </w:tcPr>
          <w:p w14:paraId="0387DC48" w14:textId="77777777" w:rsidR="00FD6E33" w:rsidRPr="00C92836" w:rsidRDefault="00FD6E33">
            <w:pPr>
              <w:jc w:val="right"/>
              <w:rPr>
                <w:rFonts w:ascii="Arial" w:hAnsi="Arial" w:cs="Arial"/>
                <w:b/>
                <w:bCs/>
                <w:color w:val="000000"/>
                <w:sz w:val="18"/>
                <w:szCs w:val="18"/>
              </w:rPr>
            </w:pPr>
            <w:r w:rsidRPr="00C92836">
              <w:rPr>
                <w:rFonts w:ascii="Arial" w:hAnsi="Arial" w:cs="Arial"/>
                <w:b/>
                <w:bCs/>
                <w:color w:val="000000"/>
                <w:sz w:val="18"/>
                <w:szCs w:val="18"/>
              </w:rPr>
              <w:t>57.794</w:t>
            </w:r>
          </w:p>
        </w:tc>
        <w:tc>
          <w:tcPr>
            <w:tcW w:w="795" w:type="pct"/>
            <w:noWrap/>
            <w:vAlign w:val="center"/>
            <w:hideMark/>
          </w:tcPr>
          <w:p w14:paraId="0E1A613E" w14:textId="77777777" w:rsidR="00FD6E33" w:rsidRPr="00C92836" w:rsidRDefault="00FD6E33">
            <w:pPr>
              <w:jc w:val="right"/>
              <w:rPr>
                <w:rFonts w:ascii="Arial" w:hAnsi="Arial" w:cs="Arial"/>
                <w:b/>
                <w:bCs/>
                <w:color w:val="000000"/>
                <w:sz w:val="18"/>
                <w:szCs w:val="18"/>
              </w:rPr>
            </w:pPr>
            <w:r w:rsidRPr="00C92836">
              <w:rPr>
                <w:rFonts w:ascii="Arial" w:hAnsi="Arial" w:cs="Arial"/>
                <w:b/>
                <w:bCs/>
                <w:color w:val="000000"/>
                <w:sz w:val="18"/>
                <w:szCs w:val="18"/>
              </w:rPr>
              <w:t>25.137</w:t>
            </w:r>
          </w:p>
        </w:tc>
      </w:tr>
      <w:tr w:rsidR="00FD6E33" w14:paraId="12C1728A" w14:textId="77777777" w:rsidTr="00C92836">
        <w:trPr>
          <w:trHeight w:val="232"/>
        </w:trPr>
        <w:tc>
          <w:tcPr>
            <w:tcW w:w="3479" w:type="pct"/>
            <w:vAlign w:val="center"/>
            <w:hideMark/>
          </w:tcPr>
          <w:p w14:paraId="239DC351" w14:textId="77777777" w:rsidR="00FD6E33" w:rsidRPr="00C92836" w:rsidRDefault="00FD6E33">
            <w:pPr>
              <w:rPr>
                <w:rFonts w:ascii="Arial" w:hAnsi="Arial" w:cs="Arial"/>
                <w:b/>
                <w:bCs/>
                <w:color w:val="000000"/>
                <w:sz w:val="18"/>
                <w:szCs w:val="18"/>
              </w:rPr>
            </w:pPr>
            <w:r w:rsidRPr="00C92836">
              <w:rPr>
                <w:rFonts w:ascii="Arial" w:hAnsi="Arial" w:cs="Arial"/>
                <w:b/>
                <w:bCs/>
                <w:color w:val="000000"/>
                <w:sz w:val="18"/>
                <w:szCs w:val="18"/>
              </w:rPr>
              <w:t>Circulante</w:t>
            </w:r>
          </w:p>
        </w:tc>
        <w:tc>
          <w:tcPr>
            <w:tcW w:w="726" w:type="pct"/>
            <w:noWrap/>
            <w:vAlign w:val="center"/>
            <w:hideMark/>
          </w:tcPr>
          <w:p w14:paraId="765AC50D" w14:textId="77777777" w:rsidR="00FD6E33" w:rsidRPr="00C92836" w:rsidRDefault="00FD6E33">
            <w:pPr>
              <w:jc w:val="right"/>
              <w:rPr>
                <w:rFonts w:ascii="Arial" w:hAnsi="Arial" w:cs="Arial"/>
                <w:b/>
                <w:bCs/>
                <w:color w:val="000000"/>
                <w:sz w:val="18"/>
                <w:szCs w:val="18"/>
              </w:rPr>
            </w:pPr>
            <w:r w:rsidRPr="00C92836">
              <w:rPr>
                <w:rFonts w:ascii="Arial" w:hAnsi="Arial" w:cs="Arial"/>
                <w:b/>
                <w:bCs/>
                <w:color w:val="000000"/>
                <w:sz w:val="18"/>
                <w:szCs w:val="18"/>
              </w:rPr>
              <w:t>57.794</w:t>
            </w:r>
          </w:p>
        </w:tc>
        <w:tc>
          <w:tcPr>
            <w:tcW w:w="795" w:type="pct"/>
            <w:noWrap/>
            <w:vAlign w:val="center"/>
            <w:hideMark/>
          </w:tcPr>
          <w:p w14:paraId="134680A2" w14:textId="77777777" w:rsidR="00FD6E33" w:rsidRDefault="00FD6E33">
            <w:pPr>
              <w:jc w:val="right"/>
              <w:rPr>
                <w:rFonts w:ascii="Arial" w:hAnsi="Arial" w:cs="Arial"/>
                <w:b/>
                <w:bCs/>
                <w:color w:val="000000"/>
                <w:sz w:val="18"/>
                <w:szCs w:val="18"/>
              </w:rPr>
            </w:pPr>
            <w:r w:rsidRPr="00C92836">
              <w:rPr>
                <w:rFonts w:ascii="Arial" w:hAnsi="Arial" w:cs="Arial"/>
                <w:b/>
                <w:bCs/>
                <w:color w:val="000000"/>
                <w:sz w:val="18"/>
                <w:szCs w:val="18"/>
              </w:rPr>
              <w:t>25.137</w:t>
            </w:r>
          </w:p>
        </w:tc>
      </w:tr>
    </w:tbl>
    <w:p w14:paraId="16D7156C" w14:textId="77777777" w:rsidR="00FD6E33" w:rsidRDefault="00FD6E33" w:rsidP="00BB2034">
      <w:pPr>
        <w:rPr>
          <w:sz w:val="8"/>
          <w:szCs w:val="8"/>
        </w:rPr>
      </w:pPr>
    </w:p>
    <w:p w14:paraId="2E8C2134" w14:textId="77777777" w:rsidR="00C92836" w:rsidRPr="00C92836" w:rsidRDefault="00C92836" w:rsidP="00C92836">
      <w:pPr>
        <w:jc w:val="both"/>
        <w:rPr>
          <w:rFonts w:ascii="Arial" w:hAnsi="Arial" w:cs="Arial"/>
          <w:sz w:val="22"/>
          <w:szCs w:val="22"/>
        </w:rPr>
      </w:pPr>
      <w:r w:rsidRPr="00C92836">
        <w:rPr>
          <w:rFonts w:ascii="Arial" w:hAnsi="Arial" w:cs="Arial"/>
          <w:sz w:val="22"/>
          <w:szCs w:val="22"/>
        </w:rPr>
        <w:lastRenderedPageBreak/>
        <w:t>i) Valor referente ao acordo de quitação das obrigações junto à empresa VT UM Produções e Empreendimentos Ltda. (“VT UM”).</w:t>
      </w:r>
    </w:p>
    <w:p w14:paraId="37744029" w14:textId="50E2984A" w:rsidR="00C92836" w:rsidRPr="00C92836" w:rsidRDefault="00C92836" w:rsidP="00C92836">
      <w:pPr>
        <w:jc w:val="both"/>
        <w:rPr>
          <w:rFonts w:ascii="Arial" w:hAnsi="Arial" w:cs="Arial"/>
          <w:sz w:val="22"/>
          <w:szCs w:val="22"/>
        </w:rPr>
      </w:pPr>
    </w:p>
    <w:p w14:paraId="608E80DD" w14:textId="77777777" w:rsidR="00C92836" w:rsidRDefault="00C92836" w:rsidP="00BB2034">
      <w:pPr>
        <w:rPr>
          <w:sz w:val="8"/>
          <w:szCs w:val="8"/>
        </w:rPr>
      </w:pPr>
    </w:p>
    <w:p w14:paraId="6313D1A3" w14:textId="77777777" w:rsidR="00FD6E33" w:rsidRDefault="00FD6E33" w:rsidP="00BB2034">
      <w:pPr>
        <w:rPr>
          <w:sz w:val="8"/>
          <w:szCs w:val="8"/>
        </w:rPr>
      </w:pPr>
    </w:p>
    <w:p w14:paraId="422135F3" w14:textId="77777777" w:rsidR="001A2823" w:rsidRPr="002A36CE" w:rsidRDefault="001A2823"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53" w:name="_Toc491337763"/>
      <w:r w:rsidRPr="002A36CE">
        <w:rPr>
          <w:rFonts w:ascii="Arial" w:hAnsi="Arial" w:cs="Arial"/>
        </w:rPr>
        <w:t>PATRIMÔNIO LÍQUIDO</w:t>
      </w:r>
      <w:bookmarkEnd w:id="53"/>
    </w:p>
    <w:p w14:paraId="0F1F7DC7" w14:textId="77777777" w:rsidR="001A2823" w:rsidRPr="00EB00BD" w:rsidRDefault="001A2823" w:rsidP="00597FE5">
      <w:pPr>
        <w:spacing w:line="276" w:lineRule="auto"/>
        <w:rPr>
          <w:sz w:val="10"/>
          <w:szCs w:val="10"/>
        </w:rPr>
      </w:pPr>
    </w:p>
    <w:p w14:paraId="4628EE3F" w14:textId="28468A5C" w:rsidR="00215810"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4" w:name="_Toc491337764"/>
      <w:r w:rsidRPr="002A36CE">
        <w:rPr>
          <w:rFonts w:ascii="Arial" w:hAnsi="Arial" w:cs="Arial"/>
        </w:rPr>
        <w:t>Capital social</w:t>
      </w:r>
      <w:bookmarkEnd w:id="54"/>
    </w:p>
    <w:p w14:paraId="3536B48E" w14:textId="77777777" w:rsidR="00B510D0" w:rsidRPr="00B510D0" w:rsidRDefault="00B510D0" w:rsidP="00B510D0"/>
    <w:p w14:paraId="277F39F0" w14:textId="32BA73D7" w:rsidR="001B0C0F" w:rsidRPr="006C4ECB" w:rsidRDefault="001B0C0F" w:rsidP="00075B84">
      <w:pPr>
        <w:shd w:val="clear" w:color="auto" w:fill="FDFDFD"/>
        <w:spacing w:line="276" w:lineRule="auto"/>
        <w:jc w:val="both"/>
        <w:rPr>
          <w:rFonts w:ascii="Arial" w:hAnsi="Arial" w:cs="Arial"/>
          <w:sz w:val="22"/>
          <w:szCs w:val="22"/>
        </w:rPr>
      </w:pPr>
      <w:r w:rsidRPr="006C4ECB">
        <w:rPr>
          <w:rFonts w:ascii="Arial" w:hAnsi="Arial" w:cs="Arial"/>
          <w:sz w:val="22"/>
          <w:szCs w:val="22"/>
        </w:rPr>
        <w:t xml:space="preserve">O capital social subscrito e integralizado em </w:t>
      </w:r>
      <w:r w:rsidR="00A723F7">
        <w:rPr>
          <w:rFonts w:ascii="Arial" w:hAnsi="Arial" w:cs="Arial"/>
          <w:sz w:val="22"/>
          <w:szCs w:val="22"/>
        </w:rPr>
        <w:t>3</w:t>
      </w:r>
      <w:r w:rsidR="00632534">
        <w:rPr>
          <w:rFonts w:ascii="Arial" w:hAnsi="Arial" w:cs="Arial"/>
          <w:sz w:val="22"/>
          <w:szCs w:val="22"/>
        </w:rPr>
        <w:t>1</w:t>
      </w:r>
      <w:r w:rsidR="00A723F7">
        <w:rPr>
          <w:rFonts w:ascii="Arial" w:hAnsi="Arial" w:cs="Arial"/>
          <w:sz w:val="22"/>
          <w:szCs w:val="22"/>
        </w:rPr>
        <w:t xml:space="preserve"> de </w:t>
      </w:r>
      <w:r w:rsidR="00ED5D1C">
        <w:rPr>
          <w:rFonts w:ascii="Arial" w:hAnsi="Arial" w:cs="Arial"/>
          <w:sz w:val="22"/>
          <w:szCs w:val="22"/>
        </w:rPr>
        <w:t>março</w:t>
      </w:r>
      <w:r w:rsidRPr="006C4ECB">
        <w:rPr>
          <w:rFonts w:ascii="Arial" w:hAnsi="Arial" w:cs="Arial"/>
          <w:sz w:val="22"/>
          <w:szCs w:val="22"/>
        </w:rPr>
        <w:t xml:space="preserve"> de 20</w:t>
      </w:r>
      <w:r w:rsidR="00867C75" w:rsidRPr="006C4ECB">
        <w:rPr>
          <w:rFonts w:ascii="Arial" w:hAnsi="Arial" w:cs="Arial"/>
          <w:sz w:val="22"/>
          <w:szCs w:val="22"/>
        </w:rPr>
        <w:t>2</w:t>
      </w:r>
      <w:r w:rsidR="00ED5D1C">
        <w:rPr>
          <w:rFonts w:ascii="Arial" w:hAnsi="Arial" w:cs="Arial"/>
          <w:sz w:val="22"/>
          <w:szCs w:val="22"/>
        </w:rPr>
        <w:t>6</w:t>
      </w:r>
      <w:r w:rsidRPr="006C4ECB">
        <w:rPr>
          <w:rFonts w:ascii="Arial" w:hAnsi="Arial" w:cs="Arial"/>
          <w:sz w:val="22"/>
          <w:szCs w:val="22"/>
        </w:rPr>
        <w:t xml:space="preserve"> </w:t>
      </w:r>
      <w:r w:rsidR="00477294">
        <w:rPr>
          <w:rFonts w:ascii="Arial" w:hAnsi="Arial" w:cs="Arial"/>
          <w:sz w:val="22"/>
          <w:szCs w:val="22"/>
        </w:rPr>
        <w:t>é</w:t>
      </w:r>
      <w:r w:rsidR="003864B7" w:rsidRPr="006C4ECB">
        <w:rPr>
          <w:rFonts w:ascii="Arial" w:hAnsi="Arial" w:cs="Arial"/>
          <w:sz w:val="22"/>
          <w:szCs w:val="22"/>
        </w:rPr>
        <w:t xml:space="preserve"> de R$ </w:t>
      </w:r>
      <w:r w:rsidR="005A0EE2">
        <w:rPr>
          <w:rFonts w:ascii="Arial" w:hAnsi="Arial" w:cs="Arial"/>
          <w:sz w:val="22"/>
          <w:szCs w:val="22"/>
        </w:rPr>
        <w:t xml:space="preserve">3.719.535 </w:t>
      </w:r>
      <w:r w:rsidR="00BB6462">
        <w:rPr>
          <w:rFonts w:ascii="Arial" w:hAnsi="Arial" w:cs="Arial"/>
          <w:sz w:val="22"/>
          <w:szCs w:val="22"/>
        </w:rPr>
        <w:t>(R$ 3.474.498 em 31 de dezembro de 202</w:t>
      </w:r>
      <w:r w:rsidR="00ED5D1C">
        <w:rPr>
          <w:rFonts w:ascii="Arial" w:hAnsi="Arial" w:cs="Arial"/>
          <w:sz w:val="22"/>
          <w:szCs w:val="22"/>
        </w:rPr>
        <w:t>5</w:t>
      </w:r>
      <w:r w:rsidR="00BB6462">
        <w:rPr>
          <w:rFonts w:ascii="Arial" w:hAnsi="Arial" w:cs="Arial"/>
          <w:sz w:val="22"/>
          <w:szCs w:val="22"/>
        </w:rPr>
        <w:t>)</w:t>
      </w:r>
      <w:r w:rsidRPr="00B510D0">
        <w:rPr>
          <w:rFonts w:ascii="Arial" w:hAnsi="Arial" w:cs="Arial"/>
          <w:sz w:val="22"/>
          <w:szCs w:val="22"/>
        </w:rPr>
        <w:t>, representado por ações ordinárias e preferenci</w:t>
      </w:r>
      <w:r w:rsidRPr="006C4ECB">
        <w:rPr>
          <w:rFonts w:ascii="Arial" w:hAnsi="Arial" w:cs="Arial"/>
          <w:sz w:val="22"/>
          <w:szCs w:val="22"/>
        </w:rPr>
        <w:t>ais sem valor nominal.</w:t>
      </w:r>
    </w:p>
    <w:p w14:paraId="2E675325" w14:textId="303028DE" w:rsidR="001B0C0F" w:rsidRDefault="001B0C0F" w:rsidP="00075B84">
      <w:pPr>
        <w:shd w:val="clear" w:color="auto" w:fill="FDFDFD"/>
        <w:spacing w:line="276" w:lineRule="auto"/>
        <w:jc w:val="both"/>
        <w:rPr>
          <w:rFonts w:ascii="Arial" w:hAnsi="Arial" w:cs="Arial"/>
          <w:sz w:val="4"/>
          <w:szCs w:val="4"/>
        </w:rPr>
      </w:pPr>
    </w:p>
    <w:p w14:paraId="63909971" w14:textId="0F74EACF" w:rsidR="007E2721" w:rsidRDefault="007E2721" w:rsidP="00075B84">
      <w:pPr>
        <w:shd w:val="clear" w:color="auto" w:fill="FDFDFD"/>
        <w:spacing w:line="276" w:lineRule="auto"/>
        <w:jc w:val="both"/>
        <w:rPr>
          <w:rFonts w:ascii="Arial" w:hAnsi="Arial" w:cs="Arial"/>
          <w:sz w:val="4"/>
          <w:szCs w:val="4"/>
        </w:rPr>
      </w:pPr>
    </w:p>
    <w:p w14:paraId="1360CA90" w14:textId="68117AF3" w:rsidR="007E2721" w:rsidRDefault="007E2721" w:rsidP="00075B84">
      <w:pPr>
        <w:shd w:val="clear" w:color="auto" w:fill="FDFDFD"/>
        <w:spacing w:line="276" w:lineRule="auto"/>
        <w:jc w:val="both"/>
        <w:rPr>
          <w:rFonts w:ascii="Arial" w:hAnsi="Arial" w:cs="Arial"/>
          <w:sz w:val="4"/>
          <w:szCs w:val="4"/>
        </w:rPr>
      </w:pPr>
    </w:p>
    <w:p w14:paraId="01A69EF6" w14:textId="77777777" w:rsidR="007E2721" w:rsidRDefault="007E2721" w:rsidP="00075B84">
      <w:pPr>
        <w:shd w:val="clear" w:color="auto" w:fill="FDFDFD"/>
        <w:spacing w:line="276" w:lineRule="auto"/>
        <w:jc w:val="both"/>
        <w:rPr>
          <w:rFonts w:ascii="Arial" w:hAnsi="Arial" w:cs="Arial"/>
          <w:sz w:val="4"/>
          <w:szCs w:val="4"/>
        </w:rPr>
      </w:pPr>
    </w:p>
    <w:p w14:paraId="70BF3338" w14:textId="77777777" w:rsidR="00670569" w:rsidRPr="00EB00BD" w:rsidRDefault="00670569" w:rsidP="00075B84">
      <w:pPr>
        <w:shd w:val="clear" w:color="auto" w:fill="FDFDFD"/>
        <w:spacing w:line="276" w:lineRule="auto"/>
        <w:jc w:val="both"/>
        <w:rPr>
          <w:rFonts w:ascii="Arial" w:hAnsi="Arial" w:cs="Arial"/>
          <w:sz w:val="4"/>
          <w:szCs w:val="4"/>
        </w:rPr>
      </w:pPr>
    </w:p>
    <w:bookmarkEnd w:id="51"/>
    <w:p w14:paraId="1A68FBE2" w14:textId="77777777" w:rsidR="00053E94" w:rsidRPr="002A36CE" w:rsidRDefault="00053E94" w:rsidP="009541E1">
      <w:pPr>
        <w:pStyle w:val="Ttulo2"/>
        <w:numPr>
          <w:ilvl w:val="2"/>
          <w:numId w:val="7"/>
        </w:numPr>
        <w:tabs>
          <w:tab w:val="clear" w:pos="284"/>
          <w:tab w:val="clear" w:pos="340"/>
        </w:tabs>
        <w:spacing w:before="0" w:after="0"/>
        <w:ind w:left="851" w:hanging="851"/>
        <w:jc w:val="both"/>
        <w:rPr>
          <w:rFonts w:ascii="Arial" w:hAnsi="Arial" w:cs="Arial"/>
        </w:rPr>
      </w:pPr>
      <w:r w:rsidRPr="002A36CE">
        <w:rPr>
          <w:rFonts w:ascii="Arial" w:hAnsi="Arial" w:cs="Arial"/>
        </w:rPr>
        <w:t>Composição acionária</w:t>
      </w:r>
    </w:p>
    <w:p w14:paraId="4893CCDE" w14:textId="77777777" w:rsidR="00053E94" w:rsidRPr="002A36CE" w:rsidRDefault="00053E94" w:rsidP="00053E94"/>
    <w:p w14:paraId="3B06F6F8" w14:textId="6D7BD53F" w:rsidR="0085618A" w:rsidRDefault="00053E94" w:rsidP="00053E94">
      <w:pPr>
        <w:rPr>
          <w:rFonts w:ascii="Arial" w:hAnsi="Arial" w:cs="Arial"/>
          <w:sz w:val="22"/>
          <w:szCs w:val="22"/>
        </w:rPr>
      </w:pPr>
      <w:r w:rsidRPr="002A36CE">
        <w:rPr>
          <w:rFonts w:ascii="Arial" w:hAnsi="Arial" w:cs="Arial"/>
          <w:sz w:val="22"/>
          <w:szCs w:val="22"/>
        </w:rPr>
        <w:t xml:space="preserve">A composição acionária em </w:t>
      </w:r>
      <w:r w:rsidR="00A723F7">
        <w:rPr>
          <w:rFonts w:ascii="Arial" w:hAnsi="Arial" w:cs="Arial"/>
          <w:sz w:val="22"/>
          <w:szCs w:val="22"/>
        </w:rPr>
        <w:t>3</w:t>
      </w:r>
      <w:r w:rsidR="00632534">
        <w:rPr>
          <w:rFonts w:ascii="Arial" w:hAnsi="Arial" w:cs="Arial"/>
          <w:sz w:val="22"/>
          <w:szCs w:val="22"/>
        </w:rPr>
        <w:t>1</w:t>
      </w:r>
      <w:r w:rsidR="00A723F7">
        <w:rPr>
          <w:rFonts w:ascii="Arial" w:hAnsi="Arial" w:cs="Arial"/>
          <w:sz w:val="22"/>
          <w:szCs w:val="22"/>
        </w:rPr>
        <w:t xml:space="preserve"> de </w:t>
      </w:r>
      <w:r w:rsidR="00ED5D1C">
        <w:rPr>
          <w:rFonts w:ascii="Arial" w:hAnsi="Arial" w:cs="Arial"/>
          <w:sz w:val="22"/>
          <w:szCs w:val="22"/>
        </w:rPr>
        <w:t>março</w:t>
      </w:r>
      <w:r w:rsidRPr="002A36CE">
        <w:rPr>
          <w:rFonts w:ascii="Arial" w:hAnsi="Arial" w:cs="Arial"/>
          <w:sz w:val="22"/>
          <w:szCs w:val="22"/>
        </w:rPr>
        <w:t xml:space="preserve"> de 20</w:t>
      </w:r>
      <w:r w:rsidR="00867C75" w:rsidRPr="002A36CE">
        <w:rPr>
          <w:rFonts w:ascii="Arial" w:hAnsi="Arial" w:cs="Arial"/>
          <w:sz w:val="22"/>
          <w:szCs w:val="22"/>
        </w:rPr>
        <w:t>2</w:t>
      </w:r>
      <w:r w:rsidR="00ED5D1C">
        <w:rPr>
          <w:rFonts w:ascii="Arial" w:hAnsi="Arial" w:cs="Arial"/>
          <w:sz w:val="22"/>
          <w:szCs w:val="22"/>
        </w:rPr>
        <w:t>6</w:t>
      </w:r>
      <w:r w:rsidRPr="002A36CE">
        <w:rPr>
          <w:rFonts w:ascii="Arial" w:hAnsi="Arial" w:cs="Arial"/>
          <w:sz w:val="22"/>
          <w:szCs w:val="22"/>
        </w:rPr>
        <w:t xml:space="preserve"> está </w:t>
      </w:r>
      <w:r w:rsidR="00487AB9" w:rsidRPr="002A36CE">
        <w:rPr>
          <w:rFonts w:ascii="Arial" w:hAnsi="Arial" w:cs="Arial"/>
          <w:sz w:val="22"/>
          <w:szCs w:val="22"/>
        </w:rPr>
        <w:t>a</w:t>
      </w:r>
      <w:r w:rsidRPr="002A36CE">
        <w:rPr>
          <w:rFonts w:ascii="Arial" w:hAnsi="Arial" w:cs="Arial"/>
          <w:sz w:val="22"/>
          <w:szCs w:val="22"/>
        </w:rPr>
        <w:t>presenta</w:t>
      </w:r>
      <w:r w:rsidR="00487AB9" w:rsidRPr="002A36CE">
        <w:rPr>
          <w:rFonts w:ascii="Arial" w:hAnsi="Arial" w:cs="Arial"/>
          <w:sz w:val="22"/>
          <w:szCs w:val="22"/>
        </w:rPr>
        <w:t>da</w:t>
      </w:r>
      <w:r w:rsidRPr="002A36CE">
        <w:rPr>
          <w:rFonts w:ascii="Arial" w:hAnsi="Arial" w:cs="Arial"/>
          <w:sz w:val="22"/>
          <w:szCs w:val="22"/>
        </w:rPr>
        <w:t xml:space="preserve"> no quadro a seguir:</w:t>
      </w:r>
    </w:p>
    <w:p w14:paraId="06CD0774" w14:textId="77777777" w:rsidR="00137764" w:rsidRDefault="00137764" w:rsidP="00053E94">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8"/>
        <w:gridCol w:w="979"/>
        <w:gridCol w:w="983"/>
        <w:gridCol w:w="1239"/>
        <w:gridCol w:w="1100"/>
        <w:gridCol w:w="772"/>
        <w:gridCol w:w="1020"/>
        <w:gridCol w:w="942"/>
        <w:gridCol w:w="938"/>
      </w:tblGrid>
      <w:tr w:rsidR="00137764" w:rsidRPr="00ED5D1C" w14:paraId="417FFC55" w14:textId="77777777" w:rsidTr="00E14DB6">
        <w:trPr>
          <w:trHeight w:val="232"/>
        </w:trPr>
        <w:tc>
          <w:tcPr>
            <w:tcW w:w="1924" w:type="pct"/>
            <w:gridSpan w:val="3"/>
            <w:shd w:val="clear" w:color="000000" w:fill="D9D9D9"/>
            <w:noWrap/>
            <w:vAlign w:val="center"/>
            <w:hideMark/>
          </w:tcPr>
          <w:p w14:paraId="1F95843D"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Ordinárias</w:t>
            </w:r>
          </w:p>
        </w:tc>
        <w:tc>
          <w:tcPr>
            <w:tcW w:w="1592" w:type="pct"/>
            <w:gridSpan w:val="3"/>
            <w:shd w:val="clear" w:color="000000" w:fill="D9D9D9"/>
            <w:noWrap/>
            <w:vAlign w:val="center"/>
            <w:hideMark/>
          </w:tcPr>
          <w:p w14:paraId="45FEDB12"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Preferenciais</w:t>
            </w:r>
          </w:p>
        </w:tc>
        <w:tc>
          <w:tcPr>
            <w:tcW w:w="1484" w:type="pct"/>
            <w:gridSpan w:val="3"/>
            <w:shd w:val="clear" w:color="000000" w:fill="D9D9D9"/>
            <w:noWrap/>
            <w:vAlign w:val="center"/>
            <w:hideMark/>
          </w:tcPr>
          <w:p w14:paraId="5D27233E"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Total</w:t>
            </w:r>
          </w:p>
        </w:tc>
      </w:tr>
      <w:tr w:rsidR="00137764" w:rsidRPr="00ED5D1C" w14:paraId="31C685AF" w14:textId="77777777" w:rsidTr="00E14DB6">
        <w:trPr>
          <w:trHeight w:val="232"/>
        </w:trPr>
        <w:tc>
          <w:tcPr>
            <w:tcW w:w="920" w:type="pct"/>
            <w:shd w:val="clear" w:color="000000" w:fill="D9D9D9"/>
            <w:vAlign w:val="center"/>
            <w:hideMark/>
          </w:tcPr>
          <w:p w14:paraId="6600178D"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Acionista</w:t>
            </w:r>
          </w:p>
        </w:tc>
        <w:tc>
          <w:tcPr>
            <w:tcW w:w="501" w:type="pct"/>
            <w:shd w:val="clear" w:color="000000" w:fill="D9D9D9"/>
            <w:vAlign w:val="center"/>
            <w:hideMark/>
          </w:tcPr>
          <w:p w14:paraId="2C9471C9"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Qtde de Ações</w:t>
            </w:r>
          </w:p>
        </w:tc>
        <w:tc>
          <w:tcPr>
            <w:tcW w:w="503" w:type="pct"/>
            <w:shd w:val="clear" w:color="000000" w:fill="D9D9D9"/>
            <w:vAlign w:val="center"/>
            <w:hideMark/>
          </w:tcPr>
          <w:p w14:paraId="55DE05A2"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w:t>
            </w:r>
          </w:p>
        </w:tc>
        <w:tc>
          <w:tcPr>
            <w:tcW w:w="634" w:type="pct"/>
            <w:shd w:val="clear" w:color="000000" w:fill="D9D9D9"/>
            <w:vAlign w:val="center"/>
            <w:hideMark/>
          </w:tcPr>
          <w:p w14:paraId="418AFAFB"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Acionista</w:t>
            </w:r>
          </w:p>
        </w:tc>
        <w:tc>
          <w:tcPr>
            <w:tcW w:w="563" w:type="pct"/>
            <w:shd w:val="clear" w:color="000000" w:fill="D9D9D9"/>
            <w:vAlign w:val="center"/>
            <w:hideMark/>
          </w:tcPr>
          <w:p w14:paraId="0BCB54F1"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Qtde de Ações</w:t>
            </w:r>
          </w:p>
        </w:tc>
        <w:tc>
          <w:tcPr>
            <w:tcW w:w="395" w:type="pct"/>
            <w:shd w:val="clear" w:color="000000" w:fill="D9D9D9"/>
            <w:vAlign w:val="center"/>
            <w:hideMark/>
          </w:tcPr>
          <w:p w14:paraId="1286484B"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w:t>
            </w:r>
          </w:p>
        </w:tc>
        <w:tc>
          <w:tcPr>
            <w:tcW w:w="522" w:type="pct"/>
            <w:shd w:val="clear" w:color="000000" w:fill="D9D9D9"/>
            <w:vAlign w:val="center"/>
            <w:hideMark/>
          </w:tcPr>
          <w:p w14:paraId="44901533"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Acionista</w:t>
            </w:r>
          </w:p>
        </w:tc>
        <w:tc>
          <w:tcPr>
            <w:tcW w:w="482" w:type="pct"/>
            <w:shd w:val="clear" w:color="000000" w:fill="D9D9D9"/>
            <w:vAlign w:val="center"/>
            <w:hideMark/>
          </w:tcPr>
          <w:p w14:paraId="668A28F5"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Qtde de Ações</w:t>
            </w:r>
          </w:p>
        </w:tc>
        <w:tc>
          <w:tcPr>
            <w:tcW w:w="481" w:type="pct"/>
            <w:shd w:val="clear" w:color="000000" w:fill="D9D9D9"/>
            <w:vAlign w:val="center"/>
            <w:hideMark/>
          </w:tcPr>
          <w:p w14:paraId="5D521A44" w14:textId="77777777" w:rsidR="00137764" w:rsidRPr="00ED5D1C" w:rsidRDefault="00137764">
            <w:pPr>
              <w:jc w:val="center"/>
              <w:rPr>
                <w:rFonts w:ascii="Arial" w:hAnsi="Arial" w:cs="Arial"/>
                <w:b/>
                <w:bCs/>
                <w:color w:val="000000"/>
                <w:sz w:val="14"/>
                <w:szCs w:val="14"/>
              </w:rPr>
            </w:pPr>
            <w:r w:rsidRPr="00ED5D1C">
              <w:rPr>
                <w:rFonts w:ascii="Arial" w:hAnsi="Arial" w:cs="Arial"/>
                <w:b/>
                <w:bCs/>
                <w:color w:val="000000"/>
                <w:sz w:val="14"/>
                <w:szCs w:val="14"/>
              </w:rPr>
              <w:t>%</w:t>
            </w:r>
          </w:p>
        </w:tc>
      </w:tr>
      <w:tr w:rsidR="00E14DB6" w:rsidRPr="00ED5D1C" w14:paraId="09D46F54" w14:textId="77777777" w:rsidTr="00E14DB6">
        <w:trPr>
          <w:trHeight w:val="232"/>
        </w:trPr>
        <w:tc>
          <w:tcPr>
            <w:tcW w:w="920" w:type="pct"/>
            <w:noWrap/>
            <w:vAlign w:val="center"/>
            <w:hideMark/>
          </w:tcPr>
          <w:p w14:paraId="28036264" w14:textId="70FC5AD4"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União Federal</w:t>
            </w:r>
          </w:p>
        </w:tc>
        <w:tc>
          <w:tcPr>
            <w:tcW w:w="501" w:type="pct"/>
            <w:noWrap/>
            <w:vAlign w:val="center"/>
            <w:hideMark/>
          </w:tcPr>
          <w:p w14:paraId="24E26BAC" w14:textId="482BC81C"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79.217.555</w:t>
            </w:r>
          </w:p>
        </w:tc>
        <w:tc>
          <w:tcPr>
            <w:tcW w:w="503" w:type="pct"/>
            <w:noWrap/>
            <w:vAlign w:val="center"/>
            <w:hideMark/>
          </w:tcPr>
          <w:p w14:paraId="1D497B0E" w14:textId="2EBAF57E"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94,79%</w:t>
            </w:r>
          </w:p>
        </w:tc>
        <w:tc>
          <w:tcPr>
            <w:tcW w:w="634" w:type="pct"/>
            <w:noWrap/>
            <w:vAlign w:val="center"/>
            <w:hideMark/>
          </w:tcPr>
          <w:p w14:paraId="27028C33" w14:textId="2DFEC5DF"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União Federal</w:t>
            </w:r>
          </w:p>
        </w:tc>
        <w:tc>
          <w:tcPr>
            <w:tcW w:w="563" w:type="pct"/>
            <w:noWrap/>
            <w:vAlign w:val="center"/>
            <w:hideMark/>
          </w:tcPr>
          <w:p w14:paraId="27C93847" w14:textId="084BC0D8"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16.153.616</w:t>
            </w:r>
          </w:p>
        </w:tc>
        <w:tc>
          <w:tcPr>
            <w:tcW w:w="395" w:type="pct"/>
            <w:noWrap/>
            <w:vAlign w:val="center"/>
            <w:hideMark/>
          </w:tcPr>
          <w:p w14:paraId="6D80B4A9" w14:textId="5DF38431"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87,76%</w:t>
            </w:r>
          </w:p>
        </w:tc>
        <w:tc>
          <w:tcPr>
            <w:tcW w:w="522" w:type="pct"/>
            <w:noWrap/>
            <w:vAlign w:val="center"/>
            <w:hideMark/>
          </w:tcPr>
          <w:p w14:paraId="7D9FB26C" w14:textId="7DAF04F9"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União Federal</w:t>
            </w:r>
          </w:p>
        </w:tc>
        <w:tc>
          <w:tcPr>
            <w:tcW w:w="482" w:type="pct"/>
            <w:noWrap/>
            <w:vAlign w:val="center"/>
            <w:hideMark/>
          </w:tcPr>
          <w:p w14:paraId="728CE353" w14:textId="55047535"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95.371.171</w:t>
            </w:r>
          </w:p>
        </w:tc>
        <w:tc>
          <w:tcPr>
            <w:tcW w:w="481" w:type="pct"/>
            <w:noWrap/>
            <w:vAlign w:val="center"/>
            <w:hideMark/>
          </w:tcPr>
          <w:p w14:paraId="21F9DE5E" w14:textId="5DC0A4F7"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93,52%</w:t>
            </w:r>
          </w:p>
        </w:tc>
      </w:tr>
      <w:tr w:rsidR="00E14DB6" w:rsidRPr="00ED5D1C" w14:paraId="5D52D258" w14:textId="77777777" w:rsidTr="00E14DB6">
        <w:trPr>
          <w:trHeight w:val="232"/>
        </w:trPr>
        <w:tc>
          <w:tcPr>
            <w:tcW w:w="920" w:type="pct"/>
            <w:noWrap/>
            <w:vAlign w:val="center"/>
            <w:hideMark/>
          </w:tcPr>
          <w:p w14:paraId="35BF9F51" w14:textId="1905EA4D"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FINEP</w:t>
            </w:r>
          </w:p>
        </w:tc>
        <w:tc>
          <w:tcPr>
            <w:tcW w:w="501" w:type="pct"/>
            <w:noWrap/>
            <w:vAlign w:val="center"/>
            <w:hideMark/>
          </w:tcPr>
          <w:p w14:paraId="134FA9F0" w14:textId="28F5E732"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3.231.600</w:t>
            </w:r>
          </w:p>
        </w:tc>
        <w:tc>
          <w:tcPr>
            <w:tcW w:w="503" w:type="pct"/>
            <w:noWrap/>
            <w:vAlign w:val="center"/>
            <w:hideMark/>
          </w:tcPr>
          <w:p w14:paraId="723728E9" w14:textId="02834188"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3,87%</w:t>
            </w:r>
          </w:p>
        </w:tc>
        <w:tc>
          <w:tcPr>
            <w:tcW w:w="634" w:type="pct"/>
            <w:noWrap/>
            <w:vAlign w:val="center"/>
            <w:hideMark/>
          </w:tcPr>
          <w:p w14:paraId="492972D9" w14:textId="403B657F"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FINEP</w:t>
            </w:r>
          </w:p>
        </w:tc>
        <w:tc>
          <w:tcPr>
            <w:tcW w:w="563" w:type="pct"/>
            <w:noWrap/>
            <w:vAlign w:val="center"/>
            <w:hideMark/>
          </w:tcPr>
          <w:p w14:paraId="5627C094" w14:textId="55D2E857"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0</w:t>
            </w:r>
          </w:p>
        </w:tc>
        <w:tc>
          <w:tcPr>
            <w:tcW w:w="395" w:type="pct"/>
            <w:noWrap/>
            <w:vAlign w:val="center"/>
            <w:hideMark/>
          </w:tcPr>
          <w:p w14:paraId="4E13CE1F" w14:textId="7A03927F"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0,00%</w:t>
            </w:r>
          </w:p>
        </w:tc>
        <w:tc>
          <w:tcPr>
            <w:tcW w:w="522" w:type="pct"/>
            <w:noWrap/>
            <w:vAlign w:val="center"/>
            <w:hideMark/>
          </w:tcPr>
          <w:p w14:paraId="68D76BBA" w14:textId="163F1170"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FINEP</w:t>
            </w:r>
          </w:p>
        </w:tc>
        <w:tc>
          <w:tcPr>
            <w:tcW w:w="482" w:type="pct"/>
            <w:noWrap/>
            <w:vAlign w:val="center"/>
            <w:hideMark/>
          </w:tcPr>
          <w:p w14:paraId="2B4CB110" w14:textId="0EE0184A"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3.231.600</w:t>
            </w:r>
          </w:p>
        </w:tc>
        <w:tc>
          <w:tcPr>
            <w:tcW w:w="481" w:type="pct"/>
            <w:noWrap/>
            <w:vAlign w:val="center"/>
            <w:hideMark/>
          </w:tcPr>
          <w:p w14:paraId="38317B45" w14:textId="04B03AB7"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3,17%</w:t>
            </w:r>
          </w:p>
        </w:tc>
      </w:tr>
      <w:tr w:rsidR="00E14DB6" w:rsidRPr="00ED5D1C" w14:paraId="7168F0B1" w14:textId="77777777" w:rsidTr="00E14DB6">
        <w:trPr>
          <w:trHeight w:val="232"/>
        </w:trPr>
        <w:tc>
          <w:tcPr>
            <w:tcW w:w="920" w:type="pct"/>
            <w:noWrap/>
            <w:vAlign w:val="center"/>
            <w:hideMark/>
          </w:tcPr>
          <w:p w14:paraId="4D5C505C" w14:textId="7CFB90C2"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Outros Acionistas</w:t>
            </w:r>
          </w:p>
        </w:tc>
        <w:tc>
          <w:tcPr>
            <w:tcW w:w="501" w:type="pct"/>
            <w:noWrap/>
            <w:vAlign w:val="center"/>
            <w:hideMark/>
          </w:tcPr>
          <w:p w14:paraId="6983C3D1" w14:textId="0265852B"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1.126.564</w:t>
            </w:r>
          </w:p>
        </w:tc>
        <w:tc>
          <w:tcPr>
            <w:tcW w:w="503" w:type="pct"/>
            <w:noWrap/>
            <w:vAlign w:val="center"/>
            <w:hideMark/>
          </w:tcPr>
          <w:p w14:paraId="7EFC266D" w14:textId="5A497928"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1,35%</w:t>
            </w:r>
          </w:p>
        </w:tc>
        <w:tc>
          <w:tcPr>
            <w:tcW w:w="634" w:type="pct"/>
            <w:noWrap/>
            <w:vAlign w:val="center"/>
            <w:hideMark/>
          </w:tcPr>
          <w:p w14:paraId="2A5B2D51" w14:textId="29C2803D"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Outros Acionistas</w:t>
            </w:r>
          </w:p>
        </w:tc>
        <w:tc>
          <w:tcPr>
            <w:tcW w:w="563" w:type="pct"/>
            <w:noWrap/>
            <w:vAlign w:val="center"/>
            <w:hideMark/>
          </w:tcPr>
          <w:p w14:paraId="06E650E0" w14:textId="13C1880B"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2.253.875</w:t>
            </w:r>
          </w:p>
        </w:tc>
        <w:tc>
          <w:tcPr>
            <w:tcW w:w="395" w:type="pct"/>
            <w:noWrap/>
            <w:vAlign w:val="center"/>
            <w:hideMark/>
          </w:tcPr>
          <w:p w14:paraId="4CB949B0" w14:textId="6DD885C3"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12,24%</w:t>
            </w:r>
          </w:p>
        </w:tc>
        <w:tc>
          <w:tcPr>
            <w:tcW w:w="522" w:type="pct"/>
            <w:noWrap/>
            <w:vAlign w:val="center"/>
            <w:hideMark/>
          </w:tcPr>
          <w:p w14:paraId="7B4CB422" w14:textId="11D8F300"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Outros</w:t>
            </w:r>
          </w:p>
        </w:tc>
        <w:tc>
          <w:tcPr>
            <w:tcW w:w="482" w:type="pct"/>
            <w:noWrap/>
            <w:vAlign w:val="center"/>
            <w:hideMark/>
          </w:tcPr>
          <w:p w14:paraId="48A77C54" w14:textId="50FCDE99"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3.380.439</w:t>
            </w:r>
          </w:p>
        </w:tc>
        <w:tc>
          <w:tcPr>
            <w:tcW w:w="481" w:type="pct"/>
            <w:noWrap/>
            <w:vAlign w:val="center"/>
            <w:hideMark/>
          </w:tcPr>
          <w:p w14:paraId="5C5985A5" w14:textId="30B76728"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3,31%</w:t>
            </w:r>
          </w:p>
        </w:tc>
      </w:tr>
      <w:tr w:rsidR="00E14DB6" w:rsidRPr="00ED5D1C" w14:paraId="7A3A698C" w14:textId="77777777" w:rsidTr="00E14DB6">
        <w:trPr>
          <w:trHeight w:val="232"/>
        </w:trPr>
        <w:tc>
          <w:tcPr>
            <w:tcW w:w="920" w:type="pct"/>
            <w:noWrap/>
            <w:vAlign w:val="center"/>
            <w:hideMark/>
          </w:tcPr>
          <w:p w14:paraId="61E6A9C3" w14:textId="39AD2C1D"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Ações em Tesouraria</w:t>
            </w:r>
          </w:p>
        </w:tc>
        <w:tc>
          <w:tcPr>
            <w:tcW w:w="501" w:type="pct"/>
            <w:noWrap/>
            <w:vAlign w:val="center"/>
            <w:hideMark/>
          </w:tcPr>
          <w:p w14:paraId="690B9A98" w14:textId="7054776C"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193</w:t>
            </w:r>
          </w:p>
        </w:tc>
        <w:tc>
          <w:tcPr>
            <w:tcW w:w="503" w:type="pct"/>
            <w:noWrap/>
            <w:vAlign w:val="center"/>
            <w:hideMark/>
          </w:tcPr>
          <w:p w14:paraId="7D36A39D" w14:textId="1CA26D44"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0,00%</w:t>
            </w:r>
          </w:p>
        </w:tc>
        <w:tc>
          <w:tcPr>
            <w:tcW w:w="634" w:type="pct"/>
            <w:shd w:val="clear" w:color="000000" w:fill="BFBFBF"/>
            <w:noWrap/>
            <w:vAlign w:val="center"/>
            <w:hideMark/>
          </w:tcPr>
          <w:p w14:paraId="342FBB8B" w14:textId="16226700"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 </w:t>
            </w:r>
          </w:p>
        </w:tc>
        <w:tc>
          <w:tcPr>
            <w:tcW w:w="563" w:type="pct"/>
            <w:shd w:val="clear" w:color="000000" w:fill="BFBFBF"/>
            <w:noWrap/>
            <w:vAlign w:val="center"/>
            <w:hideMark/>
          </w:tcPr>
          <w:p w14:paraId="263A8091" w14:textId="723C35E7"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 </w:t>
            </w:r>
          </w:p>
        </w:tc>
        <w:tc>
          <w:tcPr>
            <w:tcW w:w="395" w:type="pct"/>
            <w:shd w:val="clear" w:color="000000" w:fill="BFBFBF"/>
            <w:noWrap/>
            <w:vAlign w:val="center"/>
            <w:hideMark/>
          </w:tcPr>
          <w:p w14:paraId="2D62EF94" w14:textId="39F993E0"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 </w:t>
            </w:r>
          </w:p>
        </w:tc>
        <w:tc>
          <w:tcPr>
            <w:tcW w:w="522" w:type="pct"/>
            <w:shd w:val="clear" w:color="000000" w:fill="BFBFBF"/>
            <w:noWrap/>
            <w:vAlign w:val="center"/>
            <w:hideMark/>
          </w:tcPr>
          <w:p w14:paraId="478DBD62" w14:textId="5052908B"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 </w:t>
            </w:r>
          </w:p>
        </w:tc>
        <w:tc>
          <w:tcPr>
            <w:tcW w:w="482" w:type="pct"/>
            <w:noWrap/>
            <w:vAlign w:val="center"/>
            <w:hideMark/>
          </w:tcPr>
          <w:p w14:paraId="23A7306B" w14:textId="6B4FDAC8"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193</w:t>
            </w:r>
          </w:p>
        </w:tc>
        <w:tc>
          <w:tcPr>
            <w:tcW w:w="481" w:type="pct"/>
            <w:noWrap/>
            <w:vAlign w:val="center"/>
            <w:hideMark/>
          </w:tcPr>
          <w:p w14:paraId="5FF94E36" w14:textId="358EB3A2" w:rsidR="00E14DB6" w:rsidRPr="00ED5D1C" w:rsidRDefault="00E14DB6" w:rsidP="00E14DB6">
            <w:pPr>
              <w:jc w:val="right"/>
              <w:rPr>
                <w:rFonts w:ascii="Arial" w:hAnsi="Arial" w:cs="Arial"/>
                <w:color w:val="000000"/>
                <w:sz w:val="14"/>
                <w:szCs w:val="14"/>
              </w:rPr>
            </w:pPr>
            <w:r w:rsidRPr="00ED5D1C">
              <w:rPr>
                <w:rFonts w:ascii="Arial" w:hAnsi="Arial" w:cs="Arial"/>
                <w:color w:val="000000"/>
                <w:sz w:val="14"/>
                <w:szCs w:val="14"/>
              </w:rPr>
              <w:t>0,00%</w:t>
            </w:r>
          </w:p>
        </w:tc>
      </w:tr>
      <w:tr w:rsidR="00E14DB6" w14:paraId="6DDD0352" w14:textId="77777777" w:rsidTr="00E14DB6">
        <w:trPr>
          <w:trHeight w:val="232"/>
        </w:trPr>
        <w:tc>
          <w:tcPr>
            <w:tcW w:w="920" w:type="pct"/>
            <w:noWrap/>
            <w:vAlign w:val="center"/>
            <w:hideMark/>
          </w:tcPr>
          <w:p w14:paraId="2DF00A55" w14:textId="6E0B892E" w:rsidR="00E14DB6" w:rsidRPr="00ED5D1C" w:rsidRDefault="00E14DB6" w:rsidP="00E14DB6">
            <w:pPr>
              <w:rPr>
                <w:rFonts w:ascii="Arial" w:hAnsi="Arial" w:cs="Arial"/>
                <w:b/>
                <w:bCs/>
                <w:color w:val="000000"/>
                <w:sz w:val="14"/>
                <w:szCs w:val="14"/>
              </w:rPr>
            </w:pPr>
            <w:r w:rsidRPr="00ED5D1C">
              <w:rPr>
                <w:rFonts w:ascii="Arial" w:hAnsi="Arial" w:cs="Arial"/>
                <w:b/>
                <w:bCs/>
                <w:color w:val="000000"/>
                <w:sz w:val="14"/>
                <w:szCs w:val="14"/>
              </w:rPr>
              <w:t>Total</w:t>
            </w:r>
          </w:p>
        </w:tc>
        <w:tc>
          <w:tcPr>
            <w:tcW w:w="501" w:type="pct"/>
            <w:noWrap/>
            <w:vAlign w:val="center"/>
            <w:hideMark/>
          </w:tcPr>
          <w:p w14:paraId="6CC93D10" w14:textId="028A4067" w:rsidR="00E14DB6" w:rsidRPr="00ED5D1C" w:rsidRDefault="00E14DB6" w:rsidP="00E14DB6">
            <w:pPr>
              <w:jc w:val="right"/>
              <w:rPr>
                <w:rFonts w:ascii="Arial" w:hAnsi="Arial" w:cs="Arial"/>
                <w:b/>
                <w:bCs/>
                <w:color w:val="000000"/>
                <w:sz w:val="14"/>
                <w:szCs w:val="14"/>
              </w:rPr>
            </w:pPr>
            <w:r w:rsidRPr="00ED5D1C">
              <w:rPr>
                <w:rFonts w:ascii="Arial" w:hAnsi="Arial" w:cs="Arial"/>
                <w:b/>
                <w:bCs/>
                <w:color w:val="000000"/>
                <w:sz w:val="14"/>
                <w:szCs w:val="14"/>
              </w:rPr>
              <w:t>83.575.912</w:t>
            </w:r>
          </w:p>
        </w:tc>
        <w:tc>
          <w:tcPr>
            <w:tcW w:w="503" w:type="pct"/>
            <w:noWrap/>
            <w:vAlign w:val="center"/>
            <w:hideMark/>
          </w:tcPr>
          <w:p w14:paraId="7F387503" w14:textId="72848E40" w:rsidR="00E14DB6" w:rsidRPr="00ED5D1C" w:rsidRDefault="00E14DB6" w:rsidP="00E14DB6">
            <w:pPr>
              <w:jc w:val="right"/>
              <w:rPr>
                <w:rFonts w:ascii="Arial" w:hAnsi="Arial" w:cs="Arial"/>
                <w:b/>
                <w:bCs/>
                <w:color w:val="000000"/>
                <w:sz w:val="14"/>
                <w:szCs w:val="14"/>
              </w:rPr>
            </w:pPr>
            <w:r w:rsidRPr="00ED5D1C">
              <w:rPr>
                <w:rFonts w:ascii="Arial" w:hAnsi="Arial" w:cs="Arial"/>
                <w:b/>
                <w:bCs/>
                <w:color w:val="000000"/>
                <w:sz w:val="14"/>
                <w:szCs w:val="14"/>
              </w:rPr>
              <w:t>100,00%</w:t>
            </w:r>
          </w:p>
        </w:tc>
        <w:tc>
          <w:tcPr>
            <w:tcW w:w="634" w:type="pct"/>
            <w:noWrap/>
            <w:vAlign w:val="center"/>
            <w:hideMark/>
          </w:tcPr>
          <w:p w14:paraId="33EDEB01" w14:textId="027B9559" w:rsidR="00E14DB6" w:rsidRPr="00ED5D1C" w:rsidRDefault="00E14DB6" w:rsidP="00E14DB6">
            <w:pPr>
              <w:rPr>
                <w:rFonts w:ascii="Arial" w:hAnsi="Arial" w:cs="Arial"/>
                <w:color w:val="000000"/>
                <w:sz w:val="14"/>
                <w:szCs w:val="14"/>
              </w:rPr>
            </w:pPr>
            <w:r w:rsidRPr="00ED5D1C">
              <w:rPr>
                <w:rFonts w:ascii="Arial" w:hAnsi="Arial" w:cs="Arial"/>
                <w:color w:val="000000"/>
                <w:sz w:val="14"/>
                <w:szCs w:val="14"/>
              </w:rPr>
              <w:t>Total</w:t>
            </w:r>
          </w:p>
        </w:tc>
        <w:tc>
          <w:tcPr>
            <w:tcW w:w="563" w:type="pct"/>
            <w:noWrap/>
            <w:vAlign w:val="center"/>
            <w:hideMark/>
          </w:tcPr>
          <w:p w14:paraId="495D4307" w14:textId="2E58DDD8" w:rsidR="00E14DB6" w:rsidRPr="00ED5D1C" w:rsidRDefault="00E14DB6" w:rsidP="00E14DB6">
            <w:pPr>
              <w:jc w:val="right"/>
              <w:rPr>
                <w:rFonts w:ascii="Arial" w:hAnsi="Arial" w:cs="Arial"/>
                <w:b/>
                <w:bCs/>
                <w:color w:val="000000"/>
                <w:sz w:val="14"/>
                <w:szCs w:val="14"/>
              </w:rPr>
            </w:pPr>
            <w:r w:rsidRPr="00ED5D1C">
              <w:rPr>
                <w:rFonts w:ascii="Arial" w:hAnsi="Arial" w:cs="Arial"/>
                <w:b/>
                <w:bCs/>
                <w:color w:val="000000"/>
                <w:sz w:val="14"/>
                <w:szCs w:val="14"/>
              </w:rPr>
              <w:t>18.407.491</w:t>
            </w:r>
          </w:p>
        </w:tc>
        <w:tc>
          <w:tcPr>
            <w:tcW w:w="395" w:type="pct"/>
            <w:noWrap/>
            <w:vAlign w:val="center"/>
            <w:hideMark/>
          </w:tcPr>
          <w:p w14:paraId="19E15031" w14:textId="138DBC52" w:rsidR="00E14DB6" w:rsidRPr="00ED5D1C" w:rsidRDefault="00E14DB6" w:rsidP="00E14DB6">
            <w:pPr>
              <w:jc w:val="right"/>
              <w:rPr>
                <w:rFonts w:ascii="Arial" w:hAnsi="Arial" w:cs="Arial"/>
                <w:b/>
                <w:bCs/>
                <w:color w:val="000000"/>
                <w:sz w:val="14"/>
                <w:szCs w:val="14"/>
              </w:rPr>
            </w:pPr>
            <w:r w:rsidRPr="00ED5D1C">
              <w:rPr>
                <w:rFonts w:ascii="Arial" w:hAnsi="Arial" w:cs="Arial"/>
                <w:b/>
                <w:bCs/>
                <w:color w:val="000000"/>
                <w:sz w:val="14"/>
                <w:szCs w:val="14"/>
              </w:rPr>
              <w:t>100,00%</w:t>
            </w:r>
          </w:p>
        </w:tc>
        <w:tc>
          <w:tcPr>
            <w:tcW w:w="522" w:type="pct"/>
            <w:noWrap/>
            <w:vAlign w:val="center"/>
            <w:hideMark/>
          </w:tcPr>
          <w:p w14:paraId="73CE29CF" w14:textId="6D7F6856" w:rsidR="00E14DB6" w:rsidRPr="00ED5D1C" w:rsidRDefault="00E14DB6" w:rsidP="00E14DB6">
            <w:pPr>
              <w:rPr>
                <w:rFonts w:ascii="Arial" w:hAnsi="Arial" w:cs="Arial"/>
                <w:b/>
                <w:bCs/>
                <w:color w:val="000000"/>
                <w:sz w:val="14"/>
                <w:szCs w:val="14"/>
              </w:rPr>
            </w:pPr>
            <w:r w:rsidRPr="00ED5D1C">
              <w:rPr>
                <w:rFonts w:ascii="Arial" w:hAnsi="Arial" w:cs="Arial"/>
                <w:b/>
                <w:bCs/>
                <w:color w:val="000000"/>
                <w:sz w:val="14"/>
                <w:szCs w:val="14"/>
              </w:rPr>
              <w:t>Total</w:t>
            </w:r>
          </w:p>
        </w:tc>
        <w:tc>
          <w:tcPr>
            <w:tcW w:w="482" w:type="pct"/>
            <w:noWrap/>
            <w:vAlign w:val="center"/>
            <w:hideMark/>
          </w:tcPr>
          <w:p w14:paraId="4726EB60" w14:textId="6778FAAA" w:rsidR="00E14DB6" w:rsidRPr="00ED5D1C" w:rsidRDefault="00E14DB6" w:rsidP="00E14DB6">
            <w:pPr>
              <w:jc w:val="right"/>
              <w:rPr>
                <w:rFonts w:ascii="Arial" w:hAnsi="Arial" w:cs="Arial"/>
                <w:b/>
                <w:bCs/>
                <w:color w:val="000000"/>
                <w:sz w:val="14"/>
                <w:szCs w:val="14"/>
              </w:rPr>
            </w:pPr>
            <w:r w:rsidRPr="00ED5D1C">
              <w:rPr>
                <w:rFonts w:ascii="Arial" w:hAnsi="Arial" w:cs="Arial"/>
                <w:b/>
                <w:bCs/>
                <w:color w:val="000000"/>
                <w:sz w:val="14"/>
                <w:szCs w:val="14"/>
              </w:rPr>
              <w:t>101.983.403</w:t>
            </w:r>
          </w:p>
        </w:tc>
        <w:tc>
          <w:tcPr>
            <w:tcW w:w="481" w:type="pct"/>
            <w:noWrap/>
            <w:vAlign w:val="center"/>
            <w:hideMark/>
          </w:tcPr>
          <w:p w14:paraId="3B20A169" w14:textId="4170DC65" w:rsidR="00E14DB6" w:rsidRDefault="00E14DB6" w:rsidP="00E14DB6">
            <w:pPr>
              <w:jc w:val="right"/>
              <w:rPr>
                <w:rFonts w:ascii="Arial" w:hAnsi="Arial" w:cs="Arial"/>
                <w:b/>
                <w:bCs/>
                <w:color w:val="000000"/>
                <w:sz w:val="14"/>
                <w:szCs w:val="14"/>
              </w:rPr>
            </w:pPr>
            <w:r w:rsidRPr="00ED5D1C">
              <w:rPr>
                <w:rFonts w:ascii="Arial" w:hAnsi="Arial" w:cs="Arial"/>
                <w:b/>
                <w:bCs/>
                <w:color w:val="000000"/>
                <w:sz w:val="14"/>
                <w:szCs w:val="14"/>
              </w:rPr>
              <w:t>100,00%</w:t>
            </w:r>
          </w:p>
        </w:tc>
      </w:tr>
    </w:tbl>
    <w:p w14:paraId="4286262C" w14:textId="77777777" w:rsidR="006D3DBC" w:rsidRDefault="006D3DBC" w:rsidP="00053E94">
      <w:pPr>
        <w:rPr>
          <w:rFonts w:ascii="Arial" w:hAnsi="Arial" w:cs="Arial"/>
          <w:sz w:val="16"/>
          <w:szCs w:val="16"/>
        </w:rPr>
      </w:pPr>
    </w:p>
    <w:p w14:paraId="452CE7DD" w14:textId="67305459" w:rsidR="00D34576" w:rsidRPr="002A36CE" w:rsidRDefault="00D34576" w:rsidP="009541E1">
      <w:pPr>
        <w:pStyle w:val="Ttulo2"/>
        <w:numPr>
          <w:ilvl w:val="2"/>
          <w:numId w:val="7"/>
        </w:numPr>
        <w:tabs>
          <w:tab w:val="clear" w:pos="284"/>
          <w:tab w:val="clear" w:pos="340"/>
        </w:tabs>
        <w:spacing w:before="0" w:after="0"/>
        <w:ind w:left="851" w:hanging="851"/>
        <w:jc w:val="both"/>
        <w:rPr>
          <w:rFonts w:ascii="Arial" w:hAnsi="Arial" w:cs="Arial"/>
        </w:rPr>
      </w:pPr>
      <w:bookmarkStart w:id="55" w:name="_Hlk110335937"/>
      <w:r>
        <w:rPr>
          <w:rFonts w:ascii="Arial" w:hAnsi="Arial" w:cs="Arial"/>
        </w:rPr>
        <w:t>Valor patrimonial da ação</w:t>
      </w:r>
    </w:p>
    <w:p w14:paraId="68CD1726" w14:textId="500414FF" w:rsidR="00D34576" w:rsidRDefault="00D34576" w:rsidP="00A018B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843"/>
        <w:gridCol w:w="1696"/>
      </w:tblGrid>
      <w:tr w:rsidR="004A2AF4" w:rsidRPr="003315E3" w14:paraId="2B39D244" w14:textId="77777777" w:rsidTr="003315E3">
        <w:trPr>
          <w:trHeight w:val="232"/>
          <w:tblHeader/>
        </w:trPr>
        <w:tc>
          <w:tcPr>
            <w:tcW w:w="3189" w:type="pct"/>
            <w:shd w:val="clear" w:color="000000" w:fill="D9D9D9"/>
            <w:noWrap/>
            <w:vAlign w:val="center"/>
            <w:hideMark/>
          </w:tcPr>
          <w:p w14:paraId="299193D6" w14:textId="77777777" w:rsidR="004A2AF4" w:rsidRPr="003315E3" w:rsidRDefault="004A2AF4">
            <w:pPr>
              <w:rPr>
                <w:rFonts w:ascii="Arial" w:hAnsi="Arial" w:cs="Arial"/>
                <w:b/>
                <w:bCs/>
                <w:color w:val="000000"/>
                <w:sz w:val="18"/>
                <w:szCs w:val="18"/>
              </w:rPr>
            </w:pPr>
            <w:r w:rsidRPr="003315E3">
              <w:rPr>
                <w:rFonts w:ascii="Arial" w:hAnsi="Arial" w:cs="Arial"/>
                <w:b/>
                <w:bCs/>
                <w:color w:val="000000"/>
                <w:sz w:val="18"/>
                <w:szCs w:val="18"/>
              </w:rPr>
              <w:t>Componentes do Cálculo: </w:t>
            </w:r>
          </w:p>
        </w:tc>
        <w:tc>
          <w:tcPr>
            <w:tcW w:w="943" w:type="pct"/>
            <w:vAlign w:val="center"/>
            <w:hideMark/>
          </w:tcPr>
          <w:p w14:paraId="50E14C23" w14:textId="77777777" w:rsidR="004A2AF4" w:rsidRPr="003315E3" w:rsidRDefault="004A2AF4">
            <w:pPr>
              <w:jc w:val="center"/>
              <w:rPr>
                <w:rFonts w:ascii="Arial" w:hAnsi="Arial" w:cs="Arial"/>
                <w:b/>
                <w:bCs/>
                <w:color w:val="000000"/>
                <w:sz w:val="18"/>
                <w:szCs w:val="18"/>
              </w:rPr>
            </w:pPr>
            <w:r w:rsidRPr="003315E3">
              <w:rPr>
                <w:rFonts w:ascii="Arial" w:hAnsi="Arial" w:cs="Arial"/>
                <w:b/>
                <w:bCs/>
                <w:color w:val="000000"/>
                <w:sz w:val="18"/>
                <w:szCs w:val="18"/>
              </w:rPr>
              <w:t>31/03/2026</w:t>
            </w:r>
          </w:p>
        </w:tc>
        <w:tc>
          <w:tcPr>
            <w:tcW w:w="868" w:type="pct"/>
            <w:vAlign w:val="center"/>
            <w:hideMark/>
          </w:tcPr>
          <w:p w14:paraId="6E32BAEC" w14:textId="77777777" w:rsidR="004A2AF4" w:rsidRPr="003315E3" w:rsidRDefault="004A2AF4">
            <w:pPr>
              <w:jc w:val="center"/>
              <w:rPr>
                <w:rFonts w:ascii="Arial" w:hAnsi="Arial" w:cs="Arial"/>
                <w:b/>
                <w:bCs/>
                <w:color w:val="000000"/>
                <w:sz w:val="18"/>
                <w:szCs w:val="18"/>
              </w:rPr>
            </w:pPr>
            <w:r w:rsidRPr="003315E3">
              <w:rPr>
                <w:rFonts w:ascii="Arial" w:hAnsi="Arial" w:cs="Arial"/>
                <w:b/>
                <w:bCs/>
                <w:color w:val="000000"/>
                <w:sz w:val="18"/>
                <w:szCs w:val="18"/>
              </w:rPr>
              <w:t>31/12/2025</w:t>
            </w:r>
          </w:p>
        </w:tc>
      </w:tr>
      <w:tr w:rsidR="004A2AF4" w:rsidRPr="003315E3" w14:paraId="72A9EBB7" w14:textId="77777777" w:rsidTr="00006A6D">
        <w:trPr>
          <w:trHeight w:val="232"/>
        </w:trPr>
        <w:tc>
          <w:tcPr>
            <w:tcW w:w="3189" w:type="pct"/>
            <w:vAlign w:val="center"/>
            <w:hideMark/>
          </w:tcPr>
          <w:p w14:paraId="64444F25" w14:textId="77777777" w:rsidR="004A2AF4" w:rsidRPr="003315E3" w:rsidRDefault="004A2AF4">
            <w:pPr>
              <w:rPr>
                <w:rFonts w:ascii="Arial" w:hAnsi="Arial" w:cs="Arial"/>
                <w:b/>
                <w:bCs/>
                <w:color w:val="000000"/>
                <w:sz w:val="18"/>
                <w:szCs w:val="18"/>
              </w:rPr>
            </w:pPr>
            <w:r w:rsidRPr="003315E3">
              <w:rPr>
                <w:rFonts w:ascii="Arial" w:hAnsi="Arial" w:cs="Arial"/>
                <w:b/>
                <w:bCs/>
                <w:color w:val="000000"/>
                <w:sz w:val="18"/>
                <w:szCs w:val="18"/>
              </w:rPr>
              <w:t>Capital total em ações</w:t>
            </w:r>
          </w:p>
        </w:tc>
        <w:tc>
          <w:tcPr>
            <w:tcW w:w="943" w:type="pct"/>
            <w:vAlign w:val="center"/>
            <w:hideMark/>
          </w:tcPr>
          <w:p w14:paraId="2B9D337B"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 </w:t>
            </w:r>
          </w:p>
        </w:tc>
        <w:tc>
          <w:tcPr>
            <w:tcW w:w="868" w:type="pct"/>
            <w:vAlign w:val="center"/>
            <w:hideMark/>
          </w:tcPr>
          <w:p w14:paraId="48CCC4E2"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 </w:t>
            </w:r>
          </w:p>
        </w:tc>
      </w:tr>
      <w:tr w:rsidR="004A2AF4" w:rsidRPr="003315E3" w14:paraId="0402A91C" w14:textId="77777777" w:rsidTr="00006A6D">
        <w:trPr>
          <w:trHeight w:val="232"/>
        </w:trPr>
        <w:tc>
          <w:tcPr>
            <w:tcW w:w="3189" w:type="pct"/>
            <w:vAlign w:val="center"/>
            <w:hideMark/>
          </w:tcPr>
          <w:p w14:paraId="7BC4AE9B" w14:textId="77777777" w:rsidR="004A2AF4" w:rsidRPr="003315E3" w:rsidRDefault="004A2AF4">
            <w:pPr>
              <w:rPr>
                <w:rFonts w:ascii="Arial" w:hAnsi="Arial" w:cs="Arial"/>
                <w:color w:val="000000"/>
                <w:sz w:val="18"/>
                <w:szCs w:val="18"/>
              </w:rPr>
            </w:pPr>
            <w:r w:rsidRPr="003315E3">
              <w:rPr>
                <w:rFonts w:ascii="Arial" w:hAnsi="Arial" w:cs="Arial"/>
                <w:color w:val="000000"/>
                <w:sz w:val="18"/>
                <w:szCs w:val="18"/>
              </w:rPr>
              <w:t>Ordinárias</w:t>
            </w:r>
          </w:p>
        </w:tc>
        <w:tc>
          <w:tcPr>
            <w:tcW w:w="943" w:type="pct"/>
            <w:vAlign w:val="center"/>
            <w:hideMark/>
          </w:tcPr>
          <w:p w14:paraId="436B7C80"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83.575.912</w:t>
            </w:r>
          </w:p>
        </w:tc>
        <w:tc>
          <w:tcPr>
            <w:tcW w:w="868" w:type="pct"/>
            <w:vAlign w:val="center"/>
            <w:hideMark/>
          </w:tcPr>
          <w:p w14:paraId="0D940EA6"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83.575.912</w:t>
            </w:r>
          </w:p>
        </w:tc>
      </w:tr>
      <w:tr w:rsidR="004A2AF4" w:rsidRPr="003315E3" w14:paraId="1A28D0A9" w14:textId="77777777" w:rsidTr="00006A6D">
        <w:trPr>
          <w:trHeight w:val="232"/>
        </w:trPr>
        <w:tc>
          <w:tcPr>
            <w:tcW w:w="3189" w:type="pct"/>
            <w:vAlign w:val="center"/>
            <w:hideMark/>
          </w:tcPr>
          <w:p w14:paraId="751E507D" w14:textId="77777777" w:rsidR="004A2AF4" w:rsidRPr="003315E3" w:rsidRDefault="004A2AF4">
            <w:pPr>
              <w:rPr>
                <w:rFonts w:ascii="Arial" w:hAnsi="Arial" w:cs="Arial"/>
                <w:color w:val="000000"/>
                <w:sz w:val="18"/>
                <w:szCs w:val="18"/>
              </w:rPr>
            </w:pPr>
            <w:r w:rsidRPr="003315E3">
              <w:rPr>
                <w:rFonts w:ascii="Arial" w:hAnsi="Arial" w:cs="Arial"/>
                <w:color w:val="000000"/>
                <w:sz w:val="18"/>
                <w:szCs w:val="18"/>
              </w:rPr>
              <w:t>Preferenciais</w:t>
            </w:r>
          </w:p>
        </w:tc>
        <w:tc>
          <w:tcPr>
            <w:tcW w:w="943" w:type="pct"/>
            <w:vAlign w:val="center"/>
            <w:hideMark/>
          </w:tcPr>
          <w:p w14:paraId="2702C9E4"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18.407.491</w:t>
            </w:r>
          </w:p>
        </w:tc>
        <w:tc>
          <w:tcPr>
            <w:tcW w:w="868" w:type="pct"/>
            <w:vAlign w:val="center"/>
            <w:hideMark/>
          </w:tcPr>
          <w:p w14:paraId="3107FAAF"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18.407.491</w:t>
            </w:r>
          </w:p>
        </w:tc>
      </w:tr>
      <w:tr w:rsidR="004A2AF4" w:rsidRPr="003315E3" w14:paraId="163C371A" w14:textId="77777777" w:rsidTr="00006A6D">
        <w:trPr>
          <w:trHeight w:val="232"/>
        </w:trPr>
        <w:tc>
          <w:tcPr>
            <w:tcW w:w="3189" w:type="pct"/>
            <w:vAlign w:val="center"/>
            <w:hideMark/>
          </w:tcPr>
          <w:p w14:paraId="2AD9A901" w14:textId="77777777" w:rsidR="004A2AF4" w:rsidRPr="003315E3" w:rsidRDefault="004A2AF4">
            <w:pPr>
              <w:ind w:firstLineChars="100" w:firstLine="181"/>
              <w:rPr>
                <w:rFonts w:ascii="Arial" w:hAnsi="Arial" w:cs="Arial"/>
                <w:b/>
                <w:bCs/>
                <w:color w:val="000000"/>
                <w:sz w:val="18"/>
                <w:szCs w:val="18"/>
              </w:rPr>
            </w:pPr>
            <w:r w:rsidRPr="003315E3">
              <w:rPr>
                <w:rFonts w:ascii="Arial" w:hAnsi="Arial" w:cs="Arial"/>
                <w:b/>
                <w:bCs/>
                <w:color w:val="000000"/>
                <w:sz w:val="18"/>
                <w:szCs w:val="18"/>
              </w:rPr>
              <w:t>Total (A)</w:t>
            </w:r>
          </w:p>
        </w:tc>
        <w:tc>
          <w:tcPr>
            <w:tcW w:w="943" w:type="pct"/>
            <w:vAlign w:val="center"/>
            <w:hideMark/>
          </w:tcPr>
          <w:p w14:paraId="7B355B62"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101.983.403</w:t>
            </w:r>
          </w:p>
        </w:tc>
        <w:tc>
          <w:tcPr>
            <w:tcW w:w="868" w:type="pct"/>
            <w:vAlign w:val="center"/>
            <w:hideMark/>
          </w:tcPr>
          <w:p w14:paraId="48FFBE81"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101.983.403</w:t>
            </w:r>
          </w:p>
        </w:tc>
      </w:tr>
      <w:tr w:rsidR="004A2AF4" w:rsidRPr="003315E3" w14:paraId="254AAD76" w14:textId="77777777" w:rsidTr="00006A6D">
        <w:trPr>
          <w:trHeight w:val="232"/>
        </w:trPr>
        <w:tc>
          <w:tcPr>
            <w:tcW w:w="3189" w:type="pct"/>
            <w:vAlign w:val="center"/>
            <w:hideMark/>
          </w:tcPr>
          <w:p w14:paraId="1F1AAAED" w14:textId="77777777" w:rsidR="004A2AF4" w:rsidRPr="003315E3" w:rsidRDefault="004A2AF4">
            <w:pPr>
              <w:rPr>
                <w:rFonts w:ascii="Arial" w:hAnsi="Arial" w:cs="Arial"/>
                <w:b/>
                <w:bCs/>
                <w:color w:val="000000"/>
                <w:sz w:val="18"/>
                <w:szCs w:val="18"/>
              </w:rPr>
            </w:pPr>
            <w:r w:rsidRPr="003315E3">
              <w:rPr>
                <w:rFonts w:ascii="Arial" w:hAnsi="Arial" w:cs="Arial"/>
                <w:b/>
                <w:bCs/>
                <w:color w:val="000000"/>
                <w:sz w:val="18"/>
                <w:szCs w:val="18"/>
              </w:rPr>
              <w:t>Ações em tesouraria</w:t>
            </w:r>
          </w:p>
        </w:tc>
        <w:tc>
          <w:tcPr>
            <w:tcW w:w="943" w:type="pct"/>
            <w:vAlign w:val="center"/>
            <w:hideMark/>
          </w:tcPr>
          <w:p w14:paraId="5D1C0EB4"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 </w:t>
            </w:r>
          </w:p>
        </w:tc>
        <w:tc>
          <w:tcPr>
            <w:tcW w:w="868" w:type="pct"/>
            <w:vAlign w:val="center"/>
            <w:hideMark/>
          </w:tcPr>
          <w:p w14:paraId="186CE99B"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 </w:t>
            </w:r>
          </w:p>
        </w:tc>
      </w:tr>
      <w:tr w:rsidR="004A2AF4" w:rsidRPr="003315E3" w14:paraId="60908328" w14:textId="77777777" w:rsidTr="00006A6D">
        <w:trPr>
          <w:trHeight w:val="232"/>
        </w:trPr>
        <w:tc>
          <w:tcPr>
            <w:tcW w:w="3189" w:type="pct"/>
            <w:vAlign w:val="center"/>
            <w:hideMark/>
          </w:tcPr>
          <w:p w14:paraId="3CED4CA7" w14:textId="77777777" w:rsidR="004A2AF4" w:rsidRPr="003315E3" w:rsidRDefault="004A2AF4">
            <w:pPr>
              <w:ind w:firstLineChars="100" w:firstLine="180"/>
              <w:rPr>
                <w:rFonts w:ascii="Arial" w:hAnsi="Arial" w:cs="Arial"/>
                <w:color w:val="000000"/>
                <w:sz w:val="18"/>
                <w:szCs w:val="18"/>
              </w:rPr>
            </w:pPr>
            <w:r w:rsidRPr="003315E3">
              <w:rPr>
                <w:rFonts w:ascii="Arial" w:hAnsi="Arial" w:cs="Arial"/>
                <w:color w:val="000000"/>
                <w:sz w:val="18"/>
                <w:szCs w:val="18"/>
              </w:rPr>
              <w:t>Ordinárias</w:t>
            </w:r>
          </w:p>
        </w:tc>
        <w:tc>
          <w:tcPr>
            <w:tcW w:w="943" w:type="pct"/>
            <w:vAlign w:val="center"/>
            <w:hideMark/>
          </w:tcPr>
          <w:p w14:paraId="76A272C3"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193</w:t>
            </w:r>
          </w:p>
        </w:tc>
        <w:tc>
          <w:tcPr>
            <w:tcW w:w="868" w:type="pct"/>
            <w:vAlign w:val="center"/>
            <w:hideMark/>
          </w:tcPr>
          <w:p w14:paraId="5119A9B6"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193</w:t>
            </w:r>
          </w:p>
        </w:tc>
      </w:tr>
      <w:tr w:rsidR="004A2AF4" w:rsidRPr="003315E3" w14:paraId="0DDB3CDD" w14:textId="77777777" w:rsidTr="00006A6D">
        <w:trPr>
          <w:trHeight w:val="232"/>
        </w:trPr>
        <w:tc>
          <w:tcPr>
            <w:tcW w:w="3189" w:type="pct"/>
            <w:vAlign w:val="center"/>
            <w:hideMark/>
          </w:tcPr>
          <w:p w14:paraId="23047FC8" w14:textId="77777777" w:rsidR="004A2AF4" w:rsidRPr="003315E3" w:rsidRDefault="004A2AF4">
            <w:pPr>
              <w:ind w:firstLineChars="100" w:firstLine="181"/>
              <w:rPr>
                <w:rFonts w:ascii="Arial" w:hAnsi="Arial" w:cs="Arial"/>
                <w:b/>
                <w:bCs/>
                <w:color w:val="000000"/>
                <w:sz w:val="18"/>
                <w:szCs w:val="18"/>
              </w:rPr>
            </w:pPr>
            <w:r w:rsidRPr="003315E3">
              <w:rPr>
                <w:rFonts w:ascii="Arial" w:hAnsi="Arial" w:cs="Arial"/>
                <w:b/>
                <w:bCs/>
                <w:color w:val="000000"/>
                <w:sz w:val="18"/>
                <w:szCs w:val="18"/>
              </w:rPr>
              <w:t>Total (B)</w:t>
            </w:r>
          </w:p>
        </w:tc>
        <w:tc>
          <w:tcPr>
            <w:tcW w:w="943" w:type="pct"/>
            <w:vAlign w:val="center"/>
            <w:hideMark/>
          </w:tcPr>
          <w:p w14:paraId="7EA6E4DC"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193</w:t>
            </w:r>
          </w:p>
        </w:tc>
        <w:tc>
          <w:tcPr>
            <w:tcW w:w="868" w:type="pct"/>
            <w:vAlign w:val="center"/>
            <w:hideMark/>
          </w:tcPr>
          <w:p w14:paraId="63A6B784"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193</w:t>
            </w:r>
          </w:p>
        </w:tc>
      </w:tr>
      <w:tr w:rsidR="004A2AF4" w:rsidRPr="003315E3" w14:paraId="34948F5C" w14:textId="77777777" w:rsidTr="00006A6D">
        <w:trPr>
          <w:trHeight w:val="232"/>
        </w:trPr>
        <w:tc>
          <w:tcPr>
            <w:tcW w:w="3189" w:type="pct"/>
            <w:vAlign w:val="center"/>
            <w:hideMark/>
          </w:tcPr>
          <w:p w14:paraId="2EBAB211" w14:textId="77777777" w:rsidR="004A2AF4" w:rsidRPr="003315E3" w:rsidRDefault="004A2AF4">
            <w:pPr>
              <w:rPr>
                <w:rFonts w:ascii="Arial" w:hAnsi="Arial" w:cs="Arial"/>
                <w:b/>
                <w:bCs/>
                <w:color w:val="000000"/>
                <w:sz w:val="18"/>
                <w:szCs w:val="18"/>
              </w:rPr>
            </w:pPr>
            <w:r w:rsidRPr="003315E3">
              <w:rPr>
                <w:rFonts w:ascii="Arial" w:hAnsi="Arial" w:cs="Arial"/>
                <w:b/>
                <w:bCs/>
                <w:color w:val="000000"/>
                <w:sz w:val="18"/>
                <w:szCs w:val="18"/>
              </w:rPr>
              <w:t>Ações em circulação</w:t>
            </w:r>
          </w:p>
        </w:tc>
        <w:tc>
          <w:tcPr>
            <w:tcW w:w="943" w:type="pct"/>
            <w:vAlign w:val="center"/>
            <w:hideMark/>
          </w:tcPr>
          <w:p w14:paraId="4B4E1077"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 </w:t>
            </w:r>
          </w:p>
        </w:tc>
        <w:tc>
          <w:tcPr>
            <w:tcW w:w="868" w:type="pct"/>
            <w:vAlign w:val="center"/>
            <w:hideMark/>
          </w:tcPr>
          <w:p w14:paraId="0CDA7A5A"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 </w:t>
            </w:r>
          </w:p>
        </w:tc>
      </w:tr>
      <w:tr w:rsidR="004A2AF4" w:rsidRPr="003315E3" w14:paraId="58065990" w14:textId="77777777" w:rsidTr="00006A6D">
        <w:trPr>
          <w:trHeight w:val="232"/>
        </w:trPr>
        <w:tc>
          <w:tcPr>
            <w:tcW w:w="3189" w:type="pct"/>
            <w:vAlign w:val="center"/>
            <w:hideMark/>
          </w:tcPr>
          <w:p w14:paraId="424C8CE5" w14:textId="77777777" w:rsidR="004A2AF4" w:rsidRPr="003315E3" w:rsidRDefault="004A2AF4">
            <w:pPr>
              <w:ind w:firstLineChars="100" w:firstLine="180"/>
              <w:rPr>
                <w:rFonts w:ascii="Arial" w:hAnsi="Arial" w:cs="Arial"/>
                <w:color w:val="000000"/>
                <w:sz w:val="18"/>
                <w:szCs w:val="18"/>
              </w:rPr>
            </w:pPr>
            <w:r w:rsidRPr="003315E3">
              <w:rPr>
                <w:rFonts w:ascii="Arial" w:hAnsi="Arial" w:cs="Arial"/>
                <w:color w:val="000000"/>
                <w:sz w:val="18"/>
                <w:szCs w:val="18"/>
              </w:rPr>
              <w:t>Ordinárias</w:t>
            </w:r>
          </w:p>
        </w:tc>
        <w:tc>
          <w:tcPr>
            <w:tcW w:w="943" w:type="pct"/>
            <w:vAlign w:val="center"/>
            <w:hideMark/>
          </w:tcPr>
          <w:p w14:paraId="0DC60A2E"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83.575.719</w:t>
            </w:r>
          </w:p>
        </w:tc>
        <w:tc>
          <w:tcPr>
            <w:tcW w:w="868" w:type="pct"/>
            <w:vAlign w:val="center"/>
            <w:hideMark/>
          </w:tcPr>
          <w:p w14:paraId="01814A27"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83.575.719</w:t>
            </w:r>
          </w:p>
        </w:tc>
      </w:tr>
      <w:tr w:rsidR="004A2AF4" w:rsidRPr="003315E3" w14:paraId="0A8507CA" w14:textId="77777777" w:rsidTr="00006A6D">
        <w:trPr>
          <w:trHeight w:val="232"/>
        </w:trPr>
        <w:tc>
          <w:tcPr>
            <w:tcW w:w="3189" w:type="pct"/>
            <w:vAlign w:val="center"/>
            <w:hideMark/>
          </w:tcPr>
          <w:p w14:paraId="06A6C747" w14:textId="77777777" w:rsidR="004A2AF4" w:rsidRPr="003315E3" w:rsidRDefault="004A2AF4">
            <w:pPr>
              <w:ind w:firstLineChars="100" w:firstLine="180"/>
              <w:rPr>
                <w:rFonts w:ascii="Arial" w:hAnsi="Arial" w:cs="Arial"/>
                <w:color w:val="000000"/>
                <w:sz w:val="18"/>
                <w:szCs w:val="18"/>
              </w:rPr>
            </w:pPr>
            <w:r w:rsidRPr="003315E3">
              <w:rPr>
                <w:rFonts w:ascii="Arial" w:hAnsi="Arial" w:cs="Arial"/>
                <w:color w:val="000000"/>
                <w:sz w:val="18"/>
                <w:szCs w:val="18"/>
              </w:rPr>
              <w:t xml:space="preserve">Preferenciais </w:t>
            </w:r>
          </w:p>
        </w:tc>
        <w:tc>
          <w:tcPr>
            <w:tcW w:w="943" w:type="pct"/>
            <w:vAlign w:val="center"/>
            <w:hideMark/>
          </w:tcPr>
          <w:p w14:paraId="4737A531"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18.407.491</w:t>
            </w:r>
          </w:p>
        </w:tc>
        <w:tc>
          <w:tcPr>
            <w:tcW w:w="868" w:type="pct"/>
            <w:vAlign w:val="center"/>
            <w:hideMark/>
          </w:tcPr>
          <w:p w14:paraId="3CC91DB2" w14:textId="77777777" w:rsidR="004A2AF4" w:rsidRPr="003315E3" w:rsidRDefault="004A2AF4">
            <w:pPr>
              <w:jc w:val="right"/>
              <w:rPr>
                <w:rFonts w:ascii="Arial" w:hAnsi="Arial" w:cs="Arial"/>
                <w:color w:val="000000"/>
                <w:sz w:val="18"/>
                <w:szCs w:val="18"/>
              </w:rPr>
            </w:pPr>
            <w:r w:rsidRPr="003315E3">
              <w:rPr>
                <w:rFonts w:ascii="Arial" w:hAnsi="Arial" w:cs="Arial"/>
                <w:color w:val="000000"/>
                <w:sz w:val="18"/>
                <w:szCs w:val="18"/>
              </w:rPr>
              <w:t>18.407.491</w:t>
            </w:r>
          </w:p>
        </w:tc>
      </w:tr>
      <w:tr w:rsidR="004A2AF4" w:rsidRPr="003315E3" w14:paraId="5E1C3702" w14:textId="77777777" w:rsidTr="00006A6D">
        <w:trPr>
          <w:trHeight w:val="232"/>
        </w:trPr>
        <w:tc>
          <w:tcPr>
            <w:tcW w:w="3189" w:type="pct"/>
            <w:vAlign w:val="center"/>
            <w:hideMark/>
          </w:tcPr>
          <w:p w14:paraId="2C8886DB" w14:textId="77777777" w:rsidR="004A2AF4" w:rsidRPr="003315E3" w:rsidRDefault="004A2AF4">
            <w:pPr>
              <w:rPr>
                <w:rFonts w:ascii="Arial" w:hAnsi="Arial" w:cs="Arial"/>
                <w:b/>
                <w:bCs/>
                <w:color w:val="000000"/>
                <w:sz w:val="18"/>
                <w:szCs w:val="18"/>
              </w:rPr>
            </w:pPr>
            <w:r w:rsidRPr="003315E3">
              <w:rPr>
                <w:rFonts w:ascii="Arial" w:hAnsi="Arial" w:cs="Arial"/>
                <w:b/>
                <w:bCs/>
                <w:color w:val="000000"/>
                <w:sz w:val="18"/>
                <w:szCs w:val="18"/>
              </w:rPr>
              <w:t xml:space="preserve">    Total (A-B)</w:t>
            </w:r>
          </w:p>
        </w:tc>
        <w:tc>
          <w:tcPr>
            <w:tcW w:w="943" w:type="pct"/>
            <w:vAlign w:val="center"/>
            <w:hideMark/>
          </w:tcPr>
          <w:p w14:paraId="0CAA5B6D"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101.983.210</w:t>
            </w:r>
          </w:p>
        </w:tc>
        <w:tc>
          <w:tcPr>
            <w:tcW w:w="868" w:type="pct"/>
            <w:vAlign w:val="center"/>
            <w:hideMark/>
          </w:tcPr>
          <w:p w14:paraId="7E820C3B" w14:textId="77777777" w:rsidR="004A2AF4" w:rsidRPr="003315E3" w:rsidRDefault="004A2AF4">
            <w:pPr>
              <w:jc w:val="right"/>
              <w:rPr>
                <w:rFonts w:ascii="Arial" w:hAnsi="Arial" w:cs="Arial"/>
                <w:b/>
                <w:bCs/>
                <w:color w:val="000000"/>
                <w:sz w:val="18"/>
                <w:szCs w:val="18"/>
              </w:rPr>
            </w:pPr>
            <w:r w:rsidRPr="003315E3">
              <w:rPr>
                <w:rFonts w:ascii="Arial" w:hAnsi="Arial" w:cs="Arial"/>
                <w:b/>
                <w:bCs/>
                <w:color w:val="000000"/>
                <w:sz w:val="18"/>
                <w:szCs w:val="18"/>
              </w:rPr>
              <w:t>101.983.210</w:t>
            </w:r>
          </w:p>
        </w:tc>
      </w:tr>
      <w:tr w:rsidR="003315E3" w:rsidRPr="003315E3" w14:paraId="064CA71F" w14:textId="77777777" w:rsidTr="00006A6D">
        <w:trPr>
          <w:trHeight w:val="232"/>
        </w:trPr>
        <w:tc>
          <w:tcPr>
            <w:tcW w:w="3189" w:type="pct"/>
            <w:vAlign w:val="center"/>
            <w:hideMark/>
          </w:tcPr>
          <w:p w14:paraId="7B772010" w14:textId="77777777" w:rsidR="003315E3" w:rsidRPr="003315E3" w:rsidRDefault="003315E3" w:rsidP="003315E3">
            <w:pPr>
              <w:rPr>
                <w:rFonts w:ascii="Arial" w:hAnsi="Arial" w:cs="Arial"/>
                <w:b/>
                <w:bCs/>
                <w:color w:val="000000"/>
                <w:sz w:val="18"/>
                <w:szCs w:val="18"/>
              </w:rPr>
            </w:pPr>
            <w:r w:rsidRPr="003315E3">
              <w:rPr>
                <w:rFonts w:ascii="Arial" w:hAnsi="Arial" w:cs="Arial"/>
                <w:b/>
                <w:bCs/>
                <w:color w:val="000000"/>
                <w:sz w:val="18"/>
                <w:szCs w:val="18"/>
              </w:rPr>
              <w:t>Patrimônio Líquido (R$ mil)</w:t>
            </w:r>
          </w:p>
        </w:tc>
        <w:tc>
          <w:tcPr>
            <w:tcW w:w="943" w:type="pct"/>
            <w:noWrap/>
            <w:vAlign w:val="center"/>
            <w:hideMark/>
          </w:tcPr>
          <w:p w14:paraId="24160BF0" w14:textId="4F76CC49" w:rsidR="003315E3" w:rsidRPr="003315E3" w:rsidRDefault="003315E3" w:rsidP="003315E3">
            <w:pPr>
              <w:jc w:val="right"/>
              <w:rPr>
                <w:rFonts w:ascii="Arial" w:hAnsi="Arial" w:cs="Arial"/>
                <w:b/>
                <w:bCs/>
                <w:color w:val="000000"/>
                <w:sz w:val="18"/>
                <w:szCs w:val="18"/>
              </w:rPr>
            </w:pPr>
            <w:r w:rsidRPr="003315E3">
              <w:rPr>
                <w:rFonts w:ascii="Arial" w:hAnsi="Arial" w:cs="Arial"/>
                <w:b/>
                <w:bCs/>
                <w:color w:val="000000"/>
                <w:sz w:val="18"/>
                <w:szCs w:val="18"/>
              </w:rPr>
              <w:t>1.662.599</w:t>
            </w:r>
          </w:p>
        </w:tc>
        <w:tc>
          <w:tcPr>
            <w:tcW w:w="868" w:type="pct"/>
            <w:noWrap/>
            <w:vAlign w:val="center"/>
            <w:hideMark/>
          </w:tcPr>
          <w:p w14:paraId="7CD4AF0E" w14:textId="77777777" w:rsidR="003315E3" w:rsidRPr="003315E3" w:rsidRDefault="003315E3" w:rsidP="003315E3">
            <w:pPr>
              <w:jc w:val="right"/>
              <w:rPr>
                <w:rFonts w:ascii="Arial" w:hAnsi="Arial" w:cs="Arial"/>
                <w:b/>
                <w:bCs/>
                <w:color w:val="000000"/>
                <w:sz w:val="18"/>
                <w:szCs w:val="18"/>
              </w:rPr>
            </w:pPr>
            <w:r w:rsidRPr="003315E3">
              <w:rPr>
                <w:rFonts w:ascii="Arial" w:hAnsi="Arial" w:cs="Arial"/>
                <w:b/>
                <w:bCs/>
                <w:color w:val="000000"/>
                <w:sz w:val="18"/>
                <w:szCs w:val="18"/>
              </w:rPr>
              <w:t>1.752.089</w:t>
            </w:r>
          </w:p>
        </w:tc>
      </w:tr>
      <w:tr w:rsidR="003315E3" w14:paraId="79BD510E" w14:textId="77777777" w:rsidTr="00006A6D">
        <w:trPr>
          <w:trHeight w:val="232"/>
        </w:trPr>
        <w:tc>
          <w:tcPr>
            <w:tcW w:w="3189" w:type="pct"/>
            <w:vAlign w:val="center"/>
            <w:hideMark/>
          </w:tcPr>
          <w:p w14:paraId="45B40DA1" w14:textId="77777777" w:rsidR="003315E3" w:rsidRPr="003315E3" w:rsidRDefault="003315E3" w:rsidP="003315E3">
            <w:pPr>
              <w:rPr>
                <w:rFonts w:ascii="Arial" w:hAnsi="Arial" w:cs="Arial"/>
                <w:b/>
                <w:bCs/>
                <w:color w:val="000000"/>
                <w:sz w:val="18"/>
                <w:szCs w:val="18"/>
              </w:rPr>
            </w:pPr>
            <w:r w:rsidRPr="003315E3">
              <w:rPr>
                <w:rFonts w:ascii="Arial" w:hAnsi="Arial" w:cs="Arial"/>
                <w:b/>
                <w:bCs/>
                <w:color w:val="000000"/>
                <w:sz w:val="18"/>
                <w:szCs w:val="18"/>
              </w:rPr>
              <w:t>Valor Patrimonial por ação em circulação (R$ 1,00)</w:t>
            </w:r>
          </w:p>
        </w:tc>
        <w:tc>
          <w:tcPr>
            <w:tcW w:w="943" w:type="pct"/>
            <w:vAlign w:val="center"/>
            <w:hideMark/>
          </w:tcPr>
          <w:p w14:paraId="277BAA43" w14:textId="4A210C20" w:rsidR="003315E3" w:rsidRPr="003315E3" w:rsidRDefault="003315E3" w:rsidP="003315E3">
            <w:pPr>
              <w:jc w:val="right"/>
              <w:rPr>
                <w:rFonts w:ascii="Arial" w:hAnsi="Arial" w:cs="Arial"/>
                <w:b/>
                <w:bCs/>
                <w:color w:val="000000"/>
                <w:sz w:val="18"/>
                <w:szCs w:val="18"/>
              </w:rPr>
            </w:pPr>
            <w:r w:rsidRPr="003315E3">
              <w:rPr>
                <w:rFonts w:ascii="Arial" w:hAnsi="Arial" w:cs="Arial"/>
                <w:b/>
                <w:bCs/>
                <w:color w:val="000000"/>
                <w:sz w:val="18"/>
                <w:szCs w:val="18"/>
              </w:rPr>
              <w:t>16,3027</w:t>
            </w:r>
          </w:p>
        </w:tc>
        <w:tc>
          <w:tcPr>
            <w:tcW w:w="868" w:type="pct"/>
            <w:vAlign w:val="center"/>
            <w:hideMark/>
          </w:tcPr>
          <w:p w14:paraId="4E3F9ED6" w14:textId="77777777" w:rsidR="003315E3" w:rsidRDefault="003315E3" w:rsidP="003315E3">
            <w:pPr>
              <w:jc w:val="right"/>
              <w:rPr>
                <w:rFonts w:ascii="Arial" w:hAnsi="Arial" w:cs="Arial"/>
                <w:b/>
                <w:bCs/>
                <w:color w:val="000000"/>
                <w:sz w:val="18"/>
                <w:szCs w:val="18"/>
              </w:rPr>
            </w:pPr>
            <w:r w:rsidRPr="003315E3">
              <w:rPr>
                <w:rFonts w:ascii="Arial" w:hAnsi="Arial" w:cs="Arial"/>
                <w:b/>
                <w:bCs/>
                <w:color w:val="000000"/>
                <w:sz w:val="18"/>
                <w:szCs w:val="18"/>
              </w:rPr>
              <w:t>17,1802</w:t>
            </w:r>
          </w:p>
        </w:tc>
      </w:tr>
    </w:tbl>
    <w:p w14:paraId="25344162" w14:textId="77777777" w:rsidR="004A2AF4" w:rsidRDefault="004A2AF4" w:rsidP="00A018BE"/>
    <w:p w14:paraId="4F007795"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6" w:name="_Toc491337766"/>
      <w:bookmarkEnd w:id="55"/>
      <w:r w:rsidRPr="002A36CE">
        <w:rPr>
          <w:rFonts w:ascii="Arial" w:hAnsi="Arial" w:cs="Arial"/>
        </w:rPr>
        <w:t>Dividendos e juros sobre capital próprio</w:t>
      </w:r>
      <w:bookmarkEnd w:id="56"/>
    </w:p>
    <w:p w14:paraId="5FF86F69" w14:textId="77777777" w:rsidR="00215810" w:rsidRPr="00BB2034" w:rsidRDefault="00215810" w:rsidP="00597FE5">
      <w:pPr>
        <w:spacing w:line="276" w:lineRule="auto"/>
        <w:rPr>
          <w:sz w:val="12"/>
          <w:szCs w:val="12"/>
        </w:rPr>
      </w:pPr>
    </w:p>
    <w:p w14:paraId="58D6F8A4" w14:textId="6C0C090D" w:rsidR="00F97EC5" w:rsidRPr="002A36CE" w:rsidRDefault="00F97EC5" w:rsidP="00597FE5">
      <w:pPr>
        <w:pStyle w:val="Default"/>
        <w:spacing w:line="276" w:lineRule="auto"/>
        <w:jc w:val="both"/>
        <w:rPr>
          <w:sz w:val="22"/>
          <w:szCs w:val="22"/>
        </w:rPr>
      </w:pPr>
      <w:r w:rsidRPr="002A36CE">
        <w:rPr>
          <w:sz w:val="22"/>
          <w:szCs w:val="22"/>
        </w:rPr>
        <w:t xml:space="preserve">Os dividendos são calculados ao final do exercício social, de acordo com o estatuto da Companhia e em consonância com a Lei das Sociedades por Ações. Os dividendos mínimos obrigatórios são calculados de acordo com o </w:t>
      </w:r>
      <w:r w:rsidR="00A81449">
        <w:rPr>
          <w:sz w:val="22"/>
          <w:szCs w:val="22"/>
        </w:rPr>
        <w:t>A</w:t>
      </w:r>
      <w:r w:rsidRPr="002A36CE">
        <w:rPr>
          <w:sz w:val="22"/>
          <w:szCs w:val="22"/>
        </w:rPr>
        <w:t>rt</w:t>
      </w:r>
      <w:r w:rsidR="00622799">
        <w:rPr>
          <w:sz w:val="22"/>
          <w:szCs w:val="22"/>
        </w:rPr>
        <w:t>igo</w:t>
      </w:r>
      <w:r w:rsidRPr="002A36CE">
        <w:rPr>
          <w:sz w:val="22"/>
          <w:szCs w:val="22"/>
        </w:rPr>
        <w:t xml:space="preserve"> 202 da Lei nº 6.404/1976 e os preferenciais ou prioritários </w:t>
      </w:r>
      <w:r w:rsidR="00076D14" w:rsidRPr="002A36CE">
        <w:rPr>
          <w:sz w:val="22"/>
          <w:szCs w:val="22"/>
        </w:rPr>
        <w:t>em</w:t>
      </w:r>
      <w:r w:rsidRPr="002A36CE">
        <w:rPr>
          <w:sz w:val="22"/>
          <w:szCs w:val="22"/>
        </w:rPr>
        <w:t xml:space="preserve"> conformidade com o estabelecido no estatuto da Companhia. </w:t>
      </w:r>
    </w:p>
    <w:p w14:paraId="4A0DA230" w14:textId="77777777" w:rsidR="00F97EC5" w:rsidRPr="00BB2034" w:rsidRDefault="00F97EC5" w:rsidP="00597FE5">
      <w:pPr>
        <w:pStyle w:val="Default"/>
        <w:spacing w:line="276" w:lineRule="auto"/>
        <w:jc w:val="both"/>
        <w:rPr>
          <w:sz w:val="12"/>
          <w:szCs w:val="12"/>
        </w:rPr>
      </w:pPr>
    </w:p>
    <w:p w14:paraId="2906262B" w14:textId="3C72E559" w:rsidR="00502B8B" w:rsidRPr="002A36CE" w:rsidRDefault="00502B8B" w:rsidP="00597FE5">
      <w:pPr>
        <w:pStyle w:val="Default"/>
        <w:spacing w:line="276" w:lineRule="auto"/>
        <w:jc w:val="both"/>
        <w:rPr>
          <w:sz w:val="22"/>
          <w:szCs w:val="22"/>
        </w:rPr>
      </w:pPr>
      <w:r w:rsidRPr="002A36CE">
        <w:rPr>
          <w:sz w:val="22"/>
          <w:szCs w:val="22"/>
        </w:rPr>
        <w:t>As ações preferenciais não têm direito a voto, sendo a elas assegurada prioridade no reembolso de capital e no pagamento de dividendos mínimos, não cumulativos, de 6% (seis por cento) ao ano, sobre o valor resultante da divisão do capital subscrito pelo número total de ações da Telebras.</w:t>
      </w:r>
    </w:p>
    <w:p w14:paraId="1ED56837" w14:textId="77777777" w:rsidR="0085341B" w:rsidRPr="00BB2034" w:rsidRDefault="0085341B" w:rsidP="00597FE5">
      <w:pPr>
        <w:pStyle w:val="Default"/>
        <w:spacing w:line="276" w:lineRule="auto"/>
        <w:jc w:val="both"/>
        <w:rPr>
          <w:sz w:val="14"/>
          <w:szCs w:val="14"/>
        </w:rPr>
      </w:pPr>
    </w:p>
    <w:p w14:paraId="4655BC8D"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lastRenderedPageBreak/>
        <w:t>Os dividendos serão pagos prioritariamente às ações preferenciais até o limite da preferência, sendo, a seguir</w:t>
      </w:r>
      <w:r w:rsidR="00CA1E5E" w:rsidRPr="002A36CE">
        <w:rPr>
          <w:rFonts w:ascii="Arial" w:hAnsi="Arial" w:cs="Arial"/>
        </w:rPr>
        <w:t>,</w:t>
      </w:r>
      <w:r w:rsidRPr="002A36CE">
        <w:rPr>
          <w:rFonts w:ascii="Arial" w:hAnsi="Arial" w:cs="Arial"/>
        </w:rPr>
        <w:t xml:space="preserve"> pagos aos titulares de ações ordinárias até o mesmo limite das ações preferencias. O saldo</w:t>
      </w:r>
      <w:r w:rsidR="00CA1E5E" w:rsidRPr="002A36CE">
        <w:rPr>
          <w:rFonts w:ascii="Arial" w:hAnsi="Arial" w:cs="Arial"/>
        </w:rPr>
        <w:t>,</w:t>
      </w:r>
      <w:r w:rsidRPr="002A36CE">
        <w:rPr>
          <w:rFonts w:ascii="Arial" w:hAnsi="Arial" w:cs="Arial"/>
        </w:rPr>
        <w:t xml:space="preserve"> se houver, será rateado por todas as ações, em igualdade de condições.</w:t>
      </w:r>
    </w:p>
    <w:p w14:paraId="622F55BF" w14:textId="77777777" w:rsidR="00F97EC5" w:rsidRPr="00AD56E7" w:rsidRDefault="00F97EC5" w:rsidP="00F97EC5">
      <w:pPr>
        <w:pStyle w:val="Corpodetexto"/>
        <w:spacing w:before="0" w:after="0"/>
        <w:rPr>
          <w:rFonts w:ascii="Arial" w:hAnsi="Arial" w:cs="Arial"/>
          <w:sz w:val="12"/>
          <w:szCs w:val="12"/>
        </w:rPr>
      </w:pPr>
    </w:p>
    <w:p w14:paraId="4CF9749A" w14:textId="77777777" w:rsidR="00F97EC5" w:rsidRPr="002A36CE" w:rsidRDefault="00F97EC5" w:rsidP="00597FE5">
      <w:pPr>
        <w:pStyle w:val="Corpodetexto"/>
        <w:spacing w:before="0" w:after="0" w:line="276" w:lineRule="auto"/>
        <w:rPr>
          <w:rFonts w:ascii="Arial" w:hAnsi="Arial" w:cs="Arial"/>
        </w:rPr>
      </w:pPr>
      <w:r w:rsidRPr="002A36CE">
        <w:rPr>
          <w:rFonts w:ascii="Arial" w:hAnsi="Arial" w:cs="Arial"/>
        </w:rPr>
        <w:t>Os valores dos dividendos e dos juros, a título de remuneração sobre o capital próprio, devidos ao Tesouro Nacional e aos demais acionistas, sofrerão incidência de encargos financeiros equivalentes à Taxa Selic, a partir do encerramento do exercício social até o dia do efetivo recolhimento ou pagamento, sem prejuízo da incidência de juros moratórios quando esse recolhimento não se verificar na data fixada pela Assembleia Geral.</w:t>
      </w:r>
    </w:p>
    <w:p w14:paraId="18FB0739" w14:textId="77777777" w:rsidR="00F97EC5" w:rsidRPr="00BB2034" w:rsidRDefault="00F97EC5" w:rsidP="00597FE5">
      <w:pPr>
        <w:spacing w:line="276" w:lineRule="auto"/>
        <w:jc w:val="both"/>
        <w:rPr>
          <w:rFonts w:ascii="Arial" w:hAnsi="Arial" w:cs="Arial"/>
          <w:sz w:val="14"/>
          <w:szCs w:val="14"/>
        </w:rPr>
      </w:pPr>
    </w:p>
    <w:p w14:paraId="3C9C6FF0" w14:textId="6FA8B890" w:rsidR="00F97EC5" w:rsidRPr="002A36CE" w:rsidRDefault="00F97EC5" w:rsidP="00597FE5">
      <w:pPr>
        <w:spacing w:line="276" w:lineRule="auto"/>
        <w:jc w:val="both"/>
        <w:rPr>
          <w:rFonts w:ascii="Arial" w:hAnsi="Arial" w:cs="Arial"/>
          <w:sz w:val="22"/>
          <w:szCs w:val="22"/>
        </w:rPr>
      </w:pPr>
      <w:r w:rsidRPr="002A36CE">
        <w:rPr>
          <w:rFonts w:ascii="Arial" w:hAnsi="Arial" w:cs="Arial"/>
          <w:sz w:val="22"/>
          <w:szCs w:val="22"/>
        </w:rPr>
        <w:t>Por deliberação dos órgãos da Administração</w:t>
      </w:r>
      <w:r w:rsidR="00CA1E5E" w:rsidRPr="002A36CE">
        <w:rPr>
          <w:rFonts w:ascii="Arial" w:hAnsi="Arial" w:cs="Arial"/>
          <w:sz w:val="22"/>
          <w:szCs w:val="22"/>
        </w:rPr>
        <w:t>,</w:t>
      </w:r>
      <w:r w:rsidRPr="002A36CE">
        <w:rPr>
          <w:rFonts w:ascii="Arial" w:hAnsi="Arial" w:cs="Arial"/>
          <w:sz w:val="22"/>
          <w:szCs w:val="22"/>
        </w:rPr>
        <w:t xml:space="preserve"> a Companhia poderá pagar ou creditar, a título de dividendos, juros sobre o capital próprio nos termos do art</w:t>
      </w:r>
      <w:r w:rsidR="00622799">
        <w:rPr>
          <w:rFonts w:ascii="Arial" w:hAnsi="Arial" w:cs="Arial"/>
          <w:sz w:val="22"/>
          <w:szCs w:val="22"/>
        </w:rPr>
        <w:t>igo</w:t>
      </w:r>
      <w:r w:rsidRPr="002A36CE">
        <w:rPr>
          <w:rFonts w:ascii="Arial" w:hAnsi="Arial" w:cs="Arial"/>
          <w:sz w:val="22"/>
          <w:szCs w:val="22"/>
        </w:rPr>
        <w:t xml:space="preserve"> 9º, parágrafo 7º, da Lei nº 9.249/1995. Os juros pagos ou creditados serão compensados com o valor do dividendo anual mínimo obrigatório, de acordo com o art</w:t>
      </w:r>
      <w:r w:rsidR="00622799">
        <w:rPr>
          <w:rFonts w:ascii="Arial" w:hAnsi="Arial" w:cs="Arial"/>
          <w:sz w:val="22"/>
          <w:szCs w:val="22"/>
        </w:rPr>
        <w:t>igo</w:t>
      </w:r>
      <w:r w:rsidRPr="002A36CE">
        <w:rPr>
          <w:rFonts w:ascii="Arial" w:hAnsi="Arial" w:cs="Arial"/>
          <w:sz w:val="22"/>
          <w:szCs w:val="22"/>
        </w:rPr>
        <w:t xml:space="preserve"> </w:t>
      </w:r>
      <w:r w:rsidR="002F1A99" w:rsidRPr="002A36CE">
        <w:rPr>
          <w:rFonts w:ascii="Arial" w:hAnsi="Arial" w:cs="Arial"/>
          <w:sz w:val="22"/>
          <w:szCs w:val="22"/>
        </w:rPr>
        <w:t>88</w:t>
      </w:r>
      <w:r w:rsidR="008C4403">
        <w:rPr>
          <w:rFonts w:ascii="Arial" w:hAnsi="Arial" w:cs="Arial"/>
          <w:sz w:val="22"/>
          <w:szCs w:val="22"/>
        </w:rPr>
        <w:t>,</w:t>
      </w:r>
      <w:r w:rsidRPr="002A36CE">
        <w:rPr>
          <w:rFonts w:ascii="Arial" w:hAnsi="Arial" w:cs="Arial"/>
          <w:sz w:val="22"/>
          <w:szCs w:val="22"/>
        </w:rPr>
        <w:t xml:space="preserve"> §</w:t>
      </w:r>
      <w:r w:rsidR="002F1A99" w:rsidRPr="002A36CE">
        <w:rPr>
          <w:rFonts w:ascii="Arial" w:hAnsi="Arial" w:cs="Arial"/>
          <w:sz w:val="22"/>
          <w:szCs w:val="22"/>
        </w:rPr>
        <w:t>1</w:t>
      </w:r>
      <w:r w:rsidRPr="002A36CE">
        <w:rPr>
          <w:rFonts w:ascii="Arial" w:hAnsi="Arial" w:cs="Arial"/>
          <w:sz w:val="22"/>
          <w:szCs w:val="22"/>
        </w:rPr>
        <w:t>º do estatuto social.</w:t>
      </w:r>
    </w:p>
    <w:p w14:paraId="587F13C4" w14:textId="77777777" w:rsidR="007B5FEA" w:rsidRPr="00BB2034" w:rsidRDefault="007B5FEA" w:rsidP="00597FE5">
      <w:pPr>
        <w:spacing w:line="276" w:lineRule="auto"/>
        <w:jc w:val="both"/>
        <w:rPr>
          <w:rFonts w:ascii="Arial" w:hAnsi="Arial" w:cs="Arial"/>
          <w:sz w:val="14"/>
          <w:szCs w:val="14"/>
        </w:rPr>
      </w:pPr>
    </w:p>
    <w:p w14:paraId="1E262E48" w14:textId="749C2B1D" w:rsidR="00831984" w:rsidRDefault="00831984" w:rsidP="00597FE5">
      <w:pPr>
        <w:spacing w:line="276" w:lineRule="auto"/>
        <w:jc w:val="both"/>
        <w:rPr>
          <w:rFonts w:ascii="Arial" w:hAnsi="Arial" w:cs="Arial"/>
          <w:sz w:val="22"/>
          <w:szCs w:val="22"/>
        </w:rPr>
      </w:pPr>
      <w:r w:rsidRPr="002A36CE">
        <w:rPr>
          <w:rFonts w:ascii="Arial" w:hAnsi="Arial" w:cs="Arial"/>
          <w:sz w:val="22"/>
          <w:szCs w:val="22"/>
        </w:rPr>
        <w:t xml:space="preserve">Em decorrência de não haver reservas no patrimônio líquido da </w:t>
      </w:r>
      <w:r w:rsidR="005E3529" w:rsidRPr="002A36CE">
        <w:rPr>
          <w:rFonts w:ascii="Arial" w:hAnsi="Arial" w:cs="Arial"/>
          <w:sz w:val="22"/>
          <w:szCs w:val="22"/>
        </w:rPr>
        <w:t>Companhia</w:t>
      </w:r>
      <w:r w:rsidR="00F07353" w:rsidRPr="002A36CE">
        <w:rPr>
          <w:rFonts w:ascii="Arial" w:hAnsi="Arial" w:cs="Arial"/>
          <w:sz w:val="22"/>
          <w:szCs w:val="22"/>
        </w:rPr>
        <w:t xml:space="preserve"> – </w:t>
      </w:r>
      <w:r w:rsidRPr="002A36CE">
        <w:rPr>
          <w:rFonts w:ascii="Arial" w:hAnsi="Arial" w:cs="Arial"/>
          <w:sz w:val="22"/>
          <w:szCs w:val="22"/>
        </w:rPr>
        <w:t xml:space="preserve">e </w:t>
      </w:r>
      <w:r w:rsidR="00965E8B" w:rsidRPr="002A36CE">
        <w:rPr>
          <w:rFonts w:ascii="Arial" w:hAnsi="Arial" w:cs="Arial"/>
          <w:sz w:val="22"/>
          <w:szCs w:val="22"/>
        </w:rPr>
        <w:t>d</w:t>
      </w:r>
      <w:r w:rsidRPr="002A36CE">
        <w:rPr>
          <w:rFonts w:ascii="Arial" w:hAnsi="Arial" w:cs="Arial"/>
          <w:sz w:val="22"/>
          <w:szCs w:val="22"/>
        </w:rPr>
        <w:t xml:space="preserve">a </w:t>
      </w:r>
      <w:r w:rsidR="00A90701" w:rsidRPr="002A36CE">
        <w:rPr>
          <w:rFonts w:ascii="Arial" w:hAnsi="Arial" w:cs="Arial"/>
          <w:sz w:val="22"/>
          <w:szCs w:val="22"/>
        </w:rPr>
        <w:t xml:space="preserve">existência de </w:t>
      </w:r>
      <w:r w:rsidR="006C46E3" w:rsidRPr="002A36CE">
        <w:rPr>
          <w:rFonts w:ascii="Arial" w:hAnsi="Arial" w:cs="Arial"/>
          <w:sz w:val="22"/>
          <w:szCs w:val="22"/>
        </w:rPr>
        <w:t>prejuízos acumulados</w:t>
      </w:r>
      <w:r w:rsidR="008C4403">
        <w:rPr>
          <w:rFonts w:ascii="Arial" w:hAnsi="Arial" w:cs="Arial"/>
          <w:sz w:val="22"/>
          <w:szCs w:val="22"/>
        </w:rPr>
        <w:t>,</w:t>
      </w:r>
      <w:r w:rsidRPr="002A36CE">
        <w:rPr>
          <w:rFonts w:ascii="Arial" w:hAnsi="Arial" w:cs="Arial"/>
          <w:sz w:val="22"/>
          <w:szCs w:val="22"/>
        </w:rPr>
        <w:t xml:space="preserve"> não foram efetuados o </w:t>
      </w:r>
      <w:r w:rsidRPr="0046022F">
        <w:rPr>
          <w:rFonts w:ascii="Arial" w:hAnsi="Arial" w:cs="Arial"/>
          <w:sz w:val="22"/>
          <w:szCs w:val="22"/>
        </w:rPr>
        <w:t>cálculo</w:t>
      </w:r>
      <w:r w:rsidR="00EF0E24" w:rsidRPr="0046022F">
        <w:rPr>
          <w:rFonts w:ascii="Arial" w:hAnsi="Arial" w:cs="Arial"/>
          <w:sz w:val="22"/>
          <w:szCs w:val="22"/>
        </w:rPr>
        <w:t>,</w:t>
      </w:r>
      <w:r w:rsidRPr="0046022F">
        <w:rPr>
          <w:rFonts w:ascii="Arial" w:hAnsi="Arial" w:cs="Arial"/>
          <w:sz w:val="22"/>
          <w:szCs w:val="22"/>
        </w:rPr>
        <w:t xml:space="preserve"> </w:t>
      </w:r>
      <w:r w:rsidR="00EF0E24" w:rsidRPr="0046022F">
        <w:rPr>
          <w:rFonts w:ascii="Arial" w:hAnsi="Arial" w:cs="Arial"/>
          <w:sz w:val="22"/>
          <w:szCs w:val="22"/>
        </w:rPr>
        <w:t xml:space="preserve">a </w:t>
      </w:r>
      <w:r w:rsidRPr="0046022F">
        <w:rPr>
          <w:rFonts w:ascii="Arial" w:hAnsi="Arial" w:cs="Arial"/>
          <w:sz w:val="22"/>
          <w:szCs w:val="22"/>
        </w:rPr>
        <w:t xml:space="preserve">distribuição </w:t>
      </w:r>
      <w:r w:rsidRPr="002A36CE">
        <w:rPr>
          <w:rFonts w:ascii="Arial" w:hAnsi="Arial" w:cs="Arial"/>
          <w:sz w:val="22"/>
          <w:szCs w:val="22"/>
        </w:rPr>
        <w:t>de dividendos e a constituição de reservas.</w:t>
      </w:r>
    </w:p>
    <w:p w14:paraId="0DBA7CDA" w14:textId="77777777" w:rsidR="006D3DBC" w:rsidRPr="002A36CE" w:rsidRDefault="006D3DBC" w:rsidP="00597FE5">
      <w:pPr>
        <w:spacing w:line="276" w:lineRule="auto"/>
        <w:jc w:val="both"/>
        <w:rPr>
          <w:rFonts w:ascii="Arial" w:hAnsi="Arial" w:cs="Arial"/>
          <w:sz w:val="22"/>
          <w:szCs w:val="22"/>
        </w:rPr>
      </w:pPr>
    </w:p>
    <w:p w14:paraId="1EE36BBD"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7" w:name="_Toc491337767"/>
      <w:r w:rsidRPr="002A36CE">
        <w:rPr>
          <w:rFonts w:ascii="Arial" w:hAnsi="Arial" w:cs="Arial"/>
        </w:rPr>
        <w:t>Ajuste de avaliação patrimonial</w:t>
      </w:r>
      <w:bookmarkEnd w:id="57"/>
    </w:p>
    <w:p w14:paraId="15A8FA58" w14:textId="77777777" w:rsidR="00215810" w:rsidRPr="002C6143" w:rsidRDefault="00215810" w:rsidP="00597FE5">
      <w:pPr>
        <w:spacing w:line="276" w:lineRule="auto"/>
        <w:rPr>
          <w:sz w:val="16"/>
          <w:szCs w:val="16"/>
        </w:rPr>
      </w:pPr>
    </w:p>
    <w:p w14:paraId="0E98BCCA" w14:textId="639A42BD" w:rsidR="001E0CC1" w:rsidRDefault="001E0CC1" w:rsidP="00597FE5">
      <w:pPr>
        <w:pStyle w:val="Default"/>
        <w:spacing w:line="276" w:lineRule="auto"/>
        <w:jc w:val="both"/>
        <w:rPr>
          <w:sz w:val="22"/>
          <w:szCs w:val="22"/>
        </w:rPr>
      </w:pPr>
      <w:r w:rsidRPr="002A36CE">
        <w:rPr>
          <w:sz w:val="22"/>
          <w:szCs w:val="22"/>
        </w:rPr>
        <w:t>Nes</w:t>
      </w:r>
      <w:r w:rsidR="00B8591E">
        <w:rPr>
          <w:sz w:val="22"/>
          <w:szCs w:val="22"/>
        </w:rPr>
        <w:t>t</w:t>
      </w:r>
      <w:r w:rsidRPr="002A36CE">
        <w:rPr>
          <w:sz w:val="22"/>
          <w:szCs w:val="22"/>
        </w:rPr>
        <w:t>a rubrica são reconhecidos os ajustes de avaliação patrimonial</w:t>
      </w:r>
      <w:r w:rsidR="00A06396" w:rsidRPr="002A36CE">
        <w:rPr>
          <w:sz w:val="22"/>
          <w:szCs w:val="22"/>
        </w:rPr>
        <w:t>,</w:t>
      </w:r>
      <w:r w:rsidRPr="002A36CE">
        <w:rPr>
          <w:sz w:val="22"/>
          <w:szCs w:val="22"/>
        </w:rPr>
        <w:t xml:space="preserve"> que incluem ganhos e perdas de instrumentos financeiros </w:t>
      </w:r>
      <w:r w:rsidR="007D0638" w:rsidRPr="002A36CE">
        <w:rPr>
          <w:sz w:val="22"/>
          <w:szCs w:val="22"/>
        </w:rPr>
        <w:t>avaliados a valor justo por meio de outros resultados abrangentes</w:t>
      </w:r>
      <w:r w:rsidR="00E927BF" w:rsidRPr="002A36CE">
        <w:rPr>
          <w:sz w:val="22"/>
          <w:szCs w:val="22"/>
        </w:rPr>
        <w:t xml:space="preserve">, </w:t>
      </w:r>
      <w:r w:rsidR="00C21559" w:rsidRPr="002A36CE">
        <w:rPr>
          <w:sz w:val="22"/>
          <w:szCs w:val="22"/>
        </w:rPr>
        <w:t>representados por investimentos em ações de empresas de telecomunicações e no Fundo de Investimento da Amazônia – Finam</w:t>
      </w:r>
      <w:r w:rsidR="00B63E65">
        <w:rPr>
          <w:sz w:val="22"/>
          <w:szCs w:val="22"/>
        </w:rPr>
        <w:t>, bem como</w:t>
      </w:r>
      <w:r w:rsidR="00002D7B" w:rsidRPr="002A36CE">
        <w:rPr>
          <w:sz w:val="22"/>
          <w:szCs w:val="22"/>
        </w:rPr>
        <w:t xml:space="preserve"> por </w:t>
      </w:r>
      <w:r w:rsidRPr="002A36CE">
        <w:rPr>
          <w:sz w:val="22"/>
          <w:szCs w:val="22"/>
        </w:rPr>
        <w:t xml:space="preserve">variações cambiais decorrentes de investimento líquido em coligadas no exterior, </w:t>
      </w:r>
      <w:r w:rsidR="00C21559" w:rsidRPr="002A36CE">
        <w:rPr>
          <w:sz w:val="22"/>
          <w:szCs w:val="22"/>
        </w:rPr>
        <w:t>cuja origem é o reconhecimento de forma reflexa das variações cambiais registrad</w:t>
      </w:r>
      <w:r w:rsidR="00E927BF" w:rsidRPr="002A36CE">
        <w:rPr>
          <w:sz w:val="22"/>
          <w:szCs w:val="22"/>
        </w:rPr>
        <w:t>a</w:t>
      </w:r>
      <w:r w:rsidR="006E08A9">
        <w:rPr>
          <w:sz w:val="22"/>
          <w:szCs w:val="22"/>
        </w:rPr>
        <w:t>s</w:t>
      </w:r>
      <w:r w:rsidR="00C21559" w:rsidRPr="002A36CE">
        <w:rPr>
          <w:sz w:val="22"/>
          <w:szCs w:val="22"/>
        </w:rPr>
        <w:t xml:space="preserve"> na </w:t>
      </w:r>
      <w:r w:rsidR="00C21559" w:rsidRPr="00EC70EB">
        <w:rPr>
          <w:sz w:val="22"/>
          <w:szCs w:val="22"/>
        </w:rPr>
        <w:t>coligada Visiona</w:t>
      </w:r>
      <w:r w:rsidR="00002D7B" w:rsidRPr="00EC70EB">
        <w:rPr>
          <w:sz w:val="22"/>
          <w:szCs w:val="22"/>
        </w:rPr>
        <w:t>,</w:t>
      </w:r>
      <w:r w:rsidR="00C21559" w:rsidRPr="00EC70EB">
        <w:rPr>
          <w:sz w:val="22"/>
          <w:szCs w:val="22"/>
        </w:rPr>
        <w:t xml:space="preserve"> </w:t>
      </w:r>
      <w:r w:rsidR="00002D7B" w:rsidRPr="00EC70EB">
        <w:rPr>
          <w:sz w:val="22"/>
          <w:szCs w:val="22"/>
        </w:rPr>
        <w:t>na</w:t>
      </w:r>
      <w:r w:rsidR="00002D7B" w:rsidRPr="002A36CE">
        <w:rPr>
          <w:sz w:val="22"/>
          <w:szCs w:val="22"/>
        </w:rPr>
        <w:t xml:space="preserve"> qual a</w:t>
      </w:r>
      <w:r w:rsidR="001E6F2F" w:rsidRPr="002A36CE">
        <w:rPr>
          <w:sz w:val="22"/>
          <w:szCs w:val="22"/>
        </w:rPr>
        <w:t xml:space="preserve"> participação societária </w:t>
      </w:r>
      <w:r w:rsidR="00A9166E" w:rsidRPr="002A36CE">
        <w:rPr>
          <w:sz w:val="22"/>
          <w:szCs w:val="22"/>
        </w:rPr>
        <w:t xml:space="preserve">da Telebras é </w:t>
      </w:r>
      <w:r w:rsidR="001E6F2F" w:rsidRPr="002A36CE">
        <w:rPr>
          <w:sz w:val="22"/>
          <w:szCs w:val="22"/>
        </w:rPr>
        <w:t xml:space="preserve">de </w:t>
      </w:r>
      <w:r w:rsidR="00A9166E" w:rsidRPr="00851774">
        <w:rPr>
          <w:sz w:val="22"/>
          <w:szCs w:val="22"/>
        </w:rPr>
        <w:t>49</w:t>
      </w:r>
      <w:r w:rsidR="001E6F2F" w:rsidRPr="00851774">
        <w:rPr>
          <w:sz w:val="22"/>
          <w:szCs w:val="22"/>
        </w:rPr>
        <w:t>%.</w:t>
      </w:r>
      <w:r w:rsidR="00AE47A0" w:rsidRPr="00851774">
        <w:rPr>
          <w:sz w:val="22"/>
          <w:szCs w:val="22"/>
        </w:rPr>
        <w:t xml:space="preserve"> </w:t>
      </w:r>
    </w:p>
    <w:p w14:paraId="1C514FD6" w14:textId="77777777" w:rsidR="00851774" w:rsidRPr="00A4143B" w:rsidRDefault="00851774" w:rsidP="00597FE5">
      <w:pPr>
        <w:pStyle w:val="Default"/>
        <w:spacing w:line="276" w:lineRule="auto"/>
        <w:jc w:val="both"/>
        <w:rPr>
          <w:color w:val="FF0000"/>
          <w:sz w:val="14"/>
          <w:szCs w:val="14"/>
        </w:rPr>
      </w:pPr>
    </w:p>
    <w:p w14:paraId="5AB2B6AA" w14:textId="477BD098" w:rsidR="000D06DC" w:rsidRDefault="00865822" w:rsidP="00597FE5">
      <w:pPr>
        <w:spacing w:line="276" w:lineRule="auto"/>
        <w:jc w:val="both"/>
        <w:rPr>
          <w:rFonts w:ascii="Arial" w:hAnsi="Arial" w:cs="Arial"/>
          <w:sz w:val="22"/>
          <w:szCs w:val="22"/>
        </w:rPr>
      </w:pPr>
      <w:r w:rsidRPr="002A36CE">
        <w:rPr>
          <w:rFonts w:ascii="Arial" w:hAnsi="Arial" w:cs="Arial"/>
          <w:sz w:val="22"/>
          <w:szCs w:val="22"/>
        </w:rPr>
        <w:t xml:space="preserve">As movimentações dos ajustes de avaliação patrimonial </w:t>
      </w:r>
      <w:r w:rsidR="00695BCA" w:rsidRPr="002A36CE">
        <w:rPr>
          <w:rFonts w:ascii="Arial" w:hAnsi="Arial" w:cs="Arial"/>
          <w:sz w:val="22"/>
          <w:szCs w:val="22"/>
        </w:rPr>
        <w:t xml:space="preserve">no </w:t>
      </w:r>
      <w:r w:rsidR="006B6557">
        <w:rPr>
          <w:rFonts w:ascii="Arial" w:hAnsi="Arial" w:cs="Arial"/>
          <w:sz w:val="22"/>
          <w:szCs w:val="22"/>
        </w:rPr>
        <w:t>Exercício</w:t>
      </w:r>
      <w:r w:rsidR="0017732F">
        <w:rPr>
          <w:rFonts w:ascii="Arial" w:hAnsi="Arial" w:cs="Arial"/>
          <w:sz w:val="22"/>
          <w:szCs w:val="22"/>
        </w:rPr>
        <w:t xml:space="preserve"> de 2025</w:t>
      </w:r>
      <w:r w:rsidR="00B66F65">
        <w:rPr>
          <w:rFonts w:ascii="Arial" w:hAnsi="Arial" w:cs="Arial"/>
          <w:sz w:val="22"/>
          <w:szCs w:val="22"/>
        </w:rPr>
        <w:t xml:space="preserve"> </w:t>
      </w:r>
      <w:r w:rsidRPr="002A36CE">
        <w:rPr>
          <w:rFonts w:ascii="Arial" w:hAnsi="Arial" w:cs="Arial"/>
          <w:sz w:val="22"/>
          <w:szCs w:val="22"/>
        </w:rPr>
        <w:t>estão demonstradas no quadro abaixo:</w:t>
      </w:r>
    </w:p>
    <w:p w14:paraId="5CDCC271" w14:textId="77777777" w:rsidR="00AA3F2A" w:rsidRDefault="00AA3F2A" w:rsidP="00597FE5">
      <w:pPr>
        <w:spacing w:line="276" w:lineRule="auto"/>
        <w:jc w:val="both"/>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9"/>
        <w:gridCol w:w="1413"/>
        <w:gridCol w:w="1878"/>
        <w:gridCol w:w="1401"/>
      </w:tblGrid>
      <w:tr w:rsidR="003C09AF" w:rsidRPr="0071441C" w14:paraId="4DE16B4E" w14:textId="77777777" w:rsidTr="003C09AF">
        <w:trPr>
          <w:trHeight w:val="517"/>
        </w:trPr>
        <w:tc>
          <w:tcPr>
            <w:tcW w:w="2599" w:type="pct"/>
            <w:vMerge w:val="restart"/>
            <w:shd w:val="clear" w:color="000000" w:fill="BFBFBF"/>
            <w:noWrap/>
            <w:vAlign w:val="center"/>
            <w:hideMark/>
          </w:tcPr>
          <w:p w14:paraId="137955F1" w14:textId="77777777" w:rsidR="003C09AF" w:rsidRPr="0071441C" w:rsidRDefault="003C09AF">
            <w:pPr>
              <w:rPr>
                <w:rFonts w:ascii="Arial" w:hAnsi="Arial" w:cs="Arial"/>
                <w:b/>
                <w:bCs/>
                <w:color w:val="000000"/>
                <w:sz w:val="18"/>
                <w:szCs w:val="18"/>
              </w:rPr>
            </w:pPr>
            <w:r w:rsidRPr="0071441C">
              <w:rPr>
                <w:rFonts w:ascii="Arial" w:hAnsi="Arial" w:cs="Arial"/>
                <w:b/>
                <w:bCs/>
                <w:color w:val="000000"/>
                <w:sz w:val="18"/>
                <w:szCs w:val="18"/>
              </w:rPr>
              <w:t>Movimentação:</w:t>
            </w:r>
          </w:p>
        </w:tc>
        <w:tc>
          <w:tcPr>
            <w:tcW w:w="723" w:type="pct"/>
            <w:vMerge w:val="restart"/>
            <w:vAlign w:val="center"/>
            <w:hideMark/>
          </w:tcPr>
          <w:p w14:paraId="30E2B121" w14:textId="77777777" w:rsidR="003C09AF" w:rsidRPr="0071441C" w:rsidRDefault="003C09AF">
            <w:pPr>
              <w:jc w:val="center"/>
              <w:rPr>
                <w:rFonts w:ascii="Arial" w:hAnsi="Arial" w:cs="Arial"/>
                <w:b/>
                <w:bCs/>
                <w:color w:val="000000"/>
                <w:sz w:val="18"/>
                <w:szCs w:val="18"/>
              </w:rPr>
            </w:pPr>
            <w:r w:rsidRPr="0071441C">
              <w:rPr>
                <w:rFonts w:ascii="Arial" w:hAnsi="Arial" w:cs="Arial"/>
                <w:b/>
                <w:bCs/>
                <w:color w:val="000000"/>
                <w:sz w:val="18"/>
                <w:szCs w:val="18"/>
              </w:rPr>
              <w:t>Instrumentos Financeiros Avaliados VJORA</w:t>
            </w:r>
            <w:r w:rsidRPr="0071441C">
              <w:rPr>
                <w:rFonts w:ascii="Arial" w:hAnsi="Arial" w:cs="Arial"/>
                <w:b/>
                <w:bCs/>
                <w:color w:val="000000"/>
                <w:sz w:val="18"/>
                <w:szCs w:val="18"/>
                <w:vertAlign w:val="superscript"/>
              </w:rPr>
              <w:t>(i)</w:t>
            </w:r>
          </w:p>
        </w:tc>
        <w:tc>
          <w:tcPr>
            <w:tcW w:w="961" w:type="pct"/>
            <w:vMerge w:val="restart"/>
            <w:vAlign w:val="center"/>
            <w:hideMark/>
          </w:tcPr>
          <w:p w14:paraId="03B209C5" w14:textId="77777777" w:rsidR="003C09AF" w:rsidRPr="0071441C" w:rsidRDefault="003C09AF">
            <w:pPr>
              <w:jc w:val="center"/>
              <w:rPr>
                <w:rFonts w:ascii="Arial" w:hAnsi="Arial" w:cs="Arial"/>
                <w:b/>
                <w:bCs/>
                <w:color w:val="000000"/>
                <w:sz w:val="18"/>
                <w:szCs w:val="18"/>
              </w:rPr>
            </w:pPr>
            <w:r w:rsidRPr="0071441C">
              <w:rPr>
                <w:rFonts w:ascii="Arial" w:hAnsi="Arial" w:cs="Arial"/>
                <w:b/>
                <w:bCs/>
                <w:color w:val="000000"/>
                <w:sz w:val="18"/>
                <w:szCs w:val="18"/>
              </w:rPr>
              <w:t>Variação Cambial sobre Investimento no Exterior</w:t>
            </w:r>
          </w:p>
        </w:tc>
        <w:tc>
          <w:tcPr>
            <w:tcW w:w="717" w:type="pct"/>
            <w:vMerge w:val="restart"/>
            <w:vAlign w:val="center"/>
            <w:hideMark/>
          </w:tcPr>
          <w:p w14:paraId="602D88AE" w14:textId="77777777" w:rsidR="003C09AF" w:rsidRPr="0071441C" w:rsidRDefault="003C09AF">
            <w:pPr>
              <w:jc w:val="center"/>
              <w:rPr>
                <w:rFonts w:ascii="Arial" w:hAnsi="Arial" w:cs="Arial"/>
                <w:b/>
                <w:bCs/>
                <w:color w:val="000000"/>
                <w:sz w:val="18"/>
                <w:szCs w:val="18"/>
              </w:rPr>
            </w:pPr>
            <w:r w:rsidRPr="0071441C">
              <w:rPr>
                <w:rFonts w:ascii="Arial" w:hAnsi="Arial" w:cs="Arial"/>
                <w:b/>
                <w:bCs/>
                <w:color w:val="000000"/>
                <w:sz w:val="18"/>
                <w:szCs w:val="18"/>
              </w:rPr>
              <w:t>Total</w:t>
            </w:r>
          </w:p>
        </w:tc>
      </w:tr>
      <w:tr w:rsidR="003C09AF" w:rsidRPr="0071441C" w14:paraId="210C1E3A" w14:textId="77777777" w:rsidTr="003C09AF">
        <w:trPr>
          <w:trHeight w:val="517"/>
        </w:trPr>
        <w:tc>
          <w:tcPr>
            <w:tcW w:w="2599" w:type="pct"/>
            <w:vMerge/>
            <w:vAlign w:val="center"/>
            <w:hideMark/>
          </w:tcPr>
          <w:p w14:paraId="5BDE5EFC" w14:textId="77777777" w:rsidR="003C09AF" w:rsidRPr="0071441C" w:rsidRDefault="003C09AF">
            <w:pPr>
              <w:rPr>
                <w:rFonts w:ascii="Arial" w:hAnsi="Arial" w:cs="Arial"/>
                <w:b/>
                <w:bCs/>
                <w:color w:val="000000"/>
                <w:sz w:val="18"/>
                <w:szCs w:val="18"/>
              </w:rPr>
            </w:pPr>
          </w:p>
        </w:tc>
        <w:tc>
          <w:tcPr>
            <w:tcW w:w="723" w:type="pct"/>
            <w:vMerge/>
            <w:vAlign w:val="center"/>
            <w:hideMark/>
          </w:tcPr>
          <w:p w14:paraId="7CEEC69B" w14:textId="77777777" w:rsidR="003C09AF" w:rsidRPr="0071441C" w:rsidRDefault="003C09AF">
            <w:pPr>
              <w:rPr>
                <w:rFonts w:ascii="Arial" w:hAnsi="Arial" w:cs="Arial"/>
                <w:b/>
                <w:bCs/>
                <w:color w:val="000000"/>
                <w:sz w:val="18"/>
                <w:szCs w:val="18"/>
              </w:rPr>
            </w:pPr>
          </w:p>
        </w:tc>
        <w:tc>
          <w:tcPr>
            <w:tcW w:w="961" w:type="pct"/>
            <w:vMerge/>
            <w:vAlign w:val="center"/>
            <w:hideMark/>
          </w:tcPr>
          <w:p w14:paraId="6F461913" w14:textId="77777777" w:rsidR="003C09AF" w:rsidRPr="0071441C" w:rsidRDefault="003C09AF">
            <w:pPr>
              <w:rPr>
                <w:rFonts w:ascii="Arial" w:hAnsi="Arial" w:cs="Arial"/>
                <w:b/>
                <w:bCs/>
                <w:color w:val="000000"/>
                <w:sz w:val="18"/>
                <w:szCs w:val="18"/>
              </w:rPr>
            </w:pPr>
          </w:p>
        </w:tc>
        <w:tc>
          <w:tcPr>
            <w:tcW w:w="717" w:type="pct"/>
            <w:vMerge/>
            <w:vAlign w:val="center"/>
            <w:hideMark/>
          </w:tcPr>
          <w:p w14:paraId="6F3CD5FA" w14:textId="77777777" w:rsidR="003C09AF" w:rsidRPr="0071441C" w:rsidRDefault="003C09AF">
            <w:pPr>
              <w:rPr>
                <w:rFonts w:ascii="Arial" w:hAnsi="Arial" w:cs="Arial"/>
                <w:b/>
                <w:bCs/>
                <w:color w:val="000000"/>
                <w:sz w:val="18"/>
                <w:szCs w:val="18"/>
              </w:rPr>
            </w:pPr>
          </w:p>
        </w:tc>
      </w:tr>
      <w:tr w:rsidR="003C09AF" w:rsidRPr="0071441C" w14:paraId="79F1AD94" w14:textId="77777777" w:rsidTr="003C09AF">
        <w:trPr>
          <w:trHeight w:val="232"/>
        </w:trPr>
        <w:tc>
          <w:tcPr>
            <w:tcW w:w="2599" w:type="pct"/>
            <w:noWrap/>
            <w:vAlign w:val="center"/>
            <w:hideMark/>
          </w:tcPr>
          <w:p w14:paraId="68F06299" w14:textId="77777777" w:rsidR="003C09AF" w:rsidRPr="0071441C" w:rsidRDefault="003C09AF">
            <w:pPr>
              <w:rPr>
                <w:rFonts w:ascii="Arial" w:hAnsi="Arial" w:cs="Arial"/>
                <w:b/>
                <w:bCs/>
                <w:color w:val="000000"/>
                <w:sz w:val="18"/>
                <w:szCs w:val="18"/>
              </w:rPr>
            </w:pPr>
            <w:r w:rsidRPr="0071441C">
              <w:rPr>
                <w:rFonts w:ascii="Arial" w:hAnsi="Arial" w:cs="Arial"/>
                <w:b/>
                <w:bCs/>
                <w:color w:val="000000"/>
                <w:sz w:val="18"/>
                <w:szCs w:val="18"/>
              </w:rPr>
              <w:t>Saldo em 31 de dezembro de 2025</w:t>
            </w:r>
          </w:p>
        </w:tc>
        <w:tc>
          <w:tcPr>
            <w:tcW w:w="723" w:type="pct"/>
            <w:noWrap/>
            <w:vAlign w:val="center"/>
            <w:hideMark/>
          </w:tcPr>
          <w:p w14:paraId="69036504" w14:textId="77777777" w:rsidR="003C09AF" w:rsidRPr="0071441C" w:rsidRDefault="003C09AF">
            <w:pPr>
              <w:jc w:val="right"/>
              <w:rPr>
                <w:rFonts w:ascii="Arial" w:hAnsi="Arial" w:cs="Arial"/>
                <w:b/>
                <w:bCs/>
                <w:color w:val="000000"/>
                <w:sz w:val="18"/>
                <w:szCs w:val="18"/>
              </w:rPr>
            </w:pPr>
            <w:r w:rsidRPr="0071441C">
              <w:rPr>
                <w:rFonts w:ascii="Arial" w:hAnsi="Arial" w:cs="Arial"/>
                <w:b/>
                <w:bCs/>
                <w:color w:val="000000"/>
                <w:sz w:val="18"/>
                <w:szCs w:val="18"/>
              </w:rPr>
              <w:t>1.130</w:t>
            </w:r>
          </w:p>
        </w:tc>
        <w:tc>
          <w:tcPr>
            <w:tcW w:w="961" w:type="pct"/>
            <w:noWrap/>
            <w:vAlign w:val="center"/>
            <w:hideMark/>
          </w:tcPr>
          <w:p w14:paraId="424737B3" w14:textId="77777777" w:rsidR="003C09AF" w:rsidRPr="0071441C" w:rsidRDefault="003C09AF">
            <w:pPr>
              <w:jc w:val="right"/>
              <w:rPr>
                <w:rFonts w:ascii="Arial" w:hAnsi="Arial" w:cs="Arial"/>
                <w:b/>
                <w:bCs/>
                <w:color w:val="000000"/>
                <w:sz w:val="18"/>
                <w:szCs w:val="18"/>
              </w:rPr>
            </w:pPr>
            <w:r w:rsidRPr="0071441C">
              <w:rPr>
                <w:rFonts w:ascii="Arial" w:hAnsi="Arial" w:cs="Arial"/>
                <w:b/>
                <w:bCs/>
                <w:color w:val="000000"/>
                <w:sz w:val="18"/>
                <w:szCs w:val="18"/>
              </w:rPr>
              <w:t>30.815</w:t>
            </w:r>
          </w:p>
        </w:tc>
        <w:tc>
          <w:tcPr>
            <w:tcW w:w="717" w:type="pct"/>
            <w:noWrap/>
            <w:vAlign w:val="center"/>
            <w:hideMark/>
          </w:tcPr>
          <w:p w14:paraId="4130A16C" w14:textId="77777777" w:rsidR="003C09AF" w:rsidRPr="0071441C" w:rsidRDefault="003C09AF">
            <w:pPr>
              <w:jc w:val="right"/>
              <w:rPr>
                <w:rFonts w:ascii="Arial" w:hAnsi="Arial" w:cs="Arial"/>
                <w:b/>
                <w:bCs/>
                <w:color w:val="000000"/>
                <w:sz w:val="18"/>
                <w:szCs w:val="18"/>
              </w:rPr>
            </w:pPr>
            <w:r w:rsidRPr="0071441C">
              <w:rPr>
                <w:rFonts w:ascii="Arial" w:hAnsi="Arial" w:cs="Arial"/>
                <w:b/>
                <w:bCs/>
                <w:color w:val="000000"/>
                <w:sz w:val="18"/>
                <w:szCs w:val="18"/>
              </w:rPr>
              <w:t>31.945</w:t>
            </w:r>
          </w:p>
        </w:tc>
      </w:tr>
      <w:tr w:rsidR="003C09AF" w:rsidRPr="0071441C" w14:paraId="03C39215" w14:textId="77777777" w:rsidTr="003C09AF">
        <w:trPr>
          <w:trHeight w:val="232"/>
        </w:trPr>
        <w:tc>
          <w:tcPr>
            <w:tcW w:w="2599" w:type="pct"/>
            <w:noWrap/>
            <w:vAlign w:val="center"/>
            <w:hideMark/>
          </w:tcPr>
          <w:p w14:paraId="479D0180" w14:textId="77777777" w:rsidR="003C09AF" w:rsidRPr="0071441C" w:rsidRDefault="003C09AF">
            <w:pPr>
              <w:rPr>
                <w:rFonts w:ascii="Arial" w:hAnsi="Arial" w:cs="Arial"/>
                <w:color w:val="000000"/>
                <w:sz w:val="18"/>
                <w:szCs w:val="18"/>
              </w:rPr>
            </w:pPr>
            <w:r w:rsidRPr="0071441C">
              <w:rPr>
                <w:rFonts w:ascii="Arial" w:hAnsi="Arial" w:cs="Arial"/>
                <w:color w:val="000000"/>
                <w:sz w:val="18"/>
                <w:szCs w:val="18"/>
              </w:rPr>
              <w:t>Perda com Instrumentos Patrimoniais Mensurados a VJORA</w:t>
            </w:r>
          </w:p>
        </w:tc>
        <w:tc>
          <w:tcPr>
            <w:tcW w:w="723" w:type="pct"/>
            <w:noWrap/>
            <w:vAlign w:val="center"/>
            <w:hideMark/>
          </w:tcPr>
          <w:p w14:paraId="6D4F6A48" w14:textId="77777777" w:rsidR="003C09AF" w:rsidRPr="0071441C" w:rsidRDefault="003C09AF">
            <w:pPr>
              <w:jc w:val="right"/>
              <w:rPr>
                <w:rFonts w:ascii="Arial" w:hAnsi="Arial" w:cs="Arial"/>
                <w:color w:val="000000"/>
                <w:sz w:val="18"/>
                <w:szCs w:val="18"/>
              </w:rPr>
            </w:pPr>
            <w:r w:rsidRPr="0071441C">
              <w:rPr>
                <w:rFonts w:ascii="Arial" w:hAnsi="Arial" w:cs="Arial"/>
                <w:color w:val="000000"/>
                <w:sz w:val="18"/>
                <w:szCs w:val="18"/>
              </w:rPr>
              <w:t>793</w:t>
            </w:r>
          </w:p>
        </w:tc>
        <w:tc>
          <w:tcPr>
            <w:tcW w:w="961" w:type="pct"/>
            <w:noWrap/>
            <w:vAlign w:val="center"/>
            <w:hideMark/>
          </w:tcPr>
          <w:p w14:paraId="1AAD43BF" w14:textId="77777777" w:rsidR="003C09AF" w:rsidRPr="0071441C" w:rsidRDefault="003C09AF">
            <w:pPr>
              <w:jc w:val="right"/>
              <w:rPr>
                <w:rFonts w:ascii="Arial" w:hAnsi="Arial" w:cs="Arial"/>
                <w:color w:val="000000"/>
                <w:sz w:val="18"/>
                <w:szCs w:val="18"/>
              </w:rPr>
            </w:pPr>
            <w:r w:rsidRPr="0071441C">
              <w:rPr>
                <w:rFonts w:ascii="Arial" w:hAnsi="Arial" w:cs="Arial"/>
                <w:color w:val="000000"/>
                <w:sz w:val="18"/>
                <w:szCs w:val="18"/>
              </w:rPr>
              <w:t xml:space="preserve">                   -         </w:t>
            </w:r>
          </w:p>
        </w:tc>
        <w:tc>
          <w:tcPr>
            <w:tcW w:w="717" w:type="pct"/>
            <w:noWrap/>
            <w:vAlign w:val="center"/>
            <w:hideMark/>
          </w:tcPr>
          <w:p w14:paraId="040CA5F8" w14:textId="77777777" w:rsidR="003C09AF" w:rsidRPr="0071441C" w:rsidRDefault="003C09AF">
            <w:pPr>
              <w:jc w:val="right"/>
              <w:rPr>
                <w:rFonts w:ascii="Arial" w:hAnsi="Arial" w:cs="Arial"/>
                <w:color w:val="000000"/>
                <w:sz w:val="18"/>
                <w:szCs w:val="18"/>
              </w:rPr>
            </w:pPr>
            <w:r w:rsidRPr="0071441C">
              <w:rPr>
                <w:rFonts w:ascii="Arial" w:hAnsi="Arial" w:cs="Arial"/>
                <w:color w:val="000000"/>
                <w:sz w:val="18"/>
                <w:szCs w:val="18"/>
              </w:rPr>
              <w:t>793</w:t>
            </w:r>
          </w:p>
        </w:tc>
      </w:tr>
      <w:tr w:rsidR="003C09AF" w:rsidRPr="0071441C" w14:paraId="6EE92415" w14:textId="77777777" w:rsidTr="003C09AF">
        <w:trPr>
          <w:trHeight w:val="232"/>
        </w:trPr>
        <w:tc>
          <w:tcPr>
            <w:tcW w:w="2599" w:type="pct"/>
            <w:noWrap/>
            <w:vAlign w:val="center"/>
            <w:hideMark/>
          </w:tcPr>
          <w:p w14:paraId="00C7EA74" w14:textId="77777777" w:rsidR="003C09AF" w:rsidRPr="0071441C" w:rsidRDefault="003C09AF">
            <w:pPr>
              <w:rPr>
                <w:rFonts w:ascii="Arial" w:hAnsi="Arial" w:cs="Arial"/>
                <w:color w:val="000000"/>
                <w:sz w:val="18"/>
                <w:szCs w:val="18"/>
              </w:rPr>
            </w:pPr>
            <w:r w:rsidRPr="0071441C">
              <w:rPr>
                <w:rFonts w:ascii="Arial" w:hAnsi="Arial" w:cs="Arial"/>
                <w:color w:val="000000"/>
                <w:sz w:val="18"/>
                <w:szCs w:val="18"/>
              </w:rPr>
              <w:t>Equivalência Patrimonial Reflexa sobre AAP Coligada</w:t>
            </w:r>
          </w:p>
        </w:tc>
        <w:tc>
          <w:tcPr>
            <w:tcW w:w="723" w:type="pct"/>
            <w:noWrap/>
            <w:vAlign w:val="center"/>
            <w:hideMark/>
          </w:tcPr>
          <w:p w14:paraId="107A07CF" w14:textId="77777777" w:rsidR="003C09AF" w:rsidRPr="0071441C" w:rsidRDefault="003C09AF">
            <w:pPr>
              <w:jc w:val="right"/>
              <w:rPr>
                <w:rFonts w:ascii="Arial" w:hAnsi="Arial" w:cs="Arial"/>
                <w:color w:val="000000"/>
                <w:sz w:val="18"/>
                <w:szCs w:val="18"/>
              </w:rPr>
            </w:pPr>
            <w:r w:rsidRPr="0071441C">
              <w:rPr>
                <w:rFonts w:ascii="Arial" w:hAnsi="Arial" w:cs="Arial"/>
                <w:color w:val="000000"/>
                <w:sz w:val="18"/>
                <w:szCs w:val="18"/>
              </w:rPr>
              <w:t xml:space="preserve">                    -         </w:t>
            </w:r>
          </w:p>
        </w:tc>
        <w:tc>
          <w:tcPr>
            <w:tcW w:w="961" w:type="pct"/>
            <w:noWrap/>
            <w:vAlign w:val="center"/>
            <w:hideMark/>
          </w:tcPr>
          <w:p w14:paraId="348A555C" w14:textId="77777777" w:rsidR="003C09AF" w:rsidRPr="0071441C" w:rsidRDefault="003C09AF">
            <w:pPr>
              <w:jc w:val="right"/>
              <w:rPr>
                <w:rFonts w:ascii="Arial" w:hAnsi="Arial" w:cs="Arial"/>
                <w:color w:val="000000"/>
                <w:sz w:val="18"/>
                <w:szCs w:val="18"/>
              </w:rPr>
            </w:pPr>
            <w:r w:rsidRPr="0071441C">
              <w:rPr>
                <w:rFonts w:ascii="Arial" w:hAnsi="Arial" w:cs="Arial"/>
                <w:color w:val="000000"/>
                <w:sz w:val="18"/>
                <w:szCs w:val="18"/>
              </w:rPr>
              <w:t>(740)</w:t>
            </w:r>
          </w:p>
        </w:tc>
        <w:tc>
          <w:tcPr>
            <w:tcW w:w="717" w:type="pct"/>
            <w:noWrap/>
            <w:vAlign w:val="center"/>
            <w:hideMark/>
          </w:tcPr>
          <w:p w14:paraId="39F98280" w14:textId="77777777" w:rsidR="003C09AF" w:rsidRPr="0071441C" w:rsidRDefault="003C09AF">
            <w:pPr>
              <w:jc w:val="right"/>
              <w:rPr>
                <w:rFonts w:ascii="Arial" w:hAnsi="Arial" w:cs="Arial"/>
                <w:color w:val="000000"/>
                <w:sz w:val="18"/>
                <w:szCs w:val="18"/>
              </w:rPr>
            </w:pPr>
            <w:r w:rsidRPr="0071441C">
              <w:rPr>
                <w:rFonts w:ascii="Arial" w:hAnsi="Arial" w:cs="Arial"/>
                <w:color w:val="000000"/>
                <w:sz w:val="18"/>
                <w:szCs w:val="18"/>
              </w:rPr>
              <w:t>(740)</w:t>
            </w:r>
          </w:p>
        </w:tc>
      </w:tr>
      <w:tr w:rsidR="003C09AF" w14:paraId="7393E307" w14:textId="77777777" w:rsidTr="003C09AF">
        <w:trPr>
          <w:trHeight w:val="232"/>
        </w:trPr>
        <w:tc>
          <w:tcPr>
            <w:tcW w:w="2599" w:type="pct"/>
            <w:noWrap/>
            <w:vAlign w:val="center"/>
            <w:hideMark/>
          </w:tcPr>
          <w:p w14:paraId="011A3C15" w14:textId="77777777" w:rsidR="003C09AF" w:rsidRPr="0071441C" w:rsidRDefault="003C09AF">
            <w:pPr>
              <w:rPr>
                <w:rFonts w:ascii="Arial" w:hAnsi="Arial" w:cs="Arial"/>
                <w:b/>
                <w:bCs/>
                <w:color w:val="000000"/>
                <w:sz w:val="18"/>
                <w:szCs w:val="18"/>
              </w:rPr>
            </w:pPr>
            <w:r w:rsidRPr="0071441C">
              <w:rPr>
                <w:rFonts w:ascii="Arial" w:hAnsi="Arial" w:cs="Arial"/>
                <w:b/>
                <w:bCs/>
                <w:color w:val="000000"/>
                <w:sz w:val="18"/>
                <w:szCs w:val="18"/>
              </w:rPr>
              <w:t>Saldo em 31 de março de 2026</w:t>
            </w:r>
          </w:p>
        </w:tc>
        <w:tc>
          <w:tcPr>
            <w:tcW w:w="723" w:type="pct"/>
            <w:noWrap/>
            <w:vAlign w:val="center"/>
            <w:hideMark/>
          </w:tcPr>
          <w:p w14:paraId="667FAE3E" w14:textId="77777777" w:rsidR="003C09AF" w:rsidRPr="0071441C" w:rsidRDefault="003C09AF">
            <w:pPr>
              <w:jc w:val="right"/>
              <w:rPr>
                <w:rFonts w:ascii="Arial" w:hAnsi="Arial" w:cs="Arial"/>
                <w:b/>
                <w:bCs/>
                <w:color w:val="000000"/>
                <w:sz w:val="18"/>
                <w:szCs w:val="18"/>
              </w:rPr>
            </w:pPr>
            <w:r w:rsidRPr="0071441C">
              <w:rPr>
                <w:rFonts w:ascii="Arial" w:hAnsi="Arial" w:cs="Arial"/>
                <w:b/>
                <w:bCs/>
                <w:color w:val="000000"/>
                <w:sz w:val="18"/>
                <w:szCs w:val="18"/>
              </w:rPr>
              <w:t>1.923</w:t>
            </w:r>
          </w:p>
        </w:tc>
        <w:tc>
          <w:tcPr>
            <w:tcW w:w="961" w:type="pct"/>
            <w:noWrap/>
            <w:vAlign w:val="center"/>
            <w:hideMark/>
          </w:tcPr>
          <w:p w14:paraId="4B4C7EB4" w14:textId="77777777" w:rsidR="003C09AF" w:rsidRPr="0071441C" w:rsidRDefault="003C09AF">
            <w:pPr>
              <w:jc w:val="right"/>
              <w:rPr>
                <w:rFonts w:ascii="Arial" w:hAnsi="Arial" w:cs="Arial"/>
                <w:b/>
                <w:bCs/>
                <w:color w:val="000000"/>
                <w:sz w:val="18"/>
                <w:szCs w:val="18"/>
              </w:rPr>
            </w:pPr>
            <w:r w:rsidRPr="0071441C">
              <w:rPr>
                <w:rFonts w:ascii="Arial" w:hAnsi="Arial" w:cs="Arial"/>
                <w:b/>
                <w:bCs/>
                <w:color w:val="000000"/>
                <w:sz w:val="18"/>
                <w:szCs w:val="18"/>
              </w:rPr>
              <w:t>30.075</w:t>
            </w:r>
          </w:p>
        </w:tc>
        <w:tc>
          <w:tcPr>
            <w:tcW w:w="717" w:type="pct"/>
            <w:noWrap/>
            <w:vAlign w:val="center"/>
            <w:hideMark/>
          </w:tcPr>
          <w:p w14:paraId="50A5A033" w14:textId="77777777" w:rsidR="003C09AF" w:rsidRDefault="003C09AF">
            <w:pPr>
              <w:jc w:val="right"/>
              <w:rPr>
                <w:rFonts w:ascii="Arial" w:hAnsi="Arial" w:cs="Arial"/>
                <w:b/>
                <w:bCs/>
                <w:color w:val="000000"/>
                <w:sz w:val="18"/>
                <w:szCs w:val="18"/>
              </w:rPr>
            </w:pPr>
            <w:r w:rsidRPr="0071441C">
              <w:rPr>
                <w:rFonts w:ascii="Arial" w:hAnsi="Arial" w:cs="Arial"/>
                <w:b/>
                <w:bCs/>
                <w:color w:val="000000"/>
                <w:sz w:val="18"/>
                <w:szCs w:val="18"/>
              </w:rPr>
              <w:t>31.998</w:t>
            </w:r>
          </w:p>
        </w:tc>
      </w:tr>
    </w:tbl>
    <w:p w14:paraId="6A70B62D" w14:textId="5D1E1B79" w:rsidR="004F39F5" w:rsidRPr="00F53DD1" w:rsidRDefault="00F53DD1" w:rsidP="00597FE5">
      <w:pPr>
        <w:spacing w:line="276" w:lineRule="auto"/>
        <w:jc w:val="both"/>
        <w:rPr>
          <w:rFonts w:ascii="Arial" w:hAnsi="Arial" w:cs="Arial"/>
          <w:sz w:val="16"/>
          <w:szCs w:val="16"/>
        </w:rPr>
      </w:pPr>
      <w:r w:rsidRPr="00F53DD1">
        <w:rPr>
          <w:rFonts w:ascii="Arial" w:hAnsi="Arial" w:cs="Arial"/>
          <w:sz w:val="16"/>
          <w:szCs w:val="16"/>
        </w:rPr>
        <w:t>i) Valor justo por meio de outros resultados abrangentes.</w:t>
      </w:r>
    </w:p>
    <w:p w14:paraId="5A38A284" w14:textId="77777777" w:rsidR="00F46D9C" w:rsidRDefault="00F46D9C" w:rsidP="00597FE5">
      <w:pPr>
        <w:spacing w:line="276" w:lineRule="auto"/>
        <w:jc w:val="both"/>
        <w:rPr>
          <w:rFonts w:ascii="Arial" w:hAnsi="Arial" w:cs="Arial"/>
          <w:sz w:val="22"/>
          <w:szCs w:val="22"/>
        </w:rPr>
      </w:pPr>
    </w:p>
    <w:p w14:paraId="1C0F8DD5"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8" w:name="_Toc491337768"/>
      <w:r w:rsidRPr="002A36CE">
        <w:rPr>
          <w:rFonts w:ascii="Arial" w:hAnsi="Arial" w:cs="Arial"/>
        </w:rPr>
        <w:t>Ações em tesouraria</w:t>
      </w:r>
      <w:bookmarkEnd w:id="58"/>
    </w:p>
    <w:p w14:paraId="1BC0E964" w14:textId="77777777" w:rsidR="00215810" w:rsidRPr="002C6143" w:rsidRDefault="00215810" w:rsidP="00597FE5">
      <w:pPr>
        <w:spacing w:line="276" w:lineRule="auto"/>
        <w:rPr>
          <w:sz w:val="16"/>
          <w:szCs w:val="16"/>
        </w:rPr>
      </w:pPr>
    </w:p>
    <w:p w14:paraId="52C65FF8" w14:textId="00F72CCA" w:rsidR="00831984" w:rsidRPr="002A36CE" w:rsidRDefault="006A3963" w:rsidP="00597FE5">
      <w:pPr>
        <w:spacing w:line="276" w:lineRule="auto"/>
        <w:jc w:val="both"/>
        <w:rPr>
          <w:rFonts w:ascii="Arial" w:hAnsi="Arial" w:cs="Arial"/>
          <w:sz w:val="22"/>
          <w:szCs w:val="22"/>
        </w:rPr>
      </w:pPr>
      <w:r>
        <w:rPr>
          <w:rFonts w:ascii="Arial" w:hAnsi="Arial" w:cs="Arial"/>
          <w:sz w:val="22"/>
          <w:szCs w:val="22"/>
        </w:rPr>
        <w:t>As</w:t>
      </w:r>
      <w:r w:rsidR="006C46E3" w:rsidRPr="002A36CE">
        <w:rPr>
          <w:rFonts w:ascii="Arial" w:hAnsi="Arial" w:cs="Arial"/>
          <w:sz w:val="22"/>
          <w:szCs w:val="22"/>
        </w:rPr>
        <w:t xml:space="preserve"> Ações em T</w:t>
      </w:r>
      <w:r w:rsidR="00831984" w:rsidRPr="002A36CE">
        <w:rPr>
          <w:rFonts w:ascii="Arial" w:hAnsi="Arial" w:cs="Arial"/>
          <w:sz w:val="22"/>
          <w:szCs w:val="22"/>
        </w:rPr>
        <w:t>esouraria</w:t>
      </w:r>
      <w:r w:rsidR="009820D7" w:rsidRPr="002A36CE">
        <w:rPr>
          <w:rFonts w:ascii="Arial" w:hAnsi="Arial" w:cs="Arial"/>
          <w:sz w:val="22"/>
          <w:szCs w:val="22"/>
        </w:rPr>
        <w:t xml:space="preserve"> (193</w:t>
      </w:r>
      <w:r w:rsidR="008D1F33">
        <w:rPr>
          <w:rFonts w:ascii="Arial" w:hAnsi="Arial" w:cs="Arial"/>
          <w:sz w:val="22"/>
          <w:szCs w:val="22"/>
        </w:rPr>
        <w:t xml:space="preserve"> </w:t>
      </w:r>
      <w:r w:rsidR="008D1F33" w:rsidRPr="006C4ECB">
        <w:rPr>
          <w:rFonts w:ascii="Arial" w:hAnsi="Arial" w:cs="Arial"/>
          <w:sz w:val="22"/>
          <w:szCs w:val="22"/>
        </w:rPr>
        <w:t>– cento e noventa e três,</w:t>
      </w:r>
      <w:r w:rsidR="009820D7" w:rsidRPr="006C4ECB">
        <w:rPr>
          <w:rFonts w:ascii="Arial" w:hAnsi="Arial" w:cs="Arial"/>
          <w:sz w:val="22"/>
          <w:szCs w:val="22"/>
        </w:rPr>
        <w:t xml:space="preserve"> </w:t>
      </w:r>
      <w:r w:rsidR="009820D7" w:rsidRPr="002A36CE">
        <w:rPr>
          <w:rFonts w:ascii="Arial" w:hAnsi="Arial" w:cs="Arial"/>
          <w:sz w:val="22"/>
          <w:szCs w:val="22"/>
        </w:rPr>
        <w:t>ações ordinárias)</w:t>
      </w:r>
      <w:r w:rsidR="00831984" w:rsidRPr="002A36CE">
        <w:rPr>
          <w:rFonts w:ascii="Arial" w:hAnsi="Arial" w:cs="Arial"/>
          <w:sz w:val="22"/>
          <w:szCs w:val="22"/>
        </w:rPr>
        <w:t xml:space="preserve"> corresponde</w:t>
      </w:r>
      <w:r>
        <w:rPr>
          <w:rFonts w:ascii="Arial" w:hAnsi="Arial" w:cs="Arial"/>
          <w:sz w:val="22"/>
          <w:szCs w:val="22"/>
        </w:rPr>
        <w:t>m</w:t>
      </w:r>
      <w:r w:rsidR="00831984" w:rsidRPr="002A36CE">
        <w:rPr>
          <w:rFonts w:ascii="Arial" w:hAnsi="Arial" w:cs="Arial"/>
          <w:sz w:val="22"/>
          <w:szCs w:val="22"/>
        </w:rPr>
        <w:t xml:space="preserve"> ao saldo remanescente da cisão parcial da </w:t>
      </w:r>
      <w:r w:rsidR="00C2728B" w:rsidRPr="002A36CE">
        <w:rPr>
          <w:rFonts w:ascii="Arial" w:hAnsi="Arial" w:cs="Arial"/>
          <w:sz w:val="22"/>
          <w:szCs w:val="22"/>
        </w:rPr>
        <w:t>Telebras</w:t>
      </w:r>
      <w:r w:rsidR="00831984" w:rsidRPr="002A36CE">
        <w:rPr>
          <w:rFonts w:ascii="Arial" w:hAnsi="Arial" w:cs="Arial"/>
          <w:sz w:val="22"/>
          <w:szCs w:val="22"/>
        </w:rPr>
        <w:t>, ocorrida em 22</w:t>
      </w:r>
      <w:r w:rsidR="00971402" w:rsidRPr="002A36CE">
        <w:rPr>
          <w:rFonts w:ascii="Arial" w:hAnsi="Arial" w:cs="Arial"/>
          <w:sz w:val="22"/>
          <w:szCs w:val="22"/>
        </w:rPr>
        <w:t xml:space="preserve"> de maio de </w:t>
      </w:r>
      <w:r w:rsidR="00831984" w:rsidRPr="002A36CE">
        <w:rPr>
          <w:rFonts w:ascii="Arial" w:hAnsi="Arial" w:cs="Arial"/>
          <w:sz w:val="22"/>
          <w:szCs w:val="22"/>
        </w:rPr>
        <w:t xml:space="preserve">1998. </w:t>
      </w:r>
    </w:p>
    <w:p w14:paraId="4855C1E9" w14:textId="66749830" w:rsidR="00D15E05" w:rsidRDefault="00D15E05" w:rsidP="00266240">
      <w:pPr>
        <w:jc w:val="both"/>
        <w:rPr>
          <w:rFonts w:ascii="Arial" w:hAnsi="Arial" w:cs="Arial"/>
          <w:color w:val="FF0000"/>
          <w:sz w:val="22"/>
          <w:szCs w:val="22"/>
        </w:rPr>
      </w:pPr>
    </w:p>
    <w:p w14:paraId="3AD6DA53" w14:textId="77777777" w:rsidR="00215810" w:rsidRPr="002A36CE" w:rsidRDefault="00215810"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59" w:name="_Toc491337769"/>
      <w:r w:rsidRPr="002A36CE">
        <w:rPr>
          <w:rFonts w:ascii="Arial" w:hAnsi="Arial" w:cs="Arial"/>
        </w:rPr>
        <w:lastRenderedPageBreak/>
        <w:t>Lucro (Prejuízo) por ação básico e diluído</w:t>
      </w:r>
      <w:bookmarkEnd w:id="59"/>
    </w:p>
    <w:p w14:paraId="2CA6D806" w14:textId="4A413394" w:rsidR="00B15BFD" w:rsidRDefault="003166A0" w:rsidP="00597FE5">
      <w:pPr>
        <w:pStyle w:val="Corpodetexto"/>
        <w:spacing w:line="276" w:lineRule="auto"/>
        <w:rPr>
          <w:rFonts w:ascii="Arial" w:hAnsi="Arial" w:cs="Arial"/>
        </w:rPr>
      </w:pPr>
      <w:r w:rsidRPr="002A36CE">
        <w:rPr>
          <w:rFonts w:ascii="Arial" w:hAnsi="Arial" w:cs="Arial"/>
        </w:rPr>
        <w:t>Os acionistas ordinários e preferenciais possuem direitos diferentes em relação a dividendos, direito a voto e em caso de liquidação, conforme determina o estatuto social da Companhia. Des</w:t>
      </w:r>
      <w:r w:rsidR="00AE47A0">
        <w:rPr>
          <w:rFonts w:ascii="Arial" w:hAnsi="Arial" w:cs="Arial"/>
        </w:rPr>
        <w:t>s</w:t>
      </w:r>
      <w:r w:rsidRPr="002A36CE">
        <w:rPr>
          <w:rFonts w:ascii="Arial" w:hAnsi="Arial" w:cs="Arial"/>
        </w:rPr>
        <w:t>a forma, o lucro (prejuízo) por ação básico e diluído foi calculado com base no lucro (prejuízo) do exercício disponível para os acionistas ordinários e preferenciais.</w:t>
      </w:r>
    </w:p>
    <w:p w14:paraId="2CBBC6DC" w14:textId="3C0CEA0C" w:rsidR="003369DC" w:rsidRPr="002A36CE" w:rsidRDefault="003166A0" w:rsidP="00597FE5">
      <w:pPr>
        <w:pStyle w:val="Corpodetexto"/>
        <w:spacing w:line="276" w:lineRule="auto"/>
        <w:rPr>
          <w:rFonts w:ascii="Arial" w:hAnsi="Arial" w:cs="Arial"/>
          <w:b/>
          <w:iCs/>
        </w:rPr>
      </w:pPr>
      <w:r w:rsidRPr="002A36CE">
        <w:rPr>
          <w:rFonts w:ascii="Arial" w:hAnsi="Arial" w:cs="Arial"/>
          <w:b/>
          <w:iCs/>
        </w:rPr>
        <w:t>Básico</w:t>
      </w:r>
    </w:p>
    <w:p w14:paraId="65970324" w14:textId="57B07209" w:rsidR="008A0F81" w:rsidRPr="002C6143" w:rsidRDefault="003166A0" w:rsidP="00597FE5">
      <w:pPr>
        <w:pStyle w:val="Corpodetexto"/>
        <w:spacing w:line="276" w:lineRule="auto"/>
        <w:rPr>
          <w:rFonts w:ascii="Arial" w:hAnsi="Arial" w:cs="Arial"/>
        </w:rPr>
        <w:sectPr w:rsidR="008A0F81" w:rsidRPr="002C6143" w:rsidSect="006056D5">
          <w:footerReference w:type="default" r:id="rId39"/>
          <w:type w:val="continuous"/>
          <w:pgSz w:w="11906" w:h="16838" w:code="9"/>
          <w:pgMar w:top="848" w:right="849" w:bottom="993" w:left="1276" w:header="850" w:footer="907" w:gutter="0"/>
          <w:cols w:space="708"/>
          <w:docGrid w:linePitch="360"/>
        </w:sectPr>
      </w:pPr>
      <w:r w:rsidRPr="002A36CE">
        <w:rPr>
          <w:rFonts w:ascii="Arial" w:hAnsi="Arial" w:cs="Arial"/>
        </w:rPr>
        <w:t>O lucro (prejuízo) básico por ação é calculado mediante a divisão do lucro (prejuízo) atribuível aos acionistas da Companhia, disponível aos portadores de ações ordinárias e preferenciais, pela quantidade média ponderada de ações ordinárias e preferenciais em circulação durante o exercício.</w:t>
      </w:r>
    </w:p>
    <w:p w14:paraId="40328761" w14:textId="1554092B" w:rsidR="003166A0" w:rsidRPr="002A36CE" w:rsidRDefault="003166A0" w:rsidP="00597FE5">
      <w:pPr>
        <w:pStyle w:val="Corpodetexto"/>
        <w:spacing w:line="276" w:lineRule="auto"/>
        <w:rPr>
          <w:rFonts w:ascii="Arial" w:hAnsi="Arial" w:cs="Arial"/>
          <w:b/>
          <w:bCs/>
        </w:rPr>
      </w:pPr>
      <w:r w:rsidRPr="002A36CE">
        <w:rPr>
          <w:rFonts w:ascii="Arial" w:hAnsi="Arial" w:cs="Arial"/>
          <w:b/>
        </w:rPr>
        <w:t>Diluído</w:t>
      </w:r>
    </w:p>
    <w:p w14:paraId="6D8059D8" w14:textId="11D2AB4A" w:rsidR="003166A0" w:rsidRDefault="003166A0" w:rsidP="00597FE5">
      <w:pPr>
        <w:pStyle w:val="Corpodetexto"/>
        <w:spacing w:line="276" w:lineRule="auto"/>
        <w:rPr>
          <w:rFonts w:ascii="Arial" w:hAnsi="Arial" w:cs="Arial"/>
        </w:rPr>
      </w:pPr>
      <w:r w:rsidRPr="002A36CE">
        <w:rPr>
          <w:rFonts w:ascii="Arial" w:hAnsi="Arial" w:cs="Arial"/>
        </w:rPr>
        <w:t>O lucro (prejuízo) diluído por ação é calculado mediante o ajuste da quantidade média ponderada de ações ordinárias e preferenciais em circulação, para presumir a conversão de todas as ações potenciais diluídas. A Companhia não possui categoria de ações potenciais diluídas.</w:t>
      </w:r>
    </w:p>
    <w:p w14:paraId="57981019" w14:textId="03E9B309" w:rsidR="003166A0" w:rsidRDefault="003166A0" w:rsidP="00E161E4">
      <w:pPr>
        <w:pStyle w:val="Corpodetexto"/>
        <w:spacing w:before="0" w:after="0" w:line="276" w:lineRule="auto"/>
        <w:rPr>
          <w:rFonts w:ascii="Arial" w:hAnsi="Arial" w:cs="Arial"/>
        </w:rPr>
      </w:pPr>
      <w:r w:rsidRPr="002A36CE">
        <w:rPr>
          <w:rFonts w:ascii="Arial" w:hAnsi="Arial" w:cs="Arial"/>
        </w:rPr>
        <w:t>A seguir são apresentados os cálculos do lucro (prejuízo) por ação básico e diluído:</w:t>
      </w:r>
    </w:p>
    <w:p w14:paraId="1239A7F8" w14:textId="77777777" w:rsidR="000935A0" w:rsidRDefault="000935A0" w:rsidP="00E161E4">
      <w:pPr>
        <w:pStyle w:val="Corpodetexto"/>
        <w:spacing w:before="0" w:after="0" w:line="276"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6517"/>
        <w:gridCol w:w="1700"/>
        <w:gridCol w:w="1554"/>
      </w:tblGrid>
      <w:tr w:rsidR="00E3277A" w:rsidRPr="0071441C" w14:paraId="088B7437" w14:textId="77777777" w:rsidTr="0071441C">
        <w:trPr>
          <w:trHeight w:val="232"/>
        </w:trPr>
        <w:tc>
          <w:tcPr>
            <w:tcW w:w="33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15B8EA" w14:textId="77777777" w:rsidR="00E3277A" w:rsidRPr="0071441C" w:rsidRDefault="00E3277A">
            <w:pPr>
              <w:rPr>
                <w:rFonts w:ascii="Arial" w:hAnsi="Arial" w:cs="Arial"/>
                <w:b/>
                <w:bCs/>
                <w:color w:val="000000"/>
                <w:sz w:val="16"/>
                <w:szCs w:val="16"/>
              </w:rPr>
            </w:pPr>
            <w:r w:rsidRPr="0071441C">
              <w:rPr>
                <w:rFonts w:ascii="Arial" w:hAnsi="Arial" w:cs="Arial"/>
                <w:b/>
                <w:bCs/>
                <w:color w:val="000000"/>
                <w:sz w:val="16"/>
                <w:szCs w:val="16"/>
              </w:rPr>
              <w:t>Itens:</w:t>
            </w:r>
          </w:p>
        </w:tc>
        <w:tc>
          <w:tcPr>
            <w:tcW w:w="870" w:type="pct"/>
            <w:tcBorders>
              <w:top w:val="single" w:sz="4" w:space="0" w:color="auto"/>
              <w:left w:val="nil"/>
              <w:bottom w:val="single" w:sz="4" w:space="0" w:color="auto"/>
              <w:right w:val="single" w:sz="4" w:space="0" w:color="auto"/>
            </w:tcBorders>
            <w:noWrap/>
            <w:vAlign w:val="center"/>
            <w:hideMark/>
          </w:tcPr>
          <w:p w14:paraId="7F63DF9E" w14:textId="77777777" w:rsidR="00E3277A" w:rsidRPr="0071441C" w:rsidRDefault="00E3277A">
            <w:pPr>
              <w:jc w:val="right"/>
              <w:rPr>
                <w:rFonts w:ascii="Arial" w:hAnsi="Arial" w:cs="Arial"/>
                <w:b/>
                <w:bCs/>
                <w:color w:val="000000"/>
                <w:sz w:val="16"/>
                <w:szCs w:val="16"/>
              </w:rPr>
            </w:pPr>
            <w:r w:rsidRPr="0071441C">
              <w:rPr>
                <w:rFonts w:ascii="Arial" w:hAnsi="Arial" w:cs="Arial"/>
                <w:b/>
                <w:bCs/>
                <w:color w:val="000000"/>
                <w:sz w:val="16"/>
                <w:szCs w:val="16"/>
              </w:rPr>
              <w:t>31/03/2026</w:t>
            </w:r>
          </w:p>
        </w:tc>
        <w:tc>
          <w:tcPr>
            <w:tcW w:w="795" w:type="pct"/>
            <w:tcBorders>
              <w:top w:val="single" w:sz="4" w:space="0" w:color="auto"/>
              <w:left w:val="nil"/>
              <w:bottom w:val="single" w:sz="4" w:space="0" w:color="auto"/>
              <w:right w:val="single" w:sz="4" w:space="0" w:color="auto"/>
            </w:tcBorders>
            <w:noWrap/>
            <w:vAlign w:val="center"/>
            <w:hideMark/>
          </w:tcPr>
          <w:p w14:paraId="35869EEB" w14:textId="77777777" w:rsidR="00E3277A" w:rsidRPr="0071441C" w:rsidRDefault="00E3277A">
            <w:pPr>
              <w:jc w:val="right"/>
              <w:rPr>
                <w:rFonts w:ascii="Arial" w:hAnsi="Arial" w:cs="Arial"/>
                <w:b/>
                <w:bCs/>
                <w:color w:val="000000"/>
                <w:sz w:val="16"/>
                <w:szCs w:val="16"/>
              </w:rPr>
            </w:pPr>
            <w:r w:rsidRPr="0071441C">
              <w:rPr>
                <w:rFonts w:ascii="Arial" w:hAnsi="Arial" w:cs="Arial"/>
                <w:b/>
                <w:bCs/>
                <w:color w:val="000000"/>
                <w:sz w:val="16"/>
                <w:szCs w:val="16"/>
              </w:rPr>
              <w:t>31/03/2025</w:t>
            </w:r>
          </w:p>
        </w:tc>
      </w:tr>
      <w:tr w:rsidR="0071441C" w:rsidRPr="0071441C" w14:paraId="3FC5B506"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68F62976" w14:textId="77777777" w:rsidR="0071441C" w:rsidRPr="0071441C" w:rsidRDefault="0071441C" w:rsidP="0071441C">
            <w:pPr>
              <w:rPr>
                <w:rFonts w:ascii="Arial" w:hAnsi="Arial" w:cs="Arial"/>
                <w:b/>
                <w:bCs/>
                <w:color w:val="000000"/>
                <w:sz w:val="16"/>
                <w:szCs w:val="16"/>
              </w:rPr>
            </w:pPr>
            <w:r w:rsidRPr="0071441C">
              <w:rPr>
                <w:rFonts w:ascii="Arial" w:hAnsi="Arial" w:cs="Arial"/>
                <w:b/>
                <w:bCs/>
                <w:color w:val="000000"/>
                <w:sz w:val="16"/>
                <w:szCs w:val="16"/>
              </w:rPr>
              <w:t>Prejuízo Líquido do Período</w:t>
            </w:r>
          </w:p>
        </w:tc>
        <w:tc>
          <w:tcPr>
            <w:tcW w:w="870" w:type="pct"/>
            <w:tcBorders>
              <w:top w:val="nil"/>
              <w:left w:val="nil"/>
              <w:bottom w:val="single" w:sz="4" w:space="0" w:color="auto"/>
              <w:right w:val="single" w:sz="4" w:space="0" w:color="auto"/>
            </w:tcBorders>
            <w:noWrap/>
            <w:vAlign w:val="center"/>
            <w:hideMark/>
          </w:tcPr>
          <w:p w14:paraId="46A178A5" w14:textId="513CAC1E" w:rsidR="0071441C" w:rsidRPr="0071441C" w:rsidRDefault="0071441C" w:rsidP="0071441C">
            <w:pPr>
              <w:jc w:val="right"/>
              <w:rPr>
                <w:rFonts w:ascii="Arial" w:hAnsi="Arial" w:cs="Arial"/>
                <w:b/>
                <w:bCs/>
                <w:color w:val="000000"/>
                <w:sz w:val="16"/>
                <w:szCs w:val="16"/>
              </w:rPr>
            </w:pPr>
            <w:r w:rsidRPr="0071441C">
              <w:rPr>
                <w:rFonts w:ascii="Arial" w:hAnsi="Arial" w:cs="Arial"/>
                <w:b/>
                <w:bCs/>
                <w:color w:val="000000"/>
                <w:sz w:val="16"/>
                <w:szCs w:val="16"/>
              </w:rPr>
              <w:t xml:space="preserve">            (89.543)</w:t>
            </w:r>
          </w:p>
        </w:tc>
        <w:tc>
          <w:tcPr>
            <w:tcW w:w="795" w:type="pct"/>
            <w:tcBorders>
              <w:top w:val="nil"/>
              <w:left w:val="nil"/>
              <w:bottom w:val="single" w:sz="4" w:space="0" w:color="auto"/>
              <w:right w:val="single" w:sz="4" w:space="0" w:color="auto"/>
            </w:tcBorders>
            <w:noWrap/>
            <w:vAlign w:val="center"/>
            <w:hideMark/>
          </w:tcPr>
          <w:p w14:paraId="3B9E378B" w14:textId="77777777" w:rsidR="0071441C" w:rsidRPr="0071441C" w:rsidRDefault="0071441C" w:rsidP="0071441C">
            <w:pPr>
              <w:jc w:val="right"/>
              <w:rPr>
                <w:rFonts w:ascii="Arial" w:hAnsi="Arial" w:cs="Arial"/>
                <w:b/>
                <w:bCs/>
                <w:color w:val="000000"/>
                <w:sz w:val="16"/>
                <w:szCs w:val="16"/>
              </w:rPr>
            </w:pPr>
            <w:r w:rsidRPr="0071441C">
              <w:rPr>
                <w:rFonts w:ascii="Arial" w:hAnsi="Arial" w:cs="Arial"/>
                <w:b/>
                <w:bCs/>
                <w:color w:val="000000"/>
                <w:sz w:val="16"/>
                <w:szCs w:val="16"/>
              </w:rPr>
              <w:t>(10.905)</w:t>
            </w:r>
          </w:p>
        </w:tc>
      </w:tr>
      <w:tr w:rsidR="0071441C" w:rsidRPr="0071441C" w14:paraId="27986579"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1EBE85BE" w14:textId="77777777" w:rsidR="0071441C" w:rsidRPr="0071441C" w:rsidRDefault="0071441C" w:rsidP="0071441C">
            <w:pPr>
              <w:rPr>
                <w:rFonts w:ascii="Arial" w:hAnsi="Arial" w:cs="Arial"/>
                <w:b/>
                <w:bCs/>
                <w:color w:val="000000"/>
                <w:sz w:val="16"/>
                <w:szCs w:val="16"/>
              </w:rPr>
            </w:pPr>
            <w:r w:rsidRPr="0071441C">
              <w:rPr>
                <w:rFonts w:ascii="Arial" w:hAnsi="Arial" w:cs="Arial"/>
                <w:b/>
                <w:bCs/>
                <w:color w:val="000000"/>
                <w:sz w:val="16"/>
                <w:szCs w:val="16"/>
              </w:rPr>
              <w:t>Distribuição do resultado em relação ao tipo de Ação:</w:t>
            </w:r>
          </w:p>
        </w:tc>
        <w:tc>
          <w:tcPr>
            <w:tcW w:w="870" w:type="pct"/>
            <w:tcBorders>
              <w:top w:val="nil"/>
              <w:left w:val="nil"/>
              <w:bottom w:val="single" w:sz="4" w:space="0" w:color="auto"/>
              <w:right w:val="single" w:sz="4" w:space="0" w:color="auto"/>
            </w:tcBorders>
            <w:noWrap/>
            <w:vAlign w:val="center"/>
            <w:hideMark/>
          </w:tcPr>
          <w:p w14:paraId="0E1D8658" w14:textId="6B9B030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c>
          <w:tcPr>
            <w:tcW w:w="795" w:type="pct"/>
            <w:tcBorders>
              <w:top w:val="nil"/>
              <w:left w:val="nil"/>
              <w:bottom w:val="single" w:sz="4" w:space="0" w:color="auto"/>
              <w:right w:val="single" w:sz="4" w:space="0" w:color="auto"/>
            </w:tcBorders>
            <w:noWrap/>
            <w:vAlign w:val="center"/>
            <w:hideMark/>
          </w:tcPr>
          <w:p w14:paraId="1DB799EA"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r>
      <w:tr w:rsidR="0071441C" w:rsidRPr="0071441C" w14:paraId="71BCDBF9"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1C79A707" w14:textId="77777777" w:rsidR="0071441C" w:rsidRPr="0071441C" w:rsidRDefault="0071441C" w:rsidP="0071441C">
            <w:pPr>
              <w:rPr>
                <w:rFonts w:ascii="Arial" w:hAnsi="Arial" w:cs="Arial"/>
                <w:color w:val="000000"/>
                <w:sz w:val="18"/>
                <w:szCs w:val="18"/>
              </w:rPr>
            </w:pPr>
            <w:r w:rsidRPr="0071441C">
              <w:rPr>
                <w:rFonts w:ascii="Arial" w:hAnsi="Arial" w:cs="Arial"/>
                <w:color w:val="000000"/>
                <w:sz w:val="18"/>
                <w:szCs w:val="18"/>
              </w:rPr>
              <w:t>Prejuízo alocado às ações ordinárias – básicas e diluídas</w:t>
            </w:r>
          </w:p>
        </w:tc>
        <w:tc>
          <w:tcPr>
            <w:tcW w:w="870" w:type="pct"/>
            <w:tcBorders>
              <w:top w:val="nil"/>
              <w:left w:val="nil"/>
              <w:bottom w:val="single" w:sz="4" w:space="0" w:color="auto"/>
              <w:right w:val="single" w:sz="4" w:space="0" w:color="auto"/>
            </w:tcBorders>
            <w:noWrap/>
            <w:vAlign w:val="center"/>
            <w:hideMark/>
          </w:tcPr>
          <w:p w14:paraId="020989BE" w14:textId="2D93E3C2"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xml:space="preserve">            (73.381)</w:t>
            </w:r>
          </w:p>
        </w:tc>
        <w:tc>
          <w:tcPr>
            <w:tcW w:w="795" w:type="pct"/>
            <w:tcBorders>
              <w:top w:val="nil"/>
              <w:left w:val="nil"/>
              <w:bottom w:val="single" w:sz="4" w:space="0" w:color="auto"/>
              <w:right w:val="single" w:sz="4" w:space="0" w:color="auto"/>
            </w:tcBorders>
            <w:noWrap/>
            <w:vAlign w:val="center"/>
            <w:hideMark/>
          </w:tcPr>
          <w:p w14:paraId="42F5FB77"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(8.581)</w:t>
            </w:r>
          </w:p>
        </w:tc>
      </w:tr>
      <w:tr w:rsidR="0071441C" w:rsidRPr="0071441C" w14:paraId="1D54C313"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754FC4D5" w14:textId="77777777" w:rsidR="0071441C" w:rsidRPr="0071441C" w:rsidRDefault="0071441C" w:rsidP="0071441C">
            <w:pPr>
              <w:rPr>
                <w:rFonts w:ascii="Arial" w:hAnsi="Arial" w:cs="Arial"/>
                <w:color w:val="000000"/>
                <w:sz w:val="18"/>
                <w:szCs w:val="18"/>
              </w:rPr>
            </w:pPr>
            <w:r w:rsidRPr="0071441C">
              <w:rPr>
                <w:rFonts w:ascii="Arial" w:hAnsi="Arial" w:cs="Arial"/>
                <w:color w:val="000000"/>
                <w:sz w:val="18"/>
                <w:szCs w:val="18"/>
              </w:rPr>
              <w:t>Prejuízo alocado às ações preferenciais – básicas e diluídas</w:t>
            </w:r>
          </w:p>
        </w:tc>
        <w:tc>
          <w:tcPr>
            <w:tcW w:w="870" w:type="pct"/>
            <w:tcBorders>
              <w:top w:val="nil"/>
              <w:left w:val="nil"/>
              <w:bottom w:val="single" w:sz="4" w:space="0" w:color="auto"/>
              <w:right w:val="single" w:sz="4" w:space="0" w:color="auto"/>
            </w:tcBorders>
            <w:noWrap/>
            <w:vAlign w:val="center"/>
            <w:hideMark/>
          </w:tcPr>
          <w:p w14:paraId="103F1671" w14:textId="02A63EED"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xml:space="preserve">            (16.162)</w:t>
            </w:r>
          </w:p>
        </w:tc>
        <w:tc>
          <w:tcPr>
            <w:tcW w:w="795" w:type="pct"/>
            <w:tcBorders>
              <w:top w:val="nil"/>
              <w:left w:val="nil"/>
              <w:bottom w:val="single" w:sz="4" w:space="0" w:color="auto"/>
              <w:right w:val="single" w:sz="4" w:space="0" w:color="auto"/>
            </w:tcBorders>
            <w:noWrap/>
            <w:vAlign w:val="center"/>
            <w:hideMark/>
          </w:tcPr>
          <w:p w14:paraId="5F4CB8A7"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(2.324)</w:t>
            </w:r>
          </w:p>
        </w:tc>
      </w:tr>
      <w:tr w:rsidR="0071441C" w:rsidRPr="0071441C" w14:paraId="5091DDDC"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57CC72AA" w14:textId="77777777" w:rsidR="0071441C" w:rsidRPr="0071441C" w:rsidRDefault="0071441C" w:rsidP="0071441C">
            <w:pPr>
              <w:rPr>
                <w:rFonts w:ascii="Arial" w:hAnsi="Arial" w:cs="Arial"/>
                <w:color w:val="000000"/>
                <w:sz w:val="16"/>
                <w:szCs w:val="16"/>
              </w:rPr>
            </w:pPr>
            <w:r w:rsidRPr="0071441C">
              <w:rPr>
                <w:rFonts w:ascii="Arial" w:hAnsi="Arial" w:cs="Arial"/>
                <w:color w:val="000000"/>
                <w:sz w:val="16"/>
                <w:szCs w:val="16"/>
              </w:rPr>
              <w:t> </w:t>
            </w:r>
          </w:p>
        </w:tc>
        <w:tc>
          <w:tcPr>
            <w:tcW w:w="870" w:type="pct"/>
            <w:tcBorders>
              <w:top w:val="nil"/>
              <w:left w:val="nil"/>
              <w:bottom w:val="single" w:sz="4" w:space="0" w:color="auto"/>
              <w:right w:val="single" w:sz="4" w:space="0" w:color="auto"/>
            </w:tcBorders>
            <w:noWrap/>
            <w:vAlign w:val="center"/>
            <w:hideMark/>
          </w:tcPr>
          <w:p w14:paraId="5957B787" w14:textId="374B5480"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c>
          <w:tcPr>
            <w:tcW w:w="795" w:type="pct"/>
            <w:tcBorders>
              <w:top w:val="nil"/>
              <w:left w:val="nil"/>
              <w:bottom w:val="single" w:sz="4" w:space="0" w:color="auto"/>
              <w:right w:val="single" w:sz="4" w:space="0" w:color="auto"/>
            </w:tcBorders>
            <w:noWrap/>
            <w:vAlign w:val="center"/>
            <w:hideMark/>
          </w:tcPr>
          <w:p w14:paraId="152892BB"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r>
      <w:tr w:rsidR="0071441C" w:rsidRPr="0071441C" w14:paraId="2A5D0FAD"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06F9172B" w14:textId="77777777" w:rsidR="0071441C" w:rsidRPr="0071441C" w:rsidRDefault="0071441C" w:rsidP="0071441C">
            <w:pPr>
              <w:rPr>
                <w:rFonts w:ascii="Arial" w:hAnsi="Arial" w:cs="Arial"/>
                <w:b/>
                <w:bCs/>
                <w:color w:val="000000"/>
                <w:sz w:val="16"/>
                <w:szCs w:val="16"/>
              </w:rPr>
            </w:pPr>
            <w:r w:rsidRPr="0071441C">
              <w:rPr>
                <w:rFonts w:ascii="Arial" w:hAnsi="Arial" w:cs="Arial"/>
                <w:b/>
                <w:bCs/>
                <w:color w:val="000000"/>
                <w:sz w:val="16"/>
                <w:szCs w:val="16"/>
              </w:rPr>
              <w:t>Média ponderada das ações em circulação (Em milhares de Ações):</w:t>
            </w:r>
          </w:p>
        </w:tc>
        <w:tc>
          <w:tcPr>
            <w:tcW w:w="870" w:type="pct"/>
            <w:tcBorders>
              <w:top w:val="nil"/>
              <w:left w:val="nil"/>
              <w:bottom w:val="single" w:sz="4" w:space="0" w:color="auto"/>
              <w:right w:val="single" w:sz="4" w:space="0" w:color="auto"/>
            </w:tcBorders>
            <w:noWrap/>
            <w:vAlign w:val="center"/>
            <w:hideMark/>
          </w:tcPr>
          <w:p w14:paraId="1CFA82B9" w14:textId="661C250F"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c>
          <w:tcPr>
            <w:tcW w:w="795" w:type="pct"/>
            <w:tcBorders>
              <w:top w:val="nil"/>
              <w:left w:val="nil"/>
              <w:bottom w:val="single" w:sz="4" w:space="0" w:color="auto"/>
              <w:right w:val="single" w:sz="4" w:space="0" w:color="auto"/>
            </w:tcBorders>
            <w:noWrap/>
            <w:vAlign w:val="center"/>
            <w:hideMark/>
          </w:tcPr>
          <w:p w14:paraId="5175AC3A"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r>
      <w:tr w:rsidR="0071441C" w:rsidRPr="0071441C" w14:paraId="55312018"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4F2F3B2F" w14:textId="77777777" w:rsidR="0071441C" w:rsidRPr="0071441C" w:rsidRDefault="0071441C" w:rsidP="0071441C">
            <w:pPr>
              <w:rPr>
                <w:rFonts w:ascii="Arial" w:hAnsi="Arial" w:cs="Arial"/>
                <w:color w:val="000000"/>
                <w:sz w:val="16"/>
                <w:szCs w:val="16"/>
              </w:rPr>
            </w:pPr>
            <w:r w:rsidRPr="0071441C">
              <w:rPr>
                <w:rFonts w:ascii="Arial" w:hAnsi="Arial" w:cs="Arial"/>
                <w:color w:val="000000"/>
                <w:sz w:val="16"/>
                <w:szCs w:val="16"/>
              </w:rPr>
              <w:t>Ações ordinárias – básicas e diluídas</w:t>
            </w:r>
          </w:p>
        </w:tc>
        <w:tc>
          <w:tcPr>
            <w:tcW w:w="870" w:type="pct"/>
            <w:tcBorders>
              <w:top w:val="nil"/>
              <w:left w:val="nil"/>
              <w:bottom w:val="single" w:sz="4" w:space="0" w:color="auto"/>
              <w:right w:val="single" w:sz="4" w:space="0" w:color="auto"/>
            </w:tcBorders>
            <w:vAlign w:val="center"/>
            <w:hideMark/>
          </w:tcPr>
          <w:p w14:paraId="61FE6405" w14:textId="3BCB0985"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xml:space="preserve">             83.576 </w:t>
            </w:r>
          </w:p>
        </w:tc>
        <w:tc>
          <w:tcPr>
            <w:tcW w:w="795" w:type="pct"/>
            <w:tcBorders>
              <w:top w:val="nil"/>
              <w:left w:val="nil"/>
              <w:bottom w:val="single" w:sz="4" w:space="0" w:color="auto"/>
              <w:right w:val="single" w:sz="4" w:space="0" w:color="auto"/>
            </w:tcBorders>
            <w:vAlign w:val="center"/>
            <w:hideMark/>
          </w:tcPr>
          <w:p w14:paraId="77500DDF"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67.976</w:t>
            </w:r>
          </w:p>
        </w:tc>
      </w:tr>
      <w:tr w:rsidR="0071441C" w:rsidRPr="0071441C" w14:paraId="50D6BB4E"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58A90AC4" w14:textId="77777777" w:rsidR="0071441C" w:rsidRPr="0071441C" w:rsidRDefault="0071441C" w:rsidP="0071441C">
            <w:pPr>
              <w:rPr>
                <w:rFonts w:ascii="Arial" w:hAnsi="Arial" w:cs="Arial"/>
                <w:color w:val="000000"/>
                <w:sz w:val="16"/>
                <w:szCs w:val="16"/>
              </w:rPr>
            </w:pPr>
            <w:r w:rsidRPr="0071441C">
              <w:rPr>
                <w:rFonts w:ascii="Arial" w:hAnsi="Arial" w:cs="Arial"/>
                <w:color w:val="000000"/>
                <w:sz w:val="16"/>
                <w:szCs w:val="16"/>
              </w:rPr>
              <w:t>Ações preferenciais – básicas e diluídas</w:t>
            </w:r>
          </w:p>
        </w:tc>
        <w:tc>
          <w:tcPr>
            <w:tcW w:w="870" w:type="pct"/>
            <w:tcBorders>
              <w:top w:val="nil"/>
              <w:left w:val="nil"/>
              <w:bottom w:val="single" w:sz="4" w:space="0" w:color="auto"/>
              <w:right w:val="single" w:sz="4" w:space="0" w:color="auto"/>
            </w:tcBorders>
            <w:vAlign w:val="center"/>
            <w:hideMark/>
          </w:tcPr>
          <w:p w14:paraId="680ED712" w14:textId="637840AA"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xml:space="preserve">             18.407 </w:t>
            </w:r>
          </w:p>
        </w:tc>
        <w:tc>
          <w:tcPr>
            <w:tcW w:w="795" w:type="pct"/>
            <w:tcBorders>
              <w:top w:val="nil"/>
              <w:left w:val="nil"/>
              <w:bottom w:val="single" w:sz="4" w:space="0" w:color="auto"/>
              <w:right w:val="single" w:sz="4" w:space="0" w:color="auto"/>
            </w:tcBorders>
            <w:vAlign w:val="center"/>
            <w:hideMark/>
          </w:tcPr>
          <w:p w14:paraId="1C5DAD86"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18.407</w:t>
            </w:r>
          </w:p>
        </w:tc>
      </w:tr>
      <w:tr w:rsidR="0071441C" w:rsidRPr="0071441C" w14:paraId="7CAA9421"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58DC8011" w14:textId="77777777" w:rsidR="0071441C" w:rsidRPr="0071441C" w:rsidRDefault="0071441C" w:rsidP="0071441C">
            <w:pPr>
              <w:rPr>
                <w:rFonts w:ascii="Arial" w:hAnsi="Arial" w:cs="Arial"/>
                <w:color w:val="000000"/>
                <w:sz w:val="16"/>
                <w:szCs w:val="16"/>
              </w:rPr>
            </w:pPr>
            <w:r w:rsidRPr="0071441C">
              <w:rPr>
                <w:rFonts w:ascii="Arial" w:hAnsi="Arial" w:cs="Arial"/>
                <w:color w:val="000000"/>
                <w:sz w:val="16"/>
                <w:szCs w:val="16"/>
              </w:rPr>
              <w:t> </w:t>
            </w:r>
          </w:p>
        </w:tc>
        <w:tc>
          <w:tcPr>
            <w:tcW w:w="870" w:type="pct"/>
            <w:tcBorders>
              <w:top w:val="nil"/>
              <w:left w:val="nil"/>
              <w:bottom w:val="single" w:sz="4" w:space="0" w:color="auto"/>
              <w:right w:val="single" w:sz="4" w:space="0" w:color="auto"/>
            </w:tcBorders>
            <w:noWrap/>
            <w:vAlign w:val="center"/>
            <w:hideMark/>
          </w:tcPr>
          <w:p w14:paraId="1E29F920" w14:textId="4E366AC3"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c>
          <w:tcPr>
            <w:tcW w:w="795" w:type="pct"/>
            <w:tcBorders>
              <w:top w:val="nil"/>
              <w:left w:val="nil"/>
              <w:bottom w:val="single" w:sz="4" w:space="0" w:color="auto"/>
              <w:right w:val="single" w:sz="4" w:space="0" w:color="auto"/>
            </w:tcBorders>
            <w:noWrap/>
            <w:vAlign w:val="center"/>
            <w:hideMark/>
          </w:tcPr>
          <w:p w14:paraId="4B46F826"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r>
      <w:tr w:rsidR="0071441C" w:rsidRPr="0071441C" w14:paraId="60D38FE9"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3701BD62" w14:textId="77777777" w:rsidR="0071441C" w:rsidRPr="0071441C" w:rsidRDefault="0071441C" w:rsidP="0071441C">
            <w:pPr>
              <w:rPr>
                <w:rFonts w:ascii="Arial" w:hAnsi="Arial" w:cs="Arial"/>
                <w:b/>
                <w:bCs/>
                <w:color w:val="000000"/>
                <w:sz w:val="16"/>
                <w:szCs w:val="16"/>
              </w:rPr>
            </w:pPr>
            <w:r w:rsidRPr="0071441C">
              <w:rPr>
                <w:rFonts w:ascii="Arial" w:hAnsi="Arial" w:cs="Arial"/>
                <w:b/>
                <w:bCs/>
                <w:color w:val="000000"/>
                <w:sz w:val="16"/>
                <w:szCs w:val="16"/>
              </w:rPr>
              <w:t>Prejuízo por ação (Em Reais):</w:t>
            </w:r>
          </w:p>
        </w:tc>
        <w:tc>
          <w:tcPr>
            <w:tcW w:w="870" w:type="pct"/>
            <w:tcBorders>
              <w:top w:val="nil"/>
              <w:left w:val="nil"/>
              <w:bottom w:val="single" w:sz="4" w:space="0" w:color="auto"/>
              <w:right w:val="single" w:sz="4" w:space="0" w:color="auto"/>
            </w:tcBorders>
            <w:vAlign w:val="center"/>
            <w:hideMark/>
          </w:tcPr>
          <w:p w14:paraId="58CB3B22" w14:textId="6663C2DC"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c>
          <w:tcPr>
            <w:tcW w:w="795" w:type="pct"/>
            <w:tcBorders>
              <w:top w:val="nil"/>
              <w:left w:val="nil"/>
              <w:bottom w:val="single" w:sz="4" w:space="0" w:color="auto"/>
              <w:right w:val="single" w:sz="4" w:space="0" w:color="auto"/>
            </w:tcBorders>
            <w:vAlign w:val="center"/>
            <w:hideMark/>
          </w:tcPr>
          <w:p w14:paraId="07A85BB9"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w:t>
            </w:r>
          </w:p>
        </w:tc>
      </w:tr>
      <w:tr w:rsidR="0071441C" w:rsidRPr="0071441C" w14:paraId="76C2D758"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2F44D754" w14:textId="77777777" w:rsidR="0071441C" w:rsidRPr="0071441C" w:rsidRDefault="0071441C" w:rsidP="0071441C">
            <w:pPr>
              <w:rPr>
                <w:rFonts w:ascii="Arial" w:hAnsi="Arial" w:cs="Arial"/>
                <w:color w:val="000000"/>
                <w:sz w:val="16"/>
                <w:szCs w:val="16"/>
              </w:rPr>
            </w:pPr>
            <w:r w:rsidRPr="0071441C">
              <w:rPr>
                <w:rFonts w:ascii="Arial" w:hAnsi="Arial" w:cs="Arial"/>
                <w:color w:val="000000"/>
                <w:sz w:val="16"/>
                <w:szCs w:val="16"/>
              </w:rPr>
              <w:t>Ações ordinárias – básicas e diluídas</w:t>
            </w:r>
          </w:p>
        </w:tc>
        <w:tc>
          <w:tcPr>
            <w:tcW w:w="870" w:type="pct"/>
            <w:tcBorders>
              <w:top w:val="nil"/>
              <w:left w:val="nil"/>
              <w:bottom w:val="single" w:sz="4" w:space="0" w:color="auto"/>
              <w:right w:val="single" w:sz="4" w:space="0" w:color="auto"/>
            </w:tcBorders>
            <w:vAlign w:val="center"/>
            <w:hideMark/>
          </w:tcPr>
          <w:p w14:paraId="7F058AC0" w14:textId="12B82E9D"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xml:space="preserve">            (0,8780)</w:t>
            </w:r>
          </w:p>
        </w:tc>
        <w:tc>
          <w:tcPr>
            <w:tcW w:w="795" w:type="pct"/>
            <w:tcBorders>
              <w:top w:val="nil"/>
              <w:left w:val="nil"/>
              <w:bottom w:val="single" w:sz="4" w:space="0" w:color="auto"/>
              <w:right w:val="single" w:sz="4" w:space="0" w:color="auto"/>
            </w:tcBorders>
            <w:vAlign w:val="center"/>
            <w:hideMark/>
          </w:tcPr>
          <w:p w14:paraId="12A8F4C5" w14:textId="77777777"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(0,1262)</w:t>
            </w:r>
          </w:p>
        </w:tc>
      </w:tr>
      <w:tr w:rsidR="0071441C" w14:paraId="1007156B" w14:textId="77777777" w:rsidTr="0071441C">
        <w:trPr>
          <w:trHeight w:val="232"/>
        </w:trPr>
        <w:tc>
          <w:tcPr>
            <w:tcW w:w="3335" w:type="pct"/>
            <w:tcBorders>
              <w:top w:val="nil"/>
              <w:left w:val="single" w:sz="4" w:space="0" w:color="auto"/>
              <w:bottom w:val="single" w:sz="4" w:space="0" w:color="auto"/>
              <w:right w:val="single" w:sz="4" w:space="0" w:color="auto"/>
            </w:tcBorders>
            <w:vAlign w:val="center"/>
            <w:hideMark/>
          </w:tcPr>
          <w:p w14:paraId="2BCC4A80" w14:textId="77777777" w:rsidR="0071441C" w:rsidRPr="0071441C" w:rsidRDefault="0071441C" w:rsidP="0071441C">
            <w:pPr>
              <w:rPr>
                <w:rFonts w:ascii="Arial" w:hAnsi="Arial" w:cs="Arial"/>
                <w:color w:val="000000"/>
                <w:sz w:val="16"/>
                <w:szCs w:val="16"/>
              </w:rPr>
            </w:pPr>
            <w:r w:rsidRPr="0071441C">
              <w:rPr>
                <w:rFonts w:ascii="Arial" w:hAnsi="Arial" w:cs="Arial"/>
                <w:color w:val="000000"/>
                <w:sz w:val="16"/>
                <w:szCs w:val="16"/>
              </w:rPr>
              <w:t>Ações preferenciais – básicas e diluídas</w:t>
            </w:r>
          </w:p>
        </w:tc>
        <w:tc>
          <w:tcPr>
            <w:tcW w:w="870" w:type="pct"/>
            <w:tcBorders>
              <w:top w:val="nil"/>
              <w:left w:val="nil"/>
              <w:bottom w:val="single" w:sz="4" w:space="0" w:color="auto"/>
              <w:right w:val="single" w:sz="4" w:space="0" w:color="auto"/>
            </w:tcBorders>
            <w:vAlign w:val="center"/>
            <w:hideMark/>
          </w:tcPr>
          <w:p w14:paraId="5752C9F8" w14:textId="5A2C3895" w:rsidR="0071441C" w:rsidRPr="0071441C" w:rsidRDefault="0071441C" w:rsidP="0071441C">
            <w:pPr>
              <w:jc w:val="right"/>
              <w:rPr>
                <w:rFonts w:ascii="Arial" w:hAnsi="Arial" w:cs="Arial"/>
                <w:color w:val="000000"/>
                <w:sz w:val="16"/>
                <w:szCs w:val="16"/>
              </w:rPr>
            </w:pPr>
            <w:r w:rsidRPr="0071441C">
              <w:rPr>
                <w:rFonts w:ascii="Arial" w:hAnsi="Arial" w:cs="Arial"/>
                <w:color w:val="000000"/>
                <w:sz w:val="16"/>
                <w:szCs w:val="16"/>
              </w:rPr>
              <w:t xml:space="preserve">            (0,8780)</w:t>
            </w:r>
          </w:p>
        </w:tc>
        <w:tc>
          <w:tcPr>
            <w:tcW w:w="795" w:type="pct"/>
            <w:tcBorders>
              <w:top w:val="nil"/>
              <w:left w:val="nil"/>
              <w:bottom w:val="single" w:sz="4" w:space="0" w:color="auto"/>
              <w:right w:val="single" w:sz="4" w:space="0" w:color="auto"/>
            </w:tcBorders>
            <w:vAlign w:val="center"/>
            <w:hideMark/>
          </w:tcPr>
          <w:p w14:paraId="1E1B1526" w14:textId="77777777" w:rsidR="0071441C" w:rsidRDefault="0071441C" w:rsidP="0071441C">
            <w:pPr>
              <w:jc w:val="right"/>
              <w:rPr>
                <w:rFonts w:ascii="Arial" w:hAnsi="Arial" w:cs="Arial"/>
                <w:color w:val="000000"/>
                <w:sz w:val="16"/>
                <w:szCs w:val="16"/>
              </w:rPr>
            </w:pPr>
            <w:r w:rsidRPr="0071441C">
              <w:rPr>
                <w:rFonts w:ascii="Arial" w:hAnsi="Arial" w:cs="Arial"/>
                <w:color w:val="000000"/>
                <w:sz w:val="16"/>
                <w:szCs w:val="16"/>
              </w:rPr>
              <w:t>(0,1262)</w:t>
            </w:r>
          </w:p>
        </w:tc>
      </w:tr>
    </w:tbl>
    <w:p w14:paraId="14B1E106" w14:textId="77777777" w:rsidR="00E3277A" w:rsidRDefault="00E3277A" w:rsidP="00E161E4">
      <w:pPr>
        <w:pStyle w:val="Corpodetexto"/>
        <w:spacing w:before="0" w:after="0" w:line="276" w:lineRule="auto"/>
        <w:rPr>
          <w:rFonts w:ascii="Arial" w:hAnsi="Arial" w:cs="Arial"/>
        </w:rPr>
      </w:pPr>
    </w:p>
    <w:p w14:paraId="2CAA9768" w14:textId="217E520F" w:rsidR="001A2823" w:rsidRDefault="00FD5BC4" w:rsidP="009541E1">
      <w:pPr>
        <w:pStyle w:val="Ttulo2"/>
        <w:numPr>
          <w:ilvl w:val="0"/>
          <w:numId w:val="7"/>
        </w:numPr>
        <w:tabs>
          <w:tab w:val="clear" w:pos="284"/>
          <w:tab w:val="clear" w:pos="340"/>
        </w:tabs>
        <w:spacing w:before="0" w:after="0"/>
        <w:ind w:left="851" w:hanging="851"/>
        <w:jc w:val="both"/>
        <w:rPr>
          <w:rFonts w:ascii="Arial" w:hAnsi="Arial" w:cs="Arial"/>
        </w:rPr>
      </w:pPr>
      <w:bookmarkStart w:id="60" w:name="_Toc491337770"/>
      <w:r>
        <w:rPr>
          <w:rFonts w:ascii="Arial" w:hAnsi="Arial" w:cs="Arial"/>
        </w:rPr>
        <w:t xml:space="preserve">RECEITA </w:t>
      </w:r>
      <w:r w:rsidR="001A2823" w:rsidRPr="002A36CE">
        <w:rPr>
          <w:rFonts w:ascii="Arial" w:hAnsi="Arial" w:cs="Arial"/>
        </w:rPr>
        <w:t>OPERACIONAL LÍQUIDA</w:t>
      </w:r>
      <w:bookmarkEnd w:id="60"/>
    </w:p>
    <w:p w14:paraId="061EC266" w14:textId="1E2AACD8" w:rsidR="00332B5E" w:rsidRDefault="00332B5E" w:rsidP="00332B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7"/>
        <w:gridCol w:w="1806"/>
        <w:gridCol w:w="2298"/>
      </w:tblGrid>
      <w:tr w:rsidR="008D6A75" w:rsidRPr="004D260F" w14:paraId="5873E744" w14:textId="77777777" w:rsidTr="008D6A75">
        <w:trPr>
          <w:trHeight w:val="232"/>
        </w:trPr>
        <w:tc>
          <w:tcPr>
            <w:tcW w:w="2900" w:type="pct"/>
            <w:shd w:val="clear" w:color="000000" w:fill="D9D9D9"/>
            <w:noWrap/>
            <w:vAlign w:val="center"/>
            <w:hideMark/>
          </w:tcPr>
          <w:p w14:paraId="3E0F4B6C" w14:textId="77777777" w:rsidR="008D6A75" w:rsidRPr="004D260F" w:rsidRDefault="008D6A75">
            <w:pPr>
              <w:rPr>
                <w:rFonts w:ascii="Arial" w:hAnsi="Arial" w:cs="Arial"/>
                <w:b/>
                <w:bCs/>
                <w:color w:val="000000"/>
                <w:sz w:val="18"/>
                <w:szCs w:val="18"/>
              </w:rPr>
            </w:pPr>
            <w:r w:rsidRPr="004D260F">
              <w:rPr>
                <w:rFonts w:ascii="Arial" w:hAnsi="Arial" w:cs="Arial"/>
                <w:b/>
                <w:bCs/>
                <w:color w:val="000000"/>
                <w:sz w:val="18"/>
                <w:szCs w:val="18"/>
              </w:rPr>
              <w:t>Composição: </w:t>
            </w:r>
          </w:p>
        </w:tc>
        <w:tc>
          <w:tcPr>
            <w:tcW w:w="924" w:type="pct"/>
            <w:noWrap/>
            <w:vAlign w:val="center"/>
            <w:hideMark/>
          </w:tcPr>
          <w:p w14:paraId="6BCD52B6" w14:textId="3935EA51" w:rsidR="008D6A75" w:rsidRPr="004D260F" w:rsidRDefault="008D6A75">
            <w:pPr>
              <w:jc w:val="center"/>
              <w:rPr>
                <w:rFonts w:ascii="Arial" w:hAnsi="Arial" w:cs="Arial"/>
                <w:b/>
                <w:bCs/>
                <w:color w:val="000000"/>
                <w:sz w:val="18"/>
                <w:szCs w:val="18"/>
              </w:rPr>
            </w:pPr>
            <w:r w:rsidRPr="004D260F">
              <w:rPr>
                <w:rFonts w:ascii="Arial" w:hAnsi="Arial" w:cs="Arial"/>
                <w:b/>
                <w:bCs/>
                <w:color w:val="000000"/>
                <w:sz w:val="18"/>
                <w:szCs w:val="18"/>
              </w:rPr>
              <w:t>31/03/202</w:t>
            </w:r>
            <w:r w:rsidR="009538DC" w:rsidRPr="004D260F">
              <w:rPr>
                <w:rFonts w:ascii="Arial" w:hAnsi="Arial" w:cs="Arial"/>
                <w:b/>
                <w:bCs/>
                <w:color w:val="000000"/>
                <w:sz w:val="18"/>
                <w:szCs w:val="18"/>
              </w:rPr>
              <w:t>6</w:t>
            </w:r>
          </w:p>
        </w:tc>
        <w:tc>
          <w:tcPr>
            <w:tcW w:w="1176" w:type="pct"/>
            <w:noWrap/>
            <w:vAlign w:val="center"/>
            <w:hideMark/>
          </w:tcPr>
          <w:p w14:paraId="3EEB0036" w14:textId="77777777" w:rsidR="008D6A75" w:rsidRPr="004D260F" w:rsidRDefault="008D6A75">
            <w:pPr>
              <w:jc w:val="center"/>
              <w:rPr>
                <w:rFonts w:ascii="Arial" w:hAnsi="Arial" w:cs="Arial"/>
                <w:b/>
                <w:bCs/>
                <w:color w:val="000000"/>
                <w:sz w:val="18"/>
                <w:szCs w:val="18"/>
              </w:rPr>
            </w:pPr>
            <w:r w:rsidRPr="004D260F">
              <w:rPr>
                <w:rFonts w:ascii="Arial" w:hAnsi="Arial" w:cs="Arial"/>
                <w:b/>
                <w:bCs/>
                <w:color w:val="000000"/>
                <w:sz w:val="18"/>
                <w:szCs w:val="18"/>
              </w:rPr>
              <w:t>31/03/2025</w:t>
            </w:r>
          </w:p>
        </w:tc>
      </w:tr>
      <w:tr w:rsidR="00DC0E18" w:rsidRPr="004D260F" w14:paraId="58D2F7E7" w14:textId="77777777" w:rsidTr="008D6A75">
        <w:trPr>
          <w:trHeight w:val="232"/>
        </w:trPr>
        <w:tc>
          <w:tcPr>
            <w:tcW w:w="2900" w:type="pct"/>
            <w:noWrap/>
            <w:vAlign w:val="center"/>
            <w:hideMark/>
          </w:tcPr>
          <w:p w14:paraId="717BF8C3" w14:textId="77777777" w:rsidR="00DC0E18" w:rsidRPr="004D260F" w:rsidRDefault="00DC0E18" w:rsidP="00DC0E18">
            <w:pPr>
              <w:rPr>
                <w:rFonts w:ascii="Arial" w:hAnsi="Arial" w:cs="Arial"/>
                <w:color w:val="000000"/>
                <w:sz w:val="18"/>
                <w:szCs w:val="18"/>
              </w:rPr>
            </w:pPr>
            <w:r w:rsidRPr="004D260F">
              <w:rPr>
                <w:rFonts w:ascii="Arial" w:hAnsi="Arial" w:cs="Arial"/>
                <w:color w:val="000000"/>
                <w:sz w:val="18"/>
                <w:szCs w:val="18"/>
              </w:rPr>
              <w:t>Serviço de Comunicação e Multimídia</w:t>
            </w:r>
          </w:p>
        </w:tc>
        <w:tc>
          <w:tcPr>
            <w:tcW w:w="924" w:type="pct"/>
            <w:noWrap/>
            <w:vAlign w:val="center"/>
            <w:hideMark/>
          </w:tcPr>
          <w:p w14:paraId="3C03419C" w14:textId="6DCB4C2E"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 xml:space="preserve">    116.165 </w:t>
            </w:r>
          </w:p>
        </w:tc>
        <w:tc>
          <w:tcPr>
            <w:tcW w:w="1176" w:type="pct"/>
            <w:noWrap/>
            <w:vAlign w:val="center"/>
            <w:hideMark/>
          </w:tcPr>
          <w:p w14:paraId="63F8BF62" w14:textId="77777777"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100.390</w:t>
            </w:r>
          </w:p>
        </w:tc>
      </w:tr>
      <w:tr w:rsidR="00DC0E18" w:rsidRPr="004D260F" w14:paraId="56698568" w14:textId="77777777" w:rsidTr="008D6A75">
        <w:trPr>
          <w:trHeight w:val="232"/>
        </w:trPr>
        <w:tc>
          <w:tcPr>
            <w:tcW w:w="2900" w:type="pct"/>
            <w:noWrap/>
            <w:vAlign w:val="center"/>
            <w:hideMark/>
          </w:tcPr>
          <w:p w14:paraId="307D48F0" w14:textId="77777777" w:rsidR="00DC0E18" w:rsidRPr="004D260F" w:rsidRDefault="00DC0E18" w:rsidP="00DC0E18">
            <w:pPr>
              <w:rPr>
                <w:rFonts w:ascii="Arial" w:hAnsi="Arial" w:cs="Arial"/>
                <w:color w:val="000000"/>
                <w:sz w:val="18"/>
                <w:szCs w:val="18"/>
              </w:rPr>
            </w:pPr>
            <w:r w:rsidRPr="004D260F">
              <w:rPr>
                <w:rFonts w:ascii="Arial" w:hAnsi="Arial" w:cs="Arial"/>
                <w:color w:val="000000"/>
                <w:sz w:val="18"/>
                <w:szCs w:val="18"/>
              </w:rPr>
              <w:t>Serviço de Valor Adicionado</w:t>
            </w:r>
          </w:p>
        </w:tc>
        <w:tc>
          <w:tcPr>
            <w:tcW w:w="924" w:type="pct"/>
            <w:noWrap/>
            <w:vAlign w:val="center"/>
            <w:hideMark/>
          </w:tcPr>
          <w:p w14:paraId="5163E7DE" w14:textId="63671510"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 xml:space="preserve">      11.235 </w:t>
            </w:r>
          </w:p>
        </w:tc>
        <w:tc>
          <w:tcPr>
            <w:tcW w:w="1176" w:type="pct"/>
            <w:noWrap/>
            <w:vAlign w:val="center"/>
            <w:hideMark/>
          </w:tcPr>
          <w:p w14:paraId="00C310D6" w14:textId="77777777"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5.010</w:t>
            </w:r>
          </w:p>
        </w:tc>
      </w:tr>
      <w:tr w:rsidR="00DC0E18" w:rsidRPr="004D260F" w14:paraId="1C146FD5" w14:textId="77777777" w:rsidTr="008D6A75">
        <w:trPr>
          <w:trHeight w:val="232"/>
        </w:trPr>
        <w:tc>
          <w:tcPr>
            <w:tcW w:w="2900" w:type="pct"/>
            <w:noWrap/>
            <w:vAlign w:val="center"/>
            <w:hideMark/>
          </w:tcPr>
          <w:p w14:paraId="292FD24E" w14:textId="77777777" w:rsidR="00DC0E18" w:rsidRPr="004D260F" w:rsidRDefault="00DC0E18" w:rsidP="00DC0E18">
            <w:pPr>
              <w:rPr>
                <w:rFonts w:ascii="Arial" w:hAnsi="Arial" w:cs="Arial"/>
                <w:color w:val="000000"/>
                <w:sz w:val="18"/>
                <w:szCs w:val="18"/>
              </w:rPr>
            </w:pPr>
            <w:r w:rsidRPr="004D260F">
              <w:rPr>
                <w:rFonts w:ascii="Arial" w:hAnsi="Arial" w:cs="Arial"/>
                <w:color w:val="000000"/>
                <w:sz w:val="18"/>
                <w:szCs w:val="18"/>
              </w:rPr>
              <w:t>Locação de Capacidade Satelital</w:t>
            </w:r>
          </w:p>
        </w:tc>
        <w:tc>
          <w:tcPr>
            <w:tcW w:w="924" w:type="pct"/>
            <w:noWrap/>
            <w:vAlign w:val="center"/>
            <w:hideMark/>
          </w:tcPr>
          <w:p w14:paraId="2AA3D261" w14:textId="0757375E"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 xml:space="preserve">        9.120 </w:t>
            </w:r>
          </w:p>
        </w:tc>
        <w:tc>
          <w:tcPr>
            <w:tcW w:w="1176" w:type="pct"/>
            <w:noWrap/>
            <w:vAlign w:val="center"/>
            <w:hideMark/>
          </w:tcPr>
          <w:p w14:paraId="69CA971F" w14:textId="77777777"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9.120</w:t>
            </w:r>
          </w:p>
        </w:tc>
      </w:tr>
      <w:tr w:rsidR="00DC0E18" w:rsidRPr="004D260F" w14:paraId="7FA64CEE" w14:textId="77777777" w:rsidTr="008D6A75">
        <w:trPr>
          <w:trHeight w:val="232"/>
        </w:trPr>
        <w:tc>
          <w:tcPr>
            <w:tcW w:w="2900" w:type="pct"/>
            <w:noWrap/>
            <w:vAlign w:val="center"/>
            <w:hideMark/>
          </w:tcPr>
          <w:p w14:paraId="5713039D" w14:textId="77777777" w:rsidR="00DC0E18" w:rsidRPr="004D260F" w:rsidRDefault="00DC0E18" w:rsidP="00DC0E18">
            <w:pPr>
              <w:rPr>
                <w:rFonts w:ascii="Arial" w:hAnsi="Arial" w:cs="Arial"/>
                <w:color w:val="000000"/>
                <w:sz w:val="18"/>
                <w:szCs w:val="18"/>
              </w:rPr>
            </w:pPr>
            <w:r w:rsidRPr="004D260F">
              <w:rPr>
                <w:rFonts w:ascii="Arial" w:hAnsi="Arial" w:cs="Arial"/>
                <w:color w:val="000000"/>
                <w:sz w:val="18"/>
                <w:szCs w:val="18"/>
              </w:rPr>
              <w:t xml:space="preserve">Aluguéis e Locações </w:t>
            </w:r>
          </w:p>
        </w:tc>
        <w:tc>
          <w:tcPr>
            <w:tcW w:w="924" w:type="pct"/>
            <w:noWrap/>
            <w:vAlign w:val="center"/>
            <w:hideMark/>
          </w:tcPr>
          <w:p w14:paraId="0F7E7195" w14:textId="1B77FA92"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 xml:space="preserve">        6.173 </w:t>
            </w:r>
          </w:p>
        </w:tc>
        <w:tc>
          <w:tcPr>
            <w:tcW w:w="1176" w:type="pct"/>
            <w:noWrap/>
            <w:vAlign w:val="center"/>
            <w:hideMark/>
          </w:tcPr>
          <w:p w14:paraId="00D828EA" w14:textId="77777777"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6.506</w:t>
            </w:r>
          </w:p>
        </w:tc>
      </w:tr>
      <w:tr w:rsidR="00DC0E18" w:rsidRPr="004D260F" w14:paraId="2B7F634F" w14:textId="77777777" w:rsidTr="008D6A75">
        <w:trPr>
          <w:trHeight w:val="232"/>
        </w:trPr>
        <w:tc>
          <w:tcPr>
            <w:tcW w:w="2900" w:type="pct"/>
            <w:noWrap/>
            <w:vAlign w:val="center"/>
            <w:hideMark/>
          </w:tcPr>
          <w:p w14:paraId="29E241F2" w14:textId="77777777" w:rsidR="00DC0E18" w:rsidRPr="004D260F" w:rsidRDefault="00DC0E18" w:rsidP="00DC0E18">
            <w:pPr>
              <w:rPr>
                <w:rFonts w:ascii="Arial" w:hAnsi="Arial" w:cs="Arial"/>
                <w:color w:val="000000"/>
                <w:sz w:val="18"/>
                <w:szCs w:val="18"/>
              </w:rPr>
            </w:pPr>
            <w:r w:rsidRPr="004D260F">
              <w:rPr>
                <w:rFonts w:ascii="Arial" w:hAnsi="Arial" w:cs="Arial"/>
                <w:color w:val="000000"/>
                <w:sz w:val="18"/>
                <w:szCs w:val="18"/>
              </w:rPr>
              <w:t>Compartilhamento de Receita</w:t>
            </w:r>
          </w:p>
        </w:tc>
        <w:tc>
          <w:tcPr>
            <w:tcW w:w="924" w:type="pct"/>
            <w:noWrap/>
            <w:vAlign w:val="center"/>
            <w:hideMark/>
          </w:tcPr>
          <w:p w14:paraId="6808AD1D" w14:textId="44B838C1"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 xml:space="preserve">        1.998 </w:t>
            </w:r>
          </w:p>
        </w:tc>
        <w:tc>
          <w:tcPr>
            <w:tcW w:w="1176" w:type="pct"/>
            <w:noWrap/>
            <w:vAlign w:val="center"/>
            <w:hideMark/>
          </w:tcPr>
          <w:p w14:paraId="2FE62753" w14:textId="77777777"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2.947</w:t>
            </w:r>
          </w:p>
        </w:tc>
      </w:tr>
      <w:tr w:rsidR="00DC0E18" w:rsidRPr="004D260F" w14:paraId="3DEE78FC" w14:textId="77777777" w:rsidTr="008D6A75">
        <w:trPr>
          <w:trHeight w:val="232"/>
        </w:trPr>
        <w:tc>
          <w:tcPr>
            <w:tcW w:w="2900" w:type="pct"/>
            <w:noWrap/>
            <w:vAlign w:val="center"/>
            <w:hideMark/>
          </w:tcPr>
          <w:p w14:paraId="5111A477" w14:textId="77777777" w:rsidR="00DC0E18" w:rsidRPr="004D260F" w:rsidRDefault="00DC0E18" w:rsidP="00DC0E18">
            <w:pPr>
              <w:rPr>
                <w:rFonts w:ascii="Arial" w:hAnsi="Arial" w:cs="Arial"/>
                <w:color w:val="000000"/>
                <w:sz w:val="18"/>
                <w:szCs w:val="18"/>
              </w:rPr>
            </w:pPr>
            <w:r w:rsidRPr="004D260F">
              <w:rPr>
                <w:rFonts w:ascii="Arial" w:hAnsi="Arial" w:cs="Arial"/>
                <w:color w:val="000000"/>
                <w:sz w:val="18"/>
                <w:szCs w:val="18"/>
              </w:rPr>
              <w:t>Outras Receitas</w:t>
            </w:r>
          </w:p>
        </w:tc>
        <w:tc>
          <w:tcPr>
            <w:tcW w:w="924" w:type="pct"/>
            <w:noWrap/>
            <w:vAlign w:val="center"/>
            <w:hideMark/>
          </w:tcPr>
          <w:p w14:paraId="2CDF501C" w14:textId="687E637F"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 xml:space="preserve">           698 </w:t>
            </w:r>
          </w:p>
        </w:tc>
        <w:tc>
          <w:tcPr>
            <w:tcW w:w="1176" w:type="pct"/>
            <w:noWrap/>
            <w:vAlign w:val="center"/>
            <w:hideMark/>
          </w:tcPr>
          <w:p w14:paraId="0E1104B6" w14:textId="77777777"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2.039</w:t>
            </w:r>
          </w:p>
        </w:tc>
      </w:tr>
      <w:tr w:rsidR="00DC0E18" w:rsidRPr="004D260F" w14:paraId="4C93DB61" w14:textId="77777777" w:rsidTr="008D6A75">
        <w:trPr>
          <w:trHeight w:val="232"/>
        </w:trPr>
        <w:tc>
          <w:tcPr>
            <w:tcW w:w="2900" w:type="pct"/>
            <w:noWrap/>
            <w:vAlign w:val="center"/>
            <w:hideMark/>
          </w:tcPr>
          <w:p w14:paraId="00A41E3D" w14:textId="77777777" w:rsidR="00DC0E18" w:rsidRPr="004D260F" w:rsidRDefault="00DC0E18" w:rsidP="00DC0E18">
            <w:pPr>
              <w:rPr>
                <w:rFonts w:ascii="Arial" w:hAnsi="Arial" w:cs="Arial"/>
                <w:b/>
                <w:bCs/>
                <w:color w:val="000000"/>
                <w:sz w:val="18"/>
                <w:szCs w:val="18"/>
              </w:rPr>
            </w:pPr>
            <w:r w:rsidRPr="004D260F">
              <w:rPr>
                <w:rFonts w:ascii="Arial" w:hAnsi="Arial" w:cs="Arial"/>
                <w:b/>
                <w:bCs/>
                <w:color w:val="000000"/>
                <w:sz w:val="18"/>
                <w:szCs w:val="18"/>
              </w:rPr>
              <w:t>Receita Operacional Bruta</w:t>
            </w:r>
          </w:p>
        </w:tc>
        <w:tc>
          <w:tcPr>
            <w:tcW w:w="924" w:type="pct"/>
            <w:noWrap/>
            <w:vAlign w:val="center"/>
            <w:hideMark/>
          </w:tcPr>
          <w:p w14:paraId="3328B099" w14:textId="68EFDB72" w:rsidR="00DC0E18" w:rsidRPr="004D260F" w:rsidRDefault="00DC0E18" w:rsidP="00DC0E18">
            <w:pPr>
              <w:jc w:val="right"/>
              <w:rPr>
                <w:rFonts w:ascii="Arial" w:hAnsi="Arial" w:cs="Arial"/>
                <w:b/>
                <w:bCs/>
                <w:color w:val="000000"/>
                <w:sz w:val="18"/>
                <w:szCs w:val="18"/>
              </w:rPr>
            </w:pPr>
            <w:r w:rsidRPr="004D260F">
              <w:rPr>
                <w:rFonts w:ascii="Arial" w:hAnsi="Arial" w:cs="Arial"/>
                <w:b/>
                <w:bCs/>
                <w:color w:val="000000"/>
                <w:sz w:val="18"/>
                <w:szCs w:val="18"/>
              </w:rPr>
              <w:t xml:space="preserve">    145.389 </w:t>
            </w:r>
          </w:p>
        </w:tc>
        <w:tc>
          <w:tcPr>
            <w:tcW w:w="1176" w:type="pct"/>
            <w:noWrap/>
            <w:vAlign w:val="center"/>
            <w:hideMark/>
          </w:tcPr>
          <w:p w14:paraId="3B0BBE64" w14:textId="77777777" w:rsidR="00DC0E18" w:rsidRPr="004D260F" w:rsidRDefault="00DC0E18" w:rsidP="00DC0E18">
            <w:pPr>
              <w:jc w:val="right"/>
              <w:rPr>
                <w:rFonts w:ascii="Arial" w:hAnsi="Arial" w:cs="Arial"/>
                <w:b/>
                <w:bCs/>
                <w:color w:val="000000"/>
                <w:sz w:val="18"/>
                <w:szCs w:val="18"/>
              </w:rPr>
            </w:pPr>
            <w:r w:rsidRPr="004D260F">
              <w:rPr>
                <w:rFonts w:ascii="Arial" w:hAnsi="Arial" w:cs="Arial"/>
                <w:b/>
                <w:bCs/>
                <w:color w:val="000000"/>
                <w:sz w:val="18"/>
                <w:szCs w:val="18"/>
              </w:rPr>
              <w:t>126.012</w:t>
            </w:r>
          </w:p>
        </w:tc>
      </w:tr>
      <w:tr w:rsidR="00DC0E18" w:rsidRPr="004D260F" w14:paraId="418DAD88" w14:textId="77777777" w:rsidTr="008D6A75">
        <w:trPr>
          <w:trHeight w:val="232"/>
        </w:trPr>
        <w:tc>
          <w:tcPr>
            <w:tcW w:w="2900" w:type="pct"/>
            <w:noWrap/>
            <w:vAlign w:val="center"/>
            <w:hideMark/>
          </w:tcPr>
          <w:p w14:paraId="5F5400B0" w14:textId="77777777" w:rsidR="00DC0E18" w:rsidRPr="004D260F" w:rsidRDefault="00DC0E18" w:rsidP="00DC0E18">
            <w:pPr>
              <w:rPr>
                <w:rFonts w:ascii="Arial" w:hAnsi="Arial" w:cs="Arial"/>
                <w:color w:val="000000"/>
                <w:sz w:val="18"/>
                <w:szCs w:val="18"/>
              </w:rPr>
            </w:pPr>
            <w:r w:rsidRPr="004D260F">
              <w:rPr>
                <w:rFonts w:ascii="Arial" w:hAnsi="Arial" w:cs="Arial"/>
                <w:color w:val="000000"/>
                <w:sz w:val="18"/>
                <w:szCs w:val="18"/>
              </w:rPr>
              <w:t>Tributos sobre Receita</w:t>
            </w:r>
          </w:p>
        </w:tc>
        <w:tc>
          <w:tcPr>
            <w:tcW w:w="924" w:type="pct"/>
            <w:noWrap/>
            <w:vAlign w:val="center"/>
            <w:hideMark/>
          </w:tcPr>
          <w:p w14:paraId="34AB41B8" w14:textId="490A0064"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 xml:space="preserve">     (10.476)</w:t>
            </w:r>
          </w:p>
        </w:tc>
        <w:tc>
          <w:tcPr>
            <w:tcW w:w="1176" w:type="pct"/>
            <w:noWrap/>
            <w:vAlign w:val="center"/>
            <w:hideMark/>
          </w:tcPr>
          <w:p w14:paraId="29050B42" w14:textId="77777777"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(11.532)</w:t>
            </w:r>
          </w:p>
        </w:tc>
      </w:tr>
      <w:tr w:rsidR="00DC0E18" w:rsidRPr="004D260F" w14:paraId="7E7ACCEB" w14:textId="77777777" w:rsidTr="008D6A75">
        <w:trPr>
          <w:trHeight w:val="232"/>
        </w:trPr>
        <w:tc>
          <w:tcPr>
            <w:tcW w:w="2900" w:type="pct"/>
            <w:noWrap/>
            <w:vAlign w:val="center"/>
            <w:hideMark/>
          </w:tcPr>
          <w:p w14:paraId="734709FA" w14:textId="77777777" w:rsidR="00DC0E18" w:rsidRPr="004D260F" w:rsidRDefault="00DC0E18" w:rsidP="00DC0E18">
            <w:pPr>
              <w:rPr>
                <w:rFonts w:ascii="Arial" w:hAnsi="Arial" w:cs="Arial"/>
                <w:color w:val="000000"/>
                <w:sz w:val="18"/>
                <w:szCs w:val="18"/>
              </w:rPr>
            </w:pPr>
            <w:r w:rsidRPr="004D260F">
              <w:rPr>
                <w:rFonts w:ascii="Arial" w:hAnsi="Arial" w:cs="Arial"/>
                <w:color w:val="000000"/>
                <w:sz w:val="18"/>
                <w:szCs w:val="18"/>
              </w:rPr>
              <w:t>Descontos Concedidos/Outros</w:t>
            </w:r>
          </w:p>
        </w:tc>
        <w:tc>
          <w:tcPr>
            <w:tcW w:w="924" w:type="pct"/>
            <w:noWrap/>
            <w:vAlign w:val="center"/>
            <w:hideMark/>
          </w:tcPr>
          <w:p w14:paraId="0756B848" w14:textId="511B9DCD"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 xml:space="preserve">                   -  </w:t>
            </w:r>
          </w:p>
        </w:tc>
        <w:tc>
          <w:tcPr>
            <w:tcW w:w="1176" w:type="pct"/>
            <w:noWrap/>
            <w:vAlign w:val="center"/>
            <w:hideMark/>
          </w:tcPr>
          <w:p w14:paraId="24E84A65" w14:textId="77777777" w:rsidR="00DC0E18" w:rsidRPr="004D260F" w:rsidRDefault="00DC0E18" w:rsidP="00DC0E18">
            <w:pPr>
              <w:jc w:val="right"/>
              <w:rPr>
                <w:rFonts w:ascii="Arial" w:hAnsi="Arial" w:cs="Arial"/>
                <w:color w:val="000000"/>
                <w:sz w:val="18"/>
                <w:szCs w:val="18"/>
              </w:rPr>
            </w:pPr>
            <w:r w:rsidRPr="004D260F">
              <w:rPr>
                <w:rFonts w:ascii="Arial" w:hAnsi="Arial" w:cs="Arial"/>
                <w:color w:val="000000"/>
                <w:sz w:val="18"/>
                <w:szCs w:val="18"/>
              </w:rPr>
              <w:t>(93)</w:t>
            </w:r>
          </w:p>
        </w:tc>
      </w:tr>
      <w:tr w:rsidR="00DC0E18" w:rsidRPr="004D260F" w14:paraId="7FCD69E7" w14:textId="77777777" w:rsidTr="008D6A75">
        <w:trPr>
          <w:trHeight w:val="232"/>
        </w:trPr>
        <w:tc>
          <w:tcPr>
            <w:tcW w:w="2900" w:type="pct"/>
            <w:noWrap/>
            <w:vAlign w:val="center"/>
            <w:hideMark/>
          </w:tcPr>
          <w:p w14:paraId="48145778" w14:textId="77777777" w:rsidR="00DC0E18" w:rsidRPr="004D260F" w:rsidRDefault="00DC0E18" w:rsidP="00DC0E18">
            <w:pPr>
              <w:rPr>
                <w:rFonts w:ascii="Arial" w:hAnsi="Arial" w:cs="Arial"/>
                <w:b/>
                <w:bCs/>
                <w:color w:val="000000"/>
                <w:sz w:val="18"/>
                <w:szCs w:val="18"/>
              </w:rPr>
            </w:pPr>
            <w:r w:rsidRPr="004D260F">
              <w:rPr>
                <w:rFonts w:ascii="Arial" w:hAnsi="Arial" w:cs="Arial"/>
                <w:b/>
                <w:bCs/>
                <w:color w:val="000000"/>
                <w:sz w:val="18"/>
                <w:szCs w:val="18"/>
              </w:rPr>
              <w:t>Deduções da Receita Operacional Bruta</w:t>
            </w:r>
          </w:p>
        </w:tc>
        <w:tc>
          <w:tcPr>
            <w:tcW w:w="924" w:type="pct"/>
            <w:noWrap/>
            <w:vAlign w:val="center"/>
            <w:hideMark/>
          </w:tcPr>
          <w:p w14:paraId="4F6C796C" w14:textId="26B177EB" w:rsidR="00DC0E18" w:rsidRPr="004D260F" w:rsidRDefault="00DC0E18" w:rsidP="00DC0E18">
            <w:pPr>
              <w:jc w:val="right"/>
              <w:rPr>
                <w:rFonts w:ascii="Arial" w:hAnsi="Arial" w:cs="Arial"/>
                <w:b/>
                <w:bCs/>
                <w:color w:val="000000"/>
                <w:sz w:val="18"/>
                <w:szCs w:val="18"/>
              </w:rPr>
            </w:pPr>
            <w:r w:rsidRPr="004D260F">
              <w:rPr>
                <w:rFonts w:ascii="Arial" w:hAnsi="Arial" w:cs="Arial"/>
                <w:b/>
                <w:bCs/>
                <w:color w:val="000000"/>
                <w:sz w:val="18"/>
                <w:szCs w:val="18"/>
              </w:rPr>
              <w:t xml:space="preserve">     (10.476)</w:t>
            </w:r>
          </w:p>
        </w:tc>
        <w:tc>
          <w:tcPr>
            <w:tcW w:w="1176" w:type="pct"/>
            <w:noWrap/>
            <w:vAlign w:val="center"/>
            <w:hideMark/>
          </w:tcPr>
          <w:p w14:paraId="0F7B147B" w14:textId="77777777" w:rsidR="00DC0E18" w:rsidRPr="004D260F" w:rsidRDefault="00DC0E18" w:rsidP="00DC0E18">
            <w:pPr>
              <w:jc w:val="right"/>
              <w:rPr>
                <w:rFonts w:ascii="Arial" w:hAnsi="Arial" w:cs="Arial"/>
                <w:b/>
                <w:bCs/>
                <w:color w:val="000000"/>
                <w:sz w:val="18"/>
                <w:szCs w:val="18"/>
              </w:rPr>
            </w:pPr>
            <w:r w:rsidRPr="004D260F">
              <w:rPr>
                <w:rFonts w:ascii="Arial" w:hAnsi="Arial" w:cs="Arial"/>
                <w:b/>
                <w:bCs/>
                <w:color w:val="000000"/>
                <w:sz w:val="18"/>
                <w:szCs w:val="18"/>
              </w:rPr>
              <w:t>(11.625)</w:t>
            </w:r>
          </w:p>
        </w:tc>
      </w:tr>
      <w:tr w:rsidR="00DC0E18" w14:paraId="1829459F" w14:textId="77777777" w:rsidTr="008D6A75">
        <w:trPr>
          <w:trHeight w:val="232"/>
        </w:trPr>
        <w:tc>
          <w:tcPr>
            <w:tcW w:w="2900" w:type="pct"/>
            <w:noWrap/>
            <w:vAlign w:val="center"/>
            <w:hideMark/>
          </w:tcPr>
          <w:p w14:paraId="0664BE1B" w14:textId="77777777" w:rsidR="00DC0E18" w:rsidRPr="004D260F" w:rsidRDefault="00DC0E18" w:rsidP="00DC0E18">
            <w:pPr>
              <w:rPr>
                <w:rFonts w:ascii="Arial" w:hAnsi="Arial" w:cs="Arial"/>
                <w:b/>
                <w:bCs/>
                <w:color w:val="000000"/>
                <w:sz w:val="18"/>
                <w:szCs w:val="18"/>
              </w:rPr>
            </w:pPr>
            <w:r w:rsidRPr="004D260F">
              <w:rPr>
                <w:rFonts w:ascii="Arial" w:hAnsi="Arial" w:cs="Arial"/>
                <w:b/>
                <w:bCs/>
                <w:color w:val="000000"/>
                <w:sz w:val="18"/>
                <w:szCs w:val="18"/>
              </w:rPr>
              <w:t>Receita Operacional Líquida</w:t>
            </w:r>
          </w:p>
        </w:tc>
        <w:tc>
          <w:tcPr>
            <w:tcW w:w="924" w:type="pct"/>
            <w:noWrap/>
            <w:vAlign w:val="center"/>
            <w:hideMark/>
          </w:tcPr>
          <w:p w14:paraId="61DDB699" w14:textId="4865DD49" w:rsidR="00DC0E18" w:rsidRPr="004D260F" w:rsidRDefault="00DC0E18" w:rsidP="00DC0E18">
            <w:pPr>
              <w:jc w:val="right"/>
              <w:rPr>
                <w:rFonts w:ascii="Arial" w:hAnsi="Arial" w:cs="Arial"/>
                <w:b/>
                <w:bCs/>
                <w:color w:val="000000"/>
                <w:sz w:val="18"/>
                <w:szCs w:val="18"/>
              </w:rPr>
            </w:pPr>
            <w:r w:rsidRPr="004D260F">
              <w:rPr>
                <w:rFonts w:ascii="Arial" w:hAnsi="Arial" w:cs="Arial"/>
                <w:b/>
                <w:bCs/>
                <w:color w:val="000000"/>
                <w:sz w:val="18"/>
                <w:szCs w:val="18"/>
              </w:rPr>
              <w:t xml:space="preserve">    134.913 </w:t>
            </w:r>
          </w:p>
        </w:tc>
        <w:tc>
          <w:tcPr>
            <w:tcW w:w="1176" w:type="pct"/>
            <w:noWrap/>
            <w:vAlign w:val="center"/>
            <w:hideMark/>
          </w:tcPr>
          <w:p w14:paraId="11B2EC8B" w14:textId="77777777" w:rsidR="00DC0E18" w:rsidRDefault="00DC0E18" w:rsidP="00DC0E18">
            <w:pPr>
              <w:jc w:val="right"/>
              <w:rPr>
                <w:rFonts w:ascii="Arial" w:hAnsi="Arial" w:cs="Arial"/>
                <w:b/>
                <w:bCs/>
                <w:color w:val="000000"/>
                <w:sz w:val="18"/>
                <w:szCs w:val="18"/>
              </w:rPr>
            </w:pPr>
            <w:r w:rsidRPr="004D260F">
              <w:rPr>
                <w:rFonts w:ascii="Arial" w:hAnsi="Arial" w:cs="Arial"/>
                <w:b/>
                <w:bCs/>
                <w:color w:val="000000"/>
                <w:sz w:val="18"/>
                <w:szCs w:val="18"/>
              </w:rPr>
              <w:t>114.387</w:t>
            </w:r>
          </w:p>
        </w:tc>
      </w:tr>
    </w:tbl>
    <w:p w14:paraId="70392A10" w14:textId="0D2AB28A" w:rsidR="00D056E3" w:rsidRDefault="00D056E3" w:rsidP="00332B5E"/>
    <w:p w14:paraId="0E86A5B4" w14:textId="7AAAA65A" w:rsidR="0087771B" w:rsidRPr="003E2834" w:rsidRDefault="00D1388C" w:rsidP="006F2BE1">
      <w:pPr>
        <w:jc w:val="both"/>
        <w:rPr>
          <w:rStyle w:val="RefernciaIntensa"/>
          <w:rFonts w:ascii="Arial" w:hAnsi="Arial" w:cs="Arial"/>
          <w:b w:val="0"/>
          <w:smallCaps w:val="0"/>
          <w:szCs w:val="22"/>
          <w:u w:val="none"/>
        </w:rPr>
      </w:pPr>
      <w:r w:rsidRPr="00E61E1D">
        <w:rPr>
          <w:rStyle w:val="RefernciaIntensa"/>
          <w:rFonts w:ascii="Arial" w:hAnsi="Arial" w:cs="Arial"/>
          <w:b w:val="0"/>
          <w:smallCaps w:val="0"/>
          <w:szCs w:val="22"/>
          <w:u w:val="none"/>
        </w:rPr>
        <w:t xml:space="preserve">No </w:t>
      </w:r>
      <w:r w:rsidR="00F95E00">
        <w:rPr>
          <w:rStyle w:val="RefernciaIntensa"/>
          <w:rFonts w:ascii="Arial" w:hAnsi="Arial" w:cs="Arial"/>
          <w:b w:val="0"/>
          <w:smallCaps w:val="0"/>
          <w:szCs w:val="22"/>
          <w:u w:val="none"/>
        </w:rPr>
        <w:t xml:space="preserve">primeiro trimestre de </w:t>
      </w:r>
      <w:r w:rsidR="00D056E3" w:rsidRPr="00E61E1D">
        <w:rPr>
          <w:rStyle w:val="RefernciaIntensa"/>
          <w:rFonts w:ascii="Arial" w:hAnsi="Arial" w:cs="Arial"/>
          <w:b w:val="0"/>
          <w:smallCaps w:val="0"/>
          <w:szCs w:val="22"/>
          <w:u w:val="none"/>
        </w:rPr>
        <w:t>202</w:t>
      </w:r>
      <w:r w:rsidR="00F95E00">
        <w:rPr>
          <w:rStyle w:val="RefernciaIntensa"/>
          <w:rFonts w:ascii="Arial" w:hAnsi="Arial" w:cs="Arial"/>
          <w:b w:val="0"/>
          <w:smallCaps w:val="0"/>
          <w:szCs w:val="22"/>
          <w:u w:val="none"/>
        </w:rPr>
        <w:t>6</w:t>
      </w:r>
      <w:r w:rsidR="0087771B" w:rsidRPr="00E61E1D">
        <w:rPr>
          <w:rStyle w:val="RefernciaIntensa"/>
          <w:rFonts w:ascii="Arial" w:hAnsi="Arial" w:cs="Arial"/>
          <w:b w:val="0"/>
          <w:smallCaps w:val="0"/>
          <w:szCs w:val="22"/>
          <w:u w:val="none"/>
        </w:rPr>
        <w:t xml:space="preserve">, a Receita Operacional Líquida atingiu o montante de R$ </w:t>
      </w:r>
      <w:r w:rsidR="00F95E00">
        <w:rPr>
          <w:rStyle w:val="RefernciaIntensa"/>
          <w:rFonts w:ascii="Arial" w:hAnsi="Arial" w:cs="Arial"/>
          <w:b w:val="0"/>
          <w:smallCaps w:val="0"/>
          <w:szCs w:val="22"/>
          <w:u w:val="none"/>
        </w:rPr>
        <w:t>134.913</w:t>
      </w:r>
      <w:r w:rsidR="0087771B" w:rsidRPr="00E61E1D">
        <w:rPr>
          <w:rStyle w:val="RefernciaIntensa"/>
          <w:rFonts w:ascii="Arial" w:hAnsi="Arial" w:cs="Arial"/>
          <w:b w:val="0"/>
          <w:smallCaps w:val="0"/>
          <w:szCs w:val="22"/>
          <w:u w:val="none"/>
        </w:rPr>
        <w:t xml:space="preserve"> (R$ </w:t>
      </w:r>
      <w:r w:rsidR="00F95E00">
        <w:rPr>
          <w:rStyle w:val="RefernciaIntensa"/>
          <w:rFonts w:ascii="Arial" w:hAnsi="Arial" w:cs="Arial"/>
          <w:b w:val="0"/>
          <w:smallCaps w:val="0"/>
          <w:szCs w:val="22"/>
          <w:u w:val="none"/>
        </w:rPr>
        <w:t xml:space="preserve">114.387 no primeiro trimestre </w:t>
      </w:r>
      <w:r w:rsidR="00FD45CE">
        <w:rPr>
          <w:rStyle w:val="RefernciaIntensa"/>
          <w:rFonts w:ascii="Arial" w:hAnsi="Arial" w:cs="Arial"/>
          <w:b w:val="0"/>
          <w:smallCaps w:val="0"/>
          <w:szCs w:val="22"/>
          <w:u w:val="none"/>
        </w:rPr>
        <w:t>em 202</w:t>
      </w:r>
      <w:r w:rsidR="00F95E00">
        <w:rPr>
          <w:rStyle w:val="RefernciaIntensa"/>
          <w:rFonts w:ascii="Arial" w:hAnsi="Arial" w:cs="Arial"/>
          <w:b w:val="0"/>
          <w:smallCaps w:val="0"/>
          <w:szCs w:val="22"/>
          <w:u w:val="none"/>
        </w:rPr>
        <w:t>5</w:t>
      </w:r>
      <w:r w:rsidR="0087771B" w:rsidRPr="00E61E1D">
        <w:rPr>
          <w:rStyle w:val="RefernciaIntensa"/>
          <w:rFonts w:ascii="Arial" w:hAnsi="Arial" w:cs="Arial"/>
          <w:b w:val="0"/>
          <w:smallCaps w:val="0"/>
          <w:szCs w:val="22"/>
          <w:u w:val="none"/>
        </w:rPr>
        <w:t xml:space="preserve">), </w:t>
      </w:r>
      <w:r w:rsidR="00D056E3" w:rsidRPr="00E61E1D">
        <w:rPr>
          <w:rStyle w:val="RefernciaIntensa"/>
          <w:rFonts w:ascii="Arial" w:hAnsi="Arial" w:cs="Arial"/>
          <w:b w:val="0"/>
          <w:smallCaps w:val="0"/>
          <w:szCs w:val="22"/>
          <w:u w:val="none"/>
        </w:rPr>
        <w:t xml:space="preserve">aumento de </w:t>
      </w:r>
      <w:r w:rsidR="00F95E00">
        <w:rPr>
          <w:rStyle w:val="RefernciaIntensa"/>
          <w:rFonts w:ascii="Arial" w:hAnsi="Arial" w:cs="Arial"/>
          <w:b w:val="0"/>
          <w:smallCaps w:val="0"/>
          <w:szCs w:val="22"/>
          <w:u w:val="none"/>
        </w:rPr>
        <w:t>17,9</w:t>
      </w:r>
      <w:r w:rsidR="00D056E3" w:rsidRPr="00E61E1D">
        <w:rPr>
          <w:rStyle w:val="RefernciaIntensa"/>
          <w:rFonts w:ascii="Arial" w:hAnsi="Arial" w:cs="Arial"/>
          <w:b w:val="0"/>
          <w:smallCaps w:val="0"/>
          <w:szCs w:val="22"/>
          <w:u w:val="none"/>
        </w:rPr>
        <w:t>%</w:t>
      </w:r>
      <w:r w:rsidR="00CC7AB6" w:rsidRPr="00E61E1D">
        <w:rPr>
          <w:rStyle w:val="RefernciaIntensa"/>
          <w:rFonts w:ascii="Arial" w:hAnsi="Arial" w:cs="Arial"/>
          <w:b w:val="0"/>
          <w:smallCaps w:val="0"/>
          <w:szCs w:val="22"/>
          <w:u w:val="none"/>
        </w:rPr>
        <w:t xml:space="preserve"> </w:t>
      </w:r>
      <w:r w:rsidR="00D056E3" w:rsidRPr="00E61E1D">
        <w:rPr>
          <w:rStyle w:val="RefernciaIntensa"/>
          <w:rFonts w:ascii="Arial" w:hAnsi="Arial" w:cs="Arial"/>
          <w:b w:val="0"/>
          <w:smallCaps w:val="0"/>
          <w:szCs w:val="22"/>
          <w:u w:val="none"/>
        </w:rPr>
        <w:t>na comparação com o mesmo período do ano anterior.</w:t>
      </w:r>
    </w:p>
    <w:p w14:paraId="26BB2361" w14:textId="76256965" w:rsidR="0087771B" w:rsidRPr="003E2834" w:rsidRDefault="0087771B" w:rsidP="006F2BE1">
      <w:pPr>
        <w:jc w:val="both"/>
        <w:rPr>
          <w:rStyle w:val="RefernciaIntensa"/>
          <w:rFonts w:ascii="Arial" w:hAnsi="Arial" w:cs="Arial"/>
          <w:b w:val="0"/>
          <w:smallCaps w:val="0"/>
          <w:szCs w:val="22"/>
          <w:u w:val="none"/>
        </w:rPr>
      </w:pPr>
      <w:r w:rsidRPr="003E2834">
        <w:rPr>
          <w:rStyle w:val="RefernciaIntensa"/>
          <w:rFonts w:ascii="Arial" w:hAnsi="Arial" w:cs="Arial"/>
          <w:b w:val="0"/>
          <w:smallCaps w:val="0"/>
          <w:szCs w:val="22"/>
          <w:u w:val="none"/>
        </w:rPr>
        <w:lastRenderedPageBreak/>
        <w:t>O comportamento da receita por serviço está apresentado a seguir:</w:t>
      </w:r>
    </w:p>
    <w:p w14:paraId="5264CE21" w14:textId="02111B5E" w:rsidR="005E7EB7" w:rsidRDefault="006F2BE1" w:rsidP="005E7EB7">
      <w:pPr>
        <w:spacing w:before="240" w:line="276" w:lineRule="auto"/>
        <w:jc w:val="both"/>
        <w:rPr>
          <w:rFonts w:ascii="Arial" w:hAnsi="Arial" w:cs="Arial"/>
          <w:spacing w:val="5"/>
          <w:sz w:val="22"/>
          <w:szCs w:val="22"/>
        </w:rPr>
      </w:pPr>
      <w:r w:rsidRPr="003E2834">
        <w:rPr>
          <w:rStyle w:val="RefernciaIntensa"/>
          <w:rFonts w:ascii="Arial" w:hAnsi="Arial" w:cs="Arial"/>
          <w:smallCaps w:val="0"/>
          <w:szCs w:val="22"/>
          <w:u w:val="none"/>
        </w:rPr>
        <w:t>Serviço de Comunicação Multimídia (SCM):</w:t>
      </w:r>
      <w:r w:rsidR="006B45B1" w:rsidRPr="003E2834">
        <w:rPr>
          <w:rStyle w:val="RefernciaIntensa"/>
          <w:rFonts w:ascii="Arial" w:hAnsi="Arial" w:cs="Arial"/>
          <w:b w:val="0"/>
          <w:smallCaps w:val="0"/>
          <w:szCs w:val="22"/>
          <w:u w:val="none"/>
        </w:rPr>
        <w:t xml:space="preserve"> </w:t>
      </w:r>
      <w:r w:rsidR="0014004E" w:rsidRPr="0014004E">
        <w:rPr>
          <w:rFonts w:ascii="Arial" w:hAnsi="Arial" w:cs="Arial"/>
          <w:spacing w:val="5"/>
          <w:sz w:val="22"/>
          <w:szCs w:val="22"/>
        </w:rPr>
        <w:t xml:space="preserve">A receita de SCM </w:t>
      </w:r>
      <w:r w:rsidR="008B575D">
        <w:rPr>
          <w:rFonts w:ascii="Arial" w:hAnsi="Arial" w:cs="Arial"/>
          <w:spacing w:val="5"/>
          <w:sz w:val="22"/>
          <w:szCs w:val="22"/>
        </w:rPr>
        <w:t>no primeiro trimestre de 2026</w:t>
      </w:r>
      <w:r w:rsidR="0014004E" w:rsidRPr="0014004E">
        <w:rPr>
          <w:rFonts w:ascii="Arial" w:hAnsi="Arial" w:cs="Arial"/>
          <w:spacing w:val="5"/>
          <w:sz w:val="22"/>
          <w:szCs w:val="22"/>
        </w:rPr>
        <w:t xml:space="preserve"> totalizou R$ </w:t>
      </w:r>
      <w:r w:rsidR="008B575D">
        <w:rPr>
          <w:rFonts w:ascii="Arial" w:hAnsi="Arial" w:cs="Arial"/>
          <w:spacing w:val="5"/>
          <w:sz w:val="22"/>
          <w:szCs w:val="22"/>
        </w:rPr>
        <w:t>116.165</w:t>
      </w:r>
      <w:r w:rsidR="003633E1">
        <w:rPr>
          <w:rFonts w:ascii="Arial" w:hAnsi="Arial" w:cs="Arial"/>
          <w:spacing w:val="5"/>
          <w:sz w:val="22"/>
          <w:szCs w:val="22"/>
        </w:rPr>
        <w:t xml:space="preserve"> (</w:t>
      </w:r>
      <w:r w:rsidR="0014004E" w:rsidRPr="0014004E">
        <w:rPr>
          <w:rFonts w:ascii="Arial" w:hAnsi="Arial" w:cs="Arial"/>
          <w:spacing w:val="5"/>
          <w:sz w:val="22"/>
          <w:szCs w:val="22"/>
        </w:rPr>
        <w:t xml:space="preserve">R$ </w:t>
      </w:r>
      <w:r w:rsidR="008B575D">
        <w:rPr>
          <w:rFonts w:ascii="Arial" w:hAnsi="Arial" w:cs="Arial"/>
          <w:spacing w:val="5"/>
          <w:sz w:val="22"/>
          <w:szCs w:val="22"/>
        </w:rPr>
        <w:t>100.390 no primeiro trimestre de 2025</w:t>
      </w:r>
      <w:r w:rsidR="003633E1">
        <w:rPr>
          <w:rFonts w:ascii="Arial" w:hAnsi="Arial" w:cs="Arial"/>
          <w:spacing w:val="5"/>
          <w:sz w:val="22"/>
          <w:szCs w:val="22"/>
        </w:rPr>
        <w:t>)</w:t>
      </w:r>
      <w:r w:rsidR="0014004E" w:rsidRPr="0014004E">
        <w:rPr>
          <w:rFonts w:ascii="Arial" w:hAnsi="Arial" w:cs="Arial"/>
          <w:spacing w:val="5"/>
          <w:sz w:val="22"/>
          <w:szCs w:val="22"/>
        </w:rPr>
        <w:t xml:space="preserve">, representando um crescimento de </w:t>
      </w:r>
      <w:r w:rsidR="008B575D">
        <w:rPr>
          <w:rFonts w:ascii="Arial" w:hAnsi="Arial" w:cs="Arial"/>
          <w:spacing w:val="5"/>
          <w:sz w:val="22"/>
          <w:szCs w:val="22"/>
        </w:rPr>
        <w:t>15,7</w:t>
      </w:r>
      <w:r w:rsidR="0014004E" w:rsidRPr="0014004E">
        <w:rPr>
          <w:rFonts w:ascii="Arial" w:hAnsi="Arial" w:cs="Arial"/>
          <w:spacing w:val="5"/>
          <w:sz w:val="22"/>
          <w:szCs w:val="22"/>
        </w:rPr>
        <w:t xml:space="preserve">% em relação ao mesmo período do ano anterior. </w:t>
      </w:r>
      <w:r w:rsidR="0014004E" w:rsidRPr="00F60A42">
        <w:rPr>
          <w:rFonts w:ascii="Arial" w:hAnsi="Arial" w:cs="Arial"/>
          <w:spacing w:val="5"/>
          <w:sz w:val="22"/>
          <w:szCs w:val="22"/>
        </w:rPr>
        <w:t xml:space="preserve">Esse aumento decorre principalmente de: </w:t>
      </w:r>
      <w:r w:rsidR="005E7EB7" w:rsidRPr="005E7EB7">
        <w:rPr>
          <w:rFonts w:ascii="Arial" w:hAnsi="Arial" w:cs="Arial"/>
          <w:spacing w:val="5"/>
          <w:sz w:val="22"/>
          <w:szCs w:val="22"/>
        </w:rPr>
        <w:t>(i) início da prestação de serviços a novos clientes; e (ii</w:t>
      </w:r>
      <w:r w:rsidR="003154E0" w:rsidRPr="005E7EB7">
        <w:rPr>
          <w:rFonts w:ascii="Arial" w:hAnsi="Arial" w:cs="Arial"/>
          <w:spacing w:val="5"/>
          <w:sz w:val="22"/>
          <w:szCs w:val="22"/>
        </w:rPr>
        <w:t>) reajustes</w:t>
      </w:r>
      <w:r w:rsidR="005E7EB7" w:rsidRPr="005E7EB7">
        <w:rPr>
          <w:rFonts w:ascii="Arial" w:hAnsi="Arial" w:cs="Arial"/>
          <w:spacing w:val="5"/>
          <w:sz w:val="22"/>
          <w:szCs w:val="22"/>
        </w:rPr>
        <w:t xml:space="preserve"> anuais nos preços dos contratos, especialmente no âmbito do programa GESAC.</w:t>
      </w:r>
    </w:p>
    <w:p w14:paraId="6A575BF6" w14:textId="77777777" w:rsidR="00020F0A" w:rsidRDefault="00020F0A" w:rsidP="00020F0A">
      <w:pPr>
        <w:spacing w:line="276" w:lineRule="auto"/>
        <w:jc w:val="both"/>
        <w:rPr>
          <w:rFonts w:ascii="Arial" w:hAnsi="Arial" w:cs="Arial"/>
          <w:b/>
          <w:sz w:val="22"/>
          <w:szCs w:val="22"/>
        </w:rPr>
      </w:pPr>
    </w:p>
    <w:p w14:paraId="6578D812" w14:textId="57EAEB72" w:rsidR="00020F0A" w:rsidRPr="009C6467" w:rsidRDefault="00020F0A" w:rsidP="00020F0A">
      <w:pPr>
        <w:spacing w:line="276" w:lineRule="auto"/>
        <w:jc w:val="both"/>
        <w:rPr>
          <w:rFonts w:ascii="Arial" w:hAnsi="Arial" w:cs="Arial"/>
          <w:sz w:val="22"/>
          <w:szCs w:val="22"/>
        </w:rPr>
      </w:pPr>
      <w:r w:rsidRPr="003E2834">
        <w:rPr>
          <w:rFonts w:ascii="Arial" w:hAnsi="Arial" w:cs="Arial"/>
          <w:b/>
          <w:sz w:val="22"/>
          <w:szCs w:val="22"/>
        </w:rPr>
        <w:t>Serviço de Valor Adicionado (SVA):</w:t>
      </w:r>
      <w:r w:rsidRPr="003E2834">
        <w:rPr>
          <w:rFonts w:ascii="Arial" w:hAnsi="Arial" w:cs="Arial"/>
          <w:sz w:val="22"/>
          <w:szCs w:val="22"/>
        </w:rPr>
        <w:t xml:space="preserve"> </w:t>
      </w:r>
      <w:r>
        <w:rPr>
          <w:rFonts w:ascii="Arial" w:hAnsi="Arial" w:cs="Arial"/>
          <w:sz w:val="22"/>
          <w:szCs w:val="22"/>
        </w:rPr>
        <w:t>No primeiro trimestre de 2026</w:t>
      </w:r>
      <w:r w:rsidRPr="009C6467">
        <w:rPr>
          <w:rFonts w:ascii="Arial" w:hAnsi="Arial" w:cs="Arial"/>
          <w:sz w:val="22"/>
          <w:szCs w:val="22"/>
        </w:rPr>
        <w:t xml:space="preserve">, a receita de </w:t>
      </w:r>
      <w:r>
        <w:rPr>
          <w:rFonts w:ascii="Arial" w:hAnsi="Arial" w:cs="Arial"/>
          <w:sz w:val="22"/>
          <w:szCs w:val="22"/>
        </w:rPr>
        <w:t>SVA</w:t>
      </w:r>
      <w:r w:rsidRPr="009C6467">
        <w:rPr>
          <w:rFonts w:ascii="Arial" w:hAnsi="Arial" w:cs="Arial"/>
          <w:sz w:val="22"/>
          <w:szCs w:val="22"/>
        </w:rPr>
        <w:t xml:space="preserve"> totalizou R$ </w:t>
      </w:r>
      <w:r>
        <w:rPr>
          <w:rFonts w:ascii="Arial" w:hAnsi="Arial" w:cs="Arial"/>
          <w:sz w:val="22"/>
          <w:szCs w:val="22"/>
        </w:rPr>
        <w:t>11.235</w:t>
      </w:r>
      <w:r w:rsidRPr="009C6467">
        <w:rPr>
          <w:rFonts w:ascii="Arial" w:hAnsi="Arial" w:cs="Arial"/>
          <w:sz w:val="22"/>
          <w:szCs w:val="22"/>
        </w:rPr>
        <w:t xml:space="preserve"> (R$ </w:t>
      </w:r>
      <w:r>
        <w:rPr>
          <w:rFonts w:ascii="Arial" w:hAnsi="Arial" w:cs="Arial"/>
          <w:sz w:val="22"/>
          <w:szCs w:val="22"/>
        </w:rPr>
        <w:t>5.010 no primeiro trimestre de 2025</w:t>
      </w:r>
      <w:r w:rsidRPr="009C6467">
        <w:rPr>
          <w:rFonts w:ascii="Arial" w:hAnsi="Arial" w:cs="Arial"/>
          <w:sz w:val="22"/>
          <w:szCs w:val="22"/>
        </w:rPr>
        <w:t xml:space="preserve">), o que representa um crescimento de </w:t>
      </w:r>
      <w:r>
        <w:rPr>
          <w:rFonts w:ascii="Arial" w:hAnsi="Arial" w:cs="Arial"/>
          <w:sz w:val="22"/>
          <w:szCs w:val="22"/>
        </w:rPr>
        <w:t>124,3</w:t>
      </w:r>
      <w:r w:rsidRPr="009C6467">
        <w:rPr>
          <w:rFonts w:ascii="Arial" w:hAnsi="Arial" w:cs="Arial"/>
          <w:sz w:val="22"/>
          <w:szCs w:val="22"/>
        </w:rPr>
        <w:t>% na comparação anual.</w:t>
      </w:r>
      <w:r>
        <w:rPr>
          <w:rFonts w:ascii="Arial" w:hAnsi="Arial" w:cs="Arial"/>
          <w:sz w:val="22"/>
          <w:szCs w:val="22"/>
        </w:rPr>
        <w:t xml:space="preserve"> </w:t>
      </w:r>
      <w:r w:rsidRPr="009C6467">
        <w:rPr>
          <w:rFonts w:ascii="Arial" w:hAnsi="Arial" w:cs="Arial"/>
          <w:sz w:val="22"/>
          <w:szCs w:val="22"/>
        </w:rPr>
        <w:t>O aumento é decorrente da expansão do portfólio de serviços de valor adicionado, que impulsionou a demanda e ampliou a participação dessa linha no resultado operacional da companhia.</w:t>
      </w:r>
    </w:p>
    <w:p w14:paraId="79983AB4" w14:textId="75A837C3" w:rsidR="006F2BE1" w:rsidRDefault="006F2BE1" w:rsidP="00C037AF">
      <w:pPr>
        <w:spacing w:before="240" w:line="276" w:lineRule="auto"/>
        <w:jc w:val="both"/>
        <w:rPr>
          <w:rFonts w:ascii="Arial" w:hAnsi="Arial" w:cs="Arial"/>
          <w:sz w:val="22"/>
          <w:szCs w:val="22"/>
        </w:rPr>
      </w:pPr>
      <w:r w:rsidRPr="003E2834">
        <w:rPr>
          <w:rFonts w:ascii="Arial" w:hAnsi="Arial" w:cs="Arial"/>
          <w:b/>
          <w:bCs/>
          <w:sz w:val="22"/>
          <w:szCs w:val="22"/>
        </w:rPr>
        <w:t>Locação de Capacidade Satelital:</w:t>
      </w:r>
      <w:r w:rsidRPr="003E2834">
        <w:rPr>
          <w:rFonts w:ascii="Arial" w:hAnsi="Arial" w:cs="Arial"/>
          <w:sz w:val="22"/>
          <w:szCs w:val="22"/>
        </w:rPr>
        <w:t xml:space="preserve"> o serviço de locação de capacidade permaneceu estável na comparação entre </w:t>
      </w:r>
      <w:r w:rsidR="005460B8">
        <w:rPr>
          <w:rFonts w:ascii="Arial" w:hAnsi="Arial" w:cs="Arial"/>
          <w:sz w:val="22"/>
          <w:szCs w:val="22"/>
        </w:rPr>
        <w:t>o</w:t>
      </w:r>
      <w:r w:rsidR="005D58E9">
        <w:rPr>
          <w:rFonts w:ascii="Arial" w:hAnsi="Arial" w:cs="Arial"/>
          <w:sz w:val="22"/>
          <w:szCs w:val="22"/>
        </w:rPr>
        <w:t xml:space="preserve"> primeiro</w:t>
      </w:r>
      <w:r w:rsidR="005460B8">
        <w:rPr>
          <w:rFonts w:ascii="Arial" w:hAnsi="Arial" w:cs="Arial"/>
          <w:sz w:val="22"/>
          <w:szCs w:val="22"/>
        </w:rPr>
        <w:t xml:space="preserve"> </w:t>
      </w:r>
      <w:r w:rsidR="005D58E9">
        <w:rPr>
          <w:rFonts w:ascii="Arial" w:hAnsi="Arial" w:cs="Arial"/>
          <w:sz w:val="22"/>
          <w:szCs w:val="22"/>
        </w:rPr>
        <w:t>trimestre de</w:t>
      </w:r>
      <w:r w:rsidR="003C5DC0">
        <w:rPr>
          <w:rFonts w:ascii="Arial" w:hAnsi="Arial" w:cs="Arial"/>
          <w:sz w:val="22"/>
          <w:szCs w:val="22"/>
        </w:rPr>
        <w:t xml:space="preserve"> 202</w:t>
      </w:r>
      <w:r w:rsidR="005D58E9">
        <w:rPr>
          <w:rFonts w:ascii="Arial" w:hAnsi="Arial" w:cs="Arial"/>
          <w:sz w:val="22"/>
          <w:szCs w:val="22"/>
        </w:rPr>
        <w:t>6</w:t>
      </w:r>
      <w:r w:rsidR="003C5DC0">
        <w:rPr>
          <w:rFonts w:ascii="Arial" w:hAnsi="Arial" w:cs="Arial"/>
          <w:sz w:val="22"/>
          <w:szCs w:val="22"/>
        </w:rPr>
        <w:t xml:space="preserve"> e 202</w:t>
      </w:r>
      <w:r w:rsidR="005D58E9">
        <w:rPr>
          <w:rFonts w:ascii="Arial" w:hAnsi="Arial" w:cs="Arial"/>
          <w:sz w:val="22"/>
          <w:szCs w:val="22"/>
        </w:rPr>
        <w:t>5</w:t>
      </w:r>
      <w:r w:rsidR="00CC2616" w:rsidRPr="003E2834">
        <w:rPr>
          <w:rFonts w:ascii="Arial" w:hAnsi="Arial" w:cs="Arial"/>
          <w:sz w:val="22"/>
          <w:szCs w:val="22"/>
        </w:rPr>
        <w:t>,</w:t>
      </w:r>
      <w:r w:rsidRPr="003E2834">
        <w:rPr>
          <w:rFonts w:ascii="Arial" w:hAnsi="Arial" w:cs="Arial"/>
          <w:sz w:val="22"/>
          <w:szCs w:val="22"/>
        </w:rPr>
        <w:t xml:space="preserve"> </w:t>
      </w:r>
      <w:r w:rsidR="00056BFC" w:rsidRPr="003E2834">
        <w:rPr>
          <w:rFonts w:ascii="Arial" w:hAnsi="Arial" w:cs="Arial"/>
          <w:sz w:val="22"/>
          <w:szCs w:val="22"/>
        </w:rPr>
        <w:t>totalizando</w:t>
      </w:r>
      <w:r w:rsidRPr="003E2834">
        <w:rPr>
          <w:rFonts w:ascii="Arial" w:hAnsi="Arial" w:cs="Arial"/>
          <w:sz w:val="22"/>
          <w:szCs w:val="22"/>
        </w:rPr>
        <w:t xml:space="preserve"> R$ </w:t>
      </w:r>
      <w:r w:rsidR="005D58E9">
        <w:rPr>
          <w:rFonts w:ascii="Arial" w:hAnsi="Arial" w:cs="Arial"/>
          <w:sz w:val="22"/>
          <w:szCs w:val="22"/>
        </w:rPr>
        <w:t>9.120</w:t>
      </w:r>
      <w:r w:rsidR="00CC7AB6" w:rsidRPr="003E2834">
        <w:rPr>
          <w:rFonts w:ascii="Arial" w:hAnsi="Arial" w:cs="Arial"/>
          <w:sz w:val="22"/>
          <w:szCs w:val="22"/>
        </w:rPr>
        <w:t>.</w:t>
      </w:r>
    </w:p>
    <w:p w14:paraId="2F762726" w14:textId="77777777" w:rsidR="00945BE7" w:rsidRPr="0085618A" w:rsidRDefault="00945BE7" w:rsidP="00114E48">
      <w:pPr>
        <w:spacing w:line="276" w:lineRule="auto"/>
        <w:jc w:val="both"/>
        <w:rPr>
          <w:rFonts w:ascii="Arial" w:hAnsi="Arial" w:cs="Arial"/>
          <w:b/>
          <w:bCs/>
          <w:sz w:val="12"/>
          <w:szCs w:val="12"/>
        </w:rPr>
      </w:pPr>
    </w:p>
    <w:p w14:paraId="06C6111D" w14:textId="5CFDB493" w:rsidR="006F2BE1" w:rsidRPr="003E2834" w:rsidRDefault="006F2BE1" w:rsidP="00114E48">
      <w:pPr>
        <w:spacing w:line="276" w:lineRule="auto"/>
        <w:jc w:val="both"/>
        <w:rPr>
          <w:rFonts w:ascii="Arial" w:hAnsi="Arial" w:cs="Arial"/>
          <w:sz w:val="22"/>
          <w:szCs w:val="22"/>
        </w:rPr>
      </w:pPr>
      <w:r w:rsidRPr="003E2834">
        <w:rPr>
          <w:rFonts w:ascii="Arial" w:hAnsi="Arial" w:cs="Arial"/>
          <w:b/>
          <w:bCs/>
          <w:sz w:val="22"/>
          <w:szCs w:val="22"/>
        </w:rPr>
        <w:t>Aluguéis e Locações – Outras:</w:t>
      </w:r>
      <w:r w:rsidRPr="003E2834">
        <w:rPr>
          <w:rFonts w:ascii="Arial" w:hAnsi="Arial" w:cs="Arial"/>
          <w:sz w:val="22"/>
          <w:szCs w:val="22"/>
        </w:rPr>
        <w:t xml:space="preserve">  compreende o aluguel de cabos ópticos, locação de roteadores e aluguel de infraestrutura do segmento satelital (contrato de parceria com a Viasat). </w:t>
      </w:r>
      <w:r w:rsidR="003B1743">
        <w:rPr>
          <w:rFonts w:ascii="Arial" w:hAnsi="Arial" w:cs="Arial"/>
          <w:sz w:val="22"/>
          <w:szCs w:val="22"/>
        </w:rPr>
        <w:t>No primeiro trimestre de 2026</w:t>
      </w:r>
      <w:r w:rsidR="00022456">
        <w:rPr>
          <w:rFonts w:ascii="Arial" w:hAnsi="Arial" w:cs="Arial"/>
          <w:sz w:val="22"/>
          <w:szCs w:val="22"/>
        </w:rPr>
        <w:t>,</w:t>
      </w:r>
      <w:r w:rsidR="00E61E1D">
        <w:rPr>
          <w:rFonts w:ascii="Arial" w:hAnsi="Arial" w:cs="Arial"/>
          <w:sz w:val="22"/>
          <w:szCs w:val="22"/>
        </w:rPr>
        <w:t xml:space="preserve"> </w:t>
      </w:r>
      <w:r w:rsidR="00E14B24" w:rsidRPr="003E2834">
        <w:rPr>
          <w:rFonts w:ascii="Arial" w:hAnsi="Arial" w:cs="Arial"/>
          <w:sz w:val="22"/>
          <w:szCs w:val="22"/>
        </w:rPr>
        <w:t>a receita</w:t>
      </w:r>
      <w:r w:rsidRPr="003E2834">
        <w:rPr>
          <w:rFonts w:ascii="Arial" w:hAnsi="Arial" w:cs="Arial"/>
          <w:sz w:val="22"/>
          <w:szCs w:val="22"/>
        </w:rPr>
        <w:t xml:space="preserve"> reconhecida </w:t>
      </w:r>
      <w:r w:rsidR="00022456">
        <w:rPr>
          <w:rFonts w:ascii="Arial" w:hAnsi="Arial" w:cs="Arial"/>
          <w:sz w:val="22"/>
          <w:szCs w:val="22"/>
        </w:rPr>
        <w:t>d</w:t>
      </w:r>
      <w:r w:rsidRPr="003E2834">
        <w:rPr>
          <w:rFonts w:ascii="Arial" w:hAnsi="Arial" w:cs="Arial"/>
          <w:sz w:val="22"/>
          <w:szCs w:val="22"/>
        </w:rPr>
        <w:t>es</w:t>
      </w:r>
      <w:r w:rsidR="00022456">
        <w:rPr>
          <w:rFonts w:ascii="Arial" w:hAnsi="Arial" w:cs="Arial"/>
          <w:sz w:val="22"/>
          <w:szCs w:val="22"/>
        </w:rPr>
        <w:t>t</w:t>
      </w:r>
      <w:r w:rsidRPr="003E2834">
        <w:rPr>
          <w:rFonts w:ascii="Arial" w:hAnsi="Arial" w:cs="Arial"/>
          <w:sz w:val="22"/>
          <w:szCs w:val="22"/>
        </w:rPr>
        <w:t xml:space="preserve">a rubrica totalizou R$ </w:t>
      </w:r>
      <w:r w:rsidR="003B1743">
        <w:rPr>
          <w:rFonts w:ascii="Arial" w:hAnsi="Arial" w:cs="Arial"/>
          <w:sz w:val="22"/>
          <w:szCs w:val="22"/>
        </w:rPr>
        <w:t>6.173</w:t>
      </w:r>
      <w:r w:rsidR="00835DEC">
        <w:rPr>
          <w:rFonts w:ascii="Arial" w:hAnsi="Arial" w:cs="Arial"/>
          <w:sz w:val="22"/>
          <w:szCs w:val="22"/>
        </w:rPr>
        <w:t xml:space="preserve"> </w:t>
      </w:r>
      <w:r w:rsidRPr="003E2834">
        <w:rPr>
          <w:rFonts w:ascii="Arial" w:hAnsi="Arial" w:cs="Arial"/>
          <w:sz w:val="22"/>
          <w:szCs w:val="22"/>
        </w:rPr>
        <w:t xml:space="preserve">(R$ </w:t>
      </w:r>
      <w:r w:rsidR="003B1743">
        <w:rPr>
          <w:rFonts w:ascii="Arial" w:hAnsi="Arial" w:cs="Arial"/>
          <w:sz w:val="22"/>
          <w:szCs w:val="22"/>
        </w:rPr>
        <w:t>6.506</w:t>
      </w:r>
      <w:r w:rsidR="00022456">
        <w:rPr>
          <w:rFonts w:ascii="Arial" w:hAnsi="Arial" w:cs="Arial"/>
          <w:sz w:val="22"/>
          <w:szCs w:val="22"/>
        </w:rPr>
        <w:t xml:space="preserve"> </w:t>
      </w:r>
      <w:r w:rsidR="003B1743">
        <w:rPr>
          <w:rFonts w:ascii="Arial" w:hAnsi="Arial" w:cs="Arial"/>
          <w:sz w:val="22"/>
          <w:szCs w:val="22"/>
        </w:rPr>
        <w:t>no primeiro trimestre de 2025</w:t>
      </w:r>
      <w:r w:rsidRPr="003E2834">
        <w:rPr>
          <w:rFonts w:ascii="Arial" w:hAnsi="Arial" w:cs="Arial"/>
          <w:sz w:val="22"/>
          <w:szCs w:val="22"/>
        </w:rPr>
        <w:t xml:space="preserve">), aumento de </w:t>
      </w:r>
      <w:r w:rsidR="00022456">
        <w:rPr>
          <w:rFonts w:ascii="Arial" w:hAnsi="Arial" w:cs="Arial"/>
          <w:sz w:val="22"/>
          <w:szCs w:val="22"/>
        </w:rPr>
        <w:t>5,</w:t>
      </w:r>
      <w:r w:rsidR="003B1743">
        <w:rPr>
          <w:rFonts w:ascii="Arial" w:hAnsi="Arial" w:cs="Arial"/>
          <w:sz w:val="22"/>
          <w:szCs w:val="22"/>
        </w:rPr>
        <w:t>1</w:t>
      </w:r>
      <w:r w:rsidRPr="003E2834">
        <w:rPr>
          <w:rFonts w:ascii="Arial" w:hAnsi="Arial" w:cs="Arial"/>
          <w:sz w:val="22"/>
          <w:szCs w:val="22"/>
        </w:rPr>
        <w:t>%.</w:t>
      </w:r>
    </w:p>
    <w:p w14:paraId="778B3689" w14:textId="77777777" w:rsidR="006F2BE1" w:rsidRPr="002B351D" w:rsidRDefault="006F2BE1" w:rsidP="00114E48">
      <w:pPr>
        <w:spacing w:line="276" w:lineRule="auto"/>
        <w:jc w:val="both"/>
        <w:rPr>
          <w:rFonts w:ascii="Arial" w:hAnsi="Arial" w:cs="Arial"/>
          <w:sz w:val="10"/>
          <w:szCs w:val="10"/>
        </w:rPr>
      </w:pPr>
    </w:p>
    <w:p w14:paraId="603220EB" w14:textId="434F96B9" w:rsidR="002176DB" w:rsidRPr="002176DB" w:rsidRDefault="006F2BE1" w:rsidP="002176DB">
      <w:pPr>
        <w:spacing w:line="276" w:lineRule="auto"/>
        <w:jc w:val="both"/>
        <w:rPr>
          <w:rFonts w:ascii="Arial" w:hAnsi="Arial" w:cs="Arial"/>
          <w:sz w:val="22"/>
          <w:szCs w:val="22"/>
        </w:rPr>
      </w:pPr>
      <w:r w:rsidRPr="009C6467">
        <w:rPr>
          <w:rFonts w:ascii="Arial" w:hAnsi="Arial" w:cs="Arial"/>
          <w:b/>
          <w:bCs/>
          <w:sz w:val="22"/>
          <w:szCs w:val="22"/>
        </w:rPr>
        <w:t>Compartilhamento de Receitas:</w:t>
      </w:r>
      <w:r w:rsidRPr="009C6467">
        <w:rPr>
          <w:rFonts w:ascii="Arial" w:hAnsi="Arial" w:cs="Arial"/>
          <w:sz w:val="22"/>
          <w:szCs w:val="22"/>
        </w:rPr>
        <w:t xml:space="preserve"> </w:t>
      </w:r>
      <w:r w:rsidR="0090038F">
        <w:rPr>
          <w:rFonts w:ascii="Arial" w:hAnsi="Arial" w:cs="Arial"/>
          <w:sz w:val="22"/>
          <w:szCs w:val="22"/>
        </w:rPr>
        <w:t>No trimestre findo em 31 de março de 2026</w:t>
      </w:r>
      <w:r w:rsidR="002176DB" w:rsidRPr="002176DB">
        <w:rPr>
          <w:rFonts w:ascii="Arial" w:hAnsi="Arial" w:cs="Arial"/>
          <w:sz w:val="22"/>
          <w:szCs w:val="22"/>
        </w:rPr>
        <w:t xml:space="preserve">, a Telebras reconheceu R$ </w:t>
      </w:r>
      <w:r w:rsidR="0090038F">
        <w:rPr>
          <w:rFonts w:ascii="Arial" w:hAnsi="Arial" w:cs="Arial"/>
          <w:sz w:val="22"/>
          <w:szCs w:val="22"/>
        </w:rPr>
        <w:t>1.998</w:t>
      </w:r>
      <w:r w:rsidR="002176DB" w:rsidRPr="002176DB">
        <w:rPr>
          <w:rFonts w:ascii="Arial" w:hAnsi="Arial" w:cs="Arial"/>
          <w:sz w:val="22"/>
          <w:szCs w:val="22"/>
        </w:rPr>
        <w:t xml:space="preserve"> </w:t>
      </w:r>
      <w:r w:rsidR="002176DB">
        <w:rPr>
          <w:rFonts w:ascii="Arial" w:hAnsi="Arial" w:cs="Arial"/>
          <w:sz w:val="22"/>
          <w:szCs w:val="22"/>
        </w:rPr>
        <w:t xml:space="preserve">(R$ </w:t>
      </w:r>
      <w:r w:rsidR="0090038F">
        <w:rPr>
          <w:rFonts w:ascii="Arial" w:hAnsi="Arial" w:cs="Arial"/>
          <w:sz w:val="22"/>
          <w:szCs w:val="22"/>
        </w:rPr>
        <w:t>2.947</w:t>
      </w:r>
      <w:r w:rsidR="002176DB">
        <w:rPr>
          <w:rFonts w:ascii="Arial" w:hAnsi="Arial" w:cs="Arial"/>
          <w:sz w:val="22"/>
          <w:szCs w:val="22"/>
        </w:rPr>
        <w:t xml:space="preserve"> </w:t>
      </w:r>
      <w:r w:rsidR="0090038F">
        <w:rPr>
          <w:rFonts w:ascii="Arial" w:hAnsi="Arial" w:cs="Arial"/>
          <w:sz w:val="22"/>
          <w:szCs w:val="22"/>
        </w:rPr>
        <w:t>no primeiro trimestre de 2025</w:t>
      </w:r>
      <w:r w:rsidR="002176DB">
        <w:rPr>
          <w:rFonts w:ascii="Arial" w:hAnsi="Arial" w:cs="Arial"/>
          <w:sz w:val="22"/>
          <w:szCs w:val="22"/>
        </w:rPr>
        <w:t xml:space="preserve">) </w:t>
      </w:r>
      <w:r w:rsidR="002176DB" w:rsidRPr="002176DB">
        <w:rPr>
          <w:rFonts w:ascii="Arial" w:hAnsi="Arial" w:cs="Arial"/>
          <w:sz w:val="22"/>
          <w:szCs w:val="22"/>
        </w:rPr>
        <w:t xml:space="preserve">em receitas de compartilhamento, o que representa uma redução de </w:t>
      </w:r>
      <w:r w:rsidR="0090038F">
        <w:rPr>
          <w:rFonts w:ascii="Arial" w:hAnsi="Arial" w:cs="Arial"/>
          <w:sz w:val="22"/>
          <w:szCs w:val="22"/>
        </w:rPr>
        <w:t>32,2</w:t>
      </w:r>
      <w:r w:rsidR="002176DB" w:rsidRPr="002176DB">
        <w:rPr>
          <w:rFonts w:ascii="Arial" w:hAnsi="Arial" w:cs="Arial"/>
          <w:sz w:val="22"/>
          <w:szCs w:val="22"/>
        </w:rPr>
        <w:t>% no comparativo anual.</w:t>
      </w:r>
      <w:r w:rsidR="002176DB">
        <w:rPr>
          <w:rFonts w:ascii="Arial" w:hAnsi="Arial" w:cs="Arial"/>
          <w:sz w:val="22"/>
          <w:szCs w:val="22"/>
        </w:rPr>
        <w:t xml:space="preserve"> </w:t>
      </w:r>
      <w:r w:rsidR="002176DB" w:rsidRPr="002176DB">
        <w:rPr>
          <w:rFonts w:ascii="Arial" w:hAnsi="Arial" w:cs="Arial"/>
          <w:sz w:val="22"/>
          <w:szCs w:val="22"/>
        </w:rPr>
        <w:t>A queda é explicada, principalmente, pelo menor volume de recursos recebidos da Viasat no período, refletindo a diminuição das atividades vinculadas ao acordo comercial entre as partes.</w:t>
      </w:r>
    </w:p>
    <w:p w14:paraId="5C64E0E9" w14:textId="77777777" w:rsidR="006F2BE1" w:rsidRDefault="006F2BE1" w:rsidP="00114E48">
      <w:pPr>
        <w:spacing w:line="276" w:lineRule="auto"/>
        <w:jc w:val="both"/>
        <w:rPr>
          <w:rFonts w:ascii="Arial" w:hAnsi="Arial" w:cs="Arial"/>
          <w:sz w:val="8"/>
          <w:szCs w:val="8"/>
        </w:rPr>
      </w:pPr>
    </w:p>
    <w:p w14:paraId="3A58B5DD" w14:textId="77777777" w:rsidR="006F2BE1" w:rsidRPr="0085618A" w:rsidRDefault="006F2BE1" w:rsidP="00114E48">
      <w:pPr>
        <w:spacing w:line="276" w:lineRule="auto"/>
        <w:jc w:val="both"/>
        <w:rPr>
          <w:rFonts w:ascii="Arial" w:hAnsi="Arial" w:cs="Arial"/>
          <w:sz w:val="2"/>
          <w:szCs w:val="2"/>
        </w:rPr>
      </w:pPr>
    </w:p>
    <w:p w14:paraId="42B237BC" w14:textId="17B41777" w:rsidR="00803400" w:rsidRDefault="006F2BE1" w:rsidP="00651DEF">
      <w:pPr>
        <w:spacing w:line="276" w:lineRule="auto"/>
        <w:jc w:val="both"/>
        <w:rPr>
          <w:rFonts w:ascii="Arial" w:hAnsi="Arial" w:cs="Arial"/>
          <w:sz w:val="22"/>
          <w:szCs w:val="22"/>
        </w:rPr>
      </w:pPr>
      <w:r w:rsidRPr="00651DEF">
        <w:rPr>
          <w:rFonts w:ascii="Arial" w:hAnsi="Arial" w:cs="Arial"/>
          <w:b/>
          <w:bCs/>
          <w:sz w:val="22"/>
          <w:szCs w:val="22"/>
        </w:rPr>
        <w:t>Outras Receitas:</w:t>
      </w:r>
      <w:r w:rsidRPr="00651DEF">
        <w:rPr>
          <w:rFonts w:ascii="Arial" w:hAnsi="Arial" w:cs="Arial"/>
          <w:sz w:val="22"/>
          <w:szCs w:val="22"/>
        </w:rPr>
        <w:t xml:space="preserve"> </w:t>
      </w:r>
      <w:r w:rsidR="00651DEF" w:rsidRPr="00651DEF">
        <w:rPr>
          <w:rFonts w:ascii="Arial" w:hAnsi="Arial" w:cs="Arial"/>
          <w:sz w:val="22"/>
          <w:szCs w:val="22"/>
        </w:rPr>
        <w:t>As Outras Receitas</w:t>
      </w:r>
      <w:r w:rsidR="004E1B4A">
        <w:rPr>
          <w:rFonts w:ascii="Arial" w:hAnsi="Arial" w:cs="Arial"/>
          <w:sz w:val="22"/>
          <w:szCs w:val="22"/>
        </w:rPr>
        <w:t xml:space="preserve">, que totalizaram </w:t>
      </w:r>
      <w:r w:rsidR="004B3073">
        <w:rPr>
          <w:rFonts w:ascii="Arial" w:hAnsi="Arial" w:cs="Arial"/>
          <w:sz w:val="22"/>
          <w:szCs w:val="22"/>
        </w:rPr>
        <w:t>no primeiro trimestre</w:t>
      </w:r>
      <w:r w:rsidR="004E1B4A">
        <w:rPr>
          <w:rFonts w:ascii="Arial" w:hAnsi="Arial" w:cs="Arial"/>
          <w:sz w:val="22"/>
          <w:szCs w:val="22"/>
        </w:rPr>
        <w:t xml:space="preserve"> 202</w:t>
      </w:r>
      <w:r w:rsidR="004B3073">
        <w:rPr>
          <w:rFonts w:ascii="Arial" w:hAnsi="Arial" w:cs="Arial"/>
          <w:sz w:val="22"/>
          <w:szCs w:val="22"/>
        </w:rPr>
        <w:t>6</w:t>
      </w:r>
      <w:r w:rsidR="004E1B4A">
        <w:rPr>
          <w:rFonts w:ascii="Arial" w:hAnsi="Arial" w:cs="Arial"/>
          <w:sz w:val="22"/>
          <w:szCs w:val="22"/>
        </w:rPr>
        <w:t xml:space="preserve"> R$ </w:t>
      </w:r>
      <w:r w:rsidR="004B3073">
        <w:rPr>
          <w:rFonts w:ascii="Arial" w:hAnsi="Arial" w:cs="Arial"/>
          <w:sz w:val="22"/>
          <w:szCs w:val="22"/>
        </w:rPr>
        <w:t>698</w:t>
      </w:r>
      <w:r w:rsidR="004E1B4A">
        <w:rPr>
          <w:rFonts w:ascii="Arial" w:hAnsi="Arial" w:cs="Arial"/>
          <w:sz w:val="22"/>
          <w:szCs w:val="22"/>
        </w:rPr>
        <w:t xml:space="preserve"> (R$ </w:t>
      </w:r>
      <w:r w:rsidR="004B3073">
        <w:rPr>
          <w:rFonts w:ascii="Arial" w:hAnsi="Arial" w:cs="Arial"/>
          <w:sz w:val="22"/>
          <w:szCs w:val="22"/>
        </w:rPr>
        <w:t>2.039</w:t>
      </w:r>
      <w:r w:rsidR="004E1B4A">
        <w:rPr>
          <w:rFonts w:ascii="Arial" w:hAnsi="Arial" w:cs="Arial"/>
          <w:sz w:val="22"/>
          <w:szCs w:val="22"/>
        </w:rPr>
        <w:t xml:space="preserve"> </w:t>
      </w:r>
      <w:r w:rsidR="004B3073">
        <w:rPr>
          <w:rFonts w:ascii="Arial" w:hAnsi="Arial" w:cs="Arial"/>
          <w:sz w:val="22"/>
          <w:szCs w:val="22"/>
        </w:rPr>
        <w:t xml:space="preserve">no primeiro trimestre de </w:t>
      </w:r>
      <w:r w:rsidR="004E1B4A">
        <w:rPr>
          <w:rFonts w:ascii="Arial" w:hAnsi="Arial" w:cs="Arial"/>
          <w:sz w:val="22"/>
          <w:szCs w:val="22"/>
        </w:rPr>
        <w:t>202</w:t>
      </w:r>
      <w:r w:rsidR="004B3073">
        <w:rPr>
          <w:rFonts w:ascii="Arial" w:hAnsi="Arial" w:cs="Arial"/>
          <w:sz w:val="22"/>
          <w:szCs w:val="22"/>
        </w:rPr>
        <w:t>5</w:t>
      </w:r>
      <w:r w:rsidR="004E1B4A">
        <w:rPr>
          <w:rFonts w:ascii="Arial" w:hAnsi="Arial" w:cs="Arial"/>
          <w:sz w:val="22"/>
          <w:szCs w:val="22"/>
        </w:rPr>
        <w:t>),</w:t>
      </w:r>
      <w:r w:rsidR="00651DEF" w:rsidRPr="00651DEF">
        <w:rPr>
          <w:rFonts w:ascii="Arial" w:hAnsi="Arial" w:cs="Arial"/>
          <w:sz w:val="22"/>
          <w:szCs w:val="22"/>
        </w:rPr>
        <w:t xml:space="preserve"> correspondem aos valores reconhecidos pela prestação de serviços de Wi</w:t>
      </w:r>
      <w:r w:rsidR="00651DEF" w:rsidRPr="00651DEF">
        <w:rPr>
          <w:rFonts w:ascii="Arial" w:hAnsi="Arial" w:cs="Arial"/>
          <w:sz w:val="22"/>
          <w:szCs w:val="22"/>
        </w:rPr>
        <w:noBreakHyphen/>
        <w:t>Fi, abrangendo os programas Wi</w:t>
      </w:r>
      <w:r w:rsidR="00651DEF" w:rsidRPr="00651DEF">
        <w:rPr>
          <w:rFonts w:ascii="Arial" w:hAnsi="Arial" w:cs="Arial"/>
          <w:sz w:val="22"/>
          <w:szCs w:val="22"/>
        </w:rPr>
        <w:noBreakHyphen/>
        <w:t>Fi Brasil, Wi</w:t>
      </w:r>
      <w:r w:rsidR="00651DEF" w:rsidRPr="00651DEF">
        <w:rPr>
          <w:rFonts w:ascii="Arial" w:hAnsi="Arial" w:cs="Arial"/>
          <w:sz w:val="22"/>
          <w:szCs w:val="22"/>
        </w:rPr>
        <w:noBreakHyphen/>
        <w:t>Fi Telebras e Wi</w:t>
      </w:r>
      <w:r w:rsidR="00651DEF" w:rsidRPr="00651DEF">
        <w:rPr>
          <w:rFonts w:ascii="Arial" w:hAnsi="Arial" w:cs="Arial"/>
          <w:sz w:val="22"/>
          <w:szCs w:val="22"/>
        </w:rPr>
        <w:noBreakHyphen/>
        <w:t xml:space="preserve">Fi Externo. </w:t>
      </w:r>
      <w:r w:rsidR="004B3073">
        <w:rPr>
          <w:rFonts w:ascii="Arial" w:hAnsi="Arial" w:cs="Arial"/>
          <w:sz w:val="22"/>
          <w:szCs w:val="22"/>
        </w:rPr>
        <w:t>Na comparação com o mesmo período do ano anterior</w:t>
      </w:r>
      <w:r w:rsidR="00651DEF" w:rsidRPr="00651DEF">
        <w:rPr>
          <w:rFonts w:ascii="Arial" w:hAnsi="Arial" w:cs="Arial"/>
          <w:sz w:val="22"/>
          <w:szCs w:val="22"/>
        </w:rPr>
        <w:t xml:space="preserve">, </w:t>
      </w:r>
      <w:r w:rsidR="00651DEF">
        <w:rPr>
          <w:rFonts w:ascii="Arial" w:hAnsi="Arial" w:cs="Arial"/>
          <w:sz w:val="22"/>
          <w:szCs w:val="22"/>
        </w:rPr>
        <w:t>esse serviço</w:t>
      </w:r>
      <w:r w:rsidR="00651DEF" w:rsidRPr="00651DEF">
        <w:rPr>
          <w:rFonts w:ascii="Arial" w:hAnsi="Arial" w:cs="Arial"/>
          <w:sz w:val="22"/>
          <w:szCs w:val="22"/>
        </w:rPr>
        <w:t xml:space="preserve"> apresentou uma redução de </w:t>
      </w:r>
      <w:r w:rsidR="004B3073">
        <w:rPr>
          <w:rFonts w:ascii="Arial" w:hAnsi="Arial" w:cs="Arial"/>
          <w:sz w:val="22"/>
          <w:szCs w:val="22"/>
        </w:rPr>
        <w:t>65,8</w:t>
      </w:r>
      <w:r w:rsidR="00651DEF" w:rsidRPr="00651DEF">
        <w:rPr>
          <w:rFonts w:ascii="Arial" w:hAnsi="Arial" w:cs="Arial"/>
          <w:sz w:val="22"/>
          <w:szCs w:val="22"/>
        </w:rPr>
        <w:t>%</w:t>
      </w:r>
      <w:r w:rsidR="004B3073">
        <w:rPr>
          <w:rFonts w:ascii="Arial" w:hAnsi="Arial" w:cs="Arial"/>
          <w:sz w:val="22"/>
          <w:szCs w:val="22"/>
        </w:rPr>
        <w:t>.</w:t>
      </w:r>
      <w:r w:rsidR="00651DEF" w:rsidRPr="00651DEF">
        <w:rPr>
          <w:rFonts w:ascii="Arial" w:hAnsi="Arial" w:cs="Arial"/>
          <w:sz w:val="22"/>
          <w:szCs w:val="22"/>
        </w:rPr>
        <w:t xml:space="preserve"> </w:t>
      </w:r>
    </w:p>
    <w:p w14:paraId="0970ECDF" w14:textId="77777777" w:rsidR="00803400" w:rsidRPr="0085618A" w:rsidRDefault="00803400" w:rsidP="00651DEF">
      <w:pPr>
        <w:spacing w:line="276" w:lineRule="auto"/>
        <w:jc w:val="both"/>
        <w:rPr>
          <w:rFonts w:ascii="Arial" w:hAnsi="Arial" w:cs="Arial"/>
          <w:sz w:val="12"/>
          <w:szCs w:val="12"/>
        </w:rPr>
      </w:pPr>
    </w:p>
    <w:p w14:paraId="0A46DEFB" w14:textId="4A11016F" w:rsidR="00651DEF" w:rsidRPr="00651DEF" w:rsidRDefault="00651DEF" w:rsidP="00651DEF">
      <w:pPr>
        <w:spacing w:line="276" w:lineRule="auto"/>
        <w:jc w:val="both"/>
        <w:rPr>
          <w:rFonts w:ascii="Arial" w:hAnsi="Arial" w:cs="Arial"/>
          <w:sz w:val="22"/>
          <w:szCs w:val="22"/>
        </w:rPr>
      </w:pPr>
      <w:r w:rsidRPr="00651DEF">
        <w:rPr>
          <w:rFonts w:ascii="Arial" w:hAnsi="Arial" w:cs="Arial"/>
          <w:sz w:val="22"/>
          <w:szCs w:val="22"/>
        </w:rPr>
        <w:t>Embora tenha havido aumento no número de clientes atendidos, a queda no resultado é explicada, principalmente, pela diminuição dos pontos ativos do programa GESAC, ao qual o serviço Wi</w:t>
      </w:r>
      <w:r w:rsidRPr="00651DEF">
        <w:rPr>
          <w:rFonts w:ascii="Arial" w:hAnsi="Arial" w:cs="Arial"/>
          <w:sz w:val="22"/>
          <w:szCs w:val="22"/>
        </w:rPr>
        <w:noBreakHyphen/>
        <w:t>Fi Brasil está vinculado. A redução na quantidade de pontos instalados afetou diretamente o volume de receita reconhecida no período, sobrepondo-se ao crescimento da base de usuários.</w:t>
      </w:r>
    </w:p>
    <w:p w14:paraId="4D056A7E" w14:textId="5BE4F7A2" w:rsidR="00651DEF" w:rsidRPr="0085618A" w:rsidRDefault="00651DEF" w:rsidP="00651DEF">
      <w:pPr>
        <w:spacing w:line="276" w:lineRule="auto"/>
        <w:jc w:val="both"/>
        <w:rPr>
          <w:rFonts w:ascii="Arial" w:hAnsi="Arial" w:cs="Arial"/>
          <w:sz w:val="12"/>
          <w:szCs w:val="12"/>
        </w:rPr>
      </w:pPr>
    </w:p>
    <w:p w14:paraId="448F63C6" w14:textId="616DFB6E" w:rsidR="00E83D8F" w:rsidRDefault="004E1B4A" w:rsidP="00597FE5">
      <w:pPr>
        <w:spacing w:line="276" w:lineRule="auto"/>
        <w:jc w:val="both"/>
        <w:rPr>
          <w:rFonts w:ascii="Arial" w:hAnsi="Arial" w:cs="Arial"/>
          <w:sz w:val="22"/>
          <w:szCs w:val="22"/>
        </w:rPr>
      </w:pPr>
      <w:r>
        <w:rPr>
          <w:rFonts w:ascii="Arial" w:hAnsi="Arial" w:cs="Arial"/>
          <w:sz w:val="22"/>
          <w:szCs w:val="22"/>
        </w:rPr>
        <w:t xml:space="preserve">Em 31 de </w:t>
      </w:r>
      <w:r w:rsidR="00983803">
        <w:rPr>
          <w:rFonts w:ascii="Arial" w:hAnsi="Arial" w:cs="Arial"/>
          <w:sz w:val="22"/>
          <w:szCs w:val="22"/>
        </w:rPr>
        <w:t>março</w:t>
      </w:r>
      <w:r w:rsidR="00801736" w:rsidRPr="003E2834">
        <w:rPr>
          <w:rFonts w:ascii="Arial" w:hAnsi="Arial" w:cs="Arial"/>
          <w:sz w:val="22"/>
          <w:szCs w:val="22"/>
        </w:rPr>
        <w:t xml:space="preserve"> de 202</w:t>
      </w:r>
      <w:r w:rsidR="00983803">
        <w:rPr>
          <w:rFonts w:ascii="Arial" w:hAnsi="Arial" w:cs="Arial"/>
          <w:sz w:val="22"/>
          <w:szCs w:val="22"/>
        </w:rPr>
        <w:t>6</w:t>
      </w:r>
      <w:r w:rsidR="00801736" w:rsidRPr="003E2834">
        <w:rPr>
          <w:rFonts w:ascii="Arial" w:hAnsi="Arial" w:cs="Arial"/>
          <w:sz w:val="22"/>
          <w:szCs w:val="22"/>
        </w:rPr>
        <w:t xml:space="preserve"> e </w:t>
      </w:r>
      <w:r w:rsidR="00321026" w:rsidRPr="003E2834">
        <w:rPr>
          <w:rFonts w:ascii="Arial" w:hAnsi="Arial" w:cs="Arial"/>
          <w:sz w:val="22"/>
          <w:szCs w:val="22"/>
        </w:rPr>
        <w:t>20</w:t>
      </w:r>
      <w:r w:rsidR="00DB3369" w:rsidRPr="003E2834">
        <w:rPr>
          <w:rFonts w:ascii="Arial" w:hAnsi="Arial" w:cs="Arial"/>
          <w:sz w:val="22"/>
          <w:szCs w:val="22"/>
        </w:rPr>
        <w:t>2</w:t>
      </w:r>
      <w:r w:rsidR="00983803">
        <w:rPr>
          <w:rFonts w:ascii="Arial" w:hAnsi="Arial" w:cs="Arial"/>
          <w:sz w:val="22"/>
          <w:szCs w:val="22"/>
        </w:rPr>
        <w:t>5</w:t>
      </w:r>
      <w:r w:rsidR="00321026" w:rsidRPr="003E2834">
        <w:rPr>
          <w:rFonts w:ascii="Arial" w:hAnsi="Arial" w:cs="Arial"/>
          <w:sz w:val="22"/>
          <w:szCs w:val="22"/>
        </w:rPr>
        <w:t xml:space="preserve">, </w:t>
      </w:r>
      <w:r w:rsidR="0001396D" w:rsidRPr="003E2834">
        <w:rPr>
          <w:rFonts w:ascii="Arial" w:hAnsi="Arial" w:cs="Arial"/>
          <w:sz w:val="22"/>
          <w:szCs w:val="22"/>
        </w:rPr>
        <w:t>a Companhia possuía clientes (Entidades Governamentais representativas do Governo Federal)</w:t>
      </w:r>
      <w:r w:rsidR="00622799" w:rsidRPr="003E2834">
        <w:rPr>
          <w:rFonts w:ascii="Arial" w:hAnsi="Arial" w:cs="Arial"/>
          <w:sz w:val="22"/>
          <w:szCs w:val="22"/>
        </w:rPr>
        <w:t>,</w:t>
      </w:r>
      <w:r w:rsidR="0001396D" w:rsidRPr="003E2834">
        <w:rPr>
          <w:rFonts w:ascii="Arial" w:hAnsi="Arial" w:cs="Arial"/>
          <w:sz w:val="22"/>
          <w:szCs w:val="22"/>
        </w:rPr>
        <w:t xml:space="preserve"> que </w:t>
      </w:r>
      <w:r w:rsidR="00E83D8F" w:rsidRPr="003E2834">
        <w:rPr>
          <w:rFonts w:ascii="Arial" w:hAnsi="Arial" w:cs="Arial"/>
          <w:sz w:val="22"/>
          <w:szCs w:val="22"/>
        </w:rPr>
        <w:t>contribuí</w:t>
      </w:r>
      <w:r w:rsidR="0001396D" w:rsidRPr="003E2834">
        <w:rPr>
          <w:rFonts w:ascii="Arial" w:hAnsi="Arial" w:cs="Arial"/>
          <w:sz w:val="22"/>
          <w:szCs w:val="22"/>
        </w:rPr>
        <w:t>ram</w:t>
      </w:r>
      <w:r w:rsidR="00E83D8F" w:rsidRPr="003E2834">
        <w:rPr>
          <w:rFonts w:ascii="Arial" w:hAnsi="Arial" w:cs="Arial"/>
          <w:sz w:val="22"/>
          <w:szCs w:val="22"/>
        </w:rPr>
        <w:t xml:space="preserve"> com mais de 10% </w:t>
      </w:r>
      <w:r w:rsidR="008D1F33" w:rsidRPr="003E2834">
        <w:rPr>
          <w:rFonts w:ascii="Arial" w:hAnsi="Arial" w:cs="Arial"/>
          <w:sz w:val="22"/>
          <w:szCs w:val="22"/>
        </w:rPr>
        <w:t xml:space="preserve">(dez por cento) </w:t>
      </w:r>
      <w:r w:rsidR="00E83D8F" w:rsidRPr="003E2834">
        <w:rPr>
          <w:rFonts w:ascii="Arial" w:hAnsi="Arial" w:cs="Arial"/>
          <w:sz w:val="22"/>
          <w:szCs w:val="22"/>
        </w:rPr>
        <w:t>da receita operacional bruta</w:t>
      </w:r>
      <w:r w:rsidR="0001396D" w:rsidRPr="003E2834">
        <w:rPr>
          <w:rFonts w:ascii="Arial" w:hAnsi="Arial" w:cs="Arial"/>
          <w:sz w:val="22"/>
          <w:szCs w:val="22"/>
        </w:rPr>
        <w:t>.</w:t>
      </w:r>
      <w:r w:rsidR="00E83D8F" w:rsidRPr="003E2834">
        <w:rPr>
          <w:rFonts w:ascii="Arial" w:hAnsi="Arial" w:cs="Arial"/>
          <w:sz w:val="22"/>
          <w:szCs w:val="22"/>
        </w:rPr>
        <w:t xml:space="preserve"> </w:t>
      </w:r>
    </w:p>
    <w:p w14:paraId="6A2681EE" w14:textId="77777777" w:rsidR="00531665" w:rsidRPr="0085618A" w:rsidRDefault="00531665" w:rsidP="00597FE5">
      <w:pPr>
        <w:spacing w:line="276" w:lineRule="auto"/>
        <w:jc w:val="both"/>
        <w:rPr>
          <w:rFonts w:ascii="Arial" w:hAnsi="Arial" w:cs="Arial"/>
          <w:sz w:val="12"/>
          <w:szCs w:val="12"/>
        </w:rPr>
      </w:pPr>
    </w:p>
    <w:p w14:paraId="54703959" w14:textId="75CAC5BE" w:rsidR="00581A61" w:rsidRDefault="00E83D8F" w:rsidP="00597FE5">
      <w:pPr>
        <w:spacing w:line="276" w:lineRule="auto"/>
        <w:jc w:val="both"/>
        <w:rPr>
          <w:rFonts w:ascii="Arial" w:hAnsi="Arial" w:cs="Arial"/>
          <w:sz w:val="22"/>
          <w:szCs w:val="22"/>
        </w:rPr>
      </w:pPr>
      <w:r w:rsidRPr="003E2834">
        <w:rPr>
          <w:rFonts w:ascii="Arial" w:hAnsi="Arial" w:cs="Arial"/>
          <w:sz w:val="22"/>
          <w:szCs w:val="22"/>
        </w:rPr>
        <w:t xml:space="preserve">Todos os valores que compõem a receita </w:t>
      </w:r>
      <w:r w:rsidR="00E833FB" w:rsidRPr="003E2834">
        <w:rPr>
          <w:rFonts w:ascii="Arial" w:hAnsi="Arial" w:cs="Arial"/>
          <w:sz w:val="22"/>
          <w:szCs w:val="22"/>
        </w:rPr>
        <w:t xml:space="preserve">operacional </w:t>
      </w:r>
      <w:r w:rsidRPr="003E2834">
        <w:rPr>
          <w:rFonts w:ascii="Arial" w:hAnsi="Arial" w:cs="Arial"/>
          <w:sz w:val="22"/>
          <w:szCs w:val="22"/>
        </w:rPr>
        <w:t xml:space="preserve">líquida integram a base para o cálculo de </w:t>
      </w:r>
      <w:r w:rsidR="0091496D" w:rsidRPr="003E2834">
        <w:rPr>
          <w:rFonts w:ascii="Arial" w:hAnsi="Arial" w:cs="Arial"/>
          <w:sz w:val="22"/>
          <w:szCs w:val="22"/>
        </w:rPr>
        <w:t>I</w:t>
      </w:r>
      <w:r w:rsidRPr="003E2834">
        <w:rPr>
          <w:rFonts w:ascii="Arial" w:hAnsi="Arial" w:cs="Arial"/>
          <w:sz w:val="22"/>
          <w:szCs w:val="22"/>
        </w:rPr>
        <w:t xml:space="preserve">mposto de </w:t>
      </w:r>
      <w:r w:rsidR="0091496D" w:rsidRPr="003E2834">
        <w:rPr>
          <w:rFonts w:ascii="Arial" w:hAnsi="Arial" w:cs="Arial"/>
          <w:sz w:val="22"/>
          <w:szCs w:val="22"/>
        </w:rPr>
        <w:t>R</w:t>
      </w:r>
      <w:r w:rsidRPr="003E2834">
        <w:rPr>
          <w:rFonts w:ascii="Arial" w:hAnsi="Arial" w:cs="Arial"/>
          <w:sz w:val="22"/>
          <w:szCs w:val="22"/>
        </w:rPr>
        <w:t xml:space="preserve">enda e </w:t>
      </w:r>
      <w:r w:rsidR="0091496D" w:rsidRPr="003E2834">
        <w:rPr>
          <w:rFonts w:ascii="Arial" w:hAnsi="Arial" w:cs="Arial"/>
          <w:sz w:val="22"/>
          <w:szCs w:val="22"/>
        </w:rPr>
        <w:t>C</w:t>
      </w:r>
      <w:r w:rsidRPr="003E2834">
        <w:rPr>
          <w:rFonts w:ascii="Arial" w:hAnsi="Arial" w:cs="Arial"/>
          <w:sz w:val="22"/>
          <w:szCs w:val="22"/>
        </w:rPr>
        <w:t xml:space="preserve">ontribuição </w:t>
      </w:r>
      <w:r w:rsidR="0091496D" w:rsidRPr="003E2834">
        <w:rPr>
          <w:rFonts w:ascii="Arial" w:hAnsi="Arial" w:cs="Arial"/>
          <w:sz w:val="22"/>
          <w:szCs w:val="22"/>
        </w:rPr>
        <w:t>S</w:t>
      </w:r>
      <w:r w:rsidRPr="003E2834">
        <w:rPr>
          <w:rFonts w:ascii="Arial" w:hAnsi="Arial" w:cs="Arial"/>
          <w:sz w:val="22"/>
          <w:szCs w:val="22"/>
        </w:rPr>
        <w:t>ocial.</w:t>
      </w:r>
    </w:p>
    <w:p w14:paraId="4B4B445B" w14:textId="77777777" w:rsidR="004F39F5" w:rsidRDefault="004F39F5" w:rsidP="00597FE5">
      <w:pPr>
        <w:spacing w:line="276" w:lineRule="auto"/>
        <w:jc w:val="both"/>
        <w:rPr>
          <w:rFonts w:ascii="Arial" w:hAnsi="Arial" w:cs="Arial"/>
          <w:sz w:val="16"/>
          <w:szCs w:val="16"/>
        </w:rPr>
      </w:pPr>
    </w:p>
    <w:p w14:paraId="7B60C8F0" w14:textId="7D035A98" w:rsidR="001A2823" w:rsidRPr="0046022F" w:rsidRDefault="00043C95" w:rsidP="009541E1">
      <w:pPr>
        <w:pStyle w:val="Ttulo2"/>
        <w:numPr>
          <w:ilvl w:val="0"/>
          <w:numId w:val="7"/>
        </w:numPr>
        <w:tabs>
          <w:tab w:val="clear" w:pos="284"/>
          <w:tab w:val="clear" w:pos="340"/>
        </w:tabs>
        <w:spacing w:before="0" w:after="0"/>
        <w:ind w:left="851" w:hanging="851"/>
        <w:jc w:val="both"/>
        <w:rPr>
          <w:rFonts w:ascii="Arial" w:hAnsi="Arial" w:cs="Arial"/>
        </w:rPr>
      </w:pPr>
      <w:bookmarkStart w:id="61" w:name="_Toc491337771"/>
      <w:r w:rsidRPr="0046022F">
        <w:rPr>
          <w:rFonts w:ascii="Arial" w:hAnsi="Arial" w:cs="Arial"/>
        </w:rPr>
        <w:t>CUSTOS/</w:t>
      </w:r>
      <w:r w:rsidR="001A2823" w:rsidRPr="0046022F">
        <w:rPr>
          <w:rFonts w:ascii="Arial" w:hAnsi="Arial" w:cs="Arial"/>
        </w:rPr>
        <w:t>DESPESAS POR NATUREZA</w:t>
      </w:r>
      <w:bookmarkEnd w:id="61"/>
    </w:p>
    <w:p w14:paraId="463E4D03" w14:textId="2B6CCF79" w:rsidR="00F03D0C" w:rsidRPr="00EE76A7" w:rsidRDefault="00F03D0C" w:rsidP="00F03D0C">
      <w:pPr>
        <w:rPr>
          <w:sz w:val="12"/>
          <w:szCs w:val="12"/>
        </w:rPr>
      </w:pPr>
    </w:p>
    <w:p w14:paraId="7C2CCE5D" w14:textId="77777777" w:rsidR="00A036DA" w:rsidRPr="00A036DA" w:rsidRDefault="00A036DA" w:rsidP="00A036DA">
      <w:pPr>
        <w:rPr>
          <w:rFonts w:ascii="Arial" w:hAnsi="Arial" w:cs="Arial"/>
          <w:sz w:val="22"/>
          <w:szCs w:val="22"/>
        </w:rPr>
      </w:pPr>
      <w:r w:rsidRPr="00A036DA">
        <w:rPr>
          <w:rFonts w:ascii="Arial" w:hAnsi="Arial" w:cs="Arial"/>
          <w:sz w:val="22"/>
          <w:szCs w:val="22"/>
        </w:rPr>
        <w:t>Os custos e as despesas operacionais, por natureza, no primeiro trimestre de 2026 e de 2025 estão apresentados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7"/>
        <w:gridCol w:w="1694"/>
        <w:gridCol w:w="1470"/>
      </w:tblGrid>
      <w:tr w:rsidR="0030324F" w:rsidRPr="001D0CB4" w14:paraId="3FF6A3D3" w14:textId="77777777" w:rsidTr="0030324F">
        <w:trPr>
          <w:trHeight w:val="232"/>
        </w:trPr>
        <w:tc>
          <w:tcPr>
            <w:tcW w:w="3381" w:type="pct"/>
            <w:shd w:val="clear" w:color="000000" w:fill="D9D9D9"/>
            <w:vAlign w:val="center"/>
            <w:hideMark/>
          </w:tcPr>
          <w:p w14:paraId="58F5EB71" w14:textId="77777777" w:rsidR="0030324F" w:rsidRPr="001D0CB4" w:rsidRDefault="0030324F">
            <w:pPr>
              <w:rPr>
                <w:rFonts w:ascii="Arial" w:hAnsi="Arial" w:cs="Arial"/>
                <w:b/>
                <w:bCs/>
                <w:color w:val="000000"/>
                <w:sz w:val="18"/>
                <w:szCs w:val="18"/>
              </w:rPr>
            </w:pPr>
            <w:r w:rsidRPr="001D0CB4">
              <w:rPr>
                <w:rFonts w:ascii="Arial" w:hAnsi="Arial" w:cs="Arial"/>
                <w:b/>
                <w:bCs/>
                <w:color w:val="000000"/>
                <w:sz w:val="18"/>
                <w:szCs w:val="18"/>
              </w:rPr>
              <w:lastRenderedPageBreak/>
              <w:t>Custos dos Serviços Prestados</w:t>
            </w:r>
          </w:p>
        </w:tc>
        <w:tc>
          <w:tcPr>
            <w:tcW w:w="867" w:type="pct"/>
            <w:vAlign w:val="center"/>
            <w:hideMark/>
          </w:tcPr>
          <w:p w14:paraId="6D562B69" w14:textId="77777777" w:rsidR="0030324F" w:rsidRPr="001D0CB4" w:rsidRDefault="0030324F">
            <w:pPr>
              <w:jc w:val="center"/>
              <w:rPr>
                <w:rFonts w:ascii="Arial" w:hAnsi="Arial" w:cs="Arial"/>
                <w:b/>
                <w:bCs/>
                <w:color w:val="000000"/>
                <w:sz w:val="18"/>
                <w:szCs w:val="18"/>
              </w:rPr>
            </w:pPr>
            <w:r w:rsidRPr="001D0CB4">
              <w:rPr>
                <w:rFonts w:ascii="Arial" w:hAnsi="Arial" w:cs="Arial"/>
                <w:b/>
                <w:bCs/>
                <w:color w:val="000000"/>
                <w:sz w:val="18"/>
                <w:szCs w:val="18"/>
              </w:rPr>
              <w:t>31/03/2026</w:t>
            </w:r>
          </w:p>
        </w:tc>
        <w:tc>
          <w:tcPr>
            <w:tcW w:w="752" w:type="pct"/>
            <w:vAlign w:val="center"/>
            <w:hideMark/>
          </w:tcPr>
          <w:p w14:paraId="1DCC416D" w14:textId="77777777" w:rsidR="0030324F" w:rsidRPr="001D0CB4" w:rsidRDefault="0030324F">
            <w:pPr>
              <w:jc w:val="center"/>
              <w:rPr>
                <w:rFonts w:ascii="Arial" w:hAnsi="Arial" w:cs="Arial"/>
                <w:b/>
                <w:bCs/>
                <w:color w:val="000000"/>
                <w:sz w:val="18"/>
                <w:szCs w:val="18"/>
              </w:rPr>
            </w:pPr>
            <w:r w:rsidRPr="001D0CB4">
              <w:rPr>
                <w:rFonts w:ascii="Arial" w:hAnsi="Arial" w:cs="Arial"/>
                <w:b/>
                <w:bCs/>
                <w:color w:val="000000"/>
                <w:sz w:val="18"/>
                <w:szCs w:val="18"/>
              </w:rPr>
              <w:t>31/03/2025</w:t>
            </w:r>
          </w:p>
        </w:tc>
      </w:tr>
      <w:tr w:rsidR="0030324F" w:rsidRPr="001D0CB4" w14:paraId="628D2C03" w14:textId="77777777" w:rsidTr="0030324F">
        <w:trPr>
          <w:trHeight w:val="232"/>
        </w:trPr>
        <w:tc>
          <w:tcPr>
            <w:tcW w:w="3381" w:type="pct"/>
            <w:noWrap/>
            <w:vAlign w:val="center"/>
            <w:hideMark/>
          </w:tcPr>
          <w:p w14:paraId="73F7BC73"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Depreciação e Amortização</w:t>
            </w:r>
          </w:p>
        </w:tc>
        <w:tc>
          <w:tcPr>
            <w:tcW w:w="867" w:type="pct"/>
            <w:noWrap/>
            <w:vAlign w:val="center"/>
            <w:hideMark/>
          </w:tcPr>
          <w:p w14:paraId="02059013"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(59.827)</w:t>
            </w:r>
          </w:p>
        </w:tc>
        <w:tc>
          <w:tcPr>
            <w:tcW w:w="752" w:type="pct"/>
            <w:noWrap/>
            <w:vAlign w:val="center"/>
            <w:hideMark/>
          </w:tcPr>
          <w:p w14:paraId="2A74EBF7"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(66.523)</w:t>
            </w:r>
          </w:p>
        </w:tc>
      </w:tr>
      <w:tr w:rsidR="0030324F" w:rsidRPr="001D0CB4" w14:paraId="2FEBC198" w14:textId="77777777" w:rsidTr="0030324F">
        <w:trPr>
          <w:trHeight w:val="232"/>
        </w:trPr>
        <w:tc>
          <w:tcPr>
            <w:tcW w:w="3381" w:type="pct"/>
            <w:noWrap/>
            <w:vAlign w:val="center"/>
            <w:hideMark/>
          </w:tcPr>
          <w:p w14:paraId="5CDE524B"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Meios de Conexão e Transmissão</w:t>
            </w:r>
          </w:p>
        </w:tc>
        <w:tc>
          <w:tcPr>
            <w:tcW w:w="867" w:type="pct"/>
            <w:noWrap/>
            <w:vAlign w:val="center"/>
            <w:hideMark/>
          </w:tcPr>
          <w:p w14:paraId="5807F3F7"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(52.452)</w:t>
            </w:r>
          </w:p>
        </w:tc>
        <w:tc>
          <w:tcPr>
            <w:tcW w:w="752" w:type="pct"/>
            <w:noWrap/>
            <w:vAlign w:val="center"/>
            <w:hideMark/>
          </w:tcPr>
          <w:p w14:paraId="44273A13"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(36.033)</w:t>
            </w:r>
          </w:p>
        </w:tc>
      </w:tr>
      <w:tr w:rsidR="0030324F" w:rsidRPr="001D0CB4" w14:paraId="4C552165" w14:textId="77777777" w:rsidTr="0030324F">
        <w:trPr>
          <w:trHeight w:val="232"/>
        </w:trPr>
        <w:tc>
          <w:tcPr>
            <w:tcW w:w="3381" w:type="pct"/>
            <w:noWrap/>
            <w:vAlign w:val="center"/>
            <w:hideMark/>
          </w:tcPr>
          <w:p w14:paraId="026EC422"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Serviços de Terceiros</w:t>
            </w:r>
          </w:p>
        </w:tc>
        <w:tc>
          <w:tcPr>
            <w:tcW w:w="867" w:type="pct"/>
            <w:noWrap/>
            <w:vAlign w:val="center"/>
            <w:hideMark/>
          </w:tcPr>
          <w:p w14:paraId="6E66ECA5"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(45.444)</w:t>
            </w:r>
          </w:p>
        </w:tc>
        <w:tc>
          <w:tcPr>
            <w:tcW w:w="752" w:type="pct"/>
            <w:noWrap/>
            <w:vAlign w:val="center"/>
            <w:hideMark/>
          </w:tcPr>
          <w:p w14:paraId="7D915ACB"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(34.471)</w:t>
            </w:r>
          </w:p>
        </w:tc>
      </w:tr>
      <w:tr w:rsidR="0030324F" w:rsidRPr="001D0CB4" w14:paraId="64F18A42" w14:textId="77777777" w:rsidTr="0030324F">
        <w:trPr>
          <w:trHeight w:val="232"/>
        </w:trPr>
        <w:tc>
          <w:tcPr>
            <w:tcW w:w="3381" w:type="pct"/>
            <w:noWrap/>
            <w:vAlign w:val="center"/>
            <w:hideMark/>
          </w:tcPr>
          <w:p w14:paraId="78EEFF12"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Aluguéis, Locações e Seguros</w:t>
            </w:r>
          </w:p>
        </w:tc>
        <w:tc>
          <w:tcPr>
            <w:tcW w:w="867" w:type="pct"/>
            <w:noWrap/>
            <w:vAlign w:val="center"/>
            <w:hideMark/>
          </w:tcPr>
          <w:p w14:paraId="03BC5E83"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(20.010)</w:t>
            </w:r>
          </w:p>
        </w:tc>
        <w:tc>
          <w:tcPr>
            <w:tcW w:w="752" w:type="pct"/>
            <w:noWrap/>
            <w:vAlign w:val="center"/>
            <w:hideMark/>
          </w:tcPr>
          <w:p w14:paraId="6C827C90"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(13.408)</w:t>
            </w:r>
          </w:p>
        </w:tc>
      </w:tr>
      <w:tr w:rsidR="0030324F" w:rsidRPr="001D0CB4" w14:paraId="49AC3A47" w14:textId="77777777" w:rsidTr="0030324F">
        <w:trPr>
          <w:trHeight w:val="232"/>
        </w:trPr>
        <w:tc>
          <w:tcPr>
            <w:tcW w:w="3381" w:type="pct"/>
            <w:noWrap/>
            <w:vAlign w:val="center"/>
            <w:hideMark/>
          </w:tcPr>
          <w:p w14:paraId="21520030"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Pessoal</w:t>
            </w:r>
          </w:p>
        </w:tc>
        <w:tc>
          <w:tcPr>
            <w:tcW w:w="867" w:type="pct"/>
            <w:noWrap/>
            <w:vAlign w:val="center"/>
            <w:hideMark/>
          </w:tcPr>
          <w:p w14:paraId="61DDEEBA"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(6.327)</w:t>
            </w:r>
          </w:p>
        </w:tc>
        <w:tc>
          <w:tcPr>
            <w:tcW w:w="752" w:type="pct"/>
            <w:noWrap/>
            <w:vAlign w:val="center"/>
            <w:hideMark/>
          </w:tcPr>
          <w:p w14:paraId="1A1C45BE"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(5.917)</w:t>
            </w:r>
          </w:p>
        </w:tc>
      </w:tr>
      <w:tr w:rsidR="0030324F" w:rsidRPr="001D0CB4" w14:paraId="65B29712" w14:textId="77777777" w:rsidTr="0030324F">
        <w:trPr>
          <w:trHeight w:val="232"/>
        </w:trPr>
        <w:tc>
          <w:tcPr>
            <w:tcW w:w="3381" w:type="pct"/>
            <w:noWrap/>
            <w:vAlign w:val="center"/>
            <w:hideMark/>
          </w:tcPr>
          <w:p w14:paraId="6F448EBB"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Tributos</w:t>
            </w:r>
          </w:p>
        </w:tc>
        <w:tc>
          <w:tcPr>
            <w:tcW w:w="867" w:type="pct"/>
            <w:noWrap/>
            <w:vAlign w:val="center"/>
            <w:hideMark/>
          </w:tcPr>
          <w:p w14:paraId="34248D14"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(1.998)</w:t>
            </w:r>
          </w:p>
        </w:tc>
        <w:tc>
          <w:tcPr>
            <w:tcW w:w="752" w:type="pct"/>
            <w:noWrap/>
            <w:vAlign w:val="center"/>
            <w:hideMark/>
          </w:tcPr>
          <w:p w14:paraId="7944F687"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(1.731)</w:t>
            </w:r>
          </w:p>
        </w:tc>
      </w:tr>
      <w:tr w:rsidR="0030324F" w:rsidRPr="001D0CB4" w14:paraId="788BFED5" w14:textId="77777777" w:rsidTr="0030324F">
        <w:trPr>
          <w:trHeight w:val="232"/>
        </w:trPr>
        <w:tc>
          <w:tcPr>
            <w:tcW w:w="3381" w:type="pct"/>
            <w:noWrap/>
            <w:vAlign w:val="center"/>
            <w:hideMark/>
          </w:tcPr>
          <w:p w14:paraId="0F5A7B76"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Compartilhamento de Instalações</w:t>
            </w:r>
          </w:p>
        </w:tc>
        <w:tc>
          <w:tcPr>
            <w:tcW w:w="867" w:type="pct"/>
            <w:noWrap/>
            <w:vAlign w:val="center"/>
            <w:hideMark/>
          </w:tcPr>
          <w:p w14:paraId="1D3F2341"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(764)</w:t>
            </w:r>
          </w:p>
        </w:tc>
        <w:tc>
          <w:tcPr>
            <w:tcW w:w="752" w:type="pct"/>
            <w:noWrap/>
            <w:vAlign w:val="center"/>
            <w:hideMark/>
          </w:tcPr>
          <w:p w14:paraId="1A382FBC"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(1.031)</w:t>
            </w:r>
          </w:p>
        </w:tc>
      </w:tr>
      <w:tr w:rsidR="0030324F" w:rsidRPr="001D0CB4" w14:paraId="3E7108A5" w14:textId="77777777" w:rsidTr="0030324F">
        <w:trPr>
          <w:trHeight w:val="232"/>
        </w:trPr>
        <w:tc>
          <w:tcPr>
            <w:tcW w:w="3381" w:type="pct"/>
            <w:noWrap/>
            <w:vAlign w:val="center"/>
            <w:hideMark/>
          </w:tcPr>
          <w:p w14:paraId="2DBC32C8"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Material</w:t>
            </w:r>
          </w:p>
        </w:tc>
        <w:tc>
          <w:tcPr>
            <w:tcW w:w="867" w:type="pct"/>
            <w:noWrap/>
            <w:vAlign w:val="center"/>
            <w:hideMark/>
          </w:tcPr>
          <w:p w14:paraId="27F4F0CF"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(263)</w:t>
            </w:r>
          </w:p>
        </w:tc>
        <w:tc>
          <w:tcPr>
            <w:tcW w:w="752" w:type="pct"/>
            <w:noWrap/>
            <w:vAlign w:val="center"/>
            <w:hideMark/>
          </w:tcPr>
          <w:p w14:paraId="7AC6F9FB"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w:t>
            </w:r>
          </w:p>
        </w:tc>
      </w:tr>
      <w:tr w:rsidR="0030324F" w:rsidRPr="001D0CB4" w14:paraId="048918D6" w14:textId="77777777" w:rsidTr="0030324F">
        <w:trPr>
          <w:trHeight w:val="232"/>
        </w:trPr>
        <w:tc>
          <w:tcPr>
            <w:tcW w:w="3381" w:type="pct"/>
            <w:noWrap/>
            <w:vAlign w:val="center"/>
            <w:hideMark/>
          </w:tcPr>
          <w:p w14:paraId="1165828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Programa de Indenização por Serviços Prestados - PISP</w:t>
            </w:r>
          </w:p>
        </w:tc>
        <w:tc>
          <w:tcPr>
            <w:tcW w:w="867" w:type="pct"/>
            <w:noWrap/>
            <w:vAlign w:val="center"/>
            <w:hideMark/>
          </w:tcPr>
          <w:p w14:paraId="7E4D2DAF"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 xml:space="preserve">                    - </w:t>
            </w:r>
          </w:p>
        </w:tc>
        <w:tc>
          <w:tcPr>
            <w:tcW w:w="752" w:type="pct"/>
            <w:noWrap/>
            <w:vAlign w:val="center"/>
            <w:hideMark/>
          </w:tcPr>
          <w:p w14:paraId="71DE9F10"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(206)</w:t>
            </w:r>
          </w:p>
        </w:tc>
      </w:tr>
      <w:tr w:rsidR="0030324F" w14:paraId="71E5FF76" w14:textId="77777777" w:rsidTr="0030324F">
        <w:trPr>
          <w:trHeight w:val="232"/>
        </w:trPr>
        <w:tc>
          <w:tcPr>
            <w:tcW w:w="3381" w:type="pct"/>
            <w:noWrap/>
            <w:vAlign w:val="center"/>
            <w:hideMark/>
          </w:tcPr>
          <w:p w14:paraId="1A8A6C23" w14:textId="77777777" w:rsidR="0030324F" w:rsidRPr="001D0CB4" w:rsidRDefault="0030324F">
            <w:pPr>
              <w:rPr>
                <w:rFonts w:ascii="Arial" w:hAnsi="Arial" w:cs="Arial"/>
                <w:b/>
                <w:bCs/>
                <w:color w:val="000000"/>
                <w:sz w:val="18"/>
                <w:szCs w:val="18"/>
              </w:rPr>
            </w:pPr>
            <w:r w:rsidRPr="001D0CB4">
              <w:rPr>
                <w:rFonts w:ascii="Arial" w:hAnsi="Arial" w:cs="Arial"/>
                <w:b/>
                <w:bCs/>
                <w:color w:val="000000"/>
                <w:sz w:val="18"/>
                <w:szCs w:val="18"/>
              </w:rPr>
              <w:t>Total</w:t>
            </w:r>
          </w:p>
        </w:tc>
        <w:tc>
          <w:tcPr>
            <w:tcW w:w="867" w:type="pct"/>
            <w:noWrap/>
            <w:vAlign w:val="center"/>
            <w:hideMark/>
          </w:tcPr>
          <w:p w14:paraId="4B633C80" w14:textId="77777777" w:rsidR="0030324F" w:rsidRPr="001D0CB4" w:rsidRDefault="0030324F">
            <w:pPr>
              <w:jc w:val="right"/>
              <w:rPr>
                <w:rFonts w:ascii="Arial" w:hAnsi="Arial" w:cs="Arial"/>
                <w:b/>
                <w:bCs/>
                <w:color w:val="000000"/>
                <w:sz w:val="18"/>
                <w:szCs w:val="18"/>
              </w:rPr>
            </w:pPr>
            <w:r w:rsidRPr="001D0CB4">
              <w:rPr>
                <w:rFonts w:ascii="Arial" w:hAnsi="Arial" w:cs="Arial"/>
                <w:b/>
                <w:bCs/>
                <w:color w:val="000000"/>
                <w:sz w:val="18"/>
                <w:szCs w:val="18"/>
              </w:rPr>
              <w:t>(187.085)</w:t>
            </w:r>
          </w:p>
        </w:tc>
        <w:tc>
          <w:tcPr>
            <w:tcW w:w="752" w:type="pct"/>
            <w:noWrap/>
            <w:vAlign w:val="center"/>
            <w:hideMark/>
          </w:tcPr>
          <w:p w14:paraId="3914E6C6" w14:textId="77777777" w:rsidR="0030324F" w:rsidRDefault="0030324F">
            <w:pPr>
              <w:jc w:val="right"/>
              <w:rPr>
                <w:rFonts w:ascii="Arial" w:hAnsi="Arial" w:cs="Arial"/>
                <w:b/>
                <w:bCs/>
                <w:color w:val="000000"/>
                <w:sz w:val="18"/>
                <w:szCs w:val="18"/>
              </w:rPr>
            </w:pPr>
            <w:r w:rsidRPr="001D0CB4">
              <w:rPr>
                <w:rFonts w:ascii="Arial" w:hAnsi="Arial" w:cs="Arial"/>
                <w:b/>
                <w:bCs/>
                <w:color w:val="000000"/>
                <w:sz w:val="18"/>
                <w:szCs w:val="18"/>
              </w:rPr>
              <w:t>(159.321)</w:t>
            </w:r>
          </w:p>
        </w:tc>
      </w:tr>
      <w:tr w:rsidR="0030324F" w:rsidRPr="001D0CB4" w14:paraId="5D4D902C" w14:textId="77777777" w:rsidTr="0030324F">
        <w:trPr>
          <w:trHeight w:val="232"/>
        </w:trPr>
        <w:tc>
          <w:tcPr>
            <w:tcW w:w="3381" w:type="pct"/>
            <w:shd w:val="clear" w:color="000000" w:fill="D9D9D9"/>
            <w:vAlign w:val="center"/>
            <w:hideMark/>
          </w:tcPr>
          <w:p w14:paraId="1BA3B685" w14:textId="77777777" w:rsidR="0030324F" w:rsidRPr="001D0CB4" w:rsidRDefault="0030324F">
            <w:pPr>
              <w:rPr>
                <w:rFonts w:ascii="Arial" w:hAnsi="Arial" w:cs="Arial"/>
                <w:b/>
                <w:bCs/>
                <w:color w:val="000000"/>
                <w:sz w:val="18"/>
                <w:szCs w:val="18"/>
              </w:rPr>
            </w:pPr>
            <w:r w:rsidRPr="001D0CB4">
              <w:rPr>
                <w:rFonts w:ascii="Arial" w:hAnsi="Arial" w:cs="Arial"/>
                <w:b/>
                <w:bCs/>
                <w:color w:val="000000"/>
                <w:sz w:val="18"/>
                <w:szCs w:val="18"/>
              </w:rPr>
              <w:t xml:space="preserve">Despesas Comerciais </w:t>
            </w:r>
          </w:p>
        </w:tc>
        <w:tc>
          <w:tcPr>
            <w:tcW w:w="867" w:type="pct"/>
            <w:vAlign w:val="center"/>
            <w:hideMark/>
          </w:tcPr>
          <w:p w14:paraId="729DCEED" w14:textId="77777777" w:rsidR="0030324F" w:rsidRPr="001D0CB4" w:rsidRDefault="0030324F">
            <w:pPr>
              <w:jc w:val="center"/>
              <w:rPr>
                <w:rFonts w:ascii="Arial" w:hAnsi="Arial" w:cs="Arial"/>
                <w:b/>
                <w:bCs/>
                <w:color w:val="000000"/>
                <w:sz w:val="18"/>
                <w:szCs w:val="18"/>
              </w:rPr>
            </w:pPr>
            <w:r w:rsidRPr="001D0CB4">
              <w:rPr>
                <w:rFonts w:ascii="Arial" w:hAnsi="Arial" w:cs="Arial"/>
                <w:b/>
                <w:bCs/>
                <w:color w:val="000000"/>
                <w:sz w:val="18"/>
                <w:szCs w:val="18"/>
              </w:rPr>
              <w:t>31/03/2026</w:t>
            </w:r>
          </w:p>
        </w:tc>
        <w:tc>
          <w:tcPr>
            <w:tcW w:w="752" w:type="pct"/>
            <w:vAlign w:val="center"/>
            <w:hideMark/>
          </w:tcPr>
          <w:p w14:paraId="2B18464C" w14:textId="77777777" w:rsidR="0030324F" w:rsidRPr="001D0CB4" w:rsidRDefault="0030324F">
            <w:pPr>
              <w:jc w:val="center"/>
              <w:rPr>
                <w:rFonts w:ascii="Arial" w:hAnsi="Arial" w:cs="Arial"/>
                <w:b/>
                <w:bCs/>
                <w:color w:val="000000"/>
                <w:sz w:val="18"/>
                <w:szCs w:val="18"/>
              </w:rPr>
            </w:pPr>
            <w:r w:rsidRPr="001D0CB4">
              <w:rPr>
                <w:rFonts w:ascii="Arial" w:hAnsi="Arial" w:cs="Arial"/>
                <w:b/>
                <w:bCs/>
                <w:color w:val="000000"/>
                <w:sz w:val="18"/>
                <w:szCs w:val="18"/>
              </w:rPr>
              <w:t>31/03/2025</w:t>
            </w:r>
          </w:p>
        </w:tc>
      </w:tr>
      <w:tr w:rsidR="0030324F" w:rsidRPr="001D0CB4" w14:paraId="0FE65246" w14:textId="77777777" w:rsidTr="0030324F">
        <w:trPr>
          <w:trHeight w:val="232"/>
        </w:trPr>
        <w:tc>
          <w:tcPr>
            <w:tcW w:w="3381" w:type="pct"/>
            <w:noWrap/>
            <w:vAlign w:val="center"/>
            <w:hideMark/>
          </w:tcPr>
          <w:p w14:paraId="03A0DB8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Pessoal</w:t>
            </w:r>
          </w:p>
        </w:tc>
        <w:tc>
          <w:tcPr>
            <w:tcW w:w="867" w:type="pct"/>
            <w:noWrap/>
            <w:vAlign w:val="center"/>
            <w:hideMark/>
          </w:tcPr>
          <w:p w14:paraId="4D1280F7"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(6.908)</w:t>
            </w:r>
          </w:p>
        </w:tc>
        <w:tc>
          <w:tcPr>
            <w:tcW w:w="752" w:type="pct"/>
            <w:noWrap/>
            <w:vAlign w:val="center"/>
            <w:hideMark/>
          </w:tcPr>
          <w:p w14:paraId="59EA630A"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(5.949)</w:t>
            </w:r>
          </w:p>
        </w:tc>
      </w:tr>
      <w:tr w:rsidR="0030324F" w:rsidRPr="001D0CB4" w14:paraId="0870E158" w14:textId="77777777" w:rsidTr="0030324F">
        <w:trPr>
          <w:trHeight w:val="232"/>
        </w:trPr>
        <w:tc>
          <w:tcPr>
            <w:tcW w:w="3381" w:type="pct"/>
            <w:noWrap/>
            <w:vAlign w:val="center"/>
            <w:hideMark/>
          </w:tcPr>
          <w:p w14:paraId="11EF008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Serviços de Terceiros</w:t>
            </w:r>
          </w:p>
        </w:tc>
        <w:tc>
          <w:tcPr>
            <w:tcW w:w="867" w:type="pct"/>
            <w:noWrap/>
            <w:vAlign w:val="center"/>
            <w:hideMark/>
          </w:tcPr>
          <w:p w14:paraId="18F3FE42"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(565)</w:t>
            </w:r>
          </w:p>
        </w:tc>
        <w:tc>
          <w:tcPr>
            <w:tcW w:w="752" w:type="pct"/>
            <w:noWrap/>
            <w:vAlign w:val="center"/>
            <w:hideMark/>
          </w:tcPr>
          <w:p w14:paraId="636DDAD4"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(511)</w:t>
            </w:r>
          </w:p>
        </w:tc>
      </w:tr>
      <w:tr w:rsidR="0030324F" w:rsidRPr="001D0CB4" w14:paraId="2B92E38B" w14:textId="77777777" w:rsidTr="0030324F">
        <w:trPr>
          <w:trHeight w:val="232"/>
        </w:trPr>
        <w:tc>
          <w:tcPr>
            <w:tcW w:w="3381" w:type="pct"/>
            <w:noWrap/>
            <w:vAlign w:val="center"/>
            <w:hideMark/>
          </w:tcPr>
          <w:p w14:paraId="6D8196C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Depreciação e Amortização</w:t>
            </w:r>
          </w:p>
        </w:tc>
        <w:tc>
          <w:tcPr>
            <w:tcW w:w="867" w:type="pct"/>
            <w:noWrap/>
            <w:vAlign w:val="center"/>
            <w:hideMark/>
          </w:tcPr>
          <w:p w14:paraId="1F8237C5"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(44)</w:t>
            </w:r>
          </w:p>
        </w:tc>
        <w:tc>
          <w:tcPr>
            <w:tcW w:w="752" w:type="pct"/>
            <w:noWrap/>
            <w:vAlign w:val="center"/>
            <w:hideMark/>
          </w:tcPr>
          <w:p w14:paraId="61A2548F"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(48)</w:t>
            </w:r>
          </w:p>
        </w:tc>
      </w:tr>
      <w:tr w:rsidR="0030324F" w:rsidRPr="001D0CB4" w14:paraId="4695A4A9" w14:textId="77777777" w:rsidTr="0030324F">
        <w:trPr>
          <w:trHeight w:val="232"/>
        </w:trPr>
        <w:tc>
          <w:tcPr>
            <w:tcW w:w="3381" w:type="pct"/>
            <w:noWrap/>
            <w:vAlign w:val="center"/>
            <w:hideMark/>
          </w:tcPr>
          <w:p w14:paraId="3D300D0F"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Programa de Indenização por Serviços Prestados - PISP</w:t>
            </w:r>
          </w:p>
        </w:tc>
        <w:tc>
          <w:tcPr>
            <w:tcW w:w="867" w:type="pct"/>
            <w:noWrap/>
            <w:vAlign w:val="center"/>
            <w:hideMark/>
          </w:tcPr>
          <w:p w14:paraId="7771CFD0"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w:t>
            </w:r>
          </w:p>
        </w:tc>
        <w:tc>
          <w:tcPr>
            <w:tcW w:w="752" w:type="pct"/>
            <w:noWrap/>
            <w:vAlign w:val="center"/>
            <w:hideMark/>
          </w:tcPr>
          <w:p w14:paraId="643E56D2"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(171)</w:t>
            </w:r>
          </w:p>
        </w:tc>
      </w:tr>
      <w:tr w:rsidR="0030324F" w:rsidRPr="001D0CB4" w14:paraId="3235A39E" w14:textId="77777777" w:rsidTr="0030324F">
        <w:trPr>
          <w:trHeight w:val="232"/>
        </w:trPr>
        <w:tc>
          <w:tcPr>
            <w:tcW w:w="3381" w:type="pct"/>
            <w:noWrap/>
            <w:vAlign w:val="center"/>
            <w:hideMark/>
          </w:tcPr>
          <w:p w14:paraId="75DAB039"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Aluguéis, Locações e Seguros</w:t>
            </w:r>
          </w:p>
        </w:tc>
        <w:tc>
          <w:tcPr>
            <w:tcW w:w="867" w:type="pct"/>
            <w:noWrap/>
            <w:vAlign w:val="center"/>
            <w:hideMark/>
          </w:tcPr>
          <w:p w14:paraId="61A769D3"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 xml:space="preserve">                    - </w:t>
            </w:r>
          </w:p>
        </w:tc>
        <w:tc>
          <w:tcPr>
            <w:tcW w:w="752" w:type="pct"/>
            <w:noWrap/>
            <w:vAlign w:val="center"/>
            <w:hideMark/>
          </w:tcPr>
          <w:p w14:paraId="6E93ABE0"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(30)</w:t>
            </w:r>
          </w:p>
        </w:tc>
      </w:tr>
      <w:tr w:rsidR="0030324F" w:rsidRPr="001D0CB4" w14:paraId="009C191A" w14:textId="77777777" w:rsidTr="0030324F">
        <w:trPr>
          <w:trHeight w:val="232"/>
        </w:trPr>
        <w:tc>
          <w:tcPr>
            <w:tcW w:w="3381" w:type="pct"/>
            <w:noWrap/>
            <w:vAlign w:val="center"/>
            <w:hideMark/>
          </w:tcPr>
          <w:p w14:paraId="4ED2A5F6"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Perdas Estimadas com Crédito de Liquidação Duvidosa</w:t>
            </w:r>
          </w:p>
        </w:tc>
        <w:tc>
          <w:tcPr>
            <w:tcW w:w="867" w:type="pct"/>
            <w:noWrap/>
            <w:vAlign w:val="center"/>
            <w:hideMark/>
          </w:tcPr>
          <w:p w14:paraId="0235A5BD"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142</w:t>
            </w:r>
          </w:p>
        </w:tc>
        <w:tc>
          <w:tcPr>
            <w:tcW w:w="752" w:type="pct"/>
            <w:noWrap/>
            <w:vAlign w:val="center"/>
            <w:hideMark/>
          </w:tcPr>
          <w:p w14:paraId="5F23EF31"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398</w:t>
            </w:r>
          </w:p>
        </w:tc>
      </w:tr>
      <w:tr w:rsidR="0030324F" w14:paraId="33D97A87" w14:textId="77777777" w:rsidTr="0030324F">
        <w:trPr>
          <w:trHeight w:val="232"/>
        </w:trPr>
        <w:tc>
          <w:tcPr>
            <w:tcW w:w="3381" w:type="pct"/>
            <w:noWrap/>
            <w:vAlign w:val="center"/>
            <w:hideMark/>
          </w:tcPr>
          <w:p w14:paraId="7F7BACF2" w14:textId="77777777" w:rsidR="0030324F" w:rsidRPr="001D0CB4" w:rsidRDefault="0030324F">
            <w:pPr>
              <w:rPr>
                <w:rFonts w:ascii="Arial" w:hAnsi="Arial" w:cs="Arial"/>
                <w:b/>
                <w:bCs/>
                <w:color w:val="000000"/>
                <w:sz w:val="18"/>
                <w:szCs w:val="18"/>
              </w:rPr>
            </w:pPr>
            <w:r w:rsidRPr="001D0CB4">
              <w:rPr>
                <w:rFonts w:ascii="Arial" w:hAnsi="Arial" w:cs="Arial"/>
                <w:b/>
                <w:bCs/>
                <w:color w:val="000000"/>
                <w:sz w:val="18"/>
                <w:szCs w:val="18"/>
              </w:rPr>
              <w:t>Total</w:t>
            </w:r>
          </w:p>
        </w:tc>
        <w:tc>
          <w:tcPr>
            <w:tcW w:w="867" w:type="pct"/>
            <w:noWrap/>
            <w:vAlign w:val="center"/>
            <w:hideMark/>
          </w:tcPr>
          <w:p w14:paraId="46A6AA17" w14:textId="77777777" w:rsidR="0030324F" w:rsidRPr="001D0CB4" w:rsidRDefault="0030324F">
            <w:pPr>
              <w:jc w:val="right"/>
              <w:rPr>
                <w:rFonts w:ascii="Arial" w:hAnsi="Arial" w:cs="Arial"/>
                <w:b/>
                <w:bCs/>
                <w:color w:val="000000"/>
                <w:sz w:val="18"/>
                <w:szCs w:val="18"/>
              </w:rPr>
            </w:pPr>
            <w:r w:rsidRPr="001D0CB4">
              <w:rPr>
                <w:rFonts w:ascii="Arial" w:hAnsi="Arial" w:cs="Arial"/>
                <w:b/>
                <w:bCs/>
                <w:color w:val="000000"/>
                <w:sz w:val="18"/>
                <w:szCs w:val="18"/>
              </w:rPr>
              <w:t>(7.378)</w:t>
            </w:r>
          </w:p>
        </w:tc>
        <w:tc>
          <w:tcPr>
            <w:tcW w:w="752" w:type="pct"/>
            <w:noWrap/>
            <w:vAlign w:val="center"/>
            <w:hideMark/>
          </w:tcPr>
          <w:p w14:paraId="02D80236" w14:textId="77777777" w:rsidR="0030324F" w:rsidRDefault="0030324F">
            <w:pPr>
              <w:jc w:val="right"/>
              <w:rPr>
                <w:rFonts w:ascii="Arial" w:hAnsi="Arial" w:cs="Arial"/>
                <w:b/>
                <w:bCs/>
                <w:color w:val="000000"/>
                <w:sz w:val="18"/>
                <w:szCs w:val="18"/>
              </w:rPr>
            </w:pPr>
            <w:r w:rsidRPr="001D0CB4">
              <w:rPr>
                <w:rFonts w:ascii="Arial" w:hAnsi="Arial" w:cs="Arial"/>
                <w:b/>
                <w:bCs/>
                <w:color w:val="000000"/>
                <w:sz w:val="18"/>
                <w:szCs w:val="18"/>
              </w:rPr>
              <w:t>(6.311)</w:t>
            </w:r>
          </w:p>
        </w:tc>
      </w:tr>
      <w:tr w:rsidR="0030324F" w:rsidRPr="0030324F" w14:paraId="4AC05B34" w14:textId="77777777" w:rsidTr="001D0CB4">
        <w:trPr>
          <w:trHeight w:val="232"/>
        </w:trPr>
        <w:tc>
          <w:tcPr>
            <w:tcW w:w="3381" w:type="pct"/>
            <w:vAlign w:val="center"/>
            <w:hideMark/>
          </w:tcPr>
          <w:p w14:paraId="25A37AFA" w14:textId="77777777" w:rsidR="0030324F" w:rsidRPr="001D0CB4" w:rsidRDefault="0030324F">
            <w:pPr>
              <w:rPr>
                <w:rFonts w:ascii="Arial" w:hAnsi="Arial" w:cs="Arial"/>
                <w:b/>
                <w:bCs/>
                <w:color w:val="000000"/>
                <w:sz w:val="18"/>
                <w:szCs w:val="18"/>
              </w:rPr>
            </w:pPr>
            <w:r w:rsidRPr="001D0CB4">
              <w:rPr>
                <w:rFonts w:ascii="Arial" w:hAnsi="Arial" w:cs="Arial"/>
                <w:b/>
                <w:bCs/>
                <w:color w:val="000000"/>
                <w:sz w:val="18"/>
                <w:szCs w:val="18"/>
              </w:rPr>
              <w:t>Despesas Gerais e Administrativas</w:t>
            </w:r>
          </w:p>
        </w:tc>
        <w:tc>
          <w:tcPr>
            <w:tcW w:w="867" w:type="pct"/>
            <w:vAlign w:val="center"/>
            <w:hideMark/>
          </w:tcPr>
          <w:p w14:paraId="0BB19CBE" w14:textId="77777777" w:rsidR="0030324F" w:rsidRPr="001D0CB4" w:rsidRDefault="0030324F">
            <w:pPr>
              <w:jc w:val="center"/>
              <w:rPr>
                <w:rFonts w:ascii="Arial" w:hAnsi="Arial" w:cs="Arial"/>
                <w:b/>
                <w:bCs/>
                <w:color w:val="000000"/>
                <w:sz w:val="18"/>
                <w:szCs w:val="18"/>
              </w:rPr>
            </w:pPr>
            <w:r w:rsidRPr="001D0CB4">
              <w:rPr>
                <w:rFonts w:ascii="Arial" w:hAnsi="Arial" w:cs="Arial"/>
                <w:b/>
                <w:bCs/>
                <w:color w:val="000000"/>
                <w:sz w:val="18"/>
                <w:szCs w:val="18"/>
              </w:rPr>
              <w:t>31/03/2026</w:t>
            </w:r>
          </w:p>
        </w:tc>
        <w:tc>
          <w:tcPr>
            <w:tcW w:w="752" w:type="pct"/>
            <w:vAlign w:val="center"/>
            <w:hideMark/>
          </w:tcPr>
          <w:p w14:paraId="37D6E949" w14:textId="77777777" w:rsidR="0030324F" w:rsidRPr="001D0CB4" w:rsidRDefault="0030324F">
            <w:pPr>
              <w:jc w:val="center"/>
              <w:rPr>
                <w:rFonts w:ascii="Arial" w:hAnsi="Arial" w:cs="Arial"/>
                <w:b/>
                <w:bCs/>
                <w:color w:val="000000"/>
                <w:sz w:val="18"/>
                <w:szCs w:val="18"/>
              </w:rPr>
            </w:pPr>
            <w:r w:rsidRPr="001D0CB4">
              <w:rPr>
                <w:rFonts w:ascii="Arial" w:hAnsi="Arial" w:cs="Arial"/>
                <w:b/>
                <w:bCs/>
                <w:color w:val="000000"/>
                <w:sz w:val="18"/>
                <w:szCs w:val="18"/>
              </w:rPr>
              <w:t>31/03/2025</w:t>
            </w:r>
          </w:p>
        </w:tc>
      </w:tr>
      <w:tr w:rsidR="0030324F" w:rsidRPr="0030324F" w14:paraId="56BAEE8C" w14:textId="77777777" w:rsidTr="0030324F">
        <w:trPr>
          <w:trHeight w:val="232"/>
        </w:trPr>
        <w:tc>
          <w:tcPr>
            <w:tcW w:w="3381" w:type="pct"/>
            <w:noWrap/>
            <w:vAlign w:val="center"/>
            <w:hideMark/>
          </w:tcPr>
          <w:p w14:paraId="5077B0E2"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Pessoal</w:t>
            </w:r>
          </w:p>
        </w:tc>
        <w:tc>
          <w:tcPr>
            <w:tcW w:w="867" w:type="pct"/>
            <w:noWrap/>
            <w:vAlign w:val="center"/>
            <w:hideMark/>
          </w:tcPr>
          <w:p w14:paraId="1AC9A386"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(17.511)</w:t>
            </w:r>
          </w:p>
        </w:tc>
        <w:tc>
          <w:tcPr>
            <w:tcW w:w="752" w:type="pct"/>
            <w:noWrap/>
            <w:vAlign w:val="center"/>
            <w:hideMark/>
          </w:tcPr>
          <w:p w14:paraId="449301DA"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(15.343)</w:t>
            </w:r>
          </w:p>
        </w:tc>
      </w:tr>
      <w:tr w:rsidR="0030324F" w:rsidRPr="0030324F" w14:paraId="1064F5AC" w14:textId="77777777" w:rsidTr="0030324F">
        <w:trPr>
          <w:trHeight w:val="232"/>
        </w:trPr>
        <w:tc>
          <w:tcPr>
            <w:tcW w:w="3381" w:type="pct"/>
            <w:noWrap/>
            <w:vAlign w:val="center"/>
            <w:hideMark/>
          </w:tcPr>
          <w:p w14:paraId="5C5E4F58"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Serviços de Terceiros</w:t>
            </w:r>
          </w:p>
        </w:tc>
        <w:tc>
          <w:tcPr>
            <w:tcW w:w="867" w:type="pct"/>
            <w:noWrap/>
            <w:vAlign w:val="center"/>
            <w:hideMark/>
          </w:tcPr>
          <w:p w14:paraId="2916BEAF"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(5.290)</w:t>
            </w:r>
          </w:p>
        </w:tc>
        <w:tc>
          <w:tcPr>
            <w:tcW w:w="752" w:type="pct"/>
            <w:noWrap/>
            <w:vAlign w:val="center"/>
            <w:hideMark/>
          </w:tcPr>
          <w:p w14:paraId="689DFFA3"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(2.856)</w:t>
            </w:r>
          </w:p>
        </w:tc>
      </w:tr>
      <w:tr w:rsidR="0030324F" w:rsidRPr="0030324F" w14:paraId="39056C53" w14:textId="77777777" w:rsidTr="0030324F">
        <w:trPr>
          <w:trHeight w:val="232"/>
        </w:trPr>
        <w:tc>
          <w:tcPr>
            <w:tcW w:w="3381" w:type="pct"/>
            <w:noWrap/>
            <w:vAlign w:val="center"/>
            <w:hideMark/>
          </w:tcPr>
          <w:p w14:paraId="0C3178B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Depreciação e Amortização</w:t>
            </w:r>
          </w:p>
        </w:tc>
        <w:tc>
          <w:tcPr>
            <w:tcW w:w="867" w:type="pct"/>
            <w:noWrap/>
            <w:vAlign w:val="center"/>
            <w:hideMark/>
          </w:tcPr>
          <w:p w14:paraId="60F0C4EB"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(3.668)</w:t>
            </w:r>
          </w:p>
        </w:tc>
        <w:tc>
          <w:tcPr>
            <w:tcW w:w="752" w:type="pct"/>
            <w:noWrap/>
            <w:vAlign w:val="center"/>
            <w:hideMark/>
          </w:tcPr>
          <w:p w14:paraId="0FBF4D4E"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(3.153)</w:t>
            </w:r>
          </w:p>
        </w:tc>
      </w:tr>
      <w:tr w:rsidR="0030324F" w:rsidRPr="0030324F" w14:paraId="341AE9E5" w14:textId="77777777" w:rsidTr="0030324F">
        <w:trPr>
          <w:trHeight w:val="232"/>
        </w:trPr>
        <w:tc>
          <w:tcPr>
            <w:tcW w:w="3381" w:type="pct"/>
            <w:noWrap/>
            <w:vAlign w:val="center"/>
            <w:hideMark/>
          </w:tcPr>
          <w:p w14:paraId="20196E7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Aluguéis, Locações e Seguros</w:t>
            </w:r>
          </w:p>
        </w:tc>
        <w:tc>
          <w:tcPr>
            <w:tcW w:w="867" w:type="pct"/>
            <w:noWrap/>
            <w:vAlign w:val="center"/>
            <w:hideMark/>
          </w:tcPr>
          <w:p w14:paraId="0AAF9B8F"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(309)</w:t>
            </w:r>
          </w:p>
        </w:tc>
        <w:tc>
          <w:tcPr>
            <w:tcW w:w="752" w:type="pct"/>
            <w:noWrap/>
            <w:vAlign w:val="center"/>
            <w:hideMark/>
          </w:tcPr>
          <w:p w14:paraId="0DEF65A3"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(157)</w:t>
            </w:r>
          </w:p>
        </w:tc>
      </w:tr>
      <w:tr w:rsidR="0030324F" w:rsidRPr="0030324F" w14:paraId="78277362" w14:textId="77777777" w:rsidTr="0030324F">
        <w:trPr>
          <w:trHeight w:val="232"/>
        </w:trPr>
        <w:tc>
          <w:tcPr>
            <w:tcW w:w="3381" w:type="pct"/>
            <w:noWrap/>
            <w:vAlign w:val="center"/>
            <w:hideMark/>
          </w:tcPr>
          <w:p w14:paraId="078BBB34"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Tributos</w:t>
            </w:r>
          </w:p>
        </w:tc>
        <w:tc>
          <w:tcPr>
            <w:tcW w:w="867" w:type="pct"/>
            <w:noWrap/>
            <w:vAlign w:val="center"/>
            <w:hideMark/>
          </w:tcPr>
          <w:p w14:paraId="16997889"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(27)</w:t>
            </w:r>
          </w:p>
        </w:tc>
        <w:tc>
          <w:tcPr>
            <w:tcW w:w="752" w:type="pct"/>
            <w:noWrap/>
            <w:vAlign w:val="center"/>
            <w:hideMark/>
          </w:tcPr>
          <w:p w14:paraId="18B1CD8E"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(20)</w:t>
            </w:r>
          </w:p>
        </w:tc>
      </w:tr>
      <w:tr w:rsidR="0030324F" w:rsidRPr="0030324F" w14:paraId="54DB5754" w14:textId="77777777" w:rsidTr="0030324F">
        <w:trPr>
          <w:trHeight w:val="232"/>
        </w:trPr>
        <w:tc>
          <w:tcPr>
            <w:tcW w:w="3381" w:type="pct"/>
            <w:noWrap/>
            <w:vAlign w:val="center"/>
            <w:hideMark/>
          </w:tcPr>
          <w:p w14:paraId="1C827CA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Material</w:t>
            </w:r>
          </w:p>
        </w:tc>
        <w:tc>
          <w:tcPr>
            <w:tcW w:w="867" w:type="pct"/>
            <w:noWrap/>
            <w:vAlign w:val="center"/>
            <w:hideMark/>
          </w:tcPr>
          <w:p w14:paraId="54F4C47F"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(6)</w:t>
            </w:r>
          </w:p>
        </w:tc>
        <w:tc>
          <w:tcPr>
            <w:tcW w:w="752" w:type="pct"/>
            <w:noWrap/>
            <w:vAlign w:val="center"/>
            <w:hideMark/>
          </w:tcPr>
          <w:p w14:paraId="4D230DF5"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(6)</w:t>
            </w:r>
          </w:p>
        </w:tc>
      </w:tr>
      <w:tr w:rsidR="0030324F" w:rsidRPr="0030324F" w14:paraId="322BCE55" w14:textId="77777777" w:rsidTr="0030324F">
        <w:trPr>
          <w:trHeight w:val="232"/>
        </w:trPr>
        <w:tc>
          <w:tcPr>
            <w:tcW w:w="3381" w:type="pct"/>
            <w:noWrap/>
            <w:vAlign w:val="center"/>
            <w:hideMark/>
          </w:tcPr>
          <w:p w14:paraId="7DB21DDC"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Programa de Indenização por Serviços Prestados - PISP</w:t>
            </w:r>
          </w:p>
        </w:tc>
        <w:tc>
          <w:tcPr>
            <w:tcW w:w="867" w:type="pct"/>
            <w:noWrap/>
            <w:vAlign w:val="center"/>
            <w:hideMark/>
          </w:tcPr>
          <w:p w14:paraId="353073CA"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w:t>
            </w:r>
          </w:p>
        </w:tc>
        <w:tc>
          <w:tcPr>
            <w:tcW w:w="752" w:type="pct"/>
            <w:noWrap/>
            <w:vAlign w:val="center"/>
            <w:hideMark/>
          </w:tcPr>
          <w:p w14:paraId="1ED6D165"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(221)</w:t>
            </w:r>
          </w:p>
        </w:tc>
      </w:tr>
      <w:tr w:rsidR="0030324F" w14:paraId="10124BC9" w14:textId="77777777" w:rsidTr="0030324F">
        <w:trPr>
          <w:trHeight w:val="232"/>
        </w:trPr>
        <w:tc>
          <w:tcPr>
            <w:tcW w:w="3381" w:type="pct"/>
            <w:noWrap/>
            <w:vAlign w:val="center"/>
            <w:hideMark/>
          </w:tcPr>
          <w:p w14:paraId="55976706" w14:textId="77777777" w:rsidR="0030324F" w:rsidRPr="001D0CB4" w:rsidRDefault="0030324F">
            <w:pPr>
              <w:rPr>
                <w:rFonts w:ascii="Arial" w:hAnsi="Arial" w:cs="Arial"/>
                <w:b/>
                <w:bCs/>
                <w:color w:val="000000"/>
                <w:sz w:val="18"/>
                <w:szCs w:val="18"/>
              </w:rPr>
            </w:pPr>
            <w:r w:rsidRPr="001D0CB4">
              <w:rPr>
                <w:rFonts w:ascii="Arial" w:hAnsi="Arial" w:cs="Arial"/>
                <w:b/>
                <w:bCs/>
                <w:color w:val="000000"/>
                <w:sz w:val="18"/>
                <w:szCs w:val="18"/>
              </w:rPr>
              <w:t>Total</w:t>
            </w:r>
          </w:p>
        </w:tc>
        <w:tc>
          <w:tcPr>
            <w:tcW w:w="867" w:type="pct"/>
            <w:noWrap/>
            <w:vAlign w:val="center"/>
            <w:hideMark/>
          </w:tcPr>
          <w:p w14:paraId="2C582A59" w14:textId="77777777" w:rsidR="0030324F" w:rsidRPr="001D0CB4" w:rsidRDefault="0030324F">
            <w:pPr>
              <w:jc w:val="right"/>
              <w:rPr>
                <w:rFonts w:ascii="Arial" w:hAnsi="Arial" w:cs="Arial"/>
                <w:b/>
                <w:bCs/>
                <w:color w:val="000000"/>
                <w:sz w:val="18"/>
                <w:szCs w:val="18"/>
              </w:rPr>
            </w:pPr>
            <w:r w:rsidRPr="001D0CB4">
              <w:rPr>
                <w:rFonts w:ascii="Arial" w:hAnsi="Arial" w:cs="Arial"/>
                <w:b/>
                <w:bCs/>
                <w:color w:val="000000"/>
                <w:sz w:val="18"/>
                <w:szCs w:val="18"/>
              </w:rPr>
              <w:t>(26.814)</w:t>
            </w:r>
          </w:p>
        </w:tc>
        <w:tc>
          <w:tcPr>
            <w:tcW w:w="752" w:type="pct"/>
            <w:noWrap/>
            <w:vAlign w:val="center"/>
            <w:hideMark/>
          </w:tcPr>
          <w:p w14:paraId="4D5D51A7" w14:textId="77777777" w:rsidR="0030324F" w:rsidRPr="001D0CB4" w:rsidRDefault="0030324F">
            <w:pPr>
              <w:jc w:val="right"/>
              <w:rPr>
                <w:rFonts w:ascii="Arial" w:hAnsi="Arial" w:cs="Arial"/>
                <w:b/>
                <w:bCs/>
                <w:color w:val="000000"/>
                <w:sz w:val="18"/>
                <w:szCs w:val="18"/>
              </w:rPr>
            </w:pPr>
            <w:r w:rsidRPr="001D0CB4">
              <w:rPr>
                <w:rFonts w:ascii="Arial" w:hAnsi="Arial" w:cs="Arial"/>
                <w:b/>
                <w:bCs/>
                <w:color w:val="000000"/>
                <w:sz w:val="18"/>
                <w:szCs w:val="18"/>
              </w:rPr>
              <w:t>(21.756)</w:t>
            </w:r>
          </w:p>
        </w:tc>
      </w:tr>
    </w:tbl>
    <w:p w14:paraId="04DA1E7A" w14:textId="77777777" w:rsidR="0030324F" w:rsidRDefault="0030324F" w:rsidP="00CD1863">
      <w:pPr>
        <w:jc w:val="both"/>
        <w:rPr>
          <w:rFonts w:ascii="Arial" w:hAnsi="Arial" w:cs="Arial"/>
          <w:sz w:val="22"/>
          <w:szCs w:val="22"/>
        </w:rPr>
      </w:pPr>
    </w:p>
    <w:p w14:paraId="456CDF6E" w14:textId="77777777" w:rsidR="0030324F" w:rsidRDefault="0030324F" w:rsidP="00CD186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7"/>
        <w:gridCol w:w="1694"/>
        <w:gridCol w:w="1470"/>
      </w:tblGrid>
      <w:tr w:rsidR="0030324F" w:rsidRPr="0030324F" w14:paraId="66F4EB3A" w14:textId="77777777" w:rsidTr="0030324F">
        <w:trPr>
          <w:trHeight w:val="232"/>
        </w:trPr>
        <w:tc>
          <w:tcPr>
            <w:tcW w:w="3381" w:type="pct"/>
            <w:shd w:val="clear" w:color="000000" w:fill="D9D9D9"/>
            <w:vAlign w:val="center"/>
            <w:hideMark/>
          </w:tcPr>
          <w:p w14:paraId="0E9B1D52" w14:textId="77777777" w:rsidR="0030324F" w:rsidRPr="001D0CB4" w:rsidRDefault="0030324F">
            <w:pPr>
              <w:rPr>
                <w:rFonts w:ascii="Arial" w:hAnsi="Arial" w:cs="Arial"/>
                <w:b/>
                <w:bCs/>
                <w:color w:val="000000"/>
                <w:sz w:val="18"/>
                <w:szCs w:val="18"/>
              </w:rPr>
            </w:pPr>
            <w:r w:rsidRPr="001D0CB4">
              <w:rPr>
                <w:rFonts w:ascii="Arial" w:hAnsi="Arial" w:cs="Arial"/>
                <w:b/>
                <w:bCs/>
                <w:color w:val="000000"/>
                <w:sz w:val="18"/>
                <w:szCs w:val="18"/>
              </w:rPr>
              <w:t>Aglutinado</w:t>
            </w:r>
          </w:p>
        </w:tc>
        <w:tc>
          <w:tcPr>
            <w:tcW w:w="867" w:type="pct"/>
            <w:vAlign w:val="center"/>
            <w:hideMark/>
          </w:tcPr>
          <w:p w14:paraId="6FC08C8E" w14:textId="77777777" w:rsidR="0030324F" w:rsidRPr="001D0CB4" w:rsidRDefault="0030324F">
            <w:pPr>
              <w:jc w:val="center"/>
              <w:rPr>
                <w:rFonts w:ascii="Arial" w:hAnsi="Arial" w:cs="Arial"/>
                <w:b/>
                <w:bCs/>
                <w:color w:val="000000"/>
                <w:sz w:val="18"/>
                <w:szCs w:val="18"/>
              </w:rPr>
            </w:pPr>
            <w:r w:rsidRPr="001D0CB4">
              <w:rPr>
                <w:rFonts w:ascii="Arial" w:hAnsi="Arial" w:cs="Arial"/>
                <w:b/>
                <w:bCs/>
                <w:color w:val="000000"/>
                <w:sz w:val="18"/>
                <w:szCs w:val="18"/>
              </w:rPr>
              <w:t>31/03/2026</w:t>
            </w:r>
          </w:p>
        </w:tc>
        <w:tc>
          <w:tcPr>
            <w:tcW w:w="752" w:type="pct"/>
            <w:vAlign w:val="center"/>
            <w:hideMark/>
          </w:tcPr>
          <w:p w14:paraId="48DD2583" w14:textId="77777777" w:rsidR="0030324F" w:rsidRPr="001D0CB4" w:rsidRDefault="0030324F">
            <w:pPr>
              <w:jc w:val="center"/>
              <w:rPr>
                <w:rFonts w:ascii="Arial" w:hAnsi="Arial" w:cs="Arial"/>
                <w:b/>
                <w:bCs/>
                <w:color w:val="000000"/>
                <w:sz w:val="18"/>
                <w:szCs w:val="18"/>
              </w:rPr>
            </w:pPr>
            <w:r w:rsidRPr="001D0CB4">
              <w:rPr>
                <w:rFonts w:ascii="Arial" w:hAnsi="Arial" w:cs="Arial"/>
                <w:b/>
                <w:bCs/>
                <w:color w:val="000000"/>
                <w:sz w:val="18"/>
                <w:szCs w:val="18"/>
              </w:rPr>
              <w:t>31/03/2025</w:t>
            </w:r>
          </w:p>
        </w:tc>
      </w:tr>
      <w:tr w:rsidR="0030324F" w:rsidRPr="0030324F" w14:paraId="641C2099" w14:textId="77777777" w:rsidTr="0030324F">
        <w:trPr>
          <w:trHeight w:val="232"/>
        </w:trPr>
        <w:tc>
          <w:tcPr>
            <w:tcW w:w="3381" w:type="pct"/>
            <w:noWrap/>
            <w:vAlign w:val="center"/>
            <w:hideMark/>
          </w:tcPr>
          <w:p w14:paraId="5CF10BB3"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Depreciação e Amortização (i)</w:t>
            </w:r>
          </w:p>
        </w:tc>
        <w:tc>
          <w:tcPr>
            <w:tcW w:w="867" w:type="pct"/>
            <w:noWrap/>
            <w:vAlign w:val="center"/>
            <w:hideMark/>
          </w:tcPr>
          <w:p w14:paraId="265AC6FE"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(63.539)</w:t>
            </w:r>
          </w:p>
        </w:tc>
        <w:tc>
          <w:tcPr>
            <w:tcW w:w="752" w:type="pct"/>
            <w:noWrap/>
            <w:vAlign w:val="center"/>
            <w:hideMark/>
          </w:tcPr>
          <w:p w14:paraId="0390C682"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(69.724)</w:t>
            </w:r>
          </w:p>
        </w:tc>
      </w:tr>
      <w:tr w:rsidR="0030324F" w:rsidRPr="0030324F" w14:paraId="53FFE8D6" w14:textId="77777777" w:rsidTr="0030324F">
        <w:trPr>
          <w:trHeight w:val="232"/>
        </w:trPr>
        <w:tc>
          <w:tcPr>
            <w:tcW w:w="3381" w:type="pct"/>
            <w:noWrap/>
            <w:vAlign w:val="center"/>
            <w:hideMark/>
          </w:tcPr>
          <w:p w14:paraId="261B705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Meios de Conexão e Transmissão (ii)</w:t>
            </w:r>
          </w:p>
        </w:tc>
        <w:tc>
          <w:tcPr>
            <w:tcW w:w="867" w:type="pct"/>
            <w:noWrap/>
            <w:vAlign w:val="center"/>
            <w:hideMark/>
          </w:tcPr>
          <w:p w14:paraId="05B17C85"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(52.452)</w:t>
            </w:r>
          </w:p>
        </w:tc>
        <w:tc>
          <w:tcPr>
            <w:tcW w:w="752" w:type="pct"/>
            <w:noWrap/>
            <w:vAlign w:val="center"/>
            <w:hideMark/>
          </w:tcPr>
          <w:p w14:paraId="0502B5AA"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(36.033)</w:t>
            </w:r>
          </w:p>
        </w:tc>
      </w:tr>
      <w:tr w:rsidR="0030324F" w:rsidRPr="0030324F" w14:paraId="55635F1D" w14:textId="77777777" w:rsidTr="0030324F">
        <w:trPr>
          <w:trHeight w:val="232"/>
        </w:trPr>
        <w:tc>
          <w:tcPr>
            <w:tcW w:w="3381" w:type="pct"/>
            <w:noWrap/>
            <w:vAlign w:val="center"/>
            <w:hideMark/>
          </w:tcPr>
          <w:p w14:paraId="1B944EC8"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Serviços de Terceiros (iii)</w:t>
            </w:r>
          </w:p>
        </w:tc>
        <w:tc>
          <w:tcPr>
            <w:tcW w:w="867" w:type="pct"/>
            <w:noWrap/>
            <w:vAlign w:val="center"/>
            <w:hideMark/>
          </w:tcPr>
          <w:p w14:paraId="239F1DDC"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(51.299)</w:t>
            </w:r>
          </w:p>
        </w:tc>
        <w:tc>
          <w:tcPr>
            <w:tcW w:w="752" w:type="pct"/>
            <w:noWrap/>
            <w:vAlign w:val="center"/>
            <w:hideMark/>
          </w:tcPr>
          <w:p w14:paraId="2A49342D"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(37.838)</w:t>
            </w:r>
          </w:p>
        </w:tc>
      </w:tr>
      <w:tr w:rsidR="0030324F" w:rsidRPr="0030324F" w14:paraId="6FBD96B6" w14:textId="77777777" w:rsidTr="0030324F">
        <w:trPr>
          <w:trHeight w:val="232"/>
        </w:trPr>
        <w:tc>
          <w:tcPr>
            <w:tcW w:w="3381" w:type="pct"/>
            <w:noWrap/>
            <w:vAlign w:val="center"/>
            <w:hideMark/>
          </w:tcPr>
          <w:p w14:paraId="6044C149"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Pessoal (iv)</w:t>
            </w:r>
          </w:p>
        </w:tc>
        <w:tc>
          <w:tcPr>
            <w:tcW w:w="867" w:type="pct"/>
            <w:noWrap/>
            <w:vAlign w:val="center"/>
            <w:hideMark/>
          </w:tcPr>
          <w:p w14:paraId="48B800FC"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(30.746)</w:t>
            </w:r>
          </w:p>
        </w:tc>
        <w:tc>
          <w:tcPr>
            <w:tcW w:w="752" w:type="pct"/>
            <w:noWrap/>
            <w:vAlign w:val="center"/>
            <w:hideMark/>
          </w:tcPr>
          <w:p w14:paraId="560A99DD"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(27.209)</w:t>
            </w:r>
          </w:p>
        </w:tc>
      </w:tr>
      <w:tr w:rsidR="0030324F" w:rsidRPr="0030324F" w14:paraId="7ED4E8D5" w14:textId="77777777" w:rsidTr="0030324F">
        <w:trPr>
          <w:trHeight w:val="232"/>
        </w:trPr>
        <w:tc>
          <w:tcPr>
            <w:tcW w:w="3381" w:type="pct"/>
            <w:noWrap/>
            <w:vAlign w:val="center"/>
            <w:hideMark/>
          </w:tcPr>
          <w:p w14:paraId="574BC5BE"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Aluguéis, Locações e Seguros (v)</w:t>
            </w:r>
          </w:p>
        </w:tc>
        <w:tc>
          <w:tcPr>
            <w:tcW w:w="867" w:type="pct"/>
            <w:noWrap/>
            <w:vAlign w:val="center"/>
            <w:hideMark/>
          </w:tcPr>
          <w:p w14:paraId="10EDED28"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(20.319)</w:t>
            </w:r>
          </w:p>
        </w:tc>
        <w:tc>
          <w:tcPr>
            <w:tcW w:w="752" w:type="pct"/>
            <w:noWrap/>
            <w:vAlign w:val="center"/>
            <w:hideMark/>
          </w:tcPr>
          <w:p w14:paraId="12AFD6EC"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(13.595)</w:t>
            </w:r>
          </w:p>
        </w:tc>
      </w:tr>
      <w:tr w:rsidR="0030324F" w:rsidRPr="0030324F" w14:paraId="380FEBFB" w14:textId="77777777" w:rsidTr="0030324F">
        <w:trPr>
          <w:trHeight w:val="232"/>
        </w:trPr>
        <w:tc>
          <w:tcPr>
            <w:tcW w:w="3381" w:type="pct"/>
            <w:noWrap/>
            <w:vAlign w:val="center"/>
            <w:hideMark/>
          </w:tcPr>
          <w:p w14:paraId="48F5300F"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Tributos</w:t>
            </w:r>
          </w:p>
        </w:tc>
        <w:tc>
          <w:tcPr>
            <w:tcW w:w="867" w:type="pct"/>
            <w:noWrap/>
            <w:vAlign w:val="center"/>
            <w:hideMark/>
          </w:tcPr>
          <w:p w14:paraId="014192E2"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(2.025)</w:t>
            </w:r>
          </w:p>
        </w:tc>
        <w:tc>
          <w:tcPr>
            <w:tcW w:w="752" w:type="pct"/>
            <w:noWrap/>
            <w:vAlign w:val="center"/>
            <w:hideMark/>
          </w:tcPr>
          <w:p w14:paraId="4BAC9D00"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(1.751)</w:t>
            </w:r>
          </w:p>
        </w:tc>
      </w:tr>
      <w:tr w:rsidR="0030324F" w:rsidRPr="0030324F" w14:paraId="59339344" w14:textId="77777777" w:rsidTr="0030324F">
        <w:trPr>
          <w:trHeight w:val="232"/>
        </w:trPr>
        <w:tc>
          <w:tcPr>
            <w:tcW w:w="3381" w:type="pct"/>
            <w:noWrap/>
            <w:vAlign w:val="center"/>
            <w:hideMark/>
          </w:tcPr>
          <w:p w14:paraId="55DCDF76"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Compartilhamento de Instalações</w:t>
            </w:r>
          </w:p>
        </w:tc>
        <w:tc>
          <w:tcPr>
            <w:tcW w:w="867" w:type="pct"/>
            <w:noWrap/>
            <w:vAlign w:val="center"/>
            <w:hideMark/>
          </w:tcPr>
          <w:p w14:paraId="1575A58F"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(764)</w:t>
            </w:r>
          </w:p>
        </w:tc>
        <w:tc>
          <w:tcPr>
            <w:tcW w:w="752" w:type="pct"/>
            <w:noWrap/>
            <w:vAlign w:val="center"/>
            <w:hideMark/>
          </w:tcPr>
          <w:p w14:paraId="5D5D23CF"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(1.031)</w:t>
            </w:r>
          </w:p>
        </w:tc>
      </w:tr>
      <w:tr w:rsidR="0030324F" w:rsidRPr="0030324F" w14:paraId="75D0B235" w14:textId="77777777" w:rsidTr="0030324F">
        <w:trPr>
          <w:trHeight w:val="232"/>
        </w:trPr>
        <w:tc>
          <w:tcPr>
            <w:tcW w:w="3381" w:type="pct"/>
            <w:noWrap/>
            <w:vAlign w:val="center"/>
            <w:hideMark/>
          </w:tcPr>
          <w:p w14:paraId="2AA57417"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Programa de Indenização por Serviços Prestados - PISP</w:t>
            </w:r>
          </w:p>
        </w:tc>
        <w:tc>
          <w:tcPr>
            <w:tcW w:w="867" w:type="pct"/>
            <w:noWrap/>
            <w:vAlign w:val="center"/>
            <w:hideMark/>
          </w:tcPr>
          <w:p w14:paraId="28636EC6"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(6)</w:t>
            </w:r>
          </w:p>
        </w:tc>
        <w:tc>
          <w:tcPr>
            <w:tcW w:w="752" w:type="pct"/>
            <w:noWrap/>
            <w:vAlign w:val="center"/>
            <w:hideMark/>
          </w:tcPr>
          <w:p w14:paraId="099D624C"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(598)</w:t>
            </w:r>
          </w:p>
        </w:tc>
      </w:tr>
      <w:tr w:rsidR="0030324F" w:rsidRPr="0030324F" w14:paraId="5667C415" w14:textId="77777777" w:rsidTr="0030324F">
        <w:trPr>
          <w:trHeight w:val="232"/>
        </w:trPr>
        <w:tc>
          <w:tcPr>
            <w:tcW w:w="3381" w:type="pct"/>
            <w:noWrap/>
            <w:vAlign w:val="center"/>
            <w:hideMark/>
          </w:tcPr>
          <w:p w14:paraId="625188B9"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Material</w:t>
            </w:r>
          </w:p>
        </w:tc>
        <w:tc>
          <w:tcPr>
            <w:tcW w:w="867" w:type="pct"/>
            <w:noWrap/>
            <w:vAlign w:val="center"/>
            <w:hideMark/>
          </w:tcPr>
          <w:p w14:paraId="6CF70994"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(269)</w:t>
            </w:r>
          </w:p>
        </w:tc>
        <w:tc>
          <w:tcPr>
            <w:tcW w:w="752" w:type="pct"/>
            <w:noWrap/>
            <w:vAlign w:val="center"/>
            <w:hideMark/>
          </w:tcPr>
          <w:p w14:paraId="5C3773F1"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(7)</w:t>
            </w:r>
          </w:p>
        </w:tc>
      </w:tr>
      <w:tr w:rsidR="0030324F" w:rsidRPr="0030324F" w14:paraId="3EE0EA63" w14:textId="77777777" w:rsidTr="0030324F">
        <w:trPr>
          <w:trHeight w:val="232"/>
        </w:trPr>
        <w:tc>
          <w:tcPr>
            <w:tcW w:w="3381" w:type="pct"/>
            <w:noWrap/>
            <w:vAlign w:val="center"/>
            <w:hideMark/>
          </w:tcPr>
          <w:p w14:paraId="65DA4A2B" w14:textId="77777777" w:rsidR="0030324F" w:rsidRPr="001D0CB4" w:rsidRDefault="0030324F">
            <w:pPr>
              <w:rPr>
                <w:rFonts w:ascii="Arial" w:hAnsi="Arial" w:cs="Arial"/>
                <w:color w:val="000000"/>
                <w:sz w:val="18"/>
                <w:szCs w:val="18"/>
              </w:rPr>
            </w:pPr>
            <w:r w:rsidRPr="001D0CB4">
              <w:rPr>
                <w:rFonts w:ascii="Arial" w:hAnsi="Arial" w:cs="Arial"/>
                <w:color w:val="000000"/>
                <w:sz w:val="18"/>
                <w:szCs w:val="18"/>
              </w:rPr>
              <w:t>Perdas Estimadas com Crédito de Liquidação Duvidosa</w:t>
            </w:r>
          </w:p>
        </w:tc>
        <w:tc>
          <w:tcPr>
            <w:tcW w:w="867" w:type="pct"/>
            <w:noWrap/>
            <w:vAlign w:val="center"/>
            <w:hideMark/>
          </w:tcPr>
          <w:p w14:paraId="025C4D15"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142</w:t>
            </w:r>
          </w:p>
        </w:tc>
        <w:tc>
          <w:tcPr>
            <w:tcW w:w="752" w:type="pct"/>
            <w:noWrap/>
            <w:vAlign w:val="center"/>
            <w:hideMark/>
          </w:tcPr>
          <w:p w14:paraId="2A05E2F7" w14:textId="77777777" w:rsidR="0030324F" w:rsidRPr="001D0CB4" w:rsidRDefault="0030324F">
            <w:pPr>
              <w:jc w:val="right"/>
              <w:rPr>
                <w:rFonts w:ascii="Arial" w:hAnsi="Arial" w:cs="Arial"/>
                <w:color w:val="000000"/>
                <w:sz w:val="18"/>
                <w:szCs w:val="18"/>
              </w:rPr>
            </w:pPr>
            <w:r w:rsidRPr="001D0CB4">
              <w:rPr>
                <w:rFonts w:ascii="Arial" w:hAnsi="Arial" w:cs="Arial"/>
                <w:color w:val="000000"/>
                <w:sz w:val="18"/>
                <w:szCs w:val="18"/>
              </w:rPr>
              <w:t>398</w:t>
            </w:r>
          </w:p>
        </w:tc>
      </w:tr>
      <w:tr w:rsidR="0030324F" w14:paraId="4ACA4833" w14:textId="77777777" w:rsidTr="0030324F">
        <w:trPr>
          <w:trHeight w:val="232"/>
        </w:trPr>
        <w:tc>
          <w:tcPr>
            <w:tcW w:w="3381" w:type="pct"/>
            <w:noWrap/>
            <w:vAlign w:val="center"/>
            <w:hideMark/>
          </w:tcPr>
          <w:p w14:paraId="558C9B79" w14:textId="77777777" w:rsidR="0030324F" w:rsidRPr="001D0CB4" w:rsidRDefault="0030324F">
            <w:pPr>
              <w:rPr>
                <w:rFonts w:ascii="Arial" w:hAnsi="Arial" w:cs="Arial"/>
                <w:b/>
                <w:bCs/>
                <w:color w:val="000000"/>
                <w:sz w:val="18"/>
                <w:szCs w:val="18"/>
              </w:rPr>
            </w:pPr>
            <w:r w:rsidRPr="001D0CB4">
              <w:rPr>
                <w:rFonts w:ascii="Arial" w:hAnsi="Arial" w:cs="Arial"/>
                <w:b/>
                <w:bCs/>
                <w:color w:val="000000"/>
                <w:sz w:val="18"/>
                <w:szCs w:val="18"/>
              </w:rPr>
              <w:t>Total</w:t>
            </w:r>
          </w:p>
        </w:tc>
        <w:tc>
          <w:tcPr>
            <w:tcW w:w="867" w:type="pct"/>
            <w:noWrap/>
            <w:vAlign w:val="center"/>
            <w:hideMark/>
          </w:tcPr>
          <w:p w14:paraId="0E35640D" w14:textId="77777777" w:rsidR="0030324F" w:rsidRPr="001D0CB4" w:rsidRDefault="0030324F">
            <w:pPr>
              <w:jc w:val="right"/>
              <w:rPr>
                <w:rFonts w:ascii="Arial" w:hAnsi="Arial" w:cs="Arial"/>
                <w:b/>
                <w:bCs/>
                <w:color w:val="000000"/>
                <w:sz w:val="18"/>
                <w:szCs w:val="18"/>
              </w:rPr>
            </w:pPr>
            <w:r w:rsidRPr="001D0CB4">
              <w:rPr>
                <w:rFonts w:ascii="Arial" w:hAnsi="Arial" w:cs="Arial"/>
                <w:b/>
                <w:bCs/>
                <w:color w:val="000000"/>
                <w:sz w:val="18"/>
                <w:szCs w:val="18"/>
              </w:rPr>
              <w:t>(221.277)</w:t>
            </w:r>
          </w:p>
        </w:tc>
        <w:tc>
          <w:tcPr>
            <w:tcW w:w="752" w:type="pct"/>
            <w:noWrap/>
            <w:vAlign w:val="center"/>
            <w:hideMark/>
          </w:tcPr>
          <w:p w14:paraId="314BFA33" w14:textId="77777777" w:rsidR="0030324F" w:rsidRPr="001D0CB4" w:rsidRDefault="0030324F">
            <w:pPr>
              <w:jc w:val="right"/>
              <w:rPr>
                <w:rFonts w:ascii="Arial" w:hAnsi="Arial" w:cs="Arial"/>
                <w:b/>
                <w:bCs/>
                <w:color w:val="000000"/>
                <w:sz w:val="18"/>
                <w:szCs w:val="18"/>
              </w:rPr>
            </w:pPr>
            <w:r w:rsidRPr="001D0CB4">
              <w:rPr>
                <w:rFonts w:ascii="Arial" w:hAnsi="Arial" w:cs="Arial"/>
                <w:b/>
                <w:bCs/>
                <w:color w:val="000000"/>
                <w:sz w:val="18"/>
                <w:szCs w:val="18"/>
              </w:rPr>
              <w:t>(187.388)</w:t>
            </w:r>
          </w:p>
        </w:tc>
      </w:tr>
    </w:tbl>
    <w:p w14:paraId="1621C488" w14:textId="77777777" w:rsidR="0030324F" w:rsidRDefault="0030324F" w:rsidP="00CD1863">
      <w:pPr>
        <w:jc w:val="both"/>
        <w:rPr>
          <w:rFonts w:ascii="Arial" w:hAnsi="Arial" w:cs="Arial"/>
          <w:sz w:val="22"/>
          <w:szCs w:val="22"/>
        </w:rPr>
      </w:pPr>
    </w:p>
    <w:p w14:paraId="54462A55" w14:textId="77777777" w:rsidR="005E072E" w:rsidRDefault="005E072E" w:rsidP="00CD1863">
      <w:pPr>
        <w:jc w:val="both"/>
        <w:rPr>
          <w:rFonts w:ascii="Arial" w:hAnsi="Arial" w:cs="Arial"/>
          <w:sz w:val="14"/>
          <w:szCs w:val="14"/>
        </w:rPr>
      </w:pPr>
    </w:p>
    <w:p w14:paraId="7E559223" w14:textId="4D8842C4" w:rsidR="00261E79" w:rsidRPr="00261E79" w:rsidRDefault="00261E79" w:rsidP="00261E79">
      <w:pPr>
        <w:spacing w:line="276" w:lineRule="auto"/>
        <w:jc w:val="both"/>
        <w:rPr>
          <w:rFonts w:ascii="Arial" w:hAnsi="Arial" w:cs="Arial"/>
          <w:color w:val="000000"/>
          <w:sz w:val="22"/>
          <w:szCs w:val="22"/>
        </w:rPr>
      </w:pPr>
      <w:r w:rsidRPr="00261E79">
        <w:rPr>
          <w:rFonts w:ascii="Arial" w:hAnsi="Arial" w:cs="Arial"/>
          <w:color w:val="000000"/>
          <w:sz w:val="22"/>
          <w:szCs w:val="22"/>
        </w:rPr>
        <w:t xml:space="preserve">Os custos e despesas operacionais apresentaram um crescimento de </w:t>
      </w:r>
      <w:r w:rsidR="00E6289A">
        <w:rPr>
          <w:rFonts w:ascii="Arial" w:hAnsi="Arial" w:cs="Arial"/>
          <w:color w:val="000000"/>
          <w:sz w:val="22"/>
          <w:szCs w:val="22"/>
        </w:rPr>
        <w:t>18,1</w:t>
      </w:r>
      <w:r w:rsidRPr="00261E79">
        <w:rPr>
          <w:rFonts w:ascii="Arial" w:hAnsi="Arial" w:cs="Arial"/>
          <w:color w:val="000000"/>
          <w:sz w:val="22"/>
          <w:szCs w:val="22"/>
        </w:rPr>
        <w:t>% na comparação entre o</w:t>
      </w:r>
      <w:r w:rsidR="00E6289A">
        <w:rPr>
          <w:rFonts w:ascii="Arial" w:hAnsi="Arial" w:cs="Arial"/>
          <w:color w:val="000000"/>
          <w:sz w:val="22"/>
          <w:szCs w:val="22"/>
        </w:rPr>
        <w:t xml:space="preserve"> </w:t>
      </w:r>
      <w:r w:rsidR="00BD63BD">
        <w:rPr>
          <w:rFonts w:ascii="Arial" w:hAnsi="Arial" w:cs="Arial"/>
          <w:color w:val="000000"/>
          <w:sz w:val="22"/>
          <w:szCs w:val="22"/>
        </w:rPr>
        <w:t>primeiro trimestre</w:t>
      </w:r>
      <w:r w:rsidRPr="00261E79">
        <w:rPr>
          <w:rFonts w:ascii="Arial" w:hAnsi="Arial" w:cs="Arial"/>
          <w:color w:val="000000"/>
          <w:sz w:val="22"/>
          <w:szCs w:val="22"/>
        </w:rPr>
        <w:t xml:space="preserve"> de 202</w:t>
      </w:r>
      <w:r w:rsidR="00E6289A">
        <w:rPr>
          <w:rFonts w:ascii="Arial" w:hAnsi="Arial" w:cs="Arial"/>
          <w:color w:val="000000"/>
          <w:sz w:val="22"/>
          <w:szCs w:val="22"/>
        </w:rPr>
        <w:t>6</w:t>
      </w:r>
      <w:r w:rsidRPr="00261E79">
        <w:rPr>
          <w:rFonts w:ascii="Arial" w:hAnsi="Arial" w:cs="Arial"/>
          <w:color w:val="000000"/>
          <w:sz w:val="22"/>
          <w:szCs w:val="22"/>
        </w:rPr>
        <w:t xml:space="preserve"> e 202</w:t>
      </w:r>
      <w:r w:rsidR="00E6289A">
        <w:rPr>
          <w:rFonts w:ascii="Arial" w:hAnsi="Arial" w:cs="Arial"/>
          <w:color w:val="000000"/>
          <w:sz w:val="22"/>
          <w:szCs w:val="22"/>
        </w:rPr>
        <w:t>5</w:t>
      </w:r>
      <w:r w:rsidRPr="00261E79">
        <w:rPr>
          <w:rFonts w:ascii="Arial" w:hAnsi="Arial" w:cs="Arial"/>
          <w:color w:val="000000"/>
          <w:sz w:val="22"/>
          <w:szCs w:val="22"/>
        </w:rPr>
        <w:t>. Esse aumento resulta, principalmente, do comportamento das seguintes rubricas:</w:t>
      </w:r>
    </w:p>
    <w:p w14:paraId="6F14BBD1" w14:textId="77777777" w:rsidR="004939FC" w:rsidRPr="00DB0E3A" w:rsidRDefault="004939FC" w:rsidP="001E0C2D">
      <w:pPr>
        <w:spacing w:line="276" w:lineRule="auto"/>
        <w:jc w:val="both"/>
        <w:rPr>
          <w:rFonts w:ascii="Arial" w:hAnsi="Arial" w:cs="Arial"/>
          <w:b/>
          <w:color w:val="000000"/>
          <w:sz w:val="22"/>
          <w:szCs w:val="22"/>
        </w:rPr>
      </w:pPr>
    </w:p>
    <w:p w14:paraId="7064CF5E" w14:textId="3D9429B8" w:rsidR="00551C50" w:rsidRPr="00F45914" w:rsidRDefault="004939FC" w:rsidP="00551C50">
      <w:pPr>
        <w:spacing w:line="276" w:lineRule="auto"/>
        <w:jc w:val="both"/>
        <w:rPr>
          <w:rFonts w:ascii="Arial" w:hAnsi="Arial" w:cs="Arial"/>
          <w:color w:val="000000"/>
          <w:sz w:val="22"/>
          <w:szCs w:val="22"/>
        </w:rPr>
      </w:pPr>
      <w:r w:rsidRPr="00DB0E3A">
        <w:rPr>
          <w:rFonts w:ascii="Arial" w:hAnsi="Arial" w:cs="Arial"/>
          <w:b/>
          <w:color w:val="000000"/>
          <w:sz w:val="22"/>
          <w:szCs w:val="22"/>
        </w:rPr>
        <w:t>i) Depreciação e Amortização:</w:t>
      </w:r>
      <w:r w:rsidRPr="00DB0E3A">
        <w:rPr>
          <w:rFonts w:ascii="Arial" w:hAnsi="Arial" w:cs="Arial"/>
          <w:color w:val="000000"/>
          <w:sz w:val="22"/>
          <w:szCs w:val="22"/>
        </w:rPr>
        <w:t xml:space="preserve"> </w:t>
      </w:r>
      <w:r w:rsidR="00551C50" w:rsidRPr="00551C50">
        <w:rPr>
          <w:rFonts w:ascii="Arial" w:hAnsi="Arial" w:cs="Arial"/>
          <w:sz w:val="22"/>
          <w:szCs w:val="22"/>
        </w:rPr>
        <w:t xml:space="preserve">A </w:t>
      </w:r>
      <w:r w:rsidR="00F45914" w:rsidRPr="00F45914">
        <w:rPr>
          <w:rFonts w:ascii="Arial" w:hAnsi="Arial" w:cs="Arial"/>
          <w:sz w:val="22"/>
          <w:szCs w:val="22"/>
        </w:rPr>
        <w:t>rubrica de depreciação e amortização apresentou redução de 8,9% na comparação entre o primeiro trimestre de 2026 e o de 2025. Essa diminuição decorre, principalmente, do aumento do número de ativos que atingiram a condição de totalmente depreciados entre os períodos comparados.</w:t>
      </w:r>
    </w:p>
    <w:p w14:paraId="4E599DD3" w14:textId="670F1B5E" w:rsidR="00DC0106" w:rsidRDefault="00D3395F" w:rsidP="00DC0106">
      <w:pPr>
        <w:spacing w:line="276" w:lineRule="auto"/>
        <w:jc w:val="both"/>
        <w:rPr>
          <w:rFonts w:ascii="Arial" w:hAnsi="Arial" w:cs="Arial"/>
          <w:sz w:val="22"/>
          <w:szCs w:val="22"/>
        </w:rPr>
      </w:pPr>
      <w:r w:rsidRPr="00DB0E3A">
        <w:rPr>
          <w:rFonts w:ascii="Arial" w:hAnsi="Arial" w:cs="Arial"/>
          <w:b/>
          <w:color w:val="000000"/>
          <w:sz w:val="22"/>
          <w:szCs w:val="22"/>
        </w:rPr>
        <w:lastRenderedPageBreak/>
        <w:t xml:space="preserve">ii) </w:t>
      </w:r>
      <w:r>
        <w:rPr>
          <w:rFonts w:ascii="Arial" w:hAnsi="Arial" w:cs="Arial"/>
          <w:b/>
          <w:color w:val="000000"/>
          <w:sz w:val="22"/>
          <w:szCs w:val="22"/>
        </w:rPr>
        <w:t>Meios de Transmissão e Conexão</w:t>
      </w:r>
      <w:r w:rsidRPr="00DB0E3A">
        <w:rPr>
          <w:rFonts w:ascii="Arial" w:hAnsi="Arial" w:cs="Arial"/>
          <w:b/>
          <w:color w:val="000000"/>
          <w:sz w:val="22"/>
          <w:szCs w:val="22"/>
        </w:rPr>
        <w:t>:</w:t>
      </w:r>
      <w:r>
        <w:rPr>
          <w:rFonts w:ascii="Arial" w:hAnsi="Arial" w:cs="Arial"/>
          <w:b/>
          <w:color w:val="000000"/>
          <w:sz w:val="22"/>
          <w:szCs w:val="22"/>
        </w:rPr>
        <w:t xml:space="preserve"> </w:t>
      </w:r>
      <w:r w:rsidR="003900F7">
        <w:rPr>
          <w:rFonts w:ascii="Arial" w:hAnsi="Arial" w:cs="Arial"/>
          <w:sz w:val="22"/>
          <w:szCs w:val="22"/>
        </w:rPr>
        <w:t>No primeiro trimestre de 2026</w:t>
      </w:r>
      <w:r w:rsidR="005208CA" w:rsidRPr="005208CA">
        <w:rPr>
          <w:rFonts w:ascii="Arial" w:hAnsi="Arial" w:cs="Arial"/>
          <w:sz w:val="22"/>
          <w:szCs w:val="22"/>
        </w:rPr>
        <w:t xml:space="preserve">, os custos de conexão e transmissão apresentaram um aumento de </w:t>
      </w:r>
      <w:r w:rsidR="003900F7">
        <w:rPr>
          <w:rFonts w:ascii="Arial" w:hAnsi="Arial" w:cs="Arial"/>
          <w:sz w:val="22"/>
          <w:szCs w:val="22"/>
        </w:rPr>
        <w:t>45,6</w:t>
      </w:r>
      <w:r w:rsidR="005208CA" w:rsidRPr="005208CA">
        <w:rPr>
          <w:rFonts w:ascii="Arial" w:hAnsi="Arial" w:cs="Arial"/>
          <w:sz w:val="22"/>
          <w:szCs w:val="22"/>
        </w:rPr>
        <w:t xml:space="preserve">%, totalizando R$ </w:t>
      </w:r>
      <w:r w:rsidR="003900F7">
        <w:rPr>
          <w:rFonts w:ascii="Arial" w:hAnsi="Arial" w:cs="Arial"/>
          <w:sz w:val="22"/>
          <w:szCs w:val="22"/>
        </w:rPr>
        <w:t>52.452</w:t>
      </w:r>
      <w:r w:rsidR="005208CA">
        <w:rPr>
          <w:rFonts w:ascii="Arial" w:hAnsi="Arial" w:cs="Arial"/>
          <w:sz w:val="22"/>
          <w:szCs w:val="22"/>
        </w:rPr>
        <w:t xml:space="preserve"> (</w:t>
      </w:r>
      <w:r w:rsidR="005208CA" w:rsidRPr="005208CA">
        <w:rPr>
          <w:rFonts w:ascii="Arial" w:hAnsi="Arial" w:cs="Arial"/>
          <w:sz w:val="22"/>
          <w:szCs w:val="22"/>
        </w:rPr>
        <w:t xml:space="preserve">R$ </w:t>
      </w:r>
      <w:r w:rsidR="003900F7">
        <w:rPr>
          <w:rFonts w:ascii="Arial" w:hAnsi="Arial" w:cs="Arial"/>
          <w:sz w:val="22"/>
          <w:szCs w:val="22"/>
        </w:rPr>
        <w:t>36.033 no primeiro trimestre de 2025</w:t>
      </w:r>
      <w:r w:rsidR="005208CA">
        <w:rPr>
          <w:rFonts w:ascii="Arial" w:hAnsi="Arial" w:cs="Arial"/>
          <w:sz w:val="22"/>
          <w:szCs w:val="22"/>
        </w:rPr>
        <w:t>)</w:t>
      </w:r>
      <w:r w:rsidR="005208CA" w:rsidRPr="005208CA">
        <w:rPr>
          <w:rFonts w:ascii="Arial" w:hAnsi="Arial" w:cs="Arial"/>
          <w:sz w:val="22"/>
          <w:szCs w:val="22"/>
        </w:rPr>
        <w:t>. Os principais componentes dessa rubrica são os custos com Exploração Industrial de Linha Dedicada (EILD – última milha) e com Backbone</w:t>
      </w:r>
      <w:r w:rsidR="003900F7">
        <w:rPr>
          <w:rFonts w:ascii="Arial" w:hAnsi="Arial" w:cs="Arial"/>
          <w:sz w:val="22"/>
          <w:szCs w:val="22"/>
        </w:rPr>
        <w:t>.</w:t>
      </w:r>
      <w:r w:rsidR="005208CA" w:rsidRPr="005208CA">
        <w:rPr>
          <w:rFonts w:ascii="Arial" w:hAnsi="Arial" w:cs="Arial"/>
          <w:sz w:val="22"/>
          <w:szCs w:val="22"/>
        </w:rPr>
        <w:t xml:space="preserve"> </w:t>
      </w:r>
      <w:r w:rsidR="003900F7">
        <w:rPr>
          <w:rFonts w:ascii="Arial" w:hAnsi="Arial" w:cs="Arial"/>
          <w:sz w:val="22"/>
          <w:szCs w:val="22"/>
        </w:rPr>
        <w:t xml:space="preserve">Esse incremento </w:t>
      </w:r>
      <w:r w:rsidR="00DC0106" w:rsidRPr="005607BC">
        <w:rPr>
          <w:rFonts w:ascii="Arial" w:hAnsi="Arial" w:cs="Arial"/>
          <w:sz w:val="22"/>
          <w:szCs w:val="22"/>
        </w:rPr>
        <w:t>reflete o aumento dos custos decorrente da contratação de empresas do segmento satelital para atendimento às demandas de serviços da Telebras</w:t>
      </w:r>
      <w:r w:rsidR="003900F7">
        <w:rPr>
          <w:rFonts w:ascii="Arial" w:hAnsi="Arial" w:cs="Arial"/>
          <w:sz w:val="22"/>
          <w:szCs w:val="22"/>
        </w:rPr>
        <w:t xml:space="preserve"> com última milha</w:t>
      </w:r>
      <w:r w:rsidR="00DC0106" w:rsidRPr="005607BC">
        <w:rPr>
          <w:rFonts w:ascii="Arial" w:hAnsi="Arial" w:cs="Arial"/>
          <w:sz w:val="22"/>
          <w:szCs w:val="22"/>
        </w:rPr>
        <w:t>.</w:t>
      </w:r>
    </w:p>
    <w:p w14:paraId="2DECB836" w14:textId="77777777" w:rsidR="00DC0106" w:rsidRDefault="00DC0106" w:rsidP="00DC0106">
      <w:pPr>
        <w:spacing w:line="276" w:lineRule="auto"/>
        <w:jc w:val="both"/>
        <w:rPr>
          <w:rFonts w:ascii="Arial" w:hAnsi="Arial" w:cs="Arial"/>
          <w:sz w:val="22"/>
          <w:szCs w:val="22"/>
        </w:rPr>
      </w:pPr>
    </w:p>
    <w:p w14:paraId="2884A7D7" w14:textId="531683A4" w:rsidR="00040B27" w:rsidRPr="00040B27" w:rsidRDefault="001E0C2D" w:rsidP="00040B27">
      <w:pPr>
        <w:spacing w:line="276" w:lineRule="auto"/>
        <w:jc w:val="both"/>
        <w:rPr>
          <w:rFonts w:ascii="Arial" w:hAnsi="Arial" w:cs="Arial"/>
          <w:sz w:val="22"/>
          <w:szCs w:val="22"/>
        </w:rPr>
      </w:pPr>
      <w:r w:rsidRPr="00DB0E3A">
        <w:rPr>
          <w:rFonts w:ascii="Arial" w:hAnsi="Arial" w:cs="Arial"/>
          <w:b/>
          <w:color w:val="000000"/>
          <w:sz w:val="22"/>
          <w:szCs w:val="22"/>
        </w:rPr>
        <w:t>i</w:t>
      </w:r>
      <w:r w:rsidR="00E73951" w:rsidRPr="00DB0E3A">
        <w:rPr>
          <w:rFonts w:ascii="Arial" w:hAnsi="Arial" w:cs="Arial"/>
          <w:b/>
          <w:color w:val="000000"/>
          <w:sz w:val="22"/>
          <w:szCs w:val="22"/>
        </w:rPr>
        <w:t>i</w:t>
      </w:r>
      <w:r w:rsidR="00D3395F">
        <w:rPr>
          <w:rFonts w:ascii="Arial" w:hAnsi="Arial" w:cs="Arial"/>
          <w:b/>
          <w:color w:val="000000"/>
          <w:sz w:val="22"/>
          <w:szCs w:val="22"/>
        </w:rPr>
        <w:t>i</w:t>
      </w:r>
      <w:r w:rsidRPr="00DB0E3A">
        <w:rPr>
          <w:rFonts w:ascii="Arial" w:hAnsi="Arial" w:cs="Arial"/>
          <w:b/>
          <w:color w:val="000000"/>
          <w:sz w:val="22"/>
          <w:szCs w:val="22"/>
        </w:rPr>
        <w:t>) Serviços de Terceiros:</w:t>
      </w:r>
      <w:r w:rsidRPr="00DB0E3A">
        <w:rPr>
          <w:rFonts w:ascii="Arial" w:hAnsi="Arial" w:cs="Arial"/>
          <w:color w:val="000000"/>
          <w:sz w:val="22"/>
          <w:szCs w:val="22"/>
        </w:rPr>
        <w:t xml:space="preserve"> </w:t>
      </w:r>
      <w:r w:rsidR="00040B27" w:rsidRPr="00040B27">
        <w:rPr>
          <w:rFonts w:ascii="Arial" w:hAnsi="Arial" w:cs="Arial"/>
          <w:sz w:val="22"/>
          <w:szCs w:val="22"/>
        </w:rPr>
        <w:t xml:space="preserve">Os custos e despesas com Serviços de Terceiros apresentaram </w:t>
      </w:r>
      <w:r w:rsidR="00696FE2">
        <w:rPr>
          <w:rFonts w:ascii="Arial" w:hAnsi="Arial" w:cs="Arial"/>
          <w:sz w:val="22"/>
          <w:szCs w:val="22"/>
        </w:rPr>
        <w:t xml:space="preserve">crescimento </w:t>
      </w:r>
      <w:r w:rsidR="00040B27" w:rsidRPr="00040B27">
        <w:rPr>
          <w:rFonts w:ascii="Arial" w:hAnsi="Arial" w:cs="Arial"/>
          <w:sz w:val="22"/>
          <w:szCs w:val="22"/>
        </w:rPr>
        <w:t xml:space="preserve">de </w:t>
      </w:r>
      <w:r w:rsidR="00696FE2">
        <w:rPr>
          <w:rFonts w:ascii="Arial" w:hAnsi="Arial" w:cs="Arial"/>
          <w:sz w:val="22"/>
          <w:szCs w:val="22"/>
        </w:rPr>
        <w:t>35,6</w:t>
      </w:r>
      <w:r w:rsidR="00040B27" w:rsidRPr="00040B27">
        <w:rPr>
          <w:rFonts w:ascii="Arial" w:hAnsi="Arial" w:cs="Arial"/>
          <w:sz w:val="22"/>
          <w:szCs w:val="22"/>
        </w:rPr>
        <w:t xml:space="preserve">% </w:t>
      </w:r>
      <w:r w:rsidR="00696FE2">
        <w:rPr>
          <w:rFonts w:ascii="Arial" w:hAnsi="Arial" w:cs="Arial"/>
          <w:sz w:val="22"/>
          <w:szCs w:val="22"/>
        </w:rPr>
        <w:t>no trimestre</w:t>
      </w:r>
      <w:r w:rsidR="00040B27" w:rsidRPr="00040B27">
        <w:rPr>
          <w:rFonts w:ascii="Arial" w:hAnsi="Arial" w:cs="Arial"/>
          <w:sz w:val="22"/>
          <w:szCs w:val="22"/>
        </w:rPr>
        <w:t>, quando comparados ao mesmo período de 202</w:t>
      </w:r>
      <w:r w:rsidR="00696FE2">
        <w:rPr>
          <w:rFonts w:ascii="Arial" w:hAnsi="Arial" w:cs="Arial"/>
          <w:sz w:val="22"/>
          <w:szCs w:val="22"/>
        </w:rPr>
        <w:t>5</w:t>
      </w:r>
      <w:r w:rsidR="00040B27" w:rsidRPr="00040B27">
        <w:rPr>
          <w:rFonts w:ascii="Arial" w:hAnsi="Arial" w:cs="Arial"/>
          <w:sz w:val="22"/>
          <w:szCs w:val="22"/>
        </w:rPr>
        <w:t>. Ess</w:t>
      </w:r>
      <w:r w:rsidR="00696FE2">
        <w:rPr>
          <w:rFonts w:ascii="Arial" w:hAnsi="Arial" w:cs="Arial"/>
          <w:sz w:val="22"/>
          <w:szCs w:val="22"/>
        </w:rPr>
        <w:t>e</w:t>
      </w:r>
      <w:r w:rsidR="00040B27" w:rsidRPr="00040B27">
        <w:rPr>
          <w:rFonts w:ascii="Arial" w:hAnsi="Arial" w:cs="Arial"/>
          <w:sz w:val="22"/>
          <w:szCs w:val="22"/>
        </w:rPr>
        <w:t xml:space="preserve"> </w:t>
      </w:r>
      <w:r w:rsidR="00696FE2">
        <w:rPr>
          <w:rFonts w:ascii="Arial" w:hAnsi="Arial" w:cs="Arial"/>
          <w:sz w:val="22"/>
          <w:szCs w:val="22"/>
        </w:rPr>
        <w:t>aumento</w:t>
      </w:r>
      <w:r w:rsidR="00040B27" w:rsidRPr="00040B27">
        <w:rPr>
          <w:rFonts w:ascii="Arial" w:hAnsi="Arial" w:cs="Arial"/>
          <w:sz w:val="22"/>
          <w:szCs w:val="22"/>
        </w:rPr>
        <w:t xml:space="preserve"> decorre, principalmente, </w:t>
      </w:r>
      <w:r w:rsidR="00696FE2">
        <w:rPr>
          <w:rFonts w:ascii="Arial" w:hAnsi="Arial" w:cs="Arial"/>
          <w:sz w:val="22"/>
          <w:szCs w:val="22"/>
        </w:rPr>
        <w:t>dos ajustes de provisões de custo dos serviços e pelo incremento dos custos dos serviços de instalação de equipamentos satelitais para atendimento as demandas de operação da Telebras.</w:t>
      </w:r>
    </w:p>
    <w:p w14:paraId="72398069" w14:textId="3673D1FF" w:rsidR="005E65CB" w:rsidRPr="005E65CB" w:rsidRDefault="0003682E" w:rsidP="005E65CB">
      <w:pPr>
        <w:spacing w:line="276" w:lineRule="auto"/>
        <w:jc w:val="both"/>
        <w:rPr>
          <w:rFonts w:ascii="Arial" w:hAnsi="Arial" w:cs="Arial"/>
          <w:bCs/>
          <w:sz w:val="22"/>
          <w:szCs w:val="22"/>
        </w:rPr>
      </w:pPr>
      <w:r>
        <w:rPr>
          <w:rFonts w:ascii="Arial" w:hAnsi="Arial" w:cs="Arial"/>
          <w:b/>
          <w:sz w:val="22"/>
          <w:szCs w:val="22"/>
        </w:rPr>
        <w:t>iv</w:t>
      </w:r>
      <w:r w:rsidRPr="00DB0E3A">
        <w:rPr>
          <w:rFonts w:ascii="Arial" w:hAnsi="Arial" w:cs="Arial"/>
          <w:b/>
          <w:sz w:val="22"/>
          <w:szCs w:val="22"/>
        </w:rPr>
        <w:t>) Pessoal:</w:t>
      </w:r>
      <w:r w:rsidRPr="00DB0E3A">
        <w:rPr>
          <w:rFonts w:ascii="Arial" w:hAnsi="Arial" w:cs="Arial"/>
          <w:sz w:val="22"/>
          <w:szCs w:val="22"/>
        </w:rPr>
        <w:t xml:space="preserve"> </w:t>
      </w:r>
      <w:r w:rsidR="005E65CB" w:rsidRPr="005E65CB">
        <w:rPr>
          <w:rFonts w:ascii="Arial" w:hAnsi="Arial" w:cs="Arial"/>
          <w:bCs/>
          <w:sz w:val="22"/>
          <w:szCs w:val="22"/>
        </w:rPr>
        <w:t xml:space="preserve">Os custos e despesas com Pessoal apresentaram um aumento de </w:t>
      </w:r>
      <w:r w:rsidR="00E347ED">
        <w:rPr>
          <w:rFonts w:ascii="Arial" w:hAnsi="Arial" w:cs="Arial"/>
          <w:bCs/>
          <w:sz w:val="22"/>
          <w:szCs w:val="22"/>
        </w:rPr>
        <w:t>13,0</w:t>
      </w:r>
      <w:r w:rsidR="005E65CB" w:rsidRPr="005E65CB">
        <w:rPr>
          <w:rFonts w:ascii="Arial" w:hAnsi="Arial" w:cs="Arial"/>
          <w:bCs/>
          <w:sz w:val="22"/>
          <w:szCs w:val="22"/>
        </w:rPr>
        <w:t xml:space="preserve">% </w:t>
      </w:r>
      <w:r w:rsidR="00E347ED">
        <w:rPr>
          <w:rFonts w:ascii="Arial" w:hAnsi="Arial" w:cs="Arial"/>
          <w:bCs/>
          <w:sz w:val="22"/>
          <w:szCs w:val="22"/>
        </w:rPr>
        <w:t>no primeiro trimestre de 2026</w:t>
      </w:r>
      <w:r w:rsidR="005E65CB" w:rsidRPr="005E65CB">
        <w:rPr>
          <w:rFonts w:ascii="Arial" w:hAnsi="Arial" w:cs="Arial"/>
          <w:bCs/>
          <w:sz w:val="22"/>
          <w:szCs w:val="22"/>
        </w:rPr>
        <w:t xml:space="preserve">, em relação ao mesmo período do ano anterior. Esse acréscimo resulta, principalmente, </w:t>
      </w:r>
      <w:r w:rsidR="00137F58">
        <w:rPr>
          <w:rFonts w:ascii="Arial" w:hAnsi="Arial" w:cs="Arial"/>
          <w:bCs/>
          <w:sz w:val="22"/>
          <w:szCs w:val="22"/>
        </w:rPr>
        <w:t>os seguintes</w:t>
      </w:r>
      <w:r w:rsidR="005E65CB" w:rsidRPr="005E65CB">
        <w:rPr>
          <w:rFonts w:ascii="Arial" w:hAnsi="Arial" w:cs="Arial"/>
          <w:bCs/>
          <w:sz w:val="22"/>
          <w:szCs w:val="22"/>
        </w:rPr>
        <w:t xml:space="preserve"> fatores:</w:t>
      </w:r>
      <w:r w:rsidR="00137F58">
        <w:rPr>
          <w:rFonts w:ascii="Arial" w:hAnsi="Arial" w:cs="Arial"/>
          <w:bCs/>
          <w:sz w:val="22"/>
          <w:szCs w:val="22"/>
        </w:rPr>
        <w:t xml:space="preserve"> </w:t>
      </w:r>
      <w:r w:rsidR="005E65CB" w:rsidRPr="005E65CB">
        <w:rPr>
          <w:rFonts w:ascii="Arial" w:hAnsi="Arial" w:cs="Arial"/>
          <w:bCs/>
          <w:sz w:val="22"/>
          <w:szCs w:val="22"/>
        </w:rPr>
        <w:t>i) a concessão de promoções decorrentes do processo anual de avaliação de desempenho dos colaboradores;</w:t>
      </w:r>
      <w:r w:rsidR="005E65CB">
        <w:rPr>
          <w:rFonts w:ascii="Arial" w:hAnsi="Arial" w:cs="Arial"/>
          <w:bCs/>
          <w:sz w:val="22"/>
          <w:szCs w:val="22"/>
        </w:rPr>
        <w:t xml:space="preserve"> </w:t>
      </w:r>
      <w:r w:rsidR="005E65CB" w:rsidRPr="005E65CB">
        <w:rPr>
          <w:rFonts w:ascii="Arial" w:hAnsi="Arial" w:cs="Arial"/>
          <w:bCs/>
          <w:sz w:val="22"/>
          <w:szCs w:val="22"/>
        </w:rPr>
        <w:t>ii) a reposição de perdas salariais estabelecida pelo acordo coletivo vigente</w:t>
      </w:r>
      <w:r w:rsidR="00627FB4">
        <w:rPr>
          <w:rFonts w:ascii="Arial" w:hAnsi="Arial" w:cs="Arial"/>
          <w:bCs/>
          <w:sz w:val="22"/>
          <w:szCs w:val="22"/>
        </w:rPr>
        <w:t>; e iii) aumento do quadro de colaboradores</w:t>
      </w:r>
      <w:r w:rsidR="005E65CB" w:rsidRPr="005E65CB">
        <w:rPr>
          <w:rFonts w:ascii="Arial" w:hAnsi="Arial" w:cs="Arial"/>
          <w:bCs/>
          <w:sz w:val="22"/>
          <w:szCs w:val="22"/>
        </w:rPr>
        <w:t>.</w:t>
      </w:r>
    </w:p>
    <w:p w14:paraId="207D4E85" w14:textId="77777777" w:rsidR="0003682E" w:rsidRDefault="0003682E" w:rsidP="0003682E">
      <w:pPr>
        <w:jc w:val="both"/>
        <w:rPr>
          <w:rFonts w:ascii="Arial" w:hAnsi="Arial" w:cs="Arial"/>
          <w:b/>
          <w:sz w:val="22"/>
          <w:szCs w:val="22"/>
        </w:rPr>
      </w:pPr>
    </w:p>
    <w:p w14:paraId="4008ECB2" w14:textId="2A2F0024" w:rsidR="006F6D11" w:rsidRPr="006F6D11" w:rsidRDefault="0003682E" w:rsidP="006F6D11">
      <w:pPr>
        <w:spacing w:line="276" w:lineRule="auto"/>
        <w:jc w:val="both"/>
        <w:rPr>
          <w:rFonts w:ascii="Arial" w:hAnsi="Arial" w:cs="Arial"/>
          <w:sz w:val="22"/>
          <w:szCs w:val="22"/>
        </w:rPr>
      </w:pPr>
      <w:r w:rsidRPr="00CC63D2">
        <w:rPr>
          <w:rFonts w:ascii="Arial" w:hAnsi="Arial" w:cs="Arial"/>
          <w:b/>
          <w:sz w:val="22"/>
          <w:szCs w:val="22"/>
        </w:rPr>
        <w:t>v) Aluguéis, Locações e Seguros:</w:t>
      </w:r>
      <w:r w:rsidRPr="00CC63D2">
        <w:rPr>
          <w:rFonts w:ascii="Arial" w:hAnsi="Arial" w:cs="Arial"/>
          <w:sz w:val="22"/>
          <w:szCs w:val="22"/>
        </w:rPr>
        <w:t xml:space="preserve"> </w:t>
      </w:r>
      <w:r w:rsidR="00060E1E" w:rsidRPr="00CC63D2">
        <w:rPr>
          <w:rFonts w:ascii="Arial" w:hAnsi="Arial" w:cs="Arial"/>
          <w:sz w:val="22"/>
          <w:szCs w:val="22"/>
        </w:rPr>
        <w:t xml:space="preserve">A rubrica apresentou um aumento de </w:t>
      </w:r>
      <w:r w:rsidR="009E4898">
        <w:rPr>
          <w:rFonts w:ascii="Arial" w:hAnsi="Arial" w:cs="Arial"/>
          <w:sz w:val="22"/>
          <w:szCs w:val="22"/>
        </w:rPr>
        <w:t>49,5</w:t>
      </w:r>
      <w:r w:rsidR="00060E1E" w:rsidRPr="00CC63D2">
        <w:rPr>
          <w:rFonts w:ascii="Arial" w:hAnsi="Arial" w:cs="Arial"/>
          <w:sz w:val="22"/>
          <w:szCs w:val="22"/>
        </w:rPr>
        <w:t xml:space="preserve">% na comparação com o </w:t>
      </w:r>
      <w:r w:rsidR="009E4898">
        <w:rPr>
          <w:rFonts w:ascii="Arial" w:hAnsi="Arial" w:cs="Arial"/>
          <w:sz w:val="22"/>
          <w:szCs w:val="22"/>
        </w:rPr>
        <w:t>primeiro trimestre</w:t>
      </w:r>
      <w:r w:rsidR="006F6D11">
        <w:rPr>
          <w:rFonts w:ascii="Arial" w:hAnsi="Arial" w:cs="Arial"/>
          <w:sz w:val="22"/>
          <w:szCs w:val="22"/>
        </w:rPr>
        <w:t xml:space="preserve"> de 202</w:t>
      </w:r>
      <w:r w:rsidR="009E4898">
        <w:rPr>
          <w:rFonts w:ascii="Arial" w:hAnsi="Arial" w:cs="Arial"/>
          <w:sz w:val="22"/>
          <w:szCs w:val="22"/>
        </w:rPr>
        <w:t>5</w:t>
      </w:r>
      <w:r w:rsidR="00060E1E" w:rsidRPr="00CC63D2">
        <w:rPr>
          <w:rFonts w:ascii="Arial" w:hAnsi="Arial" w:cs="Arial"/>
          <w:sz w:val="22"/>
          <w:szCs w:val="22"/>
        </w:rPr>
        <w:t>. Esse crescimento decorre, principalmente</w:t>
      </w:r>
      <w:r w:rsidR="006F6D11">
        <w:rPr>
          <w:rFonts w:ascii="Arial" w:hAnsi="Arial" w:cs="Arial"/>
          <w:sz w:val="22"/>
          <w:szCs w:val="22"/>
        </w:rPr>
        <w:t xml:space="preserve"> da </w:t>
      </w:r>
      <w:r w:rsidR="00060E1E" w:rsidRPr="00CC63D2">
        <w:rPr>
          <w:rFonts w:ascii="Arial" w:hAnsi="Arial" w:cs="Arial"/>
          <w:sz w:val="22"/>
          <w:szCs w:val="22"/>
        </w:rPr>
        <w:t xml:space="preserve">elevação dos custos de locação dos equipamentos </w:t>
      </w:r>
      <w:r w:rsidR="00DB4098">
        <w:rPr>
          <w:rFonts w:ascii="Arial" w:hAnsi="Arial" w:cs="Arial"/>
          <w:sz w:val="22"/>
          <w:szCs w:val="22"/>
        </w:rPr>
        <w:t>para conexão</w:t>
      </w:r>
      <w:r w:rsidR="00435000">
        <w:rPr>
          <w:rFonts w:ascii="Arial" w:hAnsi="Arial" w:cs="Arial"/>
          <w:sz w:val="22"/>
          <w:szCs w:val="22"/>
        </w:rPr>
        <w:t xml:space="preserve"> e operação</w:t>
      </w:r>
      <w:r w:rsidR="00DB4098">
        <w:rPr>
          <w:rFonts w:ascii="Arial" w:hAnsi="Arial" w:cs="Arial"/>
          <w:sz w:val="22"/>
          <w:szCs w:val="22"/>
        </w:rPr>
        <w:t xml:space="preserve"> satelital </w:t>
      </w:r>
      <w:r w:rsidR="00060E1E" w:rsidRPr="00CC63D2">
        <w:rPr>
          <w:rFonts w:ascii="Arial" w:hAnsi="Arial" w:cs="Arial"/>
          <w:sz w:val="22"/>
          <w:szCs w:val="22"/>
        </w:rPr>
        <w:t>registrados no período</w:t>
      </w:r>
      <w:r w:rsidR="006F6D11">
        <w:rPr>
          <w:rFonts w:ascii="Arial" w:hAnsi="Arial" w:cs="Arial"/>
          <w:sz w:val="22"/>
          <w:szCs w:val="22"/>
        </w:rPr>
        <w:t xml:space="preserve">, </w:t>
      </w:r>
      <w:r w:rsidR="006F6D11" w:rsidRPr="006F6D11">
        <w:rPr>
          <w:rFonts w:ascii="Arial" w:hAnsi="Arial" w:cs="Arial"/>
          <w:sz w:val="22"/>
          <w:szCs w:val="22"/>
        </w:rPr>
        <w:t>em razão da contratação de outras operadoras de satélite para atendimento à</w:t>
      </w:r>
      <w:r w:rsidR="006755BD">
        <w:rPr>
          <w:rFonts w:ascii="Arial" w:hAnsi="Arial" w:cs="Arial"/>
          <w:sz w:val="22"/>
          <w:szCs w:val="22"/>
        </w:rPr>
        <w:t>s</w:t>
      </w:r>
      <w:r w:rsidR="006F6D11" w:rsidRPr="006F6D11">
        <w:rPr>
          <w:rFonts w:ascii="Arial" w:hAnsi="Arial" w:cs="Arial"/>
          <w:sz w:val="22"/>
          <w:szCs w:val="22"/>
        </w:rPr>
        <w:t xml:space="preserve"> demanda</w:t>
      </w:r>
      <w:r w:rsidR="006755BD">
        <w:rPr>
          <w:rFonts w:ascii="Arial" w:hAnsi="Arial" w:cs="Arial"/>
          <w:sz w:val="22"/>
          <w:szCs w:val="22"/>
        </w:rPr>
        <w:t>s</w:t>
      </w:r>
      <w:r w:rsidR="006F6D11" w:rsidRPr="006F6D11">
        <w:rPr>
          <w:rFonts w:ascii="Arial" w:hAnsi="Arial" w:cs="Arial"/>
          <w:sz w:val="22"/>
          <w:szCs w:val="22"/>
        </w:rPr>
        <w:t xml:space="preserve"> de serviços, além da Viasat.</w:t>
      </w:r>
      <w:r w:rsidR="009E4898">
        <w:rPr>
          <w:rFonts w:ascii="Arial" w:hAnsi="Arial" w:cs="Arial"/>
          <w:sz w:val="22"/>
          <w:szCs w:val="22"/>
        </w:rPr>
        <w:t xml:space="preserve"> Esse aumento foi parcialmente compensado pela redução dos custos com a garantia estendida dos equipamentos satelitais.</w:t>
      </w:r>
    </w:p>
    <w:p w14:paraId="1878F8AF" w14:textId="77777777" w:rsidR="00DA720B" w:rsidRDefault="00DA720B" w:rsidP="006331A4">
      <w:pPr>
        <w:spacing w:line="276" w:lineRule="auto"/>
        <w:jc w:val="both"/>
        <w:rPr>
          <w:rFonts w:ascii="Arial" w:hAnsi="Arial" w:cs="Arial"/>
          <w:color w:val="000000"/>
          <w:sz w:val="6"/>
          <w:szCs w:val="6"/>
        </w:rPr>
      </w:pPr>
    </w:p>
    <w:p w14:paraId="5C0AC75A" w14:textId="77777777" w:rsidR="00D8396F" w:rsidRPr="00DA0F2A" w:rsidRDefault="00D8396F" w:rsidP="006331A4">
      <w:pPr>
        <w:spacing w:line="276" w:lineRule="auto"/>
        <w:jc w:val="both"/>
        <w:rPr>
          <w:rFonts w:ascii="Arial" w:hAnsi="Arial" w:cs="Arial"/>
          <w:color w:val="000000"/>
          <w:sz w:val="6"/>
          <w:szCs w:val="6"/>
        </w:rPr>
      </w:pPr>
    </w:p>
    <w:p w14:paraId="0B836F4B" w14:textId="3B80018C" w:rsidR="005719B3" w:rsidRDefault="001A2823" w:rsidP="009541E1">
      <w:pPr>
        <w:pStyle w:val="Ttulo2"/>
        <w:numPr>
          <w:ilvl w:val="0"/>
          <w:numId w:val="7"/>
        </w:numPr>
        <w:tabs>
          <w:tab w:val="clear" w:pos="284"/>
          <w:tab w:val="clear" w:pos="340"/>
        </w:tabs>
        <w:spacing w:before="0" w:after="0"/>
        <w:ind w:left="851" w:hanging="851"/>
        <w:jc w:val="both"/>
        <w:rPr>
          <w:rFonts w:ascii="Arial" w:hAnsi="Arial" w:cs="Arial"/>
        </w:rPr>
      </w:pPr>
      <w:bookmarkStart w:id="62" w:name="_Toc491337772"/>
      <w:r w:rsidRPr="000152BE">
        <w:rPr>
          <w:rFonts w:ascii="Arial" w:hAnsi="Arial" w:cs="Arial"/>
        </w:rPr>
        <w:t>OUTRAS RECEITAS/(DESPESAS) OPERACIONAIS</w:t>
      </w:r>
      <w:bookmarkEnd w:id="62"/>
    </w:p>
    <w:p w14:paraId="256D3394" w14:textId="77777777" w:rsidR="0067758C" w:rsidRDefault="0067758C" w:rsidP="00C03136">
      <w:pPr>
        <w:rPr>
          <w:sz w:val="16"/>
          <w:szCs w:val="16"/>
        </w:rPr>
      </w:pPr>
    </w:p>
    <w:p w14:paraId="42EA1C66" w14:textId="77777777" w:rsidR="00546726" w:rsidRDefault="00546726" w:rsidP="00C0313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2"/>
        <w:gridCol w:w="1403"/>
        <w:gridCol w:w="1806"/>
      </w:tblGrid>
      <w:tr w:rsidR="00546726" w:rsidRPr="00D4398B" w14:paraId="3BF21B13" w14:textId="77777777" w:rsidTr="00546726">
        <w:trPr>
          <w:trHeight w:val="232"/>
        </w:trPr>
        <w:tc>
          <w:tcPr>
            <w:tcW w:w="3358" w:type="pct"/>
            <w:shd w:val="clear" w:color="000000" w:fill="D9D9D9"/>
            <w:noWrap/>
            <w:vAlign w:val="center"/>
            <w:hideMark/>
          </w:tcPr>
          <w:p w14:paraId="304098B0" w14:textId="77777777" w:rsidR="00546726" w:rsidRPr="00D4398B" w:rsidRDefault="00546726">
            <w:pPr>
              <w:rPr>
                <w:rFonts w:ascii="Arial" w:hAnsi="Arial" w:cs="Arial"/>
                <w:b/>
                <w:bCs/>
                <w:color w:val="000000"/>
                <w:sz w:val="18"/>
                <w:szCs w:val="18"/>
              </w:rPr>
            </w:pPr>
            <w:r w:rsidRPr="00D4398B">
              <w:rPr>
                <w:rFonts w:ascii="Arial" w:hAnsi="Arial" w:cs="Arial"/>
                <w:b/>
                <w:bCs/>
                <w:color w:val="000000"/>
                <w:sz w:val="18"/>
                <w:szCs w:val="18"/>
              </w:rPr>
              <w:t>Composição:</w:t>
            </w:r>
          </w:p>
        </w:tc>
        <w:tc>
          <w:tcPr>
            <w:tcW w:w="718" w:type="pct"/>
            <w:vAlign w:val="center"/>
            <w:hideMark/>
          </w:tcPr>
          <w:p w14:paraId="392E748D" w14:textId="77777777" w:rsidR="00546726" w:rsidRPr="00D4398B" w:rsidRDefault="00546726">
            <w:pPr>
              <w:jc w:val="center"/>
              <w:rPr>
                <w:rFonts w:ascii="Arial" w:hAnsi="Arial" w:cs="Arial"/>
                <w:b/>
                <w:bCs/>
                <w:color w:val="000000"/>
                <w:sz w:val="18"/>
                <w:szCs w:val="18"/>
              </w:rPr>
            </w:pPr>
            <w:r w:rsidRPr="00D4398B">
              <w:rPr>
                <w:rFonts w:ascii="Arial" w:hAnsi="Arial" w:cs="Arial"/>
                <w:b/>
                <w:bCs/>
                <w:color w:val="000000"/>
                <w:sz w:val="18"/>
                <w:szCs w:val="18"/>
              </w:rPr>
              <w:t>31/03/2026</w:t>
            </w:r>
          </w:p>
        </w:tc>
        <w:tc>
          <w:tcPr>
            <w:tcW w:w="924" w:type="pct"/>
            <w:vAlign w:val="center"/>
            <w:hideMark/>
          </w:tcPr>
          <w:p w14:paraId="463A0C2E" w14:textId="77777777" w:rsidR="00546726" w:rsidRPr="00D4398B" w:rsidRDefault="00546726">
            <w:pPr>
              <w:jc w:val="center"/>
              <w:rPr>
                <w:rFonts w:ascii="Arial" w:hAnsi="Arial" w:cs="Arial"/>
                <w:b/>
                <w:bCs/>
                <w:color w:val="000000"/>
                <w:sz w:val="18"/>
                <w:szCs w:val="18"/>
              </w:rPr>
            </w:pPr>
            <w:r w:rsidRPr="00D4398B">
              <w:rPr>
                <w:rFonts w:ascii="Arial" w:hAnsi="Arial" w:cs="Arial"/>
                <w:b/>
                <w:bCs/>
                <w:color w:val="000000"/>
                <w:sz w:val="18"/>
                <w:szCs w:val="18"/>
              </w:rPr>
              <w:t>31/03/2025</w:t>
            </w:r>
          </w:p>
        </w:tc>
      </w:tr>
      <w:tr w:rsidR="00546726" w:rsidRPr="00D4398B" w14:paraId="78309A64" w14:textId="77777777" w:rsidTr="00546726">
        <w:trPr>
          <w:trHeight w:val="232"/>
        </w:trPr>
        <w:tc>
          <w:tcPr>
            <w:tcW w:w="3358" w:type="pct"/>
            <w:noWrap/>
            <w:vAlign w:val="center"/>
            <w:hideMark/>
          </w:tcPr>
          <w:p w14:paraId="520583FD" w14:textId="77777777" w:rsidR="00546726" w:rsidRPr="00D4398B" w:rsidRDefault="00546726">
            <w:pPr>
              <w:rPr>
                <w:rFonts w:ascii="Arial" w:hAnsi="Arial" w:cs="Arial"/>
                <w:b/>
                <w:bCs/>
                <w:color w:val="000000"/>
                <w:sz w:val="18"/>
                <w:szCs w:val="18"/>
              </w:rPr>
            </w:pPr>
            <w:r w:rsidRPr="00D4398B">
              <w:rPr>
                <w:rFonts w:ascii="Arial" w:hAnsi="Arial" w:cs="Arial"/>
                <w:b/>
                <w:bCs/>
                <w:color w:val="000000"/>
                <w:sz w:val="18"/>
                <w:szCs w:val="18"/>
              </w:rPr>
              <w:t>Outras Receitas Operacionais</w:t>
            </w:r>
          </w:p>
        </w:tc>
        <w:tc>
          <w:tcPr>
            <w:tcW w:w="718" w:type="pct"/>
            <w:noWrap/>
            <w:vAlign w:val="center"/>
            <w:hideMark/>
          </w:tcPr>
          <w:p w14:paraId="38A563D1" w14:textId="77777777" w:rsidR="00546726" w:rsidRPr="00D4398B" w:rsidRDefault="00546726">
            <w:pPr>
              <w:jc w:val="right"/>
              <w:rPr>
                <w:rFonts w:ascii="Arial" w:hAnsi="Arial" w:cs="Arial"/>
                <w:color w:val="000000"/>
                <w:sz w:val="18"/>
                <w:szCs w:val="18"/>
              </w:rPr>
            </w:pPr>
            <w:r w:rsidRPr="00D4398B">
              <w:rPr>
                <w:rFonts w:ascii="Arial" w:hAnsi="Arial" w:cs="Arial"/>
                <w:color w:val="000000"/>
                <w:sz w:val="18"/>
                <w:szCs w:val="18"/>
              </w:rPr>
              <w:t> </w:t>
            </w:r>
          </w:p>
        </w:tc>
        <w:tc>
          <w:tcPr>
            <w:tcW w:w="924" w:type="pct"/>
            <w:noWrap/>
            <w:vAlign w:val="center"/>
            <w:hideMark/>
          </w:tcPr>
          <w:p w14:paraId="3BF319C6" w14:textId="77777777" w:rsidR="00546726" w:rsidRPr="00D4398B" w:rsidRDefault="00546726">
            <w:pPr>
              <w:jc w:val="right"/>
              <w:rPr>
                <w:rFonts w:ascii="Arial" w:hAnsi="Arial" w:cs="Arial"/>
                <w:color w:val="000000"/>
                <w:sz w:val="18"/>
                <w:szCs w:val="18"/>
              </w:rPr>
            </w:pPr>
            <w:r w:rsidRPr="00D4398B">
              <w:rPr>
                <w:rFonts w:ascii="Arial" w:hAnsi="Arial" w:cs="Arial"/>
                <w:color w:val="000000"/>
                <w:sz w:val="18"/>
                <w:szCs w:val="18"/>
              </w:rPr>
              <w:t> </w:t>
            </w:r>
          </w:p>
        </w:tc>
      </w:tr>
      <w:tr w:rsidR="00E05038" w:rsidRPr="00D4398B" w14:paraId="4E8D0172" w14:textId="77777777" w:rsidTr="00546726">
        <w:trPr>
          <w:trHeight w:val="232"/>
        </w:trPr>
        <w:tc>
          <w:tcPr>
            <w:tcW w:w="3358" w:type="pct"/>
            <w:noWrap/>
            <w:vAlign w:val="center"/>
            <w:hideMark/>
          </w:tcPr>
          <w:p w14:paraId="7B9FE9E2"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Subvenções Orçamentárias Recebidas (i)</w:t>
            </w:r>
          </w:p>
        </w:tc>
        <w:tc>
          <w:tcPr>
            <w:tcW w:w="718" w:type="pct"/>
            <w:noWrap/>
            <w:vAlign w:val="center"/>
            <w:hideMark/>
          </w:tcPr>
          <w:p w14:paraId="40DC712C" w14:textId="7C6B315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7.179 </w:t>
            </w:r>
          </w:p>
        </w:tc>
        <w:tc>
          <w:tcPr>
            <w:tcW w:w="924" w:type="pct"/>
            <w:noWrap/>
            <w:vAlign w:val="center"/>
            <w:hideMark/>
          </w:tcPr>
          <w:p w14:paraId="63EE7861"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77.575 </w:t>
            </w:r>
          </w:p>
        </w:tc>
      </w:tr>
      <w:tr w:rsidR="00E05038" w:rsidRPr="00D4398B" w14:paraId="7A59D876" w14:textId="77777777" w:rsidTr="00546726">
        <w:trPr>
          <w:trHeight w:val="232"/>
        </w:trPr>
        <w:tc>
          <w:tcPr>
            <w:tcW w:w="3358" w:type="pct"/>
            <w:noWrap/>
            <w:vAlign w:val="center"/>
            <w:hideMark/>
          </w:tcPr>
          <w:p w14:paraId="127D54F3"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Recuperação de Tributos</w:t>
            </w:r>
          </w:p>
        </w:tc>
        <w:tc>
          <w:tcPr>
            <w:tcW w:w="718" w:type="pct"/>
            <w:noWrap/>
            <w:vAlign w:val="center"/>
            <w:hideMark/>
          </w:tcPr>
          <w:p w14:paraId="6D309C48" w14:textId="31EEE4BA"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3.757 </w:t>
            </w:r>
          </w:p>
        </w:tc>
        <w:tc>
          <w:tcPr>
            <w:tcW w:w="924" w:type="pct"/>
            <w:noWrap/>
            <w:vAlign w:val="center"/>
            <w:hideMark/>
          </w:tcPr>
          <w:p w14:paraId="7CE86439"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3.665 </w:t>
            </w:r>
          </w:p>
        </w:tc>
      </w:tr>
      <w:tr w:rsidR="00E05038" w:rsidRPr="00D4398B" w14:paraId="0D8D6A49" w14:textId="77777777" w:rsidTr="00546726">
        <w:trPr>
          <w:trHeight w:val="232"/>
        </w:trPr>
        <w:tc>
          <w:tcPr>
            <w:tcW w:w="3358" w:type="pct"/>
            <w:noWrap/>
            <w:vAlign w:val="center"/>
            <w:hideMark/>
          </w:tcPr>
          <w:p w14:paraId="63D22D83"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Reversão de Prov. para Riscos Trabalhistas, Cíveis e Fiscais</w:t>
            </w:r>
          </w:p>
        </w:tc>
        <w:tc>
          <w:tcPr>
            <w:tcW w:w="718" w:type="pct"/>
            <w:noWrap/>
            <w:vAlign w:val="center"/>
            <w:hideMark/>
          </w:tcPr>
          <w:p w14:paraId="1128E42B" w14:textId="2F1856CC"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915 </w:t>
            </w:r>
          </w:p>
        </w:tc>
        <w:tc>
          <w:tcPr>
            <w:tcW w:w="924" w:type="pct"/>
            <w:noWrap/>
            <w:vAlign w:val="center"/>
            <w:hideMark/>
          </w:tcPr>
          <w:p w14:paraId="68C5F679"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270 </w:t>
            </w:r>
          </w:p>
        </w:tc>
      </w:tr>
      <w:tr w:rsidR="00E05038" w:rsidRPr="00D4398B" w14:paraId="0194C76E" w14:textId="77777777" w:rsidTr="00546726">
        <w:trPr>
          <w:trHeight w:val="232"/>
        </w:trPr>
        <w:tc>
          <w:tcPr>
            <w:tcW w:w="3358" w:type="pct"/>
            <w:noWrap/>
            <w:vAlign w:val="center"/>
            <w:hideMark/>
          </w:tcPr>
          <w:p w14:paraId="05331C55"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Recuperação de Depósitos Judiciais</w:t>
            </w:r>
          </w:p>
        </w:tc>
        <w:tc>
          <w:tcPr>
            <w:tcW w:w="718" w:type="pct"/>
            <w:noWrap/>
            <w:vAlign w:val="center"/>
            <w:hideMark/>
          </w:tcPr>
          <w:p w14:paraId="14D2A9FF" w14:textId="0689CB6E"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773 </w:t>
            </w:r>
          </w:p>
        </w:tc>
        <w:tc>
          <w:tcPr>
            <w:tcW w:w="924" w:type="pct"/>
            <w:noWrap/>
            <w:vAlign w:val="center"/>
            <w:hideMark/>
          </w:tcPr>
          <w:p w14:paraId="70D04931"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 </w:t>
            </w:r>
          </w:p>
        </w:tc>
      </w:tr>
      <w:tr w:rsidR="00E05038" w:rsidRPr="00D4398B" w14:paraId="1879F5AA" w14:textId="77777777" w:rsidTr="00546726">
        <w:trPr>
          <w:trHeight w:val="232"/>
        </w:trPr>
        <w:tc>
          <w:tcPr>
            <w:tcW w:w="3358" w:type="pct"/>
            <w:noWrap/>
            <w:vAlign w:val="center"/>
            <w:hideMark/>
          </w:tcPr>
          <w:p w14:paraId="43B3665B"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Outras Receitas Operacionais</w:t>
            </w:r>
          </w:p>
        </w:tc>
        <w:tc>
          <w:tcPr>
            <w:tcW w:w="718" w:type="pct"/>
            <w:noWrap/>
            <w:vAlign w:val="center"/>
            <w:hideMark/>
          </w:tcPr>
          <w:p w14:paraId="546A8F05" w14:textId="19F804ED"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206 </w:t>
            </w:r>
          </w:p>
        </w:tc>
        <w:tc>
          <w:tcPr>
            <w:tcW w:w="924" w:type="pct"/>
            <w:noWrap/>
            <w:vAlign w:val="center"/>
            <w:hideMark/>
          </w:tcPr>
          <w:p w14:paraId="16FD8F95"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235 </w:t>
            </w:r>
          </w:p>
        </w:tc>
      </w:tr>
      <w:tr w:rsidR="00E05038" w:rsidRPr="00D4398B" w14:paraId="2326BDE4" w14:textId="77777777" w:rsidTr="00546726">
        <w:trPr>
          <w:trHeight w:val="232"/>
        </w:trPr>
        <w:tc>
          <w:tcPr>
            <w:tcW w:w="3358" w:type="pct"/>
            <w:vAlign w:val="center"/>
            <w:hideMark/>
          </w:tcPr>
          <w:p w14:paraId="19D22685" w14:textId="77777777" w:rsidR="00E05038" w:rsidRPr="00D4398B" w:rsidRDefault="00E05038" w:rsidP="00E05038">
            <w:pPr>
              <w:rPr>
                <w:rFonts w:ascii="Arial" w:hAnsi="Arial" w:cs="Arial"/>
                <w:b/>
                <w:bCs/>
                <w:color w:val="000000"/>
                <w:sz w:val="18"/>
                <w:szCs w:val="18"/>
              </w:rPr>
            </w:pPr>
            <w:r w:rsidRPr="00D4398B">
              <w:rPr>
                <w:rFonts w:ascii="Arial" w:hAnsi="Arial" w:cs="Arial"/>
                <w:b/>
                <w:bCs/>
                <w:color w:val="000000"/>
                <w:sz w:val="18"/>
                <w:szCs w:val="18"/>
              </w:rPr>
              <w:t xml:space="preserve"> Total </w:t>
            </w:r>
          </w:p>
        </w:tc>
        <w:tc>
          <w:tcPr>
            <w:tcW w:w="718" w:type="pct"/>
            <w:noWrap/>
            <w:vAlign w:val="center"/>
            <w:hideMark/>
          </w:tcPr>
          <w:p w14:paraId="2E1C72CA" w14:textId="1EE7736C" w:rsidR="00E05038" w:rsidRPr="00D4398B" w:rsidRDefault="00E05038" w:rsidP="00E05038">
            <w:pPr>
              <w:jc w:val="right"/>
              <w:rPr>
                <w:rFonts w:ascii="Arial" w:hAnsi="Arial" w:cs="Arial"/>
                <w:b/>
                <w:bCs/>
                <w:color w:val="000000"/>
                <w:sz w:val="18"/>
                <w:szCs w:val="18"/>
              </w:rPr>
            </w:pPr>
            <w:r w:rsidRPr="00D4398B">
              <w:rPr>
                <w:rFonts w:ascii="Arial" w:hAnsi="Arial" w:cs="Arial"/>
                <w:b/>
                <w:bCs/>
                <w:color w:val="000000"/>
                <w:sz w:val="18"/>
                <w:szCs w:val="18"/>
              </w:rPr>
              <w:t xml:space="preserve">      12.830 </w:t>
            </w:r>
          </w:p>
        </w:tc>
        <w:tc>
          <w:tcPr>
            <w:tcW w:w="924" w:type="pct"/>
            <w:noWrap/>
            <w:vAlign w:val="center"/>
            <w:hideMark/>
          </w:tcPr>
          <w:p w14:paraId="146C8B3F" w14:textId="77777777" w:rsidR="00E05038" w:rsidRPr="00D4398B" w:rsidRDefault="00E05038" w:rsidP="00E05038">
            <w:pPr>
              <w:jc w:val="right"/>
              <w:rPr>
                <w:rFonts w:ascii="Arial" w:hAnsi="Arial" w:cs="Arial"/>
                <w:b/>
                <w:bCs/>
                <w:color w:val="000000"/>
                <w:sz w:val="18"/>
                <w:szCs w:val="18"/>
              </w:rPr>
            </w:pPr>
            <w:r w:rsidRPr="00D4398B">
              <w:rPr>
                <w:rFonts w:ascii="Arial" w:hAnsi="Arial" w:cs="Arial"/>
                <w:b/>
                <w:bCs/>
                <w:color w:val="000000"/>
                <w:sz w:val="18"/>
                <w:szCs w:val="18"/>
              </w:rPr>
              <w:t xml:space="preserve">              81.745 </w:t>
            </w:r>
          </w:p>
        </w:tc>
      </w:tr>
      <w:tr w:rsidR="00E05038" w:rsidRPr="00D4398B" w14:paraId="5B23E93F" w14:textId="77777777" w:rsidTr="00546726">
        <w:trPr>
          <w:trHeight w:val="232"/>
        </w:trPr>
        <w:tc>
          <w:tcPr>
            <w:tcW w:w="3358" w:type="pct"/>
            <w:vAlign w:val="center"/>
            <w:hideMark/>
          </w:tcPr>
          <w:p w14:paraId="204F8AAE" w14:textId="77777777" w:rsidR="00E05038" w:rsidRPr="00D4398B" w:rsidRDefault="00E05038" w:rsidP="00E05038">
            <w:pPr>
              <w:rPr>
                <w:rFonts w:ascii="Arial" w:hAnsi="Arial" w:cs="Arial"/>
                <w:b/>
                <w:bCs/>
                <w:color w:val="000000"/>
                <w:sz w:val="18"/>
                <w:szCs w:val="18"/>
              </w:rPr>
            </w:pPr>
            <w:r w:rsidRPr="00D4398B">
              <w:rPr>
                <w:rFonts w:ascii="Arial" w:hAnsi="Arial" w:cs="Arial"/>
                <w:b/>
                <w:bCs/>
                <w:color w:val="000000"/>
                <w:sz w:val="18"/>
                <w:szCs w:val="18"/>
              </w:rPr>
              <w:t xml:space="preserve">Outras Despesas Operacionais </w:t>
            </w:r>
          </w:p>
        </w:tc>
        <w:tc>
          <w:tcPr>
            <w:tcW w:w="718" w:type="pct"/>
            <w:noWrap/>
            <w:vAlign w:val="center"/>
            <w:hideMark/>
          </w:tcPr>
          <w:p w14:paraId="2687E731" w14:textId="2F84B4C6"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w:t>
            </w:r>
          </w:p>
        </w:tc>
        <w:tc>
          <w:tcPr>
            <w:tcW w:w="924" w:type="pct"/>
            <w:noWrap/>
            <w:vAlign w:val="center"/>
            <w:hideMark/>
          </w:tcPr>
          <w:p w14:paraId="46BCFC32"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w:t>
            </w:r>
          </w:p>
        </w:tc>
      </w:tr>
      <w:tr w:rsidR="00E05038" w:rsidRPr="00D4398B" w14:paraId="61F8BE58" w14:textId="77777777" w:rsidTr="00546726">
        <w:trPr>
          <w:trHeight w:val="232"/>
        </w:trPr>
        <w:tc>
          <w:tcPr>
            <w:tcW w:w="3358" w:type="pct"/>
            <w:noWrap/>
            <w:vAlign w:val="center"/>
            <w:hideMark/>
          </w:tcPr>
          <w:p w14:paraId="0BB802FC" w14:textId="2D9E0EB2"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 xml:space="preserve">Multas Contratuais </w:t>
            </w:r>
          </w:p>
        </w:tc>
        <w:tc>
          <w:tcPr>
            <w:tcW w:w="718" w:type="pct"/>
            <w:noWrap/>
            <w:vAlign w:val="center"/>
            <w:hideMark/>
          </w:tcPr>
          <w:p w14:paraId="2D574302" w14:textId="599328BA"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(1.973)</w:t>
            </w:r>
          </w:p>
        </w:tc>
        <w:tc>
          <w:tcPr>
            <w:tcW w:w="924" w:type="pct"/>
            <w:noWrap/>
            <w:vAlign w:val="center"/>
            <w:hideMark/>
          </w:tcPr>
          <w:p w14:paraId="07B265D1"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(824)</w:t>
            </w:r>
          </w:p>
        </w:tc>
      </w:tr>
      <w:tr w:rsidR="00E05038" w:rsidRPr="00D4398B" w14:paraId="14BDD6E7" w14:textId="77777777" w:rsidTr="00546726">
        <w:trPr>
          <w:trHeight w:val="232"/>
        </w:trPr>
        <w:tc>
          <w:tcPr>
            <w:tcW w:w="3358" w:type="pct"/>
            <w:noWrap/>
            <w:vAlign w:val="center"/>
            <w:hideMark/>
          </w:tcPr>
          <w:p w14:paraId="1EAB1162"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 xml:space="preserve">Tributos </w:t>
            </w:r>
          </w:p>
        </w:tc>
        <w:tc>
          <w:tcPr>
            <w:tcW w:w="718" w:type="pct"/>
            <w:noWrap/>
            <w:vAlign w:val="center"/>
            <w:hideMark/>
          </w:tcPr>
          <w:p w14:paraId="23C6A728" w14:textId="5519EEB2"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(1.642)</w:t>
            </w:r>
          </w:p>
        </w:tc>
        <w:tc>
          <w:tcPr>
            <w:tcW w:w="924" w:type="pct"/>
            <w:noWrap/>
            <w:vAlign w:val="center"/>
            <w:hideMark/>
          </w:tcPr>
          <w:p w14:paraId="1707791C"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(1.166)</w:t>
            </w:r>
          </w:p>
        </w:tc>
      </w:tr>
      <w:tr w:rsidR="00E05038" w:rsidRPr="00D4398B" w14:paraId="5EA289C5" w14:textId="77777777" w:rsidTr="00546726">
        <w:trPr>
          <w:trHeight w:val="232"/>
        </w:trPr>
        <w:tc>
          <w:tcPr>
            <w:tcW w:w="3358" w:type="pct"/>
            <w:noWrap/>
            <w:vAlign w:val="center"/>
            <w:hideMark/>
          </w:tcPr>
          <w:p w14:paraId="51EA2A71"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Multas sobre Tributos</w:t>
            </w:r>
          </w:p>
        </w:tc>
        <w:tc>
          <w:tcPr>
            <w:tcW w:w="718" w:type="pct"/>
            <w:noWrap/>
            <w:vAlign w:val="center"/>
            <w:hideMark/>
          </w:tcPr>
          <w:p w14:paraId="1F6B18AE" w14:textId="5FA82491"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(38)</w:t>
            </w:r>
          </w:p>
        </w:tc>
        <w:tc>
          <w:tcPr>
            <w:tcW w:w="924" w:type="pct"/>
            <w:noWrap/>
            <w:vAlign w:val="center"/>
            <w:hideMark/>
          </w:tcPr>
          <w:p w14:paraId="6A9E86B4"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(675)</w:t>
            </w:r>
          </w:p>
        </w:tc>
      </w:tr>
      <w:tr w:rsidR="00E05038" w:rsidRPr="00D4398B" w14:paraId="057E74EF" w14:textId="77777777" w:rsidTr="00546726">
        <w:trPr>
          <w:trHeight w:val="232"/>
        </w:trPr>
        <w:tc>
          <w:tcPr>
            <w:tcW w:w="3358" w:type="pct"/>
            <w:noWrap/>
            <w:vAlign w:val="center"/>
            <w:hideMark/>
          </w:tcPr>
          <w:p w14:paraId="1C8C375D"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 xml:space="preserve">Pessoal  </w:t>
            </w:r>
          </w:p>
        </w:tc>
        <w:tc>
          <w:tcPr>
            <w:tcW w:w="718" w:type="pct"/>
            <w:noWrap/>
            <w:vAlign w:val="center"/>
            <w:hideMark/>
          </w:tcPr>
          <w:p w14:paraId="4A34BABC" w14:textId="3479C805"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  </w:t>
            </w:r>
          </w:p>
        </w:tc>
        <w:tc>
          <w:tcPr>
            <w:tcW w:w="924" w:type="pct"/>
            <w:noWrap/>
            <w:vAlign w:val="center"/>
            <w:hideMark/>
          </w:tcPr>
          <w:p w14:paraId="63EC90DE"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(400)</w:t>
            </w:r>
          </w:p>
        </w:tc>
      </w:tr>
      <w:tr w:rsidR="00E05038" w:rsidRPr="00D4398B" w14:paraId="7B29277B" w14:textId="77777777" w:rsidTr="00546726">
        <w:trPr>
          <w:trHeight w:val="232"/>
        </w:trPr>
        <w:tc>
          <w:tcPr>
            <w:tcW w:w="3358" w:type="pct"/>
            <w:noWrap/>
            <w:vAlign w:val="center"/>
            <w:hideMark/>
          </w:tcPr>
          <w:p w14:paraId="5F58B7F5"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Provisão para Riscos Trabalhistas, Cíveis e Fiscais</w:t>
            </w:r>
          </w:p>
        </w:tc>
        <w:tc>
          <w:tcPr>
            <w:tcW w:w="718" w:type="pct"/>
            <w:noWrap/>
            <w:vAlign w:val="center"/>
            <w:hideMark/>
          </w:tcPr>
          <w:p w14:paraId="6996289D" w14:textId="4674AE53"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  </w:t>
            </w:r>
          </w:p>
        </w:tc>
        <w:tc>
          <w:tcPr>
            <w:tcW w:w="924" w:type="pct"/>
            <w:noWrap/>
            <w:vAlign w:val="center"/>
            <w:hideMark/>
          </w:tcPr>
          <w:p w14:paraId="40A0FD7B"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(381)</w:t>
            </w:r>
          </w:p>
        </w:tc>
      </w:tr>
      <w:tr w:rsidR="00E05038" w:rsidRPr="00D4398B" w14:paraId="4B74CB85" w14:textId="77777777" w:rsidTr="00546726">
        <w:trPr>
          <w:trHeight w:val="232"/>
        </w:trPr>
        <w:tc>
          <w:tcPr>
            <w:tcW w:w="3358" w:type="pct"/>
            <w:noWrap/>
            <w:vAlign w:val="center"/>
            <w:hideMark/>
          </w:tcPr>
          <w:p w14:paraId="74DC84AE" w14:textId="77777777" w:rsidR="00E05038" w:rsidRPr="00D4398B" w:rsidRDefault="00E05038" w:rsidP="00E05038">
            <w:pPr>
              <w:rPr>
                <w:rFonts w:ascii="Arial" w:hAnsi="Arial" w:cs="Arial"/>
                <w:color w:val="000000"/>
                <w:sz w:val="18"/>
                <w:szCs w:val="18"/>
              </w:rPr>
            </w:pPr>
            <w:r w:rsidRPr="00D4398B">
              <w:rPr>
                <w:rFonts w:ascii="Arial" w:hAnsi="Arial" w:cs="Arial"/>
                <w:color w:val="000000"/>
                <w:sz w:val="18"/>
                <w:szCs w:val="18"/>
              </w:rPr>
              <w:t xml:space="preserve">Outras Despesas Operacionais </w:t>
            </w:r>
          </w:p>
        </w:tc>
        <w:tc>
          <w:tcPr>
            <w:tcW w:w="718" w:type="pct"/>
            <w:noWrap/>
            <w:vAlign w:val="center"/>
            <w:hideMark/>
          </w:tcPr>
          <w:p w14:paraId="4ADAEFBC" w14:textId="7EEBA6AE"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(82)</w:t>
            </w:r>
          </w:p>
        </w:tc>
        <w:tc>
          <w:tcPr>
            <w:tcW w:w="924" w:type="pct"/>
            <w:noWrap/>
            <w:vAlign w:val="center"/>
            <w:hideMark/>
          </w:tcPr>
          <w:p w14:paraId="4C2BE81F" w14:textId="77777777" w:rsidR="00E05038" w:rsidRPr="00D4398B" w:rsidRDefault="00E05038" w:rsidP="00E05038">
            <w:pPr>
              <w:jc w:val="right"/>
              <w:rPr>
                <w:rFonts w:ascii="Arial" w:hAnsi="Arial" w:cs="Arial"/>
                <w:color w:val="000000"/>
                <w:sz w:val="18"/>
                <w:szCs w:val="18"/>
              </w:rPr>
            </w:pPr>
            <w:r w:rsidRPr="00D4398B">
              <w:rPr>
                <w:rFonts w:ascii="Arial" w:hAnsi="Arial" w:cs="Arial"/>
                <w:color w:val="000000"/>
                <w:sz w:val="18"/>
                <w:szCs w:val="18"/>
              </w:rPr>
              <w:t xml:space="preserve">                      (9)</w:t>
            </w:r>
          </w:p>
        </w:tc>
      </w:tr>
      <w:tr w:rsidR="00E05038" w:rsidRPr="00D4398B" w14:paraId="1E17F3B3" w14:textId="77777777" w:rsidTr="00546726">
        <w:trPr>
          <w:trHeight w:val="232"/>
        </w:trPr>
        <w:tc>
          <w:tcPr>
            <w:tcW w:w="3358" w:type="pct"/>
            <w:noWrap/>
            <w:vAlign w:val="center"/>
            <w:hideMark/>
          </w:tcPr>
          <w:p w14:paraId="5AB09A7C" w14:textId="77777777" w:rsidR="00E05038" w:rsidRPr="00D4398B" w:rsidRDefault="00E05038" w:rsidP="00E05038">
            <w:pPr>
              <w:rPr>
                <w:rFonts w:ascii="Arial" w:hAnsi="Arial" w:cs="Arial"/>
                <w:b/>
                <w:bCs/>
                <w:color w:val="000000"/>
                <w:sz w:val="18"/>
                <w:szCs w:val="18"/>
              </w:rPr>
            </w:pPr>
            <w:r w:rsidRPr="00D4398B">
              <w:rPr>
                <w:rFonts w:ascii="Arial" w:hAnsi="Arial" w:cs="Arial"/>
                <w:b/>
                <w:bCs/>
                <w:color w:val="000000"/>
                <w:sz w:val="18"/>
                <w:szCs w:val="18"/>
              </w:rPr>
              <w:t xml:space="preserve"> Total </w:t>
            </w:r>
          </w:p>
        </w:tc>
        <w:tc>
          <w:tcPr>
            <w:tcW w:w="718" w:type="pct"/>
            <w:noWrap/>
            <w:vAlign w:val="center"/>
            <w:hideMark/>
          </w:tcPr>
          <w:p w14:paraId="442379D6" w14:textId="3ED97B15" w:rsidR="00E05038" w:rsidRPr="00D4398B" w:rsidRDefault="00E05038" w:rsidP="00E05038">
            <w:pPr>
              <w:jc w:val="right"/>
              <w:rPr>
                <w:rFonts w:ascii="Arial" w:hAnsi="Arial" w:cs="Arial"/>
                <w:b/>
                <w:bCs/>
                <w:color w:val="000000"/>
                <w:sz w:val="18"/>
                <w:szCs w:val="18"/>
              </w:rPr>
            </w:pPr>
            <w:r w:rsidRPr="00D4398B">
              <w:rPr>
                <w:rFonts w:ascii="Arial" w:hAnsi="Arial" w:cs="Arial"/>
                <w:b/>
                <w:bCs/>
                <w:color w:val="000000"/>
                <w:sz w:val="18"/>
                <w:szCs w:val="18"/>
              </w:rPr>
              <w:t xml:space="preserve">       (3.735)</w:t>
            </w:r>
          </w:p>
        </w:tc>
        <w:tc>
          <w:tcPr>
            <w:tcW w:w="924" w:type="pct"/>
            <w:noWrap/>
            <w:vAlign w:val="center"/>
            <w:hideMark/>
          </w:tcPr>
          <w:p w14:paraId="2005EB13" w14:textId="77777777" w:rsidR="00E05038" w:rsidRPr="00D4398B" w:rsidRDefault="00E05038" w:rsidP="00E05038">
            <w:pPr>
              <w:jc w:val="right"/>
              <w:rPr>
                <w:rFonts w:ascii="Arial" w:hAnsi="Arial" w:cs="Arial"/>
                <w:b/>
                <w:bCs/>
                <w:color w:val="000000"/>
                <w:sz w:val="18"/>
                <w:szCs w:val="18"/>
              </w:rPr>
            </w:pPr>
            <w:r w:rsidRPr="00D4398B">
              <w:rPr>
                <w:rFonts w:ascii="Arial" w:hAnsi="Arial" w:cs="Arial"/>
                <w:b/>
                <w:bCs/>
                <w:color w:val="000000"/>
                <w:sz w:val="18"/>
                <w:szCs w:val="18"/>
              </w:rPr>
              <w:t xml:space="preserve">               (3.455)</w:t>
            </w:r>
          </w:p>
        </w:tc>
      </w:tr>
      <w:tr w:rsidR="00E05038" w14:paraId="65ECE1EC" w14:textId="77777777" w:rsidTr="00546726">
        <w:trPr>
          <w:trHeight w:val="232"/>
        </w:trPr>
        <w:tc>
          <w:tcPr>
            <w:tcW w:w="3358" w:type="pct"/>
            <w:noWrap/>
            <w:vAlign w:val="center"/>
            <w:hideMark/>
          </w:tcPr>
          <w:p w14:paraId="17ECCB8F" w14:textId="77777777" w:rsidR="00E05038" w:rsidRPr="00D4398B" w:rsidRDefault="00E05038" w:rsidP="00E05038">
            <w:pPr>
              <w:rPr>
                <w:rFonts w:ascii="Arial" w:hAnsi="Arial" w:cs="Arial"/>
                <w:b/>
                <w:bCs/>
                <w:color w:val="000000"/>
                <w:sz w:val="18"/>
                <w:szCs w:val="18"/>
              </w:rPr>
            </w:pPr>
            <w:r w:rsidRPr="00D4398B">
              <w:rPr>
                <w:rFonts w:ascii="Arial" w:hAnsi="Arial" w:cs="Arial"/>
                <w:b/>
                <w:bCs/>
                <w:color w:val="000000"/>
                <w:sz w:val="18"/>
                <w:szCs w:val="18"/>
              </w:rPr>
              <w:t xml:space="preserve">Outras Receita/(Despesas) Operacionais, Líquida </w:t>
            </w:r>
          </w:p>
        </w:tc>
        <w:tc>
          <w:tcPr>
            <w:tcW w:w="718" w:type="pct"/>
            <w:noWrap/>
            <w:vAlign w:val="center"/>
            <w:hideMark/>
          </w:tcPr>
          <w:p w14:paraId="7249E2E5" w14:textId="7F448D26" w:rsidR="00E05038" w:rsidRPr="00D4398B" w:rsidRDefault="00E05038" w:rsidP="00E05038">
            <w:pPr>
              <w:jc w:val="right"/>
              <w:rPr>
                <w:rFonts w:ascii="Arial" w:hAnsi="Arial" w:cs="Arial"/>
                <w:b/>
                <w:bCs/>
                <w:color w:val="000000"/>
                <w:sz w:val="18"/>
                <w:szCs w:val="18"/>
              </w:rPr>
            </w:pPr>
            <w:r w:rsidRPr="00D4398B">
              <w:rPr>
                <w:rFonts w:ascii="Arial" w:hAnsi="Arial" w:cs="Arial"/>
                <w:b/>
                <w:bCs/>
                <w:color w:val="000000"/>
                <w:sz w:val="18"/>
                <w:szCs w:val="18"/>
              </w:rPr>
              <w:t xml:space="preserve">        9.095 </w:t>
            </w:r>
          </w:p>
        </w:tc>
        <w:tc>
          <w:tcPr>
            <w:tcW w:w="924" w:type="pct"/>
            <w:noWrap/>
            <w:vAlign w:val="center"/>
            <w:hideMark/>
          </w:tcPr>
          <w:p w14:paraId="17926301" w14:textId="77777777" w:rsidR="00E05038" w:rsidRDefault="00E05038" w:rsidP="00E05038">
            <w:pPr>
              <w:jc w:val="right"/>
              <w:rPr>
                <w:rFonts w:ascii="Arial" w:hAnsi="Arial" w:cs="Arial"/>
                <w:b/>
                <w:bCs/>
                <w:color w:val="000000"/>
                <w:sz w:val="18"/>
                <w:szCs w:val="18"/>
              </w:rPr>
            </w:pPr>
            <w:r w:rsidRPr="00D4398B">
              <w:rPr>
                <w:rFonts w:ascii="Arial" w:hAnsi="Arial" w:cs="Arial"/>
                <w:b/>
                <w:bCs/>
                <w:color w:val="000000"/>
                <w:sz w:val="18"/>
                <w:szCs w:val="18"/>
              </w:rPr>
              <w:t xml:space="preserve">              78.290</w:t>
            </w:r>
            <w:r>
              <w:rPr>
                <w:rFonts w:ascii="Arial" w:hAnsi="Arial" w:cs="Arial"/>
                <w:b/>
                <w:bCs/>
                <w:color w:val="000000"/>
                <w:sz w:val="18"/>
                <w:szCs w:val="18"/>
              </w:rPr>
              <w:t xml:space="preserve"> </w:t>
            </w:r>
          </w:p>
        </w:tc>
      </w:tr>
    </w:tbl>
    <w:p w14:paraId="66FDACB4" w14:textId="77777777" w:rsidR="00546726" w:rsidRDefault="00546726" w:rsidP="00C03136">
      <w:pPr>
        <w:rPr>
          <w:sz w:val="16"/>
          <w:szCs w:val="16"/>
        </w:rPr>
      </w:pPr>
    </w:p>
    <w:p w14:paraId="23EA8987" w14:textId="1E5522B0" w:rsidR="00DF2DD4" w:rsidRDefault="00F25BC6" w:rsidP="00DF2DD4">
      <w:pPr>
        <w:spacing w:line="276" w:lineRule="auto"/>
        <w:jc w:val="both"/>
        <w:rPr>
          <w:rFonts w:ascii="Arial" w:hAnsi="Arial" w:cs="Arial"/>
          <w:sz w:val="22"/>
          <w:szCs w:val="22"/>
        </w:rPr>
      </w:pPr>
      <w:r>
        <w:rPr>
          <w:rFonts w:ascii="Arial" w:hAnsi="Arial" w:cs="Arial"/>
          <w:b/>
          <w:sz w:val="22"/>
          <w:szCs w:val="22"/>
        </w:rPr>
        <w:t>i</w:t>
      </w:r>
      <w:r w:rsidR="00CB0FAB" w:rsidRPr="00D919CE">
        <w:rPr>
          <w:rFonts w:ascii="Arial" w:hAnsi="Arial" w:cs="Arial"/>
          <w:b/>
          <w:sz w:val="22"/>
          <w:szCs w:val="22"/>
        </w:rPr>
        <w:t xml:space="preserve">) </w:t>
      </w:r>
      <w:r w:rsidR="002C1DFC" w:rsidRPr="00D919CE">
        <w:rPr>
          <w:rFonts w:ascii="Arial" w:hAnsi="Arial" w:cs="Arial"/>
          <w:b/>
          <w:sz w:val="22"/>
          <w:szCs w:val="22"/>
        </w:rPr>
        <w:t>Subvenções Orçamentárias Recebidas:</w:t>
      </w:r>
      <w:r w:rsidR="002C1DFC" w:rsidRPr="007F200E">
        <w:rPr>
          <w:rFonts w:ascii="Arial" w:hAnsi="Arial" w:cs="Arial"/>
          <w:sz w:val="22"/>
          <w:szCs w:val="22"/>
        </w:rPr>
        <w:t xml:space="preserve"> </w:t>
      </w:r>
      <w:r w:rsidR="00DF2DD4" w:rsidRPr="00DF2DD4">
        <w:rPr>
          <w:rFonts w:ascii="Arial" w:hAnsi="Arial" w:cs="Arial"/>
          <w:sz w:val="22"/>
          <w:szCs w:val="22"/>
        </w:rPr>
        <w:t xml:space="preserve">A partir de 1º de janeiro de 2020, a Telebras passou a ser classificada como Empresa Estatal Dependente. Em decorrência dessa condição, a Companhia </w:t>
      </w:r>
      <w:r w:rsidR="00DF2DD4" w:rsidRPr="00DF2DD4">
        <w:rPr>
          <w:rFonts w:ascii="Arial" w:hAnsi="Arial" w:cs="Arial"/>
          <w:sz w:val="22"/>
          <w:szCs w:val="22"/>
        </w:rPr>
        <w:lastRenderedPageBreak/>
        <w:t>passou a receber recursos orçamentários da União destinados ao pagamento de gastos com pessoal, demais custeios e investimentos.</w:t>
      </w:r>
    </w:p>
    <w:p w14:paraId="77AAC0EE" w14:textId="77777777" w:rsidR="00DF2DD4" w:rsidRDefault="00DF2DD4" w:rsidP="00DF2DD4">
      <w:pPr>
        <w:spacing w:line="276" w:lineRule="auto"/>
        <w:jc w:val="both"/>
        <w:rPr>
          <w:rFonts w:ascii="Arial" w:hAnsi="Arial" w:cs="Arial"/>
          <w:sz w:val="22"/>
          <w:szCs w:val="22"/>
        </w:rPr>
      </w:pPr>
      <w:r w:rsidRPr="00DF2DD4">
        <w:rPr>
          <w:rFonts w:ascii="Arial" w:hAnsi="Arial" w:cs="Arial"/>
          <w:sz w:val="22"/>
          <w:szCs w:val="22"/>
        </w:rPr>
        <w:t>Os recursos recebidos para pessoal e outros custeios são reconhecidos conforme as diretrizes do CPC 07 – Subvenções e Assistência Governamentais, sendo apropriados ao resultado de acordo com a realização das despesas correspondentes.</w:t>
      </w:r>
    </w:p>
    <w:p w14:paraId="4F0889E6" w14:textId="77777777" w:rsidR="00DF2DD4" w:rsidRPr="00DF2DD4" w:rsidRDefault="00DF2DD4" w:rsidP="00DF2DD4">
      <w:pPr>
        <w:spacing w:line="276" w:lineRule="auto"/>
        <w:jc w:val="both"/>
        <w:rPr>
          <w:rFonts w:ascii="Arial" w:hAnsi="Arial" w:cs="Arial"/>
          <w:sz w:val="22"/>
          <w:szCs w:val="22"/>
        </w:rPr>
      </w:pPr>
    </w:p>
    <w:p w14:paraId="6CB84FD6" w14:textId="77777777" w:rsidR="00DF2DD4" w:rsidRDefault="00DF2DD4" w:rsidP="00DF2DD4">
      <w:pPr>
        <w:spacing w:line="276" w:lineRule="auto"/>
        <w:jc w:val="both"/>
        <w:rPr>
          <w:rFonts w:ascii="Arial" w:hAnsi="Arial" w:cs="Arial"/>
          <w:sz w:val="22"/>
          <w:szCs w:val="22"/>
        </w:rPr>
      </w:pPr>
      <w:r w:rsidRPr="00DF2DD4">
        <w:rPr>
          <w:rFonts w:ascii="Arial" w:hAnsi="Arial" w:cs="Arial"/>
          <w:sz w:val="22"/>
          <w:szCs w:val="22"/>
        </w:rPr>
        <w:t>Já os recursos destinados a investimentos — aplicados em Ativo Imobilizado e Ativo Intangível — são registrados contabilmente como Adiantamento para Futuro Aumento de Capital (AFAC), até sua efetiva integralização.</w:t>
      </w:r>
    </w:p>
    <w:p w14:paraId="7A335ABC" w14:textId="77777777" w:rsidR="00D4398B" w:rsidRDefault="00D4398B" w:rsidP="00DF2DD4">
      <w:pPr>
        <w:spacing w:line="276" w:lineRule="auto"/>
        <w:jc w:val="both"/>
        <w:rPr>
          <w:rFonts w:ascii="Arial" w:hAnsi="Arial" w:cs="Arial"/>
          <w:sz w:val="22"/>
          <w:szCs w:val="22"/>
        </w:rPr>
      </w:pPr>
    </w:p>
    <w:p w14:paraId="1F2CCFBE" w14:textId="75806EE2" w:rsidR="00D4398B" w:rsidRPr="008A30E7" w:rsidRDefault="00D4398B" w:rsidP="00D4398B">
      <w:pPr>
        <w:spacing w:after="160" w:line="276" w:lineRule="auto"/>
        <w:jc w:val="both"/>
        <w:rPr>
          <w:rFonts w:ascii="Arial" w:hAnsi="Arial" w:cs="Arial"/>
          <w:sz w:val="22"/>
          <w:szCs w:val="22"/>
        </w:rPr>
      </w:pPr>
      <w:r w:rsidRPr="008A30E7">
        <w:rPr>
          <w:rFonts w:ascii="Arial" w:hAnsi="Arial" w:cs="Arial"/>
          <w:sz w:val="22"/>
          <w:szCs w:val="22"/>
        </w:rPr>
        <w:t xml:space="preserve">Em 05 de setembro de 2025, a Telebras celebrou Contrato de Gestão com seu órgão supervisor, </w:t>
      </w:r>
      <w:r w:rsidR="00527BD5">
        <w:rPr>
          <w:rFonts w:ascii="Arial" w:hAnsi="Arial" w:cs="Arial"/>
          <w:sz w:val="22"/>
          <w:szCs w:val="22"/>
        </w:rPr>
        <w:t>e passou a receber recursos para o pagamento de obrigações, custos e despesas objeto do contrato. (Nota explicativa1.4)</w:t>
      </w:r>
    </w:p>
    <w:p w14:paraId="75DBBBCD" w14:textId="7645C3DD" w:rsidR="00DF2DD4" w:rsidRPr="00DF2DD4" w:rsidRDefault="00DF2DD4" w:rsidP="00DF2DD4">
      <w:pPr>
        <w:spacing w:line="276" w:lineRule="auto"/>
        <w:jc w:val="both"/>
        <w:rPr>
          <w:rFonts w:ascii="Arial" w:hAnsi="Arial" w:cs="Arial"/>
          <w:sz w:val="22"/>
          <w:szCs w:val="22"/>
        </w:rPr>
      </w:pPr>
      <w:r w:rsidRPr="00DF2DD4">
        <w:rPr>
          <w:rFonts w:ascii="Arial" w:hAnsi="Arial" w:cs="Arial"/>
          <w:sz w:val="22"/>
          <w:szCs w:val="22"/>
        </w:rPr>
        <w:t>Os montantes reconhecidos no resultado da Companhia no</w:t>
      </w:r>
      <w:r w:rsidR="00527BD5">
        <w:rPr>
          <w:rFonts w:ascii="Arial" w:hAnsi="Arial" w:cs="Arial"/>
          <w:sz w:val="22"/>
          <w:szCs w:val="22"/>
        </w:rPr>
        <w:t xml:space="preserve"> primeiro trimestre de 2026 e</w:t>
      </w:r>
      <w:r w:rsidRPr="00DF2DD4">
        <w:rPr>
          <w:rFonts w:ascii="Arial" w:hAnsi="Arial" w:cs="Arial"/>
          <w:sz w:val="22"/>
          <w:szCs w:val="22"/>
        </w:rPr>
        <w:t xml:space="preserve"> 202</w:t>
      </w:r>
      <w:r w:rsidR="00527BD5">
        <w:rPr>
          <w:rFonts w:ascii="Arial" w:hAnsi="Arial" w:cs="Arial"/>
          <w:sz w:val="22"/>
          <w:szCs w:val="22"/>
        </w:rPr>
        <w:t>5</w:t>
      </w:r>
      <w:r w:rsidRPr="00DF2DD4">
        <w:rPr>
          <w:rFonts w:ascii="Arial" w:hAnsi="Arial" w:cs="Arial"/>
          <w:sz w:val="22"/>
          <w:szCs w:val="22"/>
        </w:rPr>
        <w:t xml:space="preserve"> foram destinados conforme apresentado no quadro a seguir:</w:t>
      </w:r>
    </w:p>
    <w:p w14:paraId="5BF10838" w14:textId="77777777" w:rsidR="00F46D9C" w:rsidRDefault="00F46D9C" w:rsidP="002B0A0E">
      <w:pPr>
        <w:spacing w:line="276" w:lineRule="auto"/>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7"/>
        <w:gridCol w:w="1946"/>
        <w:gridCol w:w="2478"/>
      </w:tblGrid>
      <w:tr w:rsidR="008841E0" w:rsidRPr="00527BD5" w14:paraId="6BBE9853" w14:textId="77777777" w:rsidTr="008841E0">
        <w:trPr>
          <w:trHeight w:val="232"/>
        </w:trPr>
        <w:tc>
          <w:tcPr>
            <w:tcW w:w="2736" w:type="pct"/>
            <w:shd w:val="clear" w:color="000000" w:fill="D9D9D9"/>
            <w:noWrap/>
            <w:vAlign w:val="center"/>
            <w:hideMark/>
          </w:tcPr>
          <w:p w14:paraId="4BF81094" w14:textId="77777777" w:rsidR="008841E0" w:rsidRPr="00527BD5" w:rsidRDefault="008841E0">
            <w:pPr>
              <w:rPr>
                <w:rFonts w:ascii="Arial" w:hAnsi="Arial" w:cs="Arial"/>
                <w:b/>
                <w:bCs/>
                <w:color w:val="000000"/>
                <w:sz w:val="18"/>
                <w:szCs w:val="18"/>
              </w:rPr>
            </w:pPr>
            <w:r w:rsidRPr="00527BD5">
              <w:rPr>
                <w:rFonts w:ascii="Arial" w:hAnsi="Arial" w:cs="Arial"/>
                <w:b/>
                <w:bCs/>
                <w:color w:val="000000"/>
                <w:sz w:val="18"/>
                <w:szCs w:val="18"/>
              </w:rPr>
              <w:t>Destinação:</w:t>
            </w:r>
          </w:p>
        </w:tc>
        <w:tc>
          <w:tcPr>
            <w:tcW w:w="996" w:type="pct"/>
            <w:noWrap/>
            <w:vAlign w:val="center"/>
            <w:hideMark/>
          </w:tcPr>
          <w:p w14:paraId="06A0E000" w14:textId="77777777" w:rsidR="008841E0" w:rsidRPr="00527BD5" w:rsidRDefault="008841E0">
            <w:pPr>
              <w:jc w:val="center"/>
              <w:rPr>
                <w:rFonts w:ascii="Arial" w:hAnsi="Arial" w:cs="Arial"/>
                <w:b/>
                <w:bCs/>
                <w:color w:val="000000"/>
                <w:sz w:val="18"/>
                <w:szCs w:val="18"/>
              </w:rPr>
            </w:pPr>
            <w:r w:rsidRPr="00527BD5">
              <w:rPr>
                <w:rFonts w:ascii="Arial" w:hAnsi="Arial" w:cs="Arial"/>
                <w:b/>
                <w:bCs/>
                <w:color w:val="000000"/>
                <w:sz w:val="18"/>
                <w:szCs w:val="18"/>
              </w:rPr>
              <w:t>31/03/2026</w:t>
            </w:r>
          </w:p>
        </w:tc>
        <w:tc>
          <w:tcPr>
            <w:tcW w:w="1268" w:type="pct"/>
            <w:noWrap/>
            <w:vAlign w:val="center"/>
            <w:hideMark/>
          </w:tcPr>
          <w:p w14:paraId="64BE187E" w14:textId="77777777" w:rsidR="008841E0" w:rsidRPr="00527BD5" w:rsidRDefault="008841E0">
            <w:pPr>
              <w:jc w:val="center"/>
              <w:rPr>
                <w:rFonts w:ascii="Arial" w:hAnsi="Arial" w:cs="Arial"/>
                <w:b/>
                <w:bCs/>
                <w:color w:val="000000"/>
                <w:sz w:val="18"/>
                <w:szCs w:val="18"/>
              </w:rPr>
            </w:pPr>
            <w:r w:rsidRPr="00527BD5">
              <w:rPr>
                <w:rFonts w:ascii="Arial" w:hAnsi="Arial" w:cs="Arial"/>
                <w:b/>
                <w:bCs/>
                <w:color w:val="000000"/>
                <w:sz w:val="18"/>
                <w:szCs w:val="18"/>
              </w:rPr>
              <w:t>31/03/2025</w:t>
            </w:r>
          </w:p>
        </w:tc>
      </w:tr>
      <w:tr w:rsidR="008841E0" w:rsidRPr="00527BD5" w14:paraId="615117D4" w14:textId="77777777" w:rsidTr="008841E0">
        <w:trPr>
          <w:trHeight w:val="232"/>
        </w:trPr>
        <w:tc>
          <w:tcPr>
            <w:tcW w:w="2736" w:type="pct"/>
            <w:noWrap/>
            <w:vAlign w:val="center"/>
            <w:hideMark/>
          </w:tcPr>
          <w:p w14:paraId="09E6A057" w14:textId="77777777" w:rsidR="008841E0" w:rsidRPr="00527BD5" w:rsidRDefault="008841E0">
            <w:pPr>
              <w:rPr>
                <w:rFonts w:ascii="Arial" w:hAnsi="Arial" w:cs="Arial"/>
                <w:color w:val="000000"/>
                <w:sz w:val="18"/>
                <w:szCs w:val="18"/>
              </w:rPr>
            </w:pPr>
            <w:r w:rsidRPr="00527BD5">
              <w:rPr>
                <w:rFonts w:ascii="Arial" w:hAnsi="Arial" w:cs="Arial"/>
                <w:color w:val="000000"/>
                <w:sz w:val="18"/>
                <w:szCs w:val="18"/>
              </w:rPr>
              <w:t>Pessoal</w:t>
            </w:r>
          </w:p>
        </w:tc>
        <w:tc>
          <w:tcPr>
            <w:tcW w:w="996" w:type="pct"/>
            <w:noWrap/>
            <w:vAlign w:val="center"/>
            <w:hideMark/>
          </w:tcPr>
          <w:p w14:paraId="6FA1EA91" w14:textId="77777777" w:rsidR="008841E0" w:rsidRPr="00527BD5" w:rsidRDefault="008841E0">
            <w:pPr>
              <w:jc w:val="right"/>
              <w:rPr>
                <w:rFonts w:ascii="Arial" w:hAnsi="Arial" w:cs="Arial"/>
                <w:color w:val="000000"/>
                <w:sz w:val="18"/>
                <w:szCs w:val="18"/>
              </w:rPr>
            </w:pPr>
            <w:r w:rsidRPr="00527BD5">
              <w:rPr>
                <w:rFonts w:ascii="Arial" w:hAnsi="Arial" w:cs="Arial"/>
                <w:color w:val="000000"/>
                <w:sz w:val="18"/>
                <w:szCs w:val="18"/>
              </w:rPr>
              <w:t xml:space="preserve">                  - </w:t>
            </w:r>
          </w:p>
        </w:tc>
        <w:tc>
          <w:tcPr>
            <w:tcW w:w="1268" w:type="pct"/>
            <w:noWrap/>
            <w:vAlign w:val="center"/>
            <w:hideMark/>
          </w:tcPr>
          <w:p w14:paraId="31B0A906" w14:textId="77777777" w:rsidR="008841E0" w:rsidRPr="00527BD5" w:rsidRDefault="008841E0">
            <w:pPr>
              <w:jc w:val="right"/>
              <w:rPr>
                <w:rFonts w:ascii="Arial" w:hAnsi="Arial" w:cs="Arial"/>
                <w:color w:val="000000"/>
                <w:sz w:val="18"/>
                <w:szCs w:val="18"/>
              </w:rPr>
            </w:pPr>
            <w:r w:rsidRPr="00527BD5">
              <w:rPr>
                <w:rFonts w:ascii="Arial" w:hAnsi="Arial" w:cs="Arial"/>
                <w:color w:val="000000"/>
                <w:sz w:val="18"/>
                <w:szCs w:val="18"/>
              </w:rPr>
              <w:t xml:space="preserve">              27.025 </w:t>
            </w:r>
          </w:p>
        </w:tc>
      </w:tr>
      <w:tr w:rsidR="008841E0" w:rsidRPr="00527BD5" w14:paraId="460759B5" w14:textId="77777777" w:rsidTr="008841E0">
        <w:trPr>
          <w:trHeight w:val="232"/>
        </w:trPr>
        <w:tc>
          <w:tcPr>
            <w:tcW w:w="2736" w:type="pct"/>
            <w:noWrap/>
            <w:vAlign w:val="center"/>
            <w:hideMark/>
          </w:tcPr>
          <w:p w14:paraId="7F0C193F" w14:textId="77777777" w:rsidR="008841E0" w:rsidRPr="00527BD5" w:rsidRDefault="008841E0">
            <w:pPr>
              <w:rPr>
                <w:rFonts w:ascii="Arial" w:hAnsi="Arial" w:cs="Arial"/>
                <w:color w:val="000000"/>
                <w:sz w:val="18"/>
                <w:szCs w:val="18"/>
              </w:rPr>
            </w:pPr>
            <w:r w:rsidRPr="00527BD5">
              <w:rPr>
                <w:rFonts w:ascii="Arial" w:hAnsi="Arial" w:cs="Arial"/>
                <w:color w:val="000000"/>
                <w:sz w:val="18"/>
                <w:szCs w:val="18"/>
              </w:rPr>
              <w:t xml:space="preserve">Outros Custeios </w:t>
            </w:r>
          </w:p>
        </w:tc>
        <w:tc>
          <w:tcPr>
            <w:tcW w:w="996" w:type="pct"/>
            <w:noWrap/>
            <w:vAlign w:val="center"/>
            <w:hideMark/>
          </w:tcPr>
          <w:p w14:paraId="0E31820C" w14:textId="77777777" w:rsidR="008841E0" w:rsidRPr="00527BD5" w:rsidRDefault="008841E0">
            <w:pPr>
              <w:jc w:val="right"/>
              <w:rPr>
                <w:rFonts w:ascii="Arial" w:hAnsi="Arial" w:cs="Arial"/>
                <w:color w:val="000000"/>
                <w:sz w:val="18"/>
                <w:szCs w:val="18"/>
              </w:rPr>
            </w:pPr>
            <w:r w:rsidRPr="00527BD5">
              <w:rPr>
                <w:rFonts w:ascii="Arial" w:hAnsi="Arial" w:cs="Arial"/>
                <w:color w:val="000000"/>
                <w:sz w:val="18"/>
                <w:szCs w:val="18"/>
              </w:rPr>
              <w:t xml:space="preserve">                  - </w:t>
            </w:r>
          </w:p>
        </w:tc>
        <w:tc>
          <w:tcPr>
            <w:tcW w:w="1268" w:type="pct"/>
            <w:noWrap/>
            <w:vAlign w:val="center"/>
            <w:hideMark/>
          </w:tcPr>
          <w:p w14:paraId="1C56B917" w14:textId="77777777" w:rsidR="008841E0" w:rsidRPr="00527BD5" w:rsidRDefault="008841E0">
            <w:pPr>
              <w:jc w:val="right"/>
              <w:rPr>
                <w:rFonts w:ascii="Arial" w:hAnsi="Arial" w:cs="Arial"/>
                <w:color w:val="000000"/>
                <w:sz w:val="18"/>
                <w:szCs w:val="18"/>
              </w:rPr>
            </w:pPr>
            <w:r w:rsidRPr="00527BD5">
              <w:rPr>
                <w:rFonts w:ascii="Arial" w:hAnsi="Arial" w:cs="Arial"/>
                <w:color w:val="000000"/>
                <w:sz w:val="18"/>
                <w:szCs w:val="18"/>
              </w:rPr>
              <w:t xml:space="preserve">              50.550 </w:t>
            </w:r>
          </w:p>
        </w:tc>
      </w:tr>
      <w:tr w:rsidR="008841E0" w:rsidRPr="00527BD5" w14:paraId="1B948B0F" w14:textId="77777777" w:rsidTr="008841E0">
        <w:trPr>
          <w:trHeight w:val="232"/>
        </w:trPr>
        <w:tc>
          <w:tcPr>
            <w:tcW w:w="2736" w:type="pct"/>
            <w:noWrap/>
            <w:vAlign w:val="center"/>
            <w:hideMark/>
          </w:tcPr>
          <w:p w14:paraId="230950FE" w14:textId="1DF44E99" w:rsidR="008841E0" w:rsidRPr="00527BD5" w:rsidRDefault="008841E0">
            <w:pPr>
              <w:rPr>
                <w:rFonts w:ascii="Arial" w:hAnsi="Arial" w:cs="Arial"/>
                <w:color w:val="000000"/>
                <w:sz w:val="18"/>
                <w:szCs w:val="18"/>
              </w:rPr>
            </w:pPr>
            <w:r w:rsidRPr="00527BD5">
              <w:rPr>
                <w:rFonts w:ascii="Arial" w:hAnsi="Arial" w:cs="Arial"/>
                <w:color w:val="000000"/>
                <w:sz w:val="18"/>
                <w:szCs w:val="18"/>
              </w:rPr>
              <w:t>Contrato de Gestão</w:t>
            </w:r>
            <w:r w:rsidR="00527BD5" w:rsidRPr="00527BD5">
              <w:rPr>
                <w:rFonts w:ascii="Arial" w:hAnsi="Arial" w:cs="Arial"/>
                <w:color w:val="000000"/>
                <w:sz w:val="18"/>
                <w:szCs w:val="18"/>
              </w:rPr>
              <w:t xml:space="preserve"> (Pagamentos de Obrigações)</w:t>
            </w:r>
          </w:p>
        </w:tc>
        <w:tc>
          <w:tcPr>
            <w:tcW w:w="996" w:type="pct"/>
            <w:noWrap/>
            <w:vAlign w:val="center"/>
            <w:hideMark/>
          </w:tcPr>
          <w:p w14:paraId="3774EAC1" w14:textId="77777777" w:rsidR="008841E0" w:rsidRPr="00527BD5" w:rsidRDefault="008841E0">
            <w:pPr>
              <w:jc w:val="right"/>
              <w:rPr>
                <w:rFonts w:ascii="Arial" w:hAnsi="Arial" w:cs="Arial"/>
                <w:color w:val="000000"/>
                <w:sz w:val="18"/>
                <w:szCs w:val="18"/>
              </w:rPr>
            </w:pPr>
            <w:r w:rsidRPr="00527BD5">
              <w:rPr>
                <w:rFonts w:ascii="Arial" w:hAnsi="Arial" w:cs="Arial"/>
                <w:color w:val="000000"/>
                <w:sz w:val="18"/>
                <w:szCs w:val="18"/>
              </w:rPr>
              <w:t xml:space="preserve">          7.179 </w:t>
            </w:r>
          </w:p>
        </w:tc>
        <w:tc>
          <w:tcPr>
            <w:tcW w:w="1268" w:type="pct"/>
            <w:noWrap/>
            <w:vAlign w:val="center"/>
            <w:hideMark/>
          </w:tcPr>
          <w:p w14:paraId="1B5EB6B9" w14:textId="77777777" w:rsidR="008841E0" w:rsidRPr="00527BD5" w:rsidRDefault="008841E0">
            <w:pPr>
              <w:jc w:val="right"/>
              <w:rPr>
                <w:rFonts w:ascii="Arial" w:hAnsi="Arial" w:cs="Arial"/>
                <w:color w:val="000000"/>
                <w:sz w:val="18"/>
                <w:szCs w:val="18"/>
              </w:rPr>
            </w:pPr>
            <w:r w:rsidRPr="00527BD5">
              <w:rPr>
                <w:rFonts w:ascii="Arial" w:hAnsi="Arial" w:cs="Arial"/>
                <w:color w:val="000000"/>
                <w:sz w:val="18"/>
                <w:szCs w:val="18"/>
              </w:rPr>
              <w:t xml:space="preserve">                        - </w:t>
            </w:r>
          </w:p>
        </w:tc>
      </w:tr>
      <w:tr w:rsidR="008841E0" w14:paraId="1EEA256B" w14:textId="77777777" w:rsidTr="008841E0">
        <w:trPr>
          <w:trHeight w:val="232"/>
        </w:trPr>
        <w:tc>
          <w:tcPr>
            <w:tcW w:w="2736" w:type="pct"/>
            <w:noWrap/>
            <w:vAlign w:val="center"/>
            <w:hideMark/>
          </w:tcPr>
          <w:p w14:paraId="2CA78C9A" w14:textId="77777777" w:rsidR="008841E0" w:rsidRPr="00527BD5" w:rsidRDefault="008841E0">
            <w:pPr>
              <w:rPr>
                <w:rFonts w:ascii="Arial" w:hAnsi="Arial" w:cs="Arial"/>
                <w:b/>
                <w:bCs/>
                <w:color w:val="000000"/>
                <w:sz w:val="18"/>
                <w:szCs w:val="18"/>
              </w:rPr>
            </w:pPr>
            <w:r w:rsidRPr="00527BD5">
              <w:rPr>
                <w:rFonts w:ascii="Arial" w:hAnsi="Arial" w:cs="Arial"/>
                <w:b/>
                <w:bCs/>
                <w:color w:val="000000"/>
                <w:sz w:val="18"/>
                <w:szCs w:val="18"/>
              </w:rPr>
              <w:t>Total</w:t>
            </w:r>
          </w:p>
        </w:tc>
        <w:tc>
          <w:tcPr>
            <w:tcW w:w="996" w:type="pct"/>
            <w:noWrap/>
            <w:vAlign w:val="center"/>
            <w:hideMark/>
          </w:tcPr>
          <w:p w14:paraId="32C9B4BB" w14:textId="77777777" w:rsidR="008841E0" w:rsidRPr="00527BD5" w:rsidRDefault="008841E0">
            <w:pPr>
              <w:jc w:val="right"/>
              <w:rPr>
                <w:rFonts w:ascii="Arial" w:hAnsi="Arial" w:cs="Arial"/>
                <w:b/>
                <w:bCs/>
                <w:color w:val="000000"/>
                <w:sz w:val="18"/>
                <w:szCs w:val="18"/>
              </w:rPr>
            </w:pPr>
            <w:r w:rsidRPr="00527BD5">
              <w:rPr>
                <w:rFonts w:ascii="Arial" w:hAnsi="Arial" w:cs="Arial"/>
                <w:b/>
                <w:bCs/>
                <w:color w:val="000000"/>
                <w:sz w:val="18"/>
                <w:szCs w:val="18"/>
              </w:rPr>
              <w:t xml:space="preserve">          7.179 </w:t>
            </w:r>
          </w:p>
        </w:tc>
        <w:tc>
          <w:tcPr>
            <w:tcW w:w="1268" w:type="pct"/>
            <w:noWrap/>
            <w:vAlign w:val="center"/>
            <w:hideMark/>
          </w:tcPr>
          <w:p w14:paraId="7F273A07" w14:textId="77777777" w:rsidR="008841E0" w:rsidRDefault="008841E0">
            <w:pPr>
              <w:jc w:val="right"/>
              <w:rPr>
                <w:rFonts w:ascii="Arial" w:hAnsi="Arial" w:cs="Arial"/>
                <w:b/>
                <w:bCs/>
                <w:color w:val="000000"/>
                <w:sz w:val="18"/>
                <w:szCs w:val="18"/>
              </w:rPr>
            </w:pPr>
            <w:r w:rsidRPr="00527BD5">
              <w:rPr>
                <w:rFonts w:ascii="Arial" w:hAnsi="Arial" w:cs="Arial"/>
                <w:b/>
                <w:bCs/>
                <w:color w:val="000000"/>
                <w:sz w:val="18"/>
                <w:szCs w:val="18"/>
              </w:rPr>
              <w:t xml:space="preserve">              77.575</w:t>
            </w:r>
            <w:r>
              <w:rPr>
                <w:rFonts w:ascii="Arial" w:hAnsi="Arial" w:cs="Arial"/>
                <w:b/>
                <w:bCs/>
                <w:color w:val="000000"/>
                <w:sz w:val="18"/>
                <w:szCs w:val="18"/>
              </w:rPr>
              <w:t xml:space="preserve"> </w:t>
            </w:r>
          </w:p>
        </w:tc>
      </w:tr>
    </w:tbl>
    <w:p w14:paraId="343BE786" w14:textId="77777777" w:rsidR="008841E0" w:rsidRDefault="008841E0" w:rsidP="002B0A0E">
      <w:pPr>
        <w:spacing w:line="276" w:lineRule="auto"/>
        <w:jc w:val="both"/>
        <w:rPr>
          <w:rFonts w:ascii="Arial" w:hAnsi="Arial" w:cs="Arial"/>
          <w:sz w:val="14"/>
          <w:szCs w:val="14"/>
        </w:rPr>
      </w:pPr>
    </w:p>
    <w:p w14:paraId="03A03B2D" w14:textId="084B3DA5" w:rsidR="008776B8" w:rsidRDefault="008776B8" w:rsidP="009541E1">
      <w:pPr>
        <w:pStyle w:val="Ttulo2"/>
        <w:numPr>
          <w:ilvl w:val="0"/>
          <w:numId w:val="7"/>
        </w:numPr>
        <w:tabs>
          <w:tab w:val="clear" w:pos="284"/>
          <w:tab w:val="clear" w:pos="340"/>
        </w:tabs>
        <w:spacing w:before="0" w:after="0"/>
        <w:ind w:left="851" w:hanging="851"/>
        <w:jc w:val="both"/>
        <w:rPr>
          <w:rFonts w:ascii="Arial" w:hAnsi="Arial" w:cs="Arial"/>
        </w:rPr>
      </w:pPr>
      <w:bookmarkStart w:id="63" w:name="_Toc491337773"/>
      <w:r w:rsidRPr="000152BE">
        <w:rPr>
          <w:rFonts w:ascii="Arial" w:hAnsi="Arial" w:cs="Arial"/>
        </w:rPr>
        <w:t>RESULTADO FINANCEIRO</w:t>
      </w:r>
      <w:bookmarkEnd w:id="63"/>
    </w:p>
    <w:p w14:paraId="2E28987D" w14:textId="76DB5430" w:rsidR="00EE508B" w:rsidRDefault="00EE508B" w:rsidP="00CD26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48"/>
        <w:gridCol w:w="1419"/>
        <w:gridCol w:w="1804"/>
      </w:tblGrid>
      <w:tr w:rsidR="00666764" w:rsidRPr="00666764" w14:paraId="3F7BD449" w14:textId="77777777" w:rsidTr="00666764">
        <w:trPr>
          <w:trHeight w:val="232"/>
          <w:tblHeader/>
        </w:trPr>
        <w:tc>
          <w:tcPr>
            <w:tcW w:w="3351" w:type="pct"/>
            <w:shd w:val="clear" w:color="000000" w:fill="D9D9D9"/>
            <w:noWrap/>
            <w:vAlign w:val="center"/>
            <w:hideMark/>
          </w:tcPr>
          <w:p w14:paraId="449B45E9" w14:textId="77777777" w:rsidR="00666764" w:rsidRPr="001B0508" w:rsidRDefault="00666764">
            <w:pPr>
              <w:rPr>
                <w:rFonts w:ascii="Arial" w:hAnsi="Arial" w:cs="Arial"/>
                <w:b/>
                <w:bCs/>
                <w:color w:val="000000"/>
                <w:sz w:val="18"/>
                <w:szCs w:val="18"/>
              </w:rPr>
            </w:pPr>
            <w:r w:rsidRPr="001B0508">
              <w:rPr>
                <w:rFonts w:ascii="Arial" w:hAnsi="Arial" w:cs="Arial"/>
                <w:b/>
                <w:bCs/>
                <w:color w:val="000000"/>
                <w:sz w:val="18"/>
                <w:szCs w:val="18"/>
              </w:rPr>
              <w:t>Composição:</w:t>
            </w:r>
          </w:p>
        </w:tc>
        <w:tc>
          <w:tcPr>
            <w:tcW w:w="726" w:type="pct"/>
            <w:noWrap/>
            <w:vAlign w:val="center"/>
            <w:hideMark/>
          </w:tcPr>
          <w:p w14:paraId="13D5E11A" w14:textId="77777777" w:rsidR="00666764" w:rsidRPr="001B0508" w:rsidRDefault="00666764">
            <w:pPr>
              <w:jc w:val="right"/>
              <w:rPr>
                <w:rFonts w:ascii="Arial" w:hAnsi="Arial" w:cs="Arial"/>
                <w:b/>
                <w:bCs/>
                <w:color w:val="000000"/>
                <w:sz w:val="18"/>
                <w:szCs w:val="18"/>
              </w:rPr>
            </w:pPr>
            <w:r w:rsidRPr="001B0508">
              <w:rPr>
                <w:rFonts w:ascii="Arial" w:hAnsi="Arial" w:cs="Arial"/>
                <w:b/>
                <w:bCs/>
                <w:color w:val="000000"/>
                <w:sz w:val="18"/>
                <w:szCs w:val="18"/>
              </w:rPr>
              <w:t>31/03/2026</w:t>
            </w:r>
          </w:p>
        </w:tc>
        <w:tc>
          <w:tcPr>
            <w:tcW w:w="923" w:type="pct"/>
            <w:noWrap/>
            <w:vAlign w:val="center"/>
            <w:hideMark/>
          </w:tcPr>
          <w:p w14:paraId="0F2953AD" w14:textId="77777777" w:rsidR="00666764" w:rsidRPr="001B0508" w:rsidRDefault="00666764">
            <w:pPr>
              <w:jc w:val="right"/>
              <w:rPr>
                <w:rFonts w:ascii="Arial" w:hAnsi="Arial" w:cs="Arial"/>
                <w:b/>
                <w:bCs/>
                <w:color w:val="000000"/>
                <w:sz w:val="18"/>
                <w:szCs w:val="18"/>
              </w:rPr>
            </w:pPr>
            <w:r w:rsidRPr="001B0508">
              <w:rPr>
                <w:rFonts w:ascii="Arial" w:hAnsi="Arial" w:cs="Arial"/>
                <w:b/>
                <w:bCs/>
                <w:color w:val="000000"/>
                <w:sz w:val="18"/>
                <w:szCs w:val="18"/>
              </w:rPr>
              <w:t>31/03/2025</w:t>
            </w:r>
          </w:p>
        </w:tc>
      </w:tr>
      <w:tr w:rsidR="00666764" w:rsidRPr="00666764" w14:paraId="1825F960" w14:textId="77777777" w:rsidTr="00666764">
        <w:trPr>
          <w:trHeight w:val="232"/>
        </w:trPr>
        <w:tc>
          <w:tcPr>
            <w:tcW w:w="3351" w:type="pct"/>
            <w:vAlign w:val="center"/>
            <w:hideMark/>
          </w:tcPr>
          <w:p w14:paraId="0C8BD674" w14:textId="77777777" w:rsidR="00666764" w:rsidRPr="001B0508" w:rsidRDefault="00666764">
            <w:pPr>
              <w:rPr>
                <w:rFonts w:ascii="Arial" w:hAnsi="Arial" w:cs="Arial"/>
                <w:b/>
                <w:bCs/>
                <w:color w:val="000000"/>
                <w:sz w:val="18"/>
                <w:szCs w:val="18"/>
              </w:rPr>
            </w:pPr>
            <w:r w:rsidRPr="001B0508">
              <w:rPr>
                <w:rFonts w:ascii="Arial" w:hAnsi="Arial" w:cs="Arial"/>
                <w:b/>
                <w:bCs/>
                <w:color w:val="000000"/>
                <w:sz w:val="18"/>
                <w:szCs w:val="18"/>
              </w:rPr>
              <w:t>Receitas Financeiras</w:t>
            </w:r>
          </w:p>
        </w:tc>
        <w:tc>
          <w:tcPr>
            <w:tcW w:w="726" w:type="pct"/>
            <w:noWrap/>
            <w:vAlign w:val="center"/>
            <w:hideMark/>
          </w:tcPr>
          <w:p w14:paraId="6BAEE320"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 </w:t>
            </w:r>
          </w:p>
        </w:tc>
        <w:tc>
          <w:tcPr>
            <w:tcW w:w="923" w:type="pct"/>
            <w:noWrap/>
            <w:vAlign w:val="center"/>
            <w:hideMark/>
          </w:tcPr>
          <w:p w14:paraId="2F4C2B4D"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 </w:t>
            </w:r>
          </w:p>
        </w:tc>
      </w:tr>
      <w:tr w:rsidR="00666764" w:rsidRPr="00666764" w14:paraId="21544A05" w14:textId="77777777" w:rsidTr="00666764">
        <w:trPr>
          <w:trHeight w:val="232"/>
        </w:trPr>
        <w:tc>
          <w:tcPr>
            <w:tcW w:w="3351" w:type="pct"/>
            <w:noWrap/>
            <w:vAlign w:val="center"/>
            <w:hideMark/>
          </w:tcPr>
          <w:p w14:paraId="03DC8789"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Juros sobre Disponibilidades – Aplicações Financeiras (i)</w:t>
            </w:r>
          </w:p>
        </w:tc>
        <w:tc>
          <w:tcPr>
            <w:tcW w:w="726" w:type="pct"/>
            <w:noWrap/>
            <w:vAlign w:val="center"/>
            <w:hideMark/>
          </w:tcPr>
          <w:p w14:paraId="3E4833F7"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48.286 </w:t>
            </w:r>
          </w:p>
        </w:tc>
        <w:tc>
          <w:tcPr>
            <w:tcW w:w="923" w:type="pct"/>
            <w:noWrap/>
            <w:vAlign w:val="center"/>
            <w:hideMark/>
          </w:tcPr>
          <w:p w14:paraId="72FE501C"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40.718 </w:t>
            </w:r>
          </w:p>
        </w:tc>
      </w:tr>
      <w:tr w:rsidR="00666764" w:rsidRPr="00666764" w14:paraId="60353EE9" w14:textId="77777777" w:rsidTr="00666764">
        <w:trPr>
          <w:trHeight w:val="232"/>
        </w:trPr>
        <w:tc>
          <w:tcPr>
            <w:tcW w:w="3351" w:type="pct"/>
            <w:noWrap/>
            <w:vAlign w:val="center"/>
            <w:hideMark/>
          </w:tcPr>
          <w:p w14:paraId="39A8616E" w14:textId="5F49E90B" w:rsidR="00666764" w:rsidRPr="001B0508" w:rsidRDefault="00666764">
            <w:pPr>
              <w:rPr>
                <w:rFonts w:ascii="Arial" w:hAnsi="Arial" w:cs="Arial"/>
                <w:color w:val="000000"/>
                <w:sz w:val="18"/>
                <w:szCs w:val="18"/>
              </w:rPr>
            </w:pPr>
            <w:r w:rsidRPr="001B0508">
              <w:rPr>
                <w:rFonts w:ascii="Arial" w:hAnsi="Arial" w:cs="Arial"/>
                <w:color w:val="000000"/>
                <w:sz w:val="18"/>
                <w:szCs w:val="18"/>
              </w:rPr>
              <w:t xml:space="preserve">Juros sobre Superávit de Previdência Privada </w:t>
            </w:r>
            <w:r w:rsidR="009B4679" w:rsidRPr="001B0508">
              <w:rPr>
                <w:rFonts w:ascii="Arial" w:hAnsi="Arial" w:cs="Arial"/>
                <w:color w:val="000000"/>
                <w:sz w:val="18"/>
                <w:szCs w:val="18"/>
              </w:rPr>
              <w:t>(ii)</w:t>
            </w:r>
          </w:p>
        </w:tc>
        <w:tc>
          <w:tcPr>
            <w:tcW w:w="726" w:type="pct"/>
            <w:noWrap/>
            <w:vAlign w:val="center"/>
            <w:hideMark/>
          </w:tcPr>
          <w:p w14:paraId="0BAE9AF8"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5.987 </w:t>
            </w:r>
          </w:p>
        </w:tc>
        <w:tc>
          <w:tcPr>
            <w:tcW w:w="923" w:type="pct"/>
            <w:noWrap/>
            <w:vAlign w:val="center"/>
            <w:hideMark/>
          </w:tcPr>
          <w:p w14:paraId="447BE60C"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6.001 </w:t>
            </w:r>
          </w:p>
        </w:tc>
      </w:tr>
      <w:tr w:rsidR="00666764" w:rsidRPr="00666764" w14:paraId="2F7CBF1A" w14:textId="77777777" w:rsidTr="00666764">
        <w:trPr>
          <w:trHeight w:val="232"/>
        </w:trPr>
        <w:tc>
          <w:tcPr>
            <w:tcW w:w="3351" w:type="pct"/>
            <w:noWrap/>
            <w:vAlign w:val="center"/>
            <w:hideMark/>
          </w:tcPr>
          <w:p w14:paraId="75BB67B4"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Juros sobre Aplicações Financeiras Temporárias</w:t>
            </w:r>
          </w:p>
        </w:tc>
        <w:tc>
          <w:tcPr>
            <w:tcW w:w="726" w:type="pct"/>
            <w:noWrap/>
            <w:vAlign w:val="center"/>
            <w:hideMark/>
          </w:tcPr>
          <w:p w14:paraId="31865648"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1.703 </w:t>
            </w:r>
          </w:p>
        </w:tc>
        <w:tc>
          <w:tcPr>
            <w:tcW w:w="923" w:type="pct"/>
            <w:noWrap/>
            <w:vAlign w:val="center"/>
            <w:hideMark/>
          </w:tcPr>
          <w:p w14:paraId="09A8E598"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2.478 </w:t>
            </w:r>
          </w:p>
        </w:tc>
      </w:tr>
      <w:tr w:rsidR="00666764" w:rsidRPr="00666764" w14:paraId="422AFD97" w14:textId="77777777" w:rsidTr="00666764">
        <w:trPr>
          <w:trHeight w:val="232"/>
        </w:trPr>
        <w:tc>
          <w:tcPr>
            <w:tcW w:w="3351" w:type="pct"/>
            <w:noWrap/>
            <w:vAlign w:val="center"/>
            <w:hideMark/>
          </w:tcPr>
          <w:p w14:paraId="5FBC1BD7"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 xml:space="preserve">Juros/Variação Monetária sobre Tributos </w:t>
            </w:r>
          </w:p>
        </w:tc>
        <w:tc>
          <w:tcPr>
            <w:tcW w:w="726" w:type="pct"/>
            <w:noWrap/>
            <w:vAlign w:val="center"/>
            <w:hideMark/>
          </w:tcPr>
          <w:p w14:paraId="4E84E750"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2.200 </w:t>
            </w:r>
          </w:p>
        </w:tc>
        <w:tc>
          <w:tcPr>
            <w:tcW w:w="923" w:type="pct"/>
            <w:noWrap/>
            <w:vAlign w:val="center"/>
            <w:hideMark/>
          </w:tcPr>
          <w:p w14:paraId="5BAACA98"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2.087 </w:t>
            </w:r>
          </w:p>
        </w:tc>
      </w:tr>
      <w:tr w:rsidR="00666764" w:rsidRPr="00666764" w14:paraId="612F6D01" w14:textId="77777777" w:rsidTr="00666764">
        <w:trPr>
          <w:trHeight w:val="232"/>
        </w:trPr>
        <w:tc>
          <w:tcPr>
            <w:tcW w:w="3351" w:type="pct"/>
            <w:noWrap/>
            <w:vAlign w:val="center"/>
            <w:hideMark/>
          </w:tcPr>
          <w:p w14:paraId="064F5191"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Juros sobre Depósitos Judiciais</w:t>
            </w:r>
          </w:p>
        </w:tc>
        <w:tc>
          <w:tcPr>
            <w:tcW w:w="726" w:type="pct"/>
            <w:noWrap/>
            <w:vAlign w:val="center"/>
            <w:hideMark/>
          </w:tcPr>
          <w:p w14:paraId="2BF8D4A2"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1.171 </w:t>
            </w:r>
          </w:p>
        </w:tc>
        <w:tc>
          <w:tcPr>
            <w:tcW w:w="923" w:type="pct"/>
            <w:noWrap/>
            <w:vAlign w:val="center"/>
            <w:hideMark/>
          </w:tcPr>
          <w:p w14:paraId="04022418"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1.065 </w:t>
            </w:r>
          </w:p>
        </w:tc>
      </w:tr>
      <w:tr w:rsidR="00666764" w:rsidRPr="00666764" w14:paraId="4465D19E" w14:textId="77777777" w:rsidTr="00666764">
        <w:trPr>
          <w:trHeight w:val="232"/>
        </w:trPr>
        <w:tc>
          <w:tcPr>
            <w:tcW w:w="3351" w:type="pct"/>
            <w:noWrap/>
            <w:vAlign w:val="center"/>
            <w:hideMark/>
          </w:tcPr>
          <w:p w14:paraId="7375B9B8"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Juros sobre Contas a Receber</w:t>
            </w:r>
          </w:p>
        </w:tc>
        <w:tc>
          <w:tcPr>
            <w:tcW w:w="726" w:type="pct"/>
            <w:noWrap/>
            <w:vAlign w:val="center"/>
            <w:hideMark/>
          </w:tcPr>
          <w:p w14:paraId="0662B970"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32 </w:t>
            </w:r>
          </w:p>
        </w:tc>
        <w:tc>
          <w:tcPr>
            <w:tcW w:w="923" w:type="pct"/>
            <w:noWrap/>
            <w:vAlign w:val="center"/>
            <w:hideMark/>
          </w:tcPr>
          <w:p w14:paraId="1470BF41"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165 </w:t>
            </w:r>
          </w:p>
        </w:tc>
      </w:tr>
      <w:tr w:rsidR="00666764" w:rsidRPr="00666764" w14:paraId="4B6FF34C" w14:textId="77777777" w:rsidTr="00666764">
        <w:trPr>
          <w:trHeight w:val="232"/>
        </w:trPr>
        <w:tc>
          <w:tcPr>
            <w:tcW w:w="3351" w:type="pct"/>
            <w:noWrap/>
            <w:vAlign w:val="center"/>
            <w:hideMark/>
          </w:tcPr>
          <w:p w14:paraId="11276C4C"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Descontos Financeiros sobre Passivo</w:t>
            </w:r>
          </w:p>
        </w:tc>
        <w:tc>
          <w:tcPr>
            <w:tcW w:w="726" w:type="pct"/>
            <w:noWrap/>
            <w:vAlign w:val="center"/>
            <w:hideMark/>
          </w:tcPr>
          <w:p w14:paraId="3072678B"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172 </w:t>
            </w:r>
          </w:p>
        </w:tc>
        <w:tc>
          <w:tcPr>
            <w:tcW w:w="923" w:type="pct"/>
            <w:noWrap/>
            <w:vAlign w:val="center"/>
            <w:hideMark/>
          </w:tcPr>
          <w:p w14:paraId="2FFB015C"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 </w:t>
            </w:r>
          </w:p>
        </w:tc>
      </w:tr>
      <w:tr w:rsidR="00666764" w:rsidRPr="00666764" w14:paraId="3E0DEF90" w14:textId="77777777" w:rsidTr="00666764">
        <w:trPr>
          <w:trHeight w:val="232"/>
        </w:trPr>
        <w:tc>
          <w:tcPr>
            <w:tcW w:w="3351" w:type="pct"/>
            <w:noWrap/>
            <w:vAlign w:val="center"/>
            <w:hideMark/>
          </w:tcPr>
          <w:p w14:paraId="20D59263"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Outras Receitas Financeiras</w:t>
            </w:r>
          </w:p>
        </w:tc>
        <w:tc>
          <w:tcPr>
            <w:tcW w:w="726" w:type="pct"/>
            <w:noWrap/>
            <w:vAlign w:val="center"/>
            <w:hideMark/>
          </w:tcPr>
          <w:p w14:paraId="3C5DA965"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55 </w:t>
            </w:r>
          </w:p>
        </w:tc>
        <w:tc>
          <w:tcPr>
            <w:tcW w:w="923" w:type="pct"/>
            <w:noWrap/>
            <w:vAlign w:val="center"/>
            <w:hideMark/>
          </w:tcPr>
          <w:p w14:paraId="703861D4"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    </w:t>
            </w:r>
          </w:p>
        </w:tc>
      </w:tr>
      <w:tr w:rsidR="00666764" w:rsidRPr="00666764" w14:paraId="23CFCBF2" w14:textId="77777777" w:rsidTr="00666764">
        <w:trPr>
          <w:trHeight w:val="232"/>
        </w:trPr>
        <w:tc>
          <w:tcPr>
            <w:tcW w:w="3351" w:type="pct"/>
            <w:noWrap/>
            <w:vAlign w:val="center"/>
            <w:hideMark/>
          </w:tcPr>
          <w:p w14:paraId="37AC305E"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Tributos sobre Receitas Financeiras</w:t>
            </w:r>
          </w:p>
        </w:tc>
        <w:tc>
          <w:tcPr>
            <w:tcW w:w="726" w:type="pct"/>
            <w:noWrap/>
            <w:vAlign w:val="center"/>
            <w:hideMark/>
          </w:tcPr>
          <w:p w14:paraId="63C863CF"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(2.717)</w:t>
            </w:r>
          </w:p>
        </w:tc>
        <w:tc>
          <w:tcPr>
            <w:tcW w:w="923" w:type="pct"/>
            <w:noWrap/>
            <w:vAlign w:val="center"/>
            <w:hideMark/>
          </w:tcPr>
          <w:p w14:paraId="19A9D7FD"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(2.393)</w:t>
            </w:r>
          </w:p>
        </w:tc>
      </w:tr>
      <w:tr w:rsidR="00666764" w:rsidRPr="00666764" w14:paraId="37FAFF92" w14:textId="77777777" w:rsidTr="00666764">
        <w:trPr>
          <w:trHeight w:val="232"/>
        </w:trPr>
        <w:tc>
          <w:tcPr>
            <w:tcW w:w="3351" w:type="pct"/>
            <w:noWrap/>
            <w:vAlign w:val="center"/>
            <w:hideMark/>
          </w:tcPr>
          <w:p w14:paraId="75CFBDE1" w14:textId="77777777" w:rsidR="00666764" w:rsidRPr="001B0508" w:rsidRDefault="00666764">
            <w:pPr>
              <w:rPr>
                <w:rFonts w:ascii="Arial" w:hAnsi="Arial" w:cs="Arial"/>
                <w:b/>
                <w:bCs/>
                <w:color w:val="000000"/>
                <w:sz w:val="18"/>
                <w:szCs w:val="18"/>
              </w:rPr>
            </w:pPr>
            <w:r w:rsidRPr="001B0508">
              <w:rPr>
                <w:rFonts w:ascii="Arial" w:hAnsi="Arial" w:cs="Arial"/>
                <w:b/>
                <w:bCs/>
                <w:color w:val="000000"/>
                <w:sz w:val="18"/>
                <w:szCs w:val="18"/>
              </w:rPr>
              <w:t>Subtotal</w:t>
            </w:r>
          </w:p>
        </w:tc>
        <w:tc>
          <w:tcPr>
            <w:tcW w:w="726" w:type="pct"/>
            <w:noWrap/>
            <w:vAlign w:val="center"/>
            <w:hideMark/>
          </w:tcPr>
          <w:p w14:paraId="3DB45F11" w14:textId="77777777" w:rsidR="00666764" w:rsidRPr="001B0508" w:rsidRDefault="00666764">
            <w:pPr>
              <w:jc w:val="right"/>
              <w:rPr>
                <w:rFonts w:ascii="Arial" w:hAnsi="Arial" w:cs="Arial"/>
                <w:b/>
                <w:bCs/>
                <w:color w:val="000000"/>
                <w:sz w:val="18"/>
                <w:szCs w:val="18"/>
              </w:rPr>
            </w:pPr>
            <w:r w:rsidRPr="001B0508">
              <w:rPr>
                <w:rFonts w:ascii="Arial" w:hAnsi="Arial" w:cs="Arial"/>
                <w:b/>
                <w:bCs/>
                <w:color w:val="000000"/>
                <w:sz w:val="18"/>
                <w:szCs w:val="18"/>
              </w:rPr>
              <w:t xml:space="preserve">        56.889 </w:t>
            </w:r>
          </w:p>
        </w:tc>
        <w:tc>
          <w:tcPr>
            <w:tcW w:w="923" w:type="pct"/>
            <w:noWrap/>
            <w:vAlign w:val="center"/>
            <w:hideMark/>
          </w:tcPr>
          <w:p w14:paraId="4BAFF29B" w14:textId="77777777" w:rsidR="00666764" w:rsidRPr="001B0508" w:rsidRDefault="00666764">
            <w:pPr>
              <w:jc w:val="right"/>
              <w:rPr>
                <w:rFonts w:ascii="Arial" w:hAnsi="Arial" w:cs="Arial"/>
                <w:b/>
                <w:bCs/>
                <w:color w:val="000000"/>
                <w:sz w:val="18"/>
                <w:szCs w:val="18"/>
              </w:rPr>
            </w:pPr>
            <w:r w:rsidRPr="001B0508">
              <w:rPr>
                <w:rFonts w:ascii="Arial" w:hAnsi="Arial" w:cs="Arial"/>
                <w:b/>
                <w:bCs/>
                <w:color w:val="000000"/>
                <w:sz w:val="18"/>
                <w:szCs w:val="18"/>
              </w:rPr>
              <w:t xml:space="preserve">              50.121 </w:t>
            </w:r>
          </w:p>
        </w:tc>
      </w:tr>
      <w:tr w:rsidR="00666764" w:rsidRPr="00666764" w14:paraId="362F11BC" w14:textId="77777777" w:rsidTr="00666764">
        <w:trPr>
          <w:trHeight w:val="232"/>
        </w:trPr>
        <w:tc>
          <w:tcPr>
            <w:tcW w:w="3351" w:type="pct"/>
            <w:noWrap/>
            <w:vAlign w:val="center"/>
            <w:hideMark/>
          </w:tcPr>
          <w:p w14:paraId="332B6705" w14:textId="77777777" w:rsidR="00666764" w:rsidRPr="001B0508" w:rsidRDefault="00666764">
            <w:pPr>
              <w:rPr>
                <w:rFonts w:ascii="Arial" w:hAnsi="Arial" w:cs="Arial"/>
                <w:b/>
                <w:bCs/>
                <w:color w:val="000000"/>
                <w:sz w:val="18"/>
                <w:szCs w:val="18"/>
              </w:rPr>
            </w:pPr>
            <w:r w:rsidRPr="001B0508">
              <w:rPr>
                <w:rFonts w:ascii="Arial" w:hAnsi="Arial" w:cs="Arial"/>
                <w:b/>
                <w:bCs/>
                <w:color w:val="000000"/>
                <w:sz w:val="18"/>
                <w:szCs w:val="18"/>
              </w:rPr>
              <w:t>Despesas Financeiras</w:t>
            </w:r>
          </w:p>
        </w:tc>
        <w:tc>
          <w:tcPr>
            <w:tcW w:w="726" w:type="pct"/>
            <w:noWrap/>
            <w:vAlign w:val="center"/>
            <w:hideMark/>
          </w:tcPr>
          <w:p w14:paraId="231C02A2"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w:t>
            </w:r>
          </w:p>
        </w:tc>
        <w:tc>
          <w:tcPr>
            <w:tcW w:w="923" w:type="pct"/>
            <w:noWrap/>
            <w:vAlign w:val="center"/>
            <w:hideMark/>
          </w:tcPr>
          <w:p w14:paraId="049DD633"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w:t>
            </w:r>
          </w:p>
        </w:tc>
      </w:tr>
      <w:tr w:rsidR="00666764" w:rsidRPr="00666764" w14:paraId="2D6FB87C" w14:textId="77777777" w:rsidTr="00666764">
        <w:trPr>
          <w:trHeight w:val="232"/>
        </w:trPr>
        <w:tc>
          <w:tcPr>
            <w:tcW w:w="3351" w:type="pct"/>
            <w:noWrap/>
            <w:vAlign w:val="center"/>
            <w:hideMark/>
          </w:tcPr>
          <w:p w14:paraId="46C81D68"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Juros sobre Adiantamento para Futuro Aumento de Capital(ii)</w:t>
            </w:r>
          </w:p>
        </w:tc>
        <w:tc>
          <w:tcPr>
            <w:tcW w:w="726" w:type="pct"/>
            <w:noWrap/>
            <w:vAlign w:val="center"/>
            <w:hideMark/>
          </w:tcPr>
          <w:p w14:paraId="061CFCE5"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(66.554)</w:t>
            </w:r>
          </w:p>
        </w:tc>
        <w:tc>
          <w:tcPr>
            <w:tcW w:w="923" w:type="pct"/>
            <w:noWrap/>
            <w:vAlign w:val="center"/>
            <w:hideMark/>
          </w:tcPr>
          <w:p w14:paraId="211E9610"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(54.829)</w:t>
            </w:r>
          </w:p>
        </w:tc>
      </w:tr>
      <w:tr w:rsidR="00666764" w:rsidRPr="00666764" w14:paraId="14E24894" w14:textId="77777777" w:rsidTr="00666764">
        <w:trPr>
          <w:trHeight w:val="232"/>
        </w:trPr>
        <w:tc>
          <w:tcPr>
            <w:tcW w:w="3351" w:type="pct"/>
            <w:noWrap/>
            <w:vAlign w:val="center"/>
            <w:hideMark/>
          </w:tcPr>
          <w:p w14:paraId="32052A44"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 xml:space="preserve">Juros e Variação Monetária de Acordos Judiciais </w:t>
            </w:r>
          </w:p>
        </w:tc>
        <w:tc>
          <w:tcPr>
            <w:tcW w:w="726" w:type="pct"/>
            <w:noWrap/>
            <w:vAlign w:val="center"/>
            <w:hideMark/>
          </w:tcPr>
          <w:p w14:paraId="0B33358B"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(391)</w:t>
            </w:r>
          </w:p>
        </w:tc>
        <w:tc>
          <w:tcPr>
            <w:tcW w:w="923" w:type="pct"/>
            <w:noWrap/>
            <w:vAlign w:val="center"/>
            <w:hideMark/>
          </w:tcPr>
          <w:p w14:paraId="4699C9DF"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(3.963)</w:t>
            </w:r>
          </w:p>
        </w:tc>
      </w:tr>
      <w:tr w:rsidR="00666764" w:rsidRPr="00666764" w14:paraId="605B0266" w14:textId="77777777" w:rsidTr="00666764">
        <w:trPr>
          <w:trHeight w:val="232"/>
        </w:trPr>
        <w:tc>
          <w:tcPr>
            <w:tcW w:w="3351" w:type="pct"/>
            <w:noWrap/>
            <w:vAlign w:val="center"/>
            <w:hideMark/>
          </w:tcPr>
          <w:p w14:paraId="48072411"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Juros sobre Prov. para Riscos Trabalhistas, Cíveis e Fiscais</w:t>
            </w:r>
          </w:p>
        </w:tc>
        <w:tc>
          <w:tcPr>
            <w:tcW w:w="726" w:type="pct"/>
            <w:noWrap/>
            <w:vAlign w:val="center"/>
            <w:hideMark/>
          </w:tcPr>
          <w:p w14:paraId="54FF72E5"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(1.278)</w:t>
            </w:r>
          </w:p>
        </w:tc>
        <w:tc>
          <w:tcPr>
            <w:tcW w:w="923" w:type="pct"/>
            <w:noWrap/>
            <w:vAlign w:val="center"/>
            <w:hideMark/>
          </w:tcPr>
          <w:p w14:paraId="66E7A969"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(1.420)</w:t>
            </w:r>
          </w:p>
        </w:tc>
      </w:tr>
      <w:tr w:rsidR="00666764" w:rsidRPr="00666764" w14:paraId="7349E409" w14:textId="77777777" w:rsidTr="00666764">
        <w:trPr>
          <w:trHeight w:val="232"/>
        </w:trPr>
        <w:tc>
          <w:tcPr>
            <w:tcW w:w="3351" w:type="pct"/>
            <w:noWrap/>
            <w:vAlign w:val="center"/>
            <w:hideMark/>
          </w:tcPr>
          <w:p w14:paraId="1E77FA6B"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V. M. sobre Riscos Trabalhistas, Cíveis e Fiscais</w:t>
            </w:r>
          </w:p>
        </w:tc>
        <w:tc>
          <w:tcPr>
            <w:tcW w:w="726" w:type="pct"/>
            <w:noWrap/>
            <w:vAlign w:val="center"/>
            <w:hideMark/>
          </w:tcPr>
          <w:p w14:paraId="7BCE9BE8"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(492)</w:t>
            </w:r>
          </w:p>
        </w:tc>
        <w:tc>
          <w:tcPr>
            <w:tcW w:w="923" w:type="pct"/>
            <w:noWrap/>
            <w:vAlign w:val="center"/>
            <w:hideMark/>
          </w:tcPr>
          <w:p w14:paraId="40400699"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(650)</w:t>
            </w:r>
          </w:p>
        </w:tc>
      </w:tr>
      <w:tr w:rsidR="00666764" w:rsidRPr="00666764" w14:paraId="5FC0A5EA" w14:textId="77777777" w:rsidTr="00666764">
        <w:trPr>
          <w:trHeight w:val="232"/>
        </w:trPr>
        <w:tc>
          <w:tcPr>
            <w:tcW w:w="3351" w:type="pct"/>
            <w:noWrap/>
            <w:vAlign w:val="center"/>
            <w:hideMark/>
          </w:tcPr>
          <w:p w14:paraId="74BE1FE8"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 xml:space="preserve">Juros sobre Arrendamento Mercantil Financeiro IFRS 16 </w:t>
            </w:r>
          </w:p>
        </w:tc>
        <w:tc>
          <w:tcPr>
            <w:tcW w:w="726" w:type="pct"/>
            <w:noWrap/>
            <w:vAlign w:val="center"/>
            <w:hideMark/>
          </w:tcPr>
          <w:p w14:paraId="3CDB0430"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(347)</w:t>
            </w:r>
          </w:p>
        </w:tc>
        <w:tc>
          <w:tcPr>
            <w:tcW w:w="923" w:type="pct"/>
            <w:noWrap/>
            <w:vAlign w:val="center"/>
            <w:hideMark/>
          </w:tcPr>
          <w:p w14:paraId="393C777C"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(303)</w:t>
            </w:r>
          </w:p>
        </w:tc>
      </w:tr>
      <w:tr w:rsidR="00666764" w:rsidRPr="00666764" w14:paraId="678CBF77" w14:textId="77777777" w:rsidTr="00666764">
        <w:trPr>
          <w:trHeight w:val="232"/>
        </w:trPr>
        <w:tc>
          <w:tcPr>
            <w:tcW w:w="3351" w:type="pct"/>
            <w:noWrap/>
            <w:vAlign w:val="center"/>
            <w:hideMark/>
          </w:tcPr>
          <w:p w14:paraId="7CA9E1FD"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 xml:space="preserve">Juros sobre Empréstimos e Financiamentos </w:t>
            </w:r>
          </w:p>
        </w:tc>
        <w:tc>
          <w:tcPr>
            <w:tcW w:w="726" w:type="pct"/>
            <w:noWrap/>
            <w:vAlign w:val="center"/>
            <w:hideMark/>
          </w:tcPr>
          <w:p w14:paraId="1C4F9AE7"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 </w:t>
            </w:r>
          </w:p>
        </w:tc>
        <w:tc>
          <w:tcPr>
            <w:tcW w:w="923" w:type="pct"/>
            <w:noWrap/>
            <w:vAlign w:val="center"/>
            <w:hideMark/>
          </w:tcPr>
          <w:p w14:paraId="34F64A4A"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209 </w:t>
            </w:r>
          </w:p>
        </w:tc>
      </w:tr>
      <w:tr w:rsidR="00666764" w:rsidRPr="00666764" w14:paraId="373C90E7" w14:textId="77777777" w:rsidTr="00666764">
        <w:trPr>
          <w:trHeight w:val="232"/>
        </w:trPr>
        <w:tc>
          <w:tcPr>
            <w:tcW w:w="3351" w:type="pct"/>
            <w:noWrap/>
            <w:vAlign w:val="center"/>
            <w:hideMark/>
          </w:tcPr>
          <w:p w14:paraId="1D9A161E" w14:textId="77777777" w:rsidR="00666764" w:rsidRPr="001B0508" w:rsidRDefault="00666764">
            <w:pPr>
              <w:rPr>
                <w:rFonts w:ascii="Arial" w:hAnsi="Arial" w:cs="Arial"/>
                <w:color w:val="000000"/>
                <w:sz w:val="18"/>
                <w:szCs w:val="18"/>
              </w:rPr>
            </w:pPr>
            <w:r w:rsidRPr="001B0508">
              <w:rPr>
                <w:rFonts w:ascii="Arial" w:hAnsi="Arial" w:cs="Arial"/>
                <w:color w:val="000000"/>
                <w:sz w:val="18"/>
                <w:szCs w:val="18"/>
              </w:rPr>
              <w:t>Juros sobre Tributos</w:t>
            </w:r>
          </w:p>
        </w:tc>
        <w:tc>
          <w:tcPr>
            <w:tcW w:w="726" w:type="pct"/>
            <w:noWrap/>
            <w:vAlign w:val="center"/>
            <w:hideMark/>
          </w:tcPr>
          <w:p w14:paraId="3B4F473A"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(19)</w:t>
            </w:r>
          </w:p>
        </w:tc>
        <w:tc>
          <w:tcPr>
            <w:tcW w:w="923" w:type="pct"/>
            <w:noWrap/>
            <w:vAlign w:val="center"/>
            <w:hideMark/>
          </w:tcPr>
          <w:p w14:paraId="6B6C5D1A" w14:textId="77777777" w:rsidR="00666764" w:rsidRPr="001B0508" w:rsidRDefault="00666764">
            <w:pPr>
              <w:jc w:val="right"/>
              <w:rPr>
                <w:rFonts w:ascii="Arial" w:hAnsi="Arial" w:cs="Arial"/>
                <w:color w:val="000000"/>
                <w:sz w:val="18"/>
                <w:szCs w:val="18"/>
              </w:rPr>
            </w:pPr>
            <w:r w:rsidRPr="001B0508">
              <w:rPr>
                <w:rFonts w:ascii="Arial" w:hAnsi="Arial" w:cs="Arial"/>
                <w:color w:val="000000"/>
                <w:sz w:val="18"/>
                <w:szCs w:val="18"/>
              </w:rPr>
              <w:t xml:space="preserve">                  (362)</w:t>
            </w:r>
          </w:p>
        </w:tc>
      </w:tr>
      <w:tr w:rsidR="00666764" w:rsidRPr="00666764" w14:paraId="1A0E5123" w14:textId="77777777" w:rsidTr="00666764">
        <w:trPr>
          <w:trHeight w:val="232"/>
        </w:trPr>
        <w:tc>
          <w:tcPr>
            <w:tcW w:w="3351" w:type="pct"/>
            <w:noWrap/>
            <w:vAlign w:val="center"/>
            <w:hideMark/>
          </w:tcPr>
          <w:p w14:paraId="298FBB78" w14:textId="77777777" w:rsidR="00666764" w:rsidRPr="001B0508" w:rsidRDefault="00666764">
            <w:pPr>
              <w:rPr>
                <w:rFonts w:ascii="Arial" w:hAnsi="Arial" w:cs="Arial"/>
                <w:b/>
                <w:bCs/>
                <w:color w:val="000000"/>
                <w:sz w:val="18"/>
                <w:szCs w:val="18"/>
              </w:rPr>
            </w:pPr>
            <w:r w:rsidRPr="001B0508">
              <w:rPr>
                <w:rFonts w:ascii="Arial" w:hAnsi="Arial" w:cs="Arial"/>
                <w:b/>
                <w:bCs/>
                <w:color w:val="000000"/>
                <w:sz w:val="18"/>
                <w:szCs w:val="18"/>
              </w:rPr>
              <w:t>Subtotal</w:t>
            </w:r>
          </w:p>
        </w:tc>
        <w:tc>
          <w:tcPr>
            <w:tcW w:w="726" w:type="pct"/>
            <w:noWrap/>
            <w:vAlign w:val="center"/>
            <w:hideMark/>
          </w:tcPr>
          <w:p w14:paraId="0A17C45D" w14:textId="77777777" w:rsidR="00666764" w:rsidRPr="001B0508" w:rsidRDefault="00666764">
            <w:pPr>
              <w:jc w:val="right"/>
              <w:rPr>
                <w:rFonts w:ascii="Arial" w:hAnsi="Arial" w:cs="Arial"/>
                <w:b/>
                <w:bCs/>
                <w:color w:val="000000"/>
                <w:sz w:val="18"/>
                <w:szCs w:val="18"/>
              </w:rPr>
            </w:pPr>
            <w:r w:rsidRPr="001B0508">
              <w:rPr>
                <w:rFonts w:ascii="Arial" w:hAnsi="Arial" w:cs="Arial"/>
                <w:b/>
                <w:bCs/>
                <w:color w:val="000000"/>
                <w:sz w:val="18"/>
                <w:szCs w:val="18"/>
              </w:rPr>
              <w:t xml:space="preserve">       (69.081)</w:t>
            </w:r>
          </w:p>
        </w:tc>
        <w:tc>
          <w:tcPr>
            <w:tcW w:w="923" w:type="pct"/>
            <w:noWrap/>
            <w:vAlign w:val="center"/>
            <w:hideMark/>
          </w:tcPr>
          <w:p w14:paraId="4CD4C820" w14:textId="77777777" w:rsidR="00666764" w:rsidRPr="001B0508" w:rsidRDefault="00666764">
            <w:pPr>
              <w:jc w:val="right"/>
              <w:rPr>
                <w:rFonts w:ascii="Arial" w:hAnsi="Arial" w:cs="Arial"/>
                <w:b/>
                <w:bCs/>
                <w:color w:val="000000"/>
                <w:sz w:val="18"/>
                <w:szCs w:val="18"/>
              </w:rPr>
            </w:pPr>
            <w:r w:rsidRPr="001B0508">
              <w:rPr>
                <w:rFonts w:ascii="Arial" w:hAnsi="Arial" w:cs="Arial"/>
                <w:b/>
                <w:bCs/>
                <w:color w:val="000000"/>
                <w:sz w:val="18"/>
                <w:szCs w:val="18"/>
              </w:rPr>
              <w:t xml:space="preserve">             (61.318)</w:t>
            </w:r>
          </w:p>
        </w:tc>
      </w:tr>
      <w:tr w:rsidR="00666764" w14:paraId="7E55A6ED" w14:textId="77777777" w:rsidTr="00666764">
        <w:trPr>
          <w:trHeight w:val="232"/>
        </w:trPr>
        <w:tc>
          <w:tcPr>
            <w:tcW w:w="3351" w:type="pct"/>
            <w:noWrap/>
            <w:vAlign w:val="center"/>
            <w:hideMark/>
          </w:tcPr>
          <w:p w14:paraId="324B7991" w14:textId="77777777" w:rsidR="00666764" w:rsidRPr="001B0508" w:rsidRDefault="00666764">
            <w:pPr>
              <w:rPr>
                <w:rFonts w:ascii="Arial" w:hAnsi="Arial" w:cs="Arial"/>
                <w:b/>
                <w:bCs/>
                <w:color w:val="000000"/>
                <w:sz w:val="18"/>
                <w:szCs w:val="18"/>
              </w:rPr>
            </w:pPr>
            <w:r w:rsidRPr="001B0508">
              <w:rPr>
                <w:rFonts w:ascii="Arial" w:hAnsi="Arial" w:cs="Arial"/>
                <w:b/>
                <w:bCs/>
                <w:color w:val="000000"/>
                <w:sz w:val="18"/>
                <w:szCs w:val="18"/>
              </w:rPr>
              <w:t>Resultado Financeiro</w:t>
            </w:r>
          </w:p>
        </w:tc>
        <w:tc>
          <w:tcPr>
            <w:tcW w:w="726" w:type="pct"/>
            <w:noWrap/>
            <w:vAlign w:val="center"/>
            <w:hideMark/>
          </w:tcPr>
          <w:p w14:paraId="14837EF4" w14:textId="77777777" w:rsidR="00666764" w:rsidRPr="001B0508" w:rsidRDefault="00666764">
            <w:pPr>
              <w:jc w:val="right"/>
              <w:rPr>
                <w:rFonts w:ascii="Arial" w:hAnsi="Arial" w:cs="Arial"/>
                <w:b/>
                <w:bCs/>
                <w:color w:val="000000"/>
                <w:sz w:val="18"/>
                <w:szCs w:val="18"/>
              </w:rPr>
            </w:pPr>
            <w:r w:rsidRPr="001B0508">
              <w:rPr>
                <w:rFonts w:ascii="Arial" w:hAnsi="Arial" w:cs="Arial"/>
                <w:b/>
                <w:bCs/>
                <w:color w:val="000000"/>
                <w:sz w:val="18"/>
                <w:szCs w:val="18"/>
              </w:rPr>
              <w:t xml:space="preserve">       (12.192)</w:t>
            </w:r>
          </w:p>
        </w:tc>
        <w:tc>
          <w:tcPr>
            <w:tcW w:w="923" w:type="pct"/>
            <w:noWrap/>
            <w:vAlign w:val="center"/>
            <w:hideMark/>
          </w:tcPr>
          <w:p w14:paraId="13AA10DD" w14:textId="77777777" w:rsidR="00666764" w:rsidRPr="001B0508" w:rsidRDefault="00666764">
            <w:pPr>
              <w:jc w:val="right"/>
              <w:rPr>
                <w:rFonts w:ascii="Arial" w:hAnsi="Arial" w:cs="Arial"/>
                <w:b/>
                <w:bCs/>
                <w:color w:val="000000"/>
                <w:sz w:val="18"/>
                <w:szCs w:val="18"/>
              </w:rPr>
            </w:pPr>
            <w:r w:rsidRPr="001B0508">
              <w:rPr>
                <w:rFonts w:ascii="Arial" w:hAnsi="Arial" w:cs="Arial"/>
                <w:b/>
                <w:bCs/>
                <w:color w:val="000000"/>
                <w:sz w:val="18"/>
                <w:szCs w:val="18"/>
              </w:rPr>
              <w:t xml:space="preserve">             (11.197)</w:t>
            </w:r>
          </w:p>
        </w:tc>
      </w:tr>
    </w:tbl>
    <w:p w14:paraId="004F42A7" w14:textId="77777777" w:rsidR="00666764" w:rsidRDefault="00666764" w:rsidP="00CD26D1"/>
    <w:p w14:paraId="2705B1D4" w14:textId="7199E5EE" w:rsidR="002A7CF3" w:rsidRPr="002A7CF3" w:rsidRDefault="002A7CF3" w:rsidP="002A7CF3">
      <w:pPr>
        <w:spacing w:line="276" w:lineRule="auto"/>
        <w:jc w:val="both"/>
        <w:rPr>
          <w:rFonts w:ascii="Arial" w:hAnsi="Arial" w:cs="Arial"/>
          <w:sz w:val="22"/>
          <w:szCs w:val="22"/>
        </w:rPr>
      </w:pPr>
      <w:r w:rsidRPr="002A7CF3">
        <w:rPr>
          <w:rFonts w:ascii="Arial" w:hAnsi="Arial" w:cs="Arial"/>
          <w:sz w:val="22"/>
          <w:szCs w:val="22"/>
        </w:rPr>
        <w:t xml:space="preserve">O resultado financeiro líquido </w:t>
      </w:r>
      <w:r w:rsidR="009B4679">
        <w:rPr>
          <w:rFonts w:ascii="Arial" w:hAnsi="Arial" w:cs="Arial"/>
          <w:sz w:val="22"/>
          <w:szCs w:val="22"/>
        </w:rPr>
        <w:t xml:space="preserve">do primeiro trimestre </w:t>
      </w:r>
      <w:r w:rsidRPr="002A7CF3">
        <w:rPr>
          <w:rFonts w:ascii="Arial" w:hAnsi="Arial" w:cs="Arial"/>
          <w:sz w:val="22"/>
          <w:szCs w:val="22"/>
        </w:rPr>
        <w:t>de 202</w:t>
      </w:r>
      <w:r w:rsidR="009B4679">
        <w:rPr>
          <w:rFonts w:ascii="Arial" w:hAnsi="Arial" w:cs="Arial"/>
          <w:sz w:val="22"/>
          <w:szCs w:val="22"/>
        </w:rPr>
        <w:t>6</w:t>
      </w:r>
      <w:r w:rsidRPr="002A7CF3">
        <w:rPr>
          <w:rFonts w:ascii="Arial" w:hAnsi="Arial" w:cs="Arial"/>
          <w:sz w:val="22"/>
          <w:szCs w:val="22"/>
        </w:rPr>
        <w:t xml:space="preserve"> foi negativo em R$ </w:t>
      </w:r>
      <w:r w:rsidR="009B4679">
        <w:rPr>
          <w:rFonts w:ascii="Arial" w:hAnsi="Arial" w:cs="Arial"/>
          <w:sz w:val="22"/>
          <w:szCs w:val="22"/>
        </w:rPr>
        <w:t>12.192</w:t>
      </w:r>
      <w:r w:rsidRPr="002A7CF3">
        <w:rPr>
          <w:rFonts w:ascii="Arial" w:hAnsi="Arial" w:cs="Arial"/>
          <w:sz w:val="22"/>
          <w:szCs w:val="22"/>
        </w:rPr>
        <w:t xml:space="preserve"> (R$ </w:t>
      </w:r>
      <w:r w:rsidR="009B4679">
        <w:rPr>
          <w:rFonts w:ascii="Arial" w:hAnsi="Arial" w:cs="Arial"/>
          <w:sz w:val="22"/>
          <w:szCs w:val="22"/>
        </w:rPr>
        <w:t>11.197</w:t>
      </w:r>
      <w:r w:rsidRPr="002A7CF3">
        <w:rPr>
          <w:rFonts w:ascii="Arial" w:hAnsi="Arial" w:cs="Arial"/>
          <w:sz w:val="22"/>
          <w:szCs w:val="22"/>
        </w:rPr>
        <w:t xml:space="preserve"> </w:t>
      </w:r>
      <w:r w:rsidR="009B4679">
        <w:rPr>
          <w:rFonts w:ascii="Arial" w:hAnsi="Arial" w:cs="Arial"/>
          <w:sz w:val="22"/>
          <w:szCs w:val="22"/>
        </w:rPr>
        <w:t>no primeiro trimestre de 2025</w:t>
      </w:r>
      <w:r w:rsidRPr="002A7CF3">
        <w:rPr>
          <w:rFonts w:ascii="Arial" w:hAnsi="Arial" w:cs="Arial"/>
          <w:sz w:val="22"/>
          <w:szCs w:val="22"/>
        </w:rPr>
        <w:t xml:space="preserve">), representando uma </w:t>
      </w:r>
      <w:r w:rsidR="009B4679">
        <w:rPr>
          <w:rFonts w:ascii="Arial" w:hAnsi="Arial" w:cs="Arial"/>
          <w:sz w:val="22"/>
          <w:szCs w:val="22"/>
        </w:rPr>
        <w:t xml:space="preserve">variação negativa </w:t>
      </w:r>
      <w:r w:rsidRPr="002A7CF3">
        <w:rPr>
          <w:rFonts w:ascii="Arial" w:hAnsi="Arial" w:cs="Arial"/>
          <w:sz w:val="22"/>
          <w:szCs w:val="22"/>
        </w:rPr>
        <w:t xml:space="preserve">de </w:t>
      </w:r>
      <w:r w:rsidR="009B4679">
        <w:rPr>
          <w:rFonts w:ascii="Arial" w:hAnsi="Arial" w:cs="Arial"/>
          <w:sz w:val="22"/>
          <w:szCs w:val="22"/>
        </w:rPr>
        <w:t>8,9</w:t>
      </w:r>
      <w:r w:rsidRPr="002A7CF3">
        <w:rPr>
          <w:rFonts w:ascii="Arial" w:hAnsi="Arial" w:cs="Arial"/>
          <w:sz w:val="22"/>
          <w:szCs w:val="22"/>
        </w:rPr>
        <w:t xml:space="preserve">% em relação ao mesmo </w:t>
      </w:r>
      <w:r w:rsidRPr="002A7CF3">
        <w:rPr>
          <w:rFonts w:ascii="Arial" w:hAnsi="Arial" w:cs="Arial"/>
          <w:sz w:val="22"/>
          <w:szCs w:val="22"/>
        </w:rPr>
        <w:lastRenderedPageBreak/>
        <w:t>período do ano anterior. As principais variações que contribuíram para esse desempenho foram as seguintes:</w:t>
      </w:r>
    </w:p>
    <w:p w14:paraId="37A12DDC" w14:textId="77777777" w:rsidR="007F21DA" w:rsidRDefault="007F21DA" w:rsidP="00F9797D">
      <w:pPr>
        <w:spacing w:line="276" w:lineRule="auto"/>
        <w:jc w:val="both"/>
        <w:rPr>
          <w:rFonts w:ascii="Arial" w:hAnsi="Arial" w:cs="Arial"/>
          <w:b/>
          <w:sz w:val="22"/>
          <w:szCs w:val="22"/>
        </w:rPr>
      </w:pPr>
    </w:p>
    <w:p w14:paraId="4450ED8F" w14:textId="57557FF2" w:rsidR="00552E67" w:rsidRPr="00552E67" w:rsidRDefault="00F9797D" w:rsidP="00552E67">
      <w:pPr>
        <w:spacing w:line="276" w:lineRule="auto"/>
        <w:jc w:val="both"/>
        <w:rPr>
          <w:rFonts w:ascii="Arial" w:hAnsi="Arial" w:cs="Arial"/>
          <w:sz w:val="22"/>
          <w:szCs w:val="22"/>
        </w:rPr>
      </w:pPr>
      <w:r w:rsidRPr="00704A40">
        <w:rPr>
          <w:rFonts w:ascii="Arial" w:hAnsi="Arial" w:cs="Arial"/>
          <w:b/>
          <w:sz w:val="22"/>
          <w:szCs w:val="22"/>
        </w:rPr>
        <w:t xml:space="preserve">i) </w:t>
      </w:r>
      <w:r w:rsidR="00B21404" w:rsidRPr="00704A40">
        <w:rPr>
          <w:rFonts w:ascii="Arial" w:hAnsi="Arial" w:cs="Arial"/>
          <w:b/>
          <w:sz w:val="22"/>
          <w:szCs w:val="22"/>
        </w:rPr>
        <w:t>Juros sobre Disponibilidades:</w:t>
      </w:r>
      <w:r w:rsidR="00B21404" w:rsidRPr="007F200E">
        <w:rPr>
          <w:rFonts w:ascii="Arial" w:hAnsi="Arial" w:cs="Arial"/>
          <w:sz w:val="22"/>
          <w:szCs w:val="22"/>
        </w:rPr>
        <w:t xml:space="preserve"> </w:t>
      </w:r>
      <w:r w:rsidR="00552E67" w:rsidRPr="00552E67">
        <w:rPr>
          <w:rFonts w:ascii="Arial" w:hAnsi="Arial" w:cs="Arial"/>
          <w:sz w:val="22"/>
          <w:szCs w:val="22"/>
        </w:rPr>
        <w:t xml:space="preserve">O </w:t>
      </w:r>
      <w:r w:rsidR="00C81DC8">
        <w:rPr>
          <w:rFonts w:ascii="Arial" w:hAnsi="Arial" w:cs="Arial"/>
          <w:sz w:val="22"/>
          <w:szCs w:val="22"/>
        </w:rPr>
        <w:t>rendimento de aplicações financeiras</w:t>
      </w:r>
      <w:r w:rsidR="00552E67" w:rsidRPr="00552E67">
        <w:rPr>
          <w:rFonts w:ascii="Arial" w:hAnsi="Arial" w:cs="Arial"/>
          <w:sz w:val="22"/>
          <w:szCs w:val="22"/>
        </w:rPr>
        <w:t xml:space="preserve"> apresentou um aumento de </w:t>
      </w:r>
      <w:r w:rsidR="009B4679">
        <w:rPr>
          <w:rFonts w:ascii="Arial" w:hAnsi="Arial" w:cs="Arial"/>
          <w:sz w:val="22"/>
          <w:szCs w:val="22"/>
        </w:rPr>
        <w:t>18,6</w:t>
      </w:r>
      <w:r w:rsidR="00552E67" w:rsidRPr="00C81DC8">
        <w:rPr>
          <w:rFonts w:ascii="Arial" w:hAnsi="Arial" w:cs="Arial"/>
          <w:sz w:val="22"/>
          <w:szCs w:val="22"/>
        </w:rPr>
        <w:t>% na</w:t>
      </w:r>
      <w:r w:rsidR="00552E67" w:rsidRPr="00552E67">
        <w:rPr>
          <w:rFonts w:ascii="Arial" w:hAnsi="Arial" w:cs="Arial"/>
          <w:sz w:val="22"/>
          <w:szCs w:val="22"/>
        </w:rPr>
        <w:t xml:space="preserve"> comparação entre </w:t>
      </w:r>
      <w:r w:rsidR="009B4679">
        <w:rPr>
          <w:rFonts w:ascii="Arial" w:hAnsi="Arial" w:cs="Arial"/>
          <w:sz w:val="22"/>
          <w:szCs w:val="22"/>
        </w:rPr>
        <w:t xml:space="preserve">o primeiro trimestre </w:t>
      </w:r>
      <w:r w:rsidR="00552E67" w:rsidRPr="00552E67">
        <w:rPr>
          <w:rFonts w:ascii="Arial" w:hAnsi="Arial" w:cs="Arial"/>
          <w:sz w:val="22"/>
          <w:szCs w:val="22"/>
        </w:rPr>
        <w:t>de 202</w:t>
      </w:r>
      <w:r w:rsidR="009B4679">
        <w:rPr>
          <w:rFonts w:ascii="Arial" w:hAnsi="Arial" w:cs="Arial"/>
          <w:sz w:val="22"/>
          <w:szCs w:val="22"/>
        </w:rPr>
        <w:t>6</w:t>
      </w:r>
      <w:r w:rsidR="00552E67" w:rsidRPr="00552E67">
        <w:rPr>
          <w:rFonts w:ascii="Arial" w:hAnsi="Arial" w:cs="Arial"/>
          <w:sz w:val="22"/>
          <w:szCs w:val="22"/>
        </w:rPr>
        <w:t xml:space="preserve"> e 202</w:t>
      </w:r>
      <w:r w:rsidR="009B4679">
        <w:rPr>
          <w:rFonts w:ascii="Arial" w:hAnsi="Arial" w:cs="Arial"/>
          <w:sz w:val="22"/>
          <w:szCs w:val="22"/>
        </w:rPr>
        <w:t>5</w:t>
      </w:r>
      <w:r w:rsidR="00552E67" w:rsidRPr="00552E67">
        <w:rPr>
          <w:rFonts w:ascii="Arial" w:hAnsi="Arial" w:cs="Arial"/>
          <w:sz w:val="22"/>
          <w:szCs w:val="22"/>
        </w:rPr>
        <w:t>. Esse crescimento é decorrente do maior volume de recursos financeiros aplicados no período, aliado à melhora na rentabilidade dos fundos.</w:t>
      </w:r>
    </w:p>
    <w:p w14:paraId="5FA0DEA8" w14:textId="6FB6534C" w:rsidR="00B21404" w:rsidRPr="007F200E" w:rsidRDefault="00B21404" w:rsidP="00F9797D">
      <w:pPr>
        <w:spacing w:line="276" w:lineRule="auto"/>
        <w:jc w:val="both"/>
        <w:rPr>
          <w:rFonts w:ascii="Arial" w:hAnsi="Arial" w:cs="Arial"/>
          <w:sz w:val="22"/>
          <w:szCs w:val="22"/>
        </w:rPr>
      </w:pPr>
    </w:p>
    <w:p w14:paraId="014AE123" w14:textId="77777777" w:rsidR="00E155A6" w:rsidRPr="00E155A6" w:rsidRDefault="008312A6" w:rsidP="00E155A6">
      <w:pPr>
        <w:spacing w:line="276" w:lineRule="auto"/>
        <w:jc w:val="both"/>
        <w:rPr>
          <w:rFonts w:ascii="Arial" w:hAnsi="Arial" w:cs="Arial"/>
          <w:sz w:val="22"/>
          <w:szCs w:val="22"/>
        </w:rPr>
      </w:pPr>
      <w:r>
        <w:rPr>
          <w:rFonts w:ascii="Arial" w:hAnsi="Arial" w:cs="Arial"/>
          <w:b/>
          <w:sz w:val="22"/>
          <w:szCs w:val="22"/>
        </w:rPr>
        <w:t xml:space="preserve">ii) </w:t>
      </w:r>
      <w:r w:rsidRPr="008312A6">
        <w:rPr>
          <w:rFonts w:ascii="Arial" w:hAnsi="Arial" w:cs="Arial"/>
          <w:b/>
          <w:sz w:val="22"/>
          <w:szCs w:val="22"/>
        </w:rPr>
        <w:t>Juros sobre Superávit de Previdência Privada</w:t>
      </w:r>
      <w:r>
        <w:rPr>
          <w:rFonts w:ascii="Arial" w:hAnsi="Arial" w:cs="Arial"/>
          <w:b/>
          <w:sz w:val="22"/>
          <w:szCs w:val="22"/>
        </w:rPr>
        <w:t xml:space="preserve">: </w:t>
      </w:r>
      <w:r w:rsidR="00E155A6" w:rsidRPr="00E155A6">
        <w:rPr>
          <w:rFonts w:ascii="Arial" w:hAnsi="Arial" w:cs="Arial"/>
          <w:sz w:val="22"/>
          <w:szCs w:val="22"/>
        </w:rPr>
        <w:t>A variação positiva reflete o reconhecimento dos superávits dos planos de previdência, aprovados pela PREVIC, os quais são atualizados pela variação das cotas de cada plano.</w:t>
      </w:r>
    </w:p>
    <w:p w14:paraId="5938EA02" w14:textId="30ABB1D0" w:rsidR="008312A6" w:rsidRDefault="008312A6" w:rsidP="00955E68">
      <w:pPr>
        <w:spacing w:line="276" w:lineRule="auto"/>
        <w:jc w:val="both"/>
        <w:rPr>
          <w:rFonts w:ascii="Arial" w:hAnsi="Arial" w:cs="Arial"/>
          <w:b/>
          <w:sz w:val="22"/>
          <w:szCs w:val="22"/>
        </w:rPr>
      </w:pPr>
    </w:p>
    <w:p w14:paraId="719F169E" w14:textId="02738C30" w:rsidR="00C60E75" w:rsidRPr="00C60E75" w:rsidRDefault="00F9797D" w:rsidP="00C60E75">
      <w:pPr>
        <w:spacing w:line="276" w:lineRule="auto"/>
        <w:jc w:val="both"/>
        <w:rPr>
          <w:rFonts w:ascii="Arial" w:hAnsi="Arial" w:cs="Arial"/>
          <w:sz w:val="22"/>
          <w:szCs w:val="22"/>
        </w:rPr>
      </w:pPr>
      <w:r w:rsidRPr="00704A40">
        <w:rPr>
          <w:rFonts w:ascii="Arial" w:hAnsi="Arial" w:cs="Arial"/>
          <w:b/>
          <w:sz w:val="22"/>
          <w:szCs w:val="22"/>
        </w:rPr>
        <w:t>i</w:t>
      </w:r>
      <w:r w:rsidR="00B21404" w:rsidRPr="00704A40">
        <w:rPr>
          <w:rFonts w:ascii="Arial" w:hAnsi="Arial" w:cs="Arial"/>
          <w:b/>
          <w:sz w:val="22"/>
          <w:szCs w:val="22"/>
        </w:rPr>
        <w:t>i</w:t>
      </w:r>
      <w:r w:rsidR="008312A6">
        <w:rPr>
          <w:rFonts w:ascii="Arial" w:hAnsi="Arial" w:cs="Arial"/>
          <w:b/>
          <w:sz w:val="22"/>
          <w:szCs w:val="22"/>
        </w:rPr>
        <w:t>i</w:t>
      </w:r>
      <w:r w:rsidR="005A4C2C" w:rsidRPr="00704A40">
        <w:rPr>
          <w:rFonts w:ascii="Arial" w:hAnsi="Arial" w:cs="Arial"/>
          <w:b/>
          <w:sz w:val="22"/>
          <w:szCs w:val="22"/>
        </w:rPr>
        <w:t xml:space="preserve">) </w:t>
      </w:r>
      <w:r w:rsidR="00B21404" w:rsidRPr="00704A40">
        <w:rPr>
          <w:rFonts w:ascii="Arial" w:hAnsi="Arial" w:cs="Arial"/>
          <w:b/>
          <w:sz w:val="22"/>
          <w:szCs w:val="22"/>
        </w:rPr>
        <w:t>Juros sobre Adiantamento para Futuro Aumento de Capital</w:t>
      </w:r>
      <w:r w:rsidR="00023632" w:rsidRPr="00704A40">
        <w:rPr>
          <w:rFonts w:ascii="Arial" w:hAnsi="Arial" w:cs="Arial"/>
          <w:b/>
          <w:sz w:val="22"/>
          <w:szCs w:val="22"/>
        </w:rPr>
        <w:t xml:space="preserve"> (AFAC)</w:t>
      </w:r>
      <w:r w:rsidR="00B21404" w:rsidRPr="00704A40">
        <w:rPr>
          <w:rFonts w:ascii="Arial" w:hAnsi="Arial" w:cs="Arial"/>
          <w:b/>
          <w:sz w:val="22"/>
          <w:szCs w:val="22"/>
        </w:rPr>
        <w:t>:</w:t>
      </w:r>
      <w:r w:rsidR="00B21404" w:rsidRPr="007F200E">
        <w:rPr>
          <w:rFonts w:ascii="Arial" w:hAnsi="Arial" w:cs="Arial"/>
          <w:sz w:val="22"/>
          <w:szCs w:val="22"/>
        </w:rPr>
        <w:t xml:space="preserve"> </w:t>
      </w:r>
      <w:r w:rsidR="00C60E75" w:rsidRPr="00C60E75">
        <w:rPr>
          <w:rFonts w:ascii="Arial" w:hAnsi="Arial" w:cs="Arial"/>
          <w:sz w:val="22"/>
          <w:szCs w:val="22"/>
        </w:rPr>
        <w:t xml:space="preserve">O crescimento </w:t>
      </w:r>
      <w:r w:rsidR="00C60E75" w:rsidRPr="009B4679">
        <w:rPr>
          <w:rFonts w:ascii="Arial" w:hAnsi="Arial" w:cs="Arial"/>
          <w:sz w:val="22"/>
          <w:szCs w:val="22"/>
        </w:rPr>
        <w:t xml:space="preserve">de </w:t>
      </w:r>
      <w:r w:rsidR="009B4679" w:rsidRPr="009B4679">
        <w:rPr>
          <w:rFonts w:ascii="Arial" w:hAnsi="Arial" w:cs="Arial"/>
          <w:sz w:val="22"/>
          <w:szCs w:val="22"/>
        </w:rPr>
        <w:t>21,4</w:t>
      </w:r>
      <w:r w:rsidR="00C60E75" w:rsidRPr="009B4679">
        <w:rPr>
          <w:rFonts w:ascii="Arial" w:hAnsi="Arial" w:cs="Arial"/>
          <w:sz w:val="22"/>
          <w:szCs w:val="22"/>
        </w:rPr>
        <w:t>%</w:t>
      </w:r>
      <w:r w:rsidR="00C60E75" w:rsidRPr="00C60E75">
        <w:rPr>
          <w:rFonts w:ascii="Arial" w:hAnsi="Arial" w:cs="Arial"/>
          <w:sz w:val="22"/>
          <w:szCs w:val="22"/>
        </w:rPr>
        <w:t xml:space="preserve"> apresentado nessa rubrica é justificado </w:t>
      </w:r>
      <w:r w:rsidR="009B4679">
        <w:rPr>
          <w:rFonts w:ascii="Arial" w:hAnsi="Arial" w:cs="Arial"/>
          <w:sz w:val="22"/>
          <w:szCs w:val="22"/>
        </w:rPr>
        <w:t>manutenção da</w:t>
      </w:r>
      <w:r w:rsidR="00C60E75" w:rsidRPr="00C60E75">
        <w:rPr>
          <w:rFonts w:ascii="Arial" w:hAnsi="Arial" w:cs="Arial"/>
          <w:sz w:val="22"/>
          <w:szCs w:val="22"/>
        </w:rPr>
        <w:t xml:space="preserve"> taxa Selic</w:t>
      </w:r>
      <w:r w:rsidR="00C60E75">
        <w:rPr>
          <w:rFonts w:ascii="Arial" w:hAnsi="Arial" w:cs="Arial"/>
          <w:sz w:val="22"/>
          <w:szCs w:val="22"/>
        </w:rPr>
        <w:t>,</w:t>
      </w:r>
      <w:r w:rsidR="00C60E75" w:rsidRPr="00C60E75">
        <w:rPr>
          <w:rFonts w:ascii="Arial" w:hAnsi="Arial" w:cs="Arial"/>
          <w:sz w:val="22"/>
          <w:szCs w:val="22"/>
        </w:rPr>
        <w:t xml:space="preserve"> indexador utilizado para a atualização do saldo de AFAC</w:t>
      </w:r>
      <w:r w:rsidR="00C60E75">
        <w:rPr>
          <w:rFonts w:ascii="Arial" w:hAnsi="Arial" w:cs="Arial"/>
          <w:sz w:val="22"/>
          <w:szCs w:val="22"/>
        </w:rPr>
        <w:t xml:space="preserve">, </w:t>
      </w:r>
      <w:r w:rsidR="00C60E75" w:rsidRPr="00C60E75">
        <w:rPr>
          <w:rFonts w:ascii="Arial" w:hAnsi="Arial" w:cs="Arial"/>
          <w:sz w:val="22"/>
          <w:szCs w:val="22"/>
        </w:rPr>
        <w:t>e pela entrada de novos recursos aportados ao longo do período.</w:t>
      </w:r>
    </w:p>
    <w:p w14:paraId="1CDA49EB" w14:textId="77777777" w:rsidR="00E614A9" w:rsidRDefault="00E614A9" w:rsidP="00955E68">
      <w:pPr>
        <w:spacing w:line="276" w:lineRule="auto"/>
        <w:jc w:val="both"/>
        <w:rPr>
          <w:rFonts w:ascii="Arial" w:hAnsi="Arial" w:cs="Arial"/>
          <w:sz w:val="14"/>
          <w:szCs w:val="14"/>
        </w:rPr>
      </w:pPr>
    </w:p>
    <w:p w14:paraId="4417D93D" w14:textId="77777777" w:rsidR="007967C8" w:rsidRPr="001F337A" w:rsidRDefault="007967C8" w:rsidP="007967C8">
      <w:pPr>
        <w:pStyle w:val="Ttulo2"/>
        <w:numPr>
          <w:ilvl w:val="0"/>
          <w:numId w:val="7"/>
        </w:numPr>
        <w:tabs>
          <w:tab w:val="clear" w:pos="284"/>
          <w:tab w:val="clear" w:pos="340"/>
        </w:tabs>
        <w:spacing w:before="0" w:after="0"/>
        <w:ind w:left="851" w:hanging="851"/>
        <w:jc w:val="both"/>
        <w:rPr>
          <w:rFonts w:ascii="Arial" w:hAnsi="Arial" w:cs="Arial"/>
        </w:rPr>
      </w:pPr>
      <w:r w:rsidRPr="001F337A">
        <w:rPr>
          <w:rFonts w:ascii="Arial" w:hAnsi="Arial" w:cs="Arial"/>
        </w:rPr>
        <w:t>BENEFÍCIOS PÓS-EMPREGO</w:t>
      </w:r>
    </w:p>
    <w:p w14:paraId="59986D84" w14:textId="77777777" w:rsidR="00150C32" w:rsidRPr="001F337A" w:rsidRDefault="00150C32" w:rsidP="00150C32">
      <w:bookmarkStart w:id="64" w:name="_Hlk32905265"/>
    </w:p>
    <w:p w14:paraId="47AE35EC" w14:textId="77777777" w:rsidR="00150C32" w:rsidRPr="001F337A" w:rsidRDefault="00150C32" w:rsidP="00150C32">
      <w:pPr>
        <w:pStyle w:val="Ttulo2"/>
        <w:numPr>
          <w:ilvl w:val="1"/>
          <w:numId w:val="7"/>
        </w:numPr>
        <w:tabs>
          <w:tab w:val="clear" w:pos="284"/>
          <w:tab w:val="clear" w:pos="340"/>
        </w:tabs>
        <w:spacing w:before="0" w:after="0" w:line="276" w:lineRule="auto"/>
        <w:ind w:left="851" w:hanging="851"/>
        <w:jc w:val="both"/>
        <w:rPr>
          <w:rFonts w:ascii="Arial" w:hAnsi="Arial" w:cs="Arial"/>
        </w:rPr>
      </w:pPr>
      <w:r w:rsidRPr="001F337A">
        <w:rPr>
          <w:rFonts w:ascii="Arial" w:hAnsi="Arial" w:cs="Arial"/>
        </w:rPr>
        <w:t>Fundação Sistel de Seguridade Social (SISTEL)</w:t>
      </w:r>
    </w:p>
    <w:p w14:paraId="015777D4" w14:textId="77777777" w:rsidR="00150C32" w:rsidRPr="001F337A" w:rsidRDefault="00150C32" w:rsidP="00150C32">
      <w:pPr>
        <w:spacing w:line="276" w:lineRule="auto"/>
      </w:pPr>
    </w:p>
    <w:bookmarkEnd w:id="64"/>
    <w:p w14:paraId="139CB25F" w14:textId="77777777" w:rsidR="00150C32" w:rsidRPr="00BC6EA1" w:rsidRDefault="00150C32" w:rsidP="00150C32">
      <w:pPr>
        <w:pStyle w:val="Corpodetexto"/>
        <w:spacing w:before="0" w:after="0" w:line="276" w:lineRule="auto"/>
        <w:rPr>
          <w:rFonts w:ascii="Arial" w:hAnsi="Arial" w:cs="Arial"/>
        </w:rPr>
      </w:pPr>
      <w:r w:rsidRPr="00BC6EA1">
        <w:rPr>
          <w:rFonts w:ascii="Arial" w:hAnsi="Arial" w:cs="Arial"/>
        </w:rPr>
        <w:t xml:space="preserve">A Telebras e outras empresas do antigo Sistema Telebras patrocinavam planos de previdência privada e de assistência médica aos aposentados, administrados pela Fundação Sistel de Seguridade Social (SISTEL).  </w:t>
      </w:r>
    </w:p>
    <w:p w14:paraId="7D739C62" w14:textId="77777777" w:rsidR="00150C32" w:rsidRPr="00BC6EA1" w:rsidRDefault="00150C32" w:rsidP="00150C32">
      <w:pPr>
        <w:pStyle w:val="Corpodetexto"/>
        <w:spacing w:before="0" w:after="0" w:line="276" w:lineRule="auto"/>
        <w:rPr>
          <w:rFonts w:ascii="Arial" w:hAnsi="Arial" w:cs="Arial"/>
        </w:rPr>
        <w:sectPr w:rsidR="00150C32" w:rsidRPr="00BC6EA1" w:rsidSect="000935A0">
          <w:headerReference w:type="default" r:id="rId40"/>
          <w:footerReference w:type="default" r:id="rId41"/>
          <w:type w:val="continuous"/>
          <w:pgSz w:w="11906" w:h="16838" w:code="9"/>
          <w:pgMar w:top="848" w:right="849" w:bottom="993" w:left="1276" w:header="850" w:footer="1134" w:gutter="0"/>
          <w:cols w:space="708"/>
          <w:docGrid w:linePitch="360"/>
        </w:sectPr>
      </w:pPr>
    </w:p>
    <w:p w14:paraId="574357F2" w14:textId="77777777" w:rsidR="00150C32" w:rsidRPr="00BC6EA1" w:rsidRDefault="00150C32" w:rsidP="00150C32">
      <w:pPr>
        <w:pStyle w:val="Corpodetexto"/>
        <w:spacing w:before="0" w:after="0" w:line="276" w:lineRule="auto"/>
        <w:rPr>
          <w:rFonts w:ascii="Arial" w:hAnsi="Arial" w:cs="Arial"/>
        </w:rPr>
      </w:pPr>
    </w:p>
    <w:p w14:paraId="4D91B634" w14:textId="77777777" w:rsidR="00150C32" w:rsidRPr="00BC6EA1" w:rsidRDefault="00150C32" w:rsidP="00150C32">
      <w:pPr>
        <w:pStyle w:val="Corpodetexto"/>
        <w:spacing w:before="0" w:after="0" w:line="276" w:lineRule="auto"/>
        <w:rPr>
          <w:rFonts w:ascii="Arial" w:hAnsi="Arial" w:cs="Arial"/>
        </w:rPr>
      </w:pPr>
      <w:r w:rsidRPr="00BC6EA1">
        <w:rPr>
          <w:rFonts w:ascii="Arial" w:hAnsi="Arial" w:cs="Arial"/>
        </w:rPr>
        <w:t>Em 28 de dezembro de 1999, as patrocinadoras dos referidos planos negociaram condições para a criação de planos individualizados de aposentadoria por patrocinadora, resultando em uma proposta de reestruturação do Estatuto e Regulamento da SISTEL, que foi aprovada pela Secretaria de Previdência Complementar, em 13 de janeiro de 2000.</w:t>
      </w:r>
    </w:p>
    <w:p w14:paraId="6A07DA2E" w14:textId="77777777" w:rsidR="00150C32" w:rsidRPr="00BC6EA1" w:rsidRDefault="00150C32" w:rsidP="00150C32">
      <w:pPr>
        <w:pStyle w:val="Corpodetexto"/>
        <w:spacing w:before="0" w:after="0" w:line="276" w:lineRule="auto"/>
        <w:ind w:left="360"/>
        <w:rPr>
          <w:rFonts w:ascii="Arial" w:hAnsi="Arial" w:cs="Arial"/>
        </w:rPr>
      </w:pPr>
    </w:p>
    <w:p w14:paraId="4A4A0920" w14:textId="77777777" w:rsidR="00150C32" w:rsidRPr="00BC6EA1" w:rsidRDefault="00150C32" w:rsidP="00150C32">
      <w:pPr>
        <w:pStyle w:val="Corpodetexto"/>
        <w:spacing w:before="0" w:after="0" w:line="276" w:lineRule="auto"/>
        <w:rPr>
          <w:rFonts w:ascii="Arial" w:hAnsi="Arial" w:cs="Arial"/>
        </w:rPr>
      </w:pPr>
      <w:r w:rsidRPr="00BC6EA1">
        <w:rPr>
          <w:rFonts w:ascii="Arial" w:hAnsi="Arial" w:cs="Arial"/>
        </w:rPr>
        <w:t>As modificações efetuadas no Estatuto da SISTEL visaram adequá-lo à administração de outros planos de benefícios, decorrentes da sua nova condição de entidade multipatrocinada, haja vista a realidade surgida com a desestatização do Sistema Telebras.</w:t>
      </w:r>
    </w:p>
    <w:p w14:paraId="154CF87B" w14:textId="77777777" w:rsidR="00150C32" w:rsidRPr="00BC6EA1" w:rsidRDefault="00150C32" w:rsidP="00150C32">
      <w:pPr>
        <w:pStyle w:val="Corpodetexto"/>
        <w:spacing w:before="0" w:after="0" w:line="276" w:lineRule="auto"/>
        <w:ind w:left="360"/>
        <w:rPr>
          <w:rFonts w:ascii="Arial" w:hAnsi="Arial" w:cs="Arial"/>
        </w:rPr>
      </w:pPr>
    </w:p>
    <w:p w14:paraId="44E530B8" w14:textId="77777777" w:rsidR="00150C32" w:rsidRPr="00BC6EA1" w:rsidRDefault="00150C32" w:rsidP="00150C32">
      <w:pPr>
        <w:pStyle w:val="Corpodetexto"/>
        <w:tabs>
          <w:tab w:val="decimal" w:pos="2880"/>
        </w:tabs>
        <w:spacing w:before="0" w:after="0" w:line="276" w:lineRule="auto"/>
        <w:rPr>
          <w:rFonts w:ascii="Arial" w:hAnsi="Arial" w:cs="Arial"/>
        </w:rPr>
      </w:pPr>
      <w:r w:rsidRPr="00BC6EA1">
        <w:rPr>
          <w:rFonts w:ascii="Arial" w:hAnsi="Arial" w:cs="Arial"/>
        </w:rPr>
        <w:t xml:space="preserve">Tal versão estatutária contempla a reestruturação do Plano de Benefícios da SISTEL (PBS) em diversos planos, com a distribuição escritural dos encargos e a correspondente parcela patrimonial que compõe o patrimônio da SISTEL entre diversos planos de benefícios previdenciários, divididos em </w:t>
      </w:r>
      <w:r w:rsidRPr="00BC6EA1">
        <w:rPr>
          <w:rFonts w:ascii="Arial" w:hAnsi="Arial" w:cs="Arial"/>
          <w:b/>
          <w:bCs/>
        </w:rPr>
        <w:t>“</w:t>
      </w:r>
      <w:r w:rsidRPr="002065C9">
        <w:rPr>
          <w:rFonts w:ascii="Arial" w:hAnsi="Arial" w:cs="Arial"/>
          <w:bCs/>
        </w:rPr>
        <w:t xml:space="preserve">Plano PBS-A” </w:t>
      </w:r>
      <w:r w:rsidRPr="002065C9">
        <w:rPr>
          <w:rFonts w:ascii="Arial" w:hAnsi="Arial" w:cs="Arial"/>
        </w:rPr>
        <w:t xml:space="preserve">e </w:t>
      </w:r>
      <w:r w:rsidRPr="002065C9">
        <w:rPr>
          <w:rFonts w:ascii="Arial" w:hAnsi="Arial" w:cs="Arial"/>
          <w:bCs/>
        </w:rPr>
        <w:t>“Planos de Patrocinadoras</w:t>
      </w:r>
      <w:r w:rsidRPr="00BC6EA1">
        <w:rPr>
          <w:rFonts w:ascii="Arial" w:hAnsi="Arial" w:cs="Arial"/>
          <w:b/>
          <w:bCs/>
        </w:rPr>
        <w:t>”</w:t>
      </w:r>
      <w:r w:rsidRPr="00BC6EA1">
        <w:rPr>
          <w:rFonts w:ascii="Arial" w:hAnsi="Arial" w:cs="Arial"/>
        </w:rPr>
        <w:t>. A segregação contábil dos referidos planos foi implementada pela SISTEL, a partir de 1</w:t>
      </w:r>
      <w:r>
        <w:rPr>
          <w:rFonts w:ascii="Arial" w:hAnsi="Arial" w:cs="Arial"/>
        </w:rPr>
        <w:t>º</w:t>
      </w:r>
      <w:r w:rsidRPr="00BC6EA1">
        <w:rPr>
          <w:rFonts w:ascii="Arial" w:hAnsi="Arial" w:cs="Arial"/>
        </w:rPr>
        <w:t xml:space="preserve"> de fevereiro de 2000.</w:t>
      </w:r>
    </w:p>
    <w:p w14:paraId="278AD8DD" w14:textId="77777777" w:rsidR="00150C32" w:rsidRPr="00BC6EA1" w:rsidRDefault="00150C32" w:rsidP="00150C32"/>
    <w:p w14:paraId="14AE5DD8" w14:textId="77777777" w:rsidR="00150C32" w:rsidRDefault="00150C32" w:rsidP="00150C32">
      <w:pPr>
        <w:pStyle w:val="Ttulo2"/>
        <w:numPr>
          <w:ilvl w:val="1"/>
          <w:numId w:val="7"/>
        </w:numPr>
        <w:tabs>
          <w:tab w:val="clear" w:pos="284"/>
          <w:tab w:val="clear" w:pos="340"/>
        </w:tabs>
        <w:spacing w:before="0" w:after="0" w:line="276" w:lineRule="auto"/>
        <w:ind w:left="851" w:hanging="851"/>
        <w:jc w:val="both"/>
        <w:rPr>
          <w:rFonts w:ascii="Arial" w:hAnsi="Arial" w:cs="Arial"/>
        </w:rPr>
      </w:pPr>
      <w:r>
        <w:rPr>
          <w:rFonts w:ascii="Arial" w:hAnsi="Arial" w:cs="Arial"/>
        </w:rPr>
        <w:t>Planos de Benefícios Telebras</w:t>
      </w:r>
    </w:p>
    <w:p w14:paraId="0052ECDB" w14:textId="77777777" w:rsidR="00150C32" w:rsidRPr="000935A0" w:rsidRDefault="00150C32" w:rsidP="00150C32">
      <w:pPr>
        <w:rPr>
          <w:sz w:val="16"/>
          <w:szCs w:val="16"/>
        </w:rPr>
      </w:pPr>
    </w:p>
    <w:p w14:paraId="085548AE" w14:textId="77777777" w:rsidR="00150C32" w:rsidRPr="00BC6EA1" w:rsidRDefault="00150C32" w:rsidP="00150C32">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t>Plano Benefícios PBS - A</w:t>
      </w:r>
    </w:p>
    <w:p w14:paraId="4AD1FAC0" w14:textId="77777777" w:rsidR="00150C32" w:rsidRPr="003A5176" w:rsidRDefault="00150C32" w:rsidP="00150C32">
      <w:pPr>
        <w:spacing w:before="120" w:after="120" w:line="276" w:lineRule="auto"/>
        <w:jc w:val="both"/>
        <w:rPr>
          <w:rFonts w:ascii="Arial" w:hAnsi="Arial" w:cs="Arial"/>
          <w:sz w:val="22"/>
          <w:szCs w:val="22"/>
        </w:rPr>
      </w:pPr>
      <w:r w:rsidRPr="003A5176">
        <w:rPr>
          <w:rFonts w:ascii="Arial" w:hAnsi="Arial" w:cs="Arial"/>
          <w:sz w:val="22"/>
          <w:szCs w:val="22"/>
        </w:rPr>
        <w:t xml:space="preserve">O plano de Benefícios PBS-A (CNPB nº 19.910.010-29) é estruturado na modalidade de benefício definido, sendo patrocinado, dentre outras empresas, pela Telebrás, nos termos dos convênios de adesão, regulamentos e estatuto relativos ao mencionado plano. O plano oferece rendas vitalícias de </w:t>
      </w:r>
      <w:r w:rsidRPr="003A5176">
        <w:rPr>
          <w:rFonts w:ascii="Arial" w:hAnsi="Arial" w:cs="Arial"/>
          <w:sz w:val="22"/>
          <w:szCs w:val="22"/>
        </w:rPr>
        <w:lastRenderedPageBreak/>
        <w:t>aposentadoria e pensão, bem como pagamentos únicos de pecúlios por morte, auxílio-doença, auxílio-reclusão e abono anual conforme discriminados no regulamento do plano de benefícios. Em resumo, o PBS-A oferece aos seus participantes:</w:t>
      </w:r>
    </w:p>
    <w:p w14:paraId="748D8129" w14:textId="77777777" w:rsidR="00150C32" w:rsidRPr="004756F6" w:rsidRDefault="00150C32" w:rsidP="00150C32">
      <w:pPr>
        <w:pStyle w:val="PargrafodaLista"/>
        <w:numPr>
          <w:ilvl w:val="0"/>
          <w:numId w:val="3"/>
        </w:numPr>
        <w:spacing w:before="120" w:after="120"/>
        <w:rPr>
          <w:rFonts w:ascii="Arial" w:hAnsi="Arial" w:cs="Arial"/>
          <w:sz w:val="22"/>
          <w:szCs w:val="22"/>
        </w:rPr>
      </w:pPr>
      <w:r w:rsidRPr="004756F6">
        <w:rPr>
          <w:rFonts w:ascii="Arial" w:hAnsi="Arial" w:cs="Arial"/>
          <w:sz w:val="22"/>
          <w:szCs w:val="22"/>
        </w:rPr>
        <w:t>Aposentadoria por invalidez</w:t>
      </w:r>
    </w:p>
    <w:p w14:paraId="73A1089D" w14:textId="77777777" w:rsidR="00150C32" w:rsidRPr="003A5176" w:rsidRDefault="00150C32" w:rsidP="00150C32">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Aposentadoria idade</w:t>
      </w:r>
    </w:p>
    <w:p w14:paraId="03D45FA8" w14:textId="77777777" w:rsidR="00150C32" w:rsidRPr="003A5176" w:rsidRDefault="00150C32" w:rsidP="00150C32">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Aposentadoria por tempo de serviço</w:t>
      </w:r>
    </w:p>
    <w:p w14:paraId="056663D0" w14:textId="77777777" w:rsidR="00150C32" w:rsidRPr="003A5176" w:rsidRDefault="00150C32" w:rsidP="00150C32">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Aposentadoria especial</w:t>
      </w:r>
    </w:p>
    <w:p w14:paraId="440FC362" w14:textId="77777777" w:rsidR="00150C32" w:rsidRPr="003A5176" w:rsidRDefault="00150C32" w:rsidP="00150C32">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Auxílio-doença</w:t>
      </w:r>
    </w:p>
    <w:p w14:paraId="2BC74F82" w14:textId="77777777" w:rsidR="00150C32" w:rsidRPr="003A5176" w:rsidRDefault="00150C32" w:rsidP="00150C32">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Auxílio-reclusão</w:t>
      </w:r>
    </w:p>
    <w:p w14:paraId="1841FDF4" w14:textId="77777777" w:rsidR="00150C32" w:rsidRPr="003A5176" w:rsidRDefault="00150C32" w:rsidP="00150C32">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Abono anual</w:t>
      </w:r>
    </w:p>
    <w:p w14:paraId="36B8374F" w14:textId="77777777" w:rsidR="00150C32" w:rsidRPr="003A5176" w:rsidRDefault="00150C32" w:rsidP="00150C32">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Pensão por morte</w:t>
      </w:r>
    </w:p>
    <w:p w14:paraId="542E97FB" w14:textId="77777777" w:rsidR="00150C32" w:rsidRPr="003A5176" w:rsidRDefault="00150C32" w:rsidP="00150C32">
      <w:pPr>
        <w:numPr>
          <w:ilvl w:val="0"/>
          <w:numId w:val="3"/>
        </w:numPr>
        <w:spacing w:before="120" w:after="120" w:line="276" w:lineRule="auto"/>
        <w:jc w:val="both"/>
        <w:rPr>
          <w:rFonts w:ascii="Arial" w:hAnsi="Arial" w:cs="Arial"/>
          <w:sz w:val="22"/>
          <w:szCs w:val="22"/>
        </w:rPr>
      </w:pPr>
      <w:r w:rsidRPr="003A5176">
        <w:rPr>
          <w:rFonts w:ascii="Arial" w:hAnsi="Arial" w:cs="Arial"/>
          <w:sz w:val="22"/>
          <w:szCs w:val="22"/>
        </w:rPr>
        <w:t>Pecúlio por morte</w:t>
      </w:r>
    </w:p>
    <w:p w14:paraId="1A896090" w14:textId="77777777" w:rsidR="00150C32" w:rsidRPr="003A5176" w:rsidRDefault="00150C32" w:rsidP="00150C32">
      <w:pPr>
        <w:pStyle w:val="Recuodecorpodetexto2"/>
        <w:spacing w:before="120" w:line="276" w:lineRule="auto"/>
        <w:ind w:left="0"/>
        <w:jc w:val="both"/>
        <w:rPr>
          <w:rFonts w:ascii="Arial" w:hAnsi="Arial" w:cs="Arial"/>
          <w:sz w:val="22"/>
          <w:szCs w:val="22"/>
        </w:rPr>
      </w:pPr>
      <w:r w:rsidRPr="003A5176">
        <w:rPr>
          <w:rFonts w:ascii="Arial" w:hAnsi="Arial" w:cs="Arial"/>
          <w:sz w:val="22"/>
          <w:szCs w:val="22"/>
        </w:rPr>
        <w:t>As regras de elegibilidade e de cálculo dos benefícios estão expressas no respectivo regulamento, cuja versão que deu suporte a este trabalho é denominada de Regulamento do PBS-A, estando vigente desde 2009, cuja aprovação pela Secretaria de Previdência Complementar se deu através da Portaria nº 3.188, de 23 de novembro de 2009.</w:t>
      </w:r>
    </w:p>
    <w:p w14:paraId="234A28C4" w14:textId="77777777" w:rsidR="00150C32" w:rsidRPr="003A5176" w:rsidRDefault="00150C32" w:rsidP="00150C32">
      <w:pPr>
        <w:spacing w:before="120" w:after="120" w:line="276" w:lineRule="auto"/>
        <w:jc w:val="both"/>
        <w:rPr>
          <w:rFonts w:ascii="Arial" w:hAnsi="Arial" w:cs="Arial"/>
          <w:sz w:val="22"/>
          <w:szCs w:val="22"/>
        </w:rPr>
      </w:pPr>
      <w:r w:rsidRPr="003A5176">
        <w:rPr>
          <w:rFonts w:ascii="Arial" w:hAnsi="Arial" w:cs="Arial"/>
          <w:sz w:val="22"/>
          <w:szCs w:val="22"/>
        </w:rPr>
        <w:t>O plano de custeio previsto em regulamento é composto pelas seguintes fontes:</w:t>
      </w:r>
    </w:p>
    <w:p w14:paraId="6F0AA05F" w14:textId="77777777" w:rsidR="00150C32" w:rsidRPr="003A5176" w:rsidRDefault="00150C32" w:rsidP="00150C32">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ativos sobre o salário-de-participação;</w:t>
      </w:r>
    </w:p>
    <w:p w14:paraId="05B74D0F" w14:textId="77777777" w:rsidR="00150C32" w:rsidRPr="003A5176" w:rsidRDefault="00150C32" w:rsidP="00150C32">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Contribuição mensal de participantes assistidos que recebem abono de aposentadoria (mais de 30 anos de vinculação ao INSS), contribuem com 10% sobre o benefício global pago pela SISTEL, limitado ao valor do abono;</w:t>
      </w:r>
    </w:p>
    <w:p w14:paraId="6413E554" w14:textId="77777777" w:rsidR="00150C32" w:rsidRPr="003A5176" w:rsidRDefault="00150C32" w:rsidP="00150C32">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Contribuição mensal das patrocinadoras com percentual sobre a folha mensal de salário de todos os participantes definidos anualmente;</w:t>
      </w:r>
    </w:p>
    <w:p w14:paraId="6A51C026" w14:textId="77777777" w:rsidR="00150C32" w:rsidRPr="003A5176" w:rsidRDefault="00150C32" w:rsidP="00150C32">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Jóia de participantes ativos, determinada atuarialmente;</w:t>
      </w:r>
    </w:p>
    <w:p w14:paraId="5D455C93" w14:textId="77777777" w:rsidR="00150C32" w:rsidRPr="003A5176" w:rsidRDefault="00150C32" w:rsidP="00150C32">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Dotações das patrocinadoras; e</w:t>
      </w:r>
    </w:p>
    <w:p w14:paraId="48FD6D63" w14:textId="77777777" w:rsidR="00150C32" w:rsidRPr="00D8396F" w:rsidRDefault="00150C32" w:rsidP="00150C32">
      <w:pPr>
        <w:pStyle w:val="Recuodecorpodetexto3"/>
        <w:numPr>
          <w:ilvl w:val="0"/>
          <w:numId w:val="2"/>
        </w:numPr>
        <w:spacing w:before="120" w:line="276" w:lineRule="auto"/>
        <w:jc w:val="both"/>
        <w:rPr>
          <w:rFonts w:ascii="Arial" w:hAnsi="Arial" w:cs="Arial"/>
          <w:sz w:val="22"/>
          <w:szCs w:val="22"/>
        </w:rPr>
      </w:pPr>
      <w:r w:rsidRPr="003A5176">
        <w:rPr>
          <w:rFonts w:ascii="Arial" w:hAnsi="Arial" w:cs="Arial"/>
          <w:sz w:val="22"/>
          <w:szCs w:val="22"/>
        </w:rPr>
        <w:t>Receitas de aplicação do patrimônio.</w:t>
      </w:r>
    </w:p>
    <w:p w14:paraId="3D5A3DB7" w14:textId="77777777" w:rsidR="00150C32" w:rsidRPr="000935A0" w:rsidRDefault="00150C32" w:rsidP="00150C32">
      <w:pPr>
        <w:autoSpaceDE w:val="0"/>
        <w:autoSpaceDN w:val="0"/>
        <w:adjustRightInd w:val="0"/>
        <w:jc w:val="both"/>
        <w:rPr>
          <w:rFonts w:ascii="Arial" w:hAnsi="Arial" w:cs="Arial"/>
          <w:sz w:val="10"/>
          <w:szCs w:val="10"/>
        </w:rPr>
      </w:pPr>
    </w:p>
    <w:p w14:paraId="49FE6BA6" w14:textId="405354AA" w:rsidR="00150C32" w:rsidRDefault="00150C32" w:rsidP="00150C32">
      <w:pPr>
        <w:autoSpaceDE w:val="0"/>
        <w:autoSpaceDN w:val="0"/>
        <w:adjustRightInd w:val="0"/>
        <w:jc w:val="both"/>
        <w:rPr>
          <w:rFonts w:ascii="Arial" w:hAnsi="Arial" w:cs="Arial"/>
          <w:sz w:val="22"/>
          <w:szCs w:val="22"/>
        </w:rPr>
      </w:pPr>
      <w:r w:rsidRPr="002A36CE">
        <w:rPr>
          <w:rFonts w:ascii="Arial" w:hAnsi="Arial" w:cs="Arial"/>
          <w:sz w:val="22"/>
          <w:szCs w:val="22"/>
        </w:rPr>
        <w:t>Em 31 de março de 202</w:t>
      </w:r>
      <w:r w:rsidR="00B061C8">
        <w:rPr>
          <w:rFonts w:ascii="Arial" w:hAnsi="Arial" w:cs="Arial"/>
          <w:sz w:val="22"/>
          <w:szCs w:val="22"/>
        </w:rPr>
        <w:t>6</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2BBB22F0" w14:textId="77777777" w:rsidR="00A417B7" w:rsidRPr="000935A0" w:rsidRDefault="00A417B7" w:rsidP="00150C32">
      <w:pPr>
        <w:autoSpaceDE w:val="0"/>
        <w:autoSpaceDN w:val="0"/>
        <w:adjustRightInd w:val="0"/>
        <w:jc w:val="both"/>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5"/>
        <w:gridCol w:w="1640"/>
        <w:gridCol w:w="1776"/>
      </w:tblGrid>
      <w:tr w:rsidR="00B061C8" w:rsidRPr="008D6EF8" w14:paraId="4C88CD46" w14:textId="77777777" w:rsidTr="00B061C8">
        <w:trPr>
          <w:trHeight w:val="232"/>
        </w:trPr>
        <w:tc>
          <w:tcPr>
            <w:tcW w:w="3252" w:type="pct"/>
            <w:vMerge w:val="restart"/>
            <w:shd w:val="clear" w:color="000000" w:fill="D9D9D9"/>
            <w:vAlign w:val="center"/>
            <w:hideMark/>
          </w:tcPr>
          <w:p w14:paraId="74889078" w14:textId="77777777" w:rsidR="00B061C8" w:rsidRPr="008D6EF8" w:rsidRDefault="00B061C8">
            <w:pPr>
              <w:rPr>
                <w:rFonts w:ascii="Arial" w:hAnsi="Arial" w:cs="Arial"/>
                <w:b/>
                <w:bCs/>
                <w:color w:val="000000"/>
                <w:sz w:val="18"/>
                <w:szCs w:val="18"/>
              </w:rPr>
            </w:pPr>
            <w:r w:rsidRPr="008D6EF8">
              <w:rPr>
                <w:rFonts w:ascii="Arial" w:hAnsi="Arial" w:cs="Arial"/>
                <w:b/>
                <w:bCs/>
                <w:color w:val="000000"/>
                <w:sz w:val="18"/>
                <w:szCs w:val="18"/>
              </w:rPr>
              <w:t>Composição:</w:t>
            </w:r>
          </w:p>
        </w:tc>
        <w:tc>
          <w:tcPr>
            <w:tcW w:w="1748" w:type="pct"/>
            <w:gridSpan w:val="2"/>
            <w:vAlign w:val="center"/>
            <w:hideMark/>
          </w:tcPr>
          <w:p w14:paraId="361B3338" w14:textId="77777777" w:rsidR="00B061C8" w:rsidRPr="008D6EF8" w:rsidRDefault="00B061C8">
            <w:pPr>
              <w:jc w:val="center"/>
              <w:rPr>
                <w:rFonts w:ascii="Arial" w:hAnsi="Arial" w:cs="Arial"/>
                <w:b/>
                <w:bCs/>
                <w:color w:val="000000"/>
                <w:sz w:val="18"/>
                <w:szCs w:val="18"/>
              </w:rPr>
            </w:pPr>
            <w:r w:rsidRPr="008D6EF8">
              <w:rPr>
                <w:rFonts w:ascii="Arial" w:hAnsi="Arial" w:cs="Arial"/>
                <w:b/>
                <w:bCs/>
                <w:color w:val="000000"/>
                <w:sz w:val="18"/>
                <w:szCs w:val="18"/>
              </w:rPr>
              <w:t>PBS-A</w:t>
            </w:r>
          </w:p>
        </w:tc>
      </w:tr>
      <w:tr w:rsidR="00B061C8" w:rsidRPr="008D6EF8" w14:paraId="148E0EEC" w14:textId="77777777" w:rsidTr="00B061C8">
        <w:trPr>
          <w:trHeight w:val="232"/>
        </w:trPr>
        <w:tc>
          <w:tcPr>
            <w:tcW w:w="3252" w:type="pct"/>
            <w:vMerge/>
            <w:vAlign w:val="center"/>
            <w:hideMark/>
          </w:tcPr>
          <w:p w14:paraId="3737DFC8" w14:textId="77777777" w:rsidR="00B061C8" w:rsidRPr="008D6EF8" w:rsidRDefault="00B061C8">
            <w:pPr>
              <w:rPr>
                <w:rFonts w:ascii="Arial" w:hAnsi="Arial" w:cs="Arial"/>
                <w:b/>
                <w:bCs/>
                <w:color w:val="000000"/>
                <w:sz w:val="18"/>
                <w:szCs w:val="18"/>
              </w:rPr>
            </w:pPr>
          </w:p>
        </w:tc>
        <w:tc>
          <w:tcPr>
            <w:tcW w:w="839" w:type="pct"/>
            <w:vAlign w:val="center"/>
            <w:hideMark/>
          </w:tcPr>
          <w:p w14:paraId="7590BDF7" w14:textId="77777777" w:rsidR="00B061C8" w:rsidRPr="008D6EF8" w:rsidRDefault="00B061C8">
            <w:pPr>
              <w:jc w:val="center"/>
              <w:rPr>
                <w:rFonts w:ascii="Arial" w:hAnsi="Arial" w:cs="Arial"/>
                <w:b/>
                <w:bCs/>
                <w:color w:val="000000"/>
                <w:sz w:val="18"/>
                <w:szCs w:val="18"/>
              </w:rPr>
            </w:pPr>
            <w:r w:rsidRPr="008D6EF8">
              <w:rPr>
                <w:rFonts w:ascii="Arial" w:hAnsi="Arial" w:cs="Arial"/>
                <w:b/>
                <w:bCs/>
                <w:color w:val="000000"/>
                <w:sz w:val="18"/>
                <w:szCs w:val="18"/>
              </w:rPr>
              <w:t>31/03/2026</w:t>
            </w:r>
          </w:p>
        </w:tc>
        <w:tc>
          <w:tcPr>
            <w:tcW w:w="909" w:type="pct"/>
            <w:vAlign w:val="center"/>
            <w:hideMark/>
          </w:tcPr>
          <w:p w14:paraId="4CD4A36B" w14:textId="77777777" w:rsidR="00B061C8" w:rsidRPr="008D6EF8" w:rsidRDefault="00B061C8">
            <w:pPr>
              <w:jc w:val="center"/>
              <w:rPr>
                <w:rFonts w:ascii="Arial" w:hAnsi="Arial" w:cs="Arial"/>
                <w:b/>
                <w:bCs/>
                <w:color w:val="000000"/>
                <w:sz w:val="18"/>
                <w:szCs w:val="18"/>
              </w:rPr>
            </w:pPr>
            <w:r w:rsidRPr="008D6EF8">
              <w:rPr>
                <w:rFonts w:ascii="Arial" w:hAnsi="Arial" w:cs="Arial"/>
                <w:b/>
                <w:bCs/>
                <w:color w:val="000000"/>
                <w:sz w:val="18"/>
                <w:szCs w:val="18"/>
              </w:rPr>
              <w:t>31/03/2025</w:t>
            </w:r>
          </w:p>
        </w:tc>
      </w:tr>
      <w:tr w:rsidR="00B061C8" w:rsidRPr="008D6EF8" w14:paraId="7BF66125" w14:textId="77777777" w:rsidTr="00B061C8">
        <w:trPr>
          <w:trHeight w:val="232"/>
        </w:trPr>
        <w:tc>
          <w:tcPr>
            <w:tcW w:w="3252" w:type="pct"/>
            <w:noWrap/>
            <w:vAlign w:val="center"/>
            <w:hideMark/>
          </w:tcPr>
          <w:p w14:paraId="28DF3F6A" w14:textId="77777777" w:rsidR="00B061C8" w:rsidRPr="008D6EF8" w:rsidRDefault="00B061C8">
            <w:pPr>
              <w:rPr>
                <w:rFonts w:ascii="Arial" w:hAnsi="Arial" w:cs="Arial"/>
                <w:b/>
                <w:bCs/>
                <w:color w:val="000000"/>
                <w:sz w:val="18"/>
                <w:szCs w:val="18"/>
              </w:rPr>
            </w:pPr>
            <w:r w:rsidRPr="008D6EF8">
              <w:rPr>
                <w:rFonts w:ascii="Arial" w:hAnsi="Arial" w:cs="Arial"/>
                <w:b/>
                <w:bCs/>
                <w:color w:val="000000"/>
                <w:sz w:val="18"/>
                <w:szCs w:val="18"/>
              </w:rPr>
              <w:t>Total dos Ativos do Plano</w:t>
            </w:r>
          </w:p>
        </w:tc>
        <w:tc>
          <w:tcPr>
            <w:tcW w:w="839" w:type="pct"/>
            <w:noWrap/>
            <w:vAlign w:val="center"/>
            <w:hideMark/>
          </w:tcPr>
          <w:p w14:paraId="17908A85" w14:textId="53BF9F24" w:rsidR="00B061C8" w:rsidRPr="008D6EF8" w:rsidRDefault="00B061C8">
            <w:pPr>
              <w:jc w:val="right"/>
              <w:rPr>
                <w:rFonts w:ascii="Arial" w:hAnsi="Arial" w:cs="Arial"/>
                <w:b/>
                <w:bCs/>
                <w:color w:val="000000"/>
                <w:sz w:val="18"/>
                <w:szCs w:val="18"/>
              </w:rPr>
            </w:pPr>
            <w:r w:rsidRPr="008D6EF8">
              <w:rPr>
                <w:rFonts w:ascii="Arial" w:hAnsi="Arial" w:cs="Arial"/>
                <w:b/>
                <w:bCs/>
                <w:color w:val="000000"/>
                <w:sz w:val="18"/>
                <w:szCs w:val="18"/>
              </w:rPr>
              <w:t>14.216.556</w:t>
            </w:r>
          </w:p>
        </w:tc>
        <w:tc>
          <w:tcPr>
            <w:tcW w:w="909" w:type="pct"/>
            <w:noWrap/>
            <w:vAlign w:val="center"/>
            <w:hideMark/>
          </w:tcPr>
          <w:p w14:paraId="1F1ECEF5" w14:textId="4D7631D2" w:rsidR="00B061C8" w:rsidRPr="008D6EF8" w:rsidRDefault="00B061C8">
            <w:pPr>
              <w:jc w:val="right"/>
              <w:rPr>
                <w:rFonts w:ascii="Arial" w:hAnsi="Arial" w:cs="Arial"/>
                <w:b/>
                <w:bCs/>
                <w:color w:val="000000"/>
                <w:sz w:val="18"/>
                <w:szCs w:val="18"/>
              </w:rPr>
            </w:pPr>
            <w:r w:rsidRPr="008D6EF8">
              <w:rPr>
                <w:rFonts w:ascii="Arial" w:hAnsi="Arial" w:cs="Arial"/>
                <w:b/>
                <w:bCs/>
                <w:color w:val="000000"/>
                <w:sz w:val="18"/>
                <w:szCs w:val="18"/>
              </w:rPr>
              <w:t>14.610.731</w:t>
            </w:r>
          </w:p>
        </w:tc>
      </w:tr>
      <w:tr w:rsidR="00B061C8" w:rsidRPr="008D6EF8" w14:paraId="63AC10C7" w14:textId="77777777" w:rsidTr="00B061C8">
        <w:trPr>
          <w:trHeight w:val="232"/>
        </w:trPr>
        <w:tc>
          <w:tcPr>
            <w:tcW w:w="3252" w:type="pct"/>
            <w:noWrap/>
            <w:vAlign w:val="center"/>
            <w:hideMark/>
          </w:tcPr>
          <w:p w14:paraId="35F9C7F8" w14:textId="77777777" w:rsidR="00B061C8" w:rsidRPr="008D6EF8" w:rsidRDefault="00B061C8">
            <w:pPr>
              <w:rPr>
                <w:rFonts w:ascii="Arial" w:hAnsi="Arial" w:cs="Arial"/>
                <w:color w:val="000000"/>
                <w:sz w:val="18"/>
                <w:szCs w:val="18"/>
              </w:rPr>
            </w:pPr>
            <w:r w:rsidRPr="008D6EF8">
              <w:rPr>
                <w:rFonts w:ascii="Arial" w:hAnsi="Arial" w:cs="Arial"/>
                <w:color w:val="000000"/>
                <w:sz w:val="18"/>
                <w:szCs w:val="18"/>
              </w:rPr>
              <w:t> </w:t>
            </w:r>
          </w:p>
        </w:tc>
        <w:tc>
          <w:tcPr>
            <w:tcW w:w="839" w:type="pct"/>
            <w:noWrap/>
            <w:vAlign w:val="center"/>
            <w:hideMark/>
          </w:tcPr>
          <w:p w14:paraId="4A7954ED" w14:textId="77777777" w:rsidR="00B061C8" w:rsidRPr="008D6EF8" w:rsidRDefault="00B061C8">
            <w:pPr>
              <w:jc w:val="right"/>
              <w:rPr>
                <w:rFonts w:ascii="Arial" w:hAnsi="Arial" w:cs="Arial"/>
                <w:color w:val="000000"/>
                <w:sz w:val="18"/>
                <w:szCs w:val="18"/>
              </w:rPr>
            </w:pPr>
            <w:r w:rsidRPr="008D6EF8">
              <w:rPr>
                <w:rFonts w:ascii="Arial" w:hAnsi="Arial" w:cs="Arial"/>
                <w:color w:val="000000"/>
                <w:sz w:val="18"/>
                <w:szCs w:val="18"/>
              </w:rPr>
              <w:t> </w:t>
            </w:r>
          </w:p>
        </w:tc>
        <w:tc>
          <w:tcPr>
            <w:tcW w:w="909" w:type="pct"/>
            <w:noWrap/>
            <w:vAlign w:val="center"/>
            <w:hideMark/>
          </w:tcPr>
          <w:p w14:paraId="2BBBEE27" w14:textId="77777777" w:rsidR="00B061C8" w:rsidRPr="008D6EF8" w:rsidRDefault="00B061C8">
            <w:pPr>
              <w:jc w:val="right"/>
              <w:rPr>
                <w:rFonts w:ascii="Arial" w:hAnsi="Arial" w:cs="Arial"/>
                <w:color w:val="000000"/>
                <w:sz w:val="18"/>
                <w:szCs w:val="18"/>
              </w:rPr>
            </w:pPr>
            <w:r w:rsidRPr="008D6EF8">
              <w:rPr>
                <w:rFonts w:ascii="Arial" w:hAnsi="Arial" w:cs="Arial"/>
                <w:color w:val="000000"/>
                <w:sz w:val="18"/>
                <w:szCs w:val="18"/>
              </w:rPr>
              <w:t> </w:t>
            </w:r>
          </w:p>
        </w:tc>
      </w:tr>
      <w:tr w:rsidR="00B061C8" w:rsidRPr="008D6EF8" w14:paraId="6E74F9F1" w14:textId="77777777" w:rsidTr="00B061C8">
        <w:trPr>
          <w:trHeight w:val="232"/>
        </w:trPr>
        <w:tc>
          <w:tcPr>
            <w:tcW w:w="3252" w:type="pct"/>
            <w:vAlign w:val="center"/>
            <w:hideMark/>
          </w:tcPr>
          <w:p w14:paraId="5B0C8E7D" w14:textId="77777777" w:rsidR="00B061C8" w:rsidRPr="008D6EF8" w:rsidRDefault="00B061C8">
            <w:pPr>
              <w:rPr>
                <w:rFonts w:ascii="Arial" w:hAnsi="Arial" w:cs="Arial"/>
                <w:color w:val="000000"/>
                <w:sz w:val="18"/>
                <w:szCs w:val="18"/>
              </w:rPr>
            </w:pPr>
            <w:r w:rsidRPr="008D6EF8">
              <w:rPr>
                <w:rFonts w:ascii="Arial" w:hAnsi="Arial" w:cs="Arial"/>
                <w:color w:val="000000"/>
                <w:sz w:val="18"/>
                <w:szCs w:val="18"/>
              </w:rPr>
              <w:t>Provisões Matemáticas e Fundos</w:t>
            </w:r>
          </w:p>
        </w:tc>
        <w:tc>
          <w:tcPr>
            <w:tcW w:w="839" w:type="pct"/>
            <w:noWrap/>
            <w:vAlign w:val="center"/>
            <w:hideMark/>
          </w:tcPr>
          <w:p w14:paraId="0BC33658" w14:textId="039026E1" w:rsidR="00B061C8" w:rsidRPr="008D6EF8" w:rsidRDefault="00B061C8">
            <w:pPr>
              <w:jc w:val="right"/>
              <w:rPr>
                <w:rFonts w:ascii="Arial" w:hAnsi="Arial" w:cs="Arial"/>
                <w:color w:val="000000"/>
                <w:sz w:val="18"/>
                <w:szCs w:val="18"/>
              </w:rPr>
            </w:pPr>
            <w:r w:rsidRPr="008D6EF8">
              <w:rPr>
                <w:rFonts w:ascii="Arial" w:hAnsi="Arial" w:cs="Arial"/>
                <w:color w:val="000000"/>
                <w:sz w:val="18"/>
                <w:szCs w:val="18"/>
              </w:rPr>
              <w:t>(11.139.006)</w:t>
            </w:r>
          </w:p>
        </w:tc>
        <w:tc>
          <w:tcPr>
            <w:tcW w:w="909" w:type="pct"/>
            <w:noWrap/>
            <w:vAlign w:val="center"/>
            <w:hideMark/>
          </w:tcPr>
          <w:p w14:paraId="5B0874C8" w14:textId="2F291F7E" w:rsidR="00B061C8" w:rsidRPr="008D6EF8" w:rsidRDefault="00B061C8">
            <w:pPr>
              <w:jc w:val="right"/>
              <w:rPr>
                <w:rFonts w:ascii="Arial" w:hAnsi="Arial" w:cs="Arial"/>
                <w:color w:val="000000"/>
                <w:sz w:val="18"/>
                <w:szCs w:val="18"/>
              </w:rPr>
            </w:pPr>
            <w:r w:rsidRPr="008D6EF8">
              <w:rPr>
                <w:rFonts w:ascii="Arial" w:hAnsi="Arial" w:cs="Arial"/>
                <w:color w:val="000000"/>
                <w:sz w:val="18"/>
                <w:szCs w:val="18"/>
              </w:rPr>
              <w:t>(11.458.392)</w:t>
            </w:r>
          </w:p>
        </w:tc>
      </w:tr>
      <w:tr w:rsidR="00B061C8" w:rsidRPr="008D6EF8" w14:paraId="0545585C" w14:textId="77777777" w:rsidTr="00B061C8">
        <w:trPr>
          <w:trHeight w:val="232"/>
        </w:trPr>
        <w:tc>
          <w:tcPr>
            <w:tcW w:w="3252" w:type="pct"/>
            <w:vAlign w:val="center"/>
            <w:hideMark/>
          </w:tcPr>
          <w:p w14:paraId="18A571DD" w14:textId="77777777" w:rsidR="00B061C8" w:rsidRPr="008D6EF8" w:rsidRDefault="00B061C8">
            <w:pPr>
              <w:rPr>
                <w:rFonts w:ascii="Arial" w:hAnsi="Arial" w:cs="Arial"/>
                <w:color w:val="000000"/>
                <w:sz w:val="18"/>
                <w:szCs w:val="18"/>
              </w:rPr>
            </w:pPr>
            <w:r w:rsidRPr="008D6EF8">
              <w:rPr>
                <w:rFonts w:ascii="Arial" w:hAnsi="Arial" w:cs="Arial"/>
                <w:color w:val="000000"/>
                <w:sz w:val="18"/>
                <w:szCs w:val="18"/>
              </w:rPr>
              <w:t>Outros Exigíveis</w:t>
            </w:r>
          </w:p>
        </w:tc>
        <w:tc>
          <w:tcPr>
            <w:tcW w:w="839" w:type="pct"/>
            <w:noWrap/>
            <w:vAlign w:val="center"/>
            <w:hideMark/>
          </w:tcPr>
          <w:p w14:paraId="1E0DE090" w14:textId="71A53DED" w:rsidR="00B061C8" w:rsidRPr="008D6EF8" w:rsidRDefault="00B061C8">
            <w:pPr>
              <w:jc w:val="right"/>
              <w:rPr>
                <w:rFonts w:ascii="Arial" w:hAnsi="Arial" w:cs="Arial"/>
                <w:color w:val="000000"/>
                <w:sz w:val="18"/>
                <w:szCs w:val="18"/>
              </w:rPr>
            </w:pPr>
            <w:r w:rsidRPr="008D6EF8">
              <w:rPr>
                <w:rFonts w:ascii="Arial" w:hAnsi="Arial" w:cs="Arial"/>
                <w:color w:val="000000"/>
                <w:sz w:val="18"/>
                <w:szCs w:val="18"/>
              </w:rPr>
              <w:t>(600.950)</w:t>
            </w:r>
          </w:p>
        </w:tc>
        <w:tc>
          <w:tcPr>
            <w:tcW w:w="909" w:type="pct"/>
            <w:noWrap/>
            <w:vAlign w:val="center"/>
            <w:hideMark/>
          </w:tcPr>
          <w:p w14:paraId="156CAD69" w14:textId="2D607851" w:rsidR="00B061C8" w:rsidRPr="008D6EF8" w:rsidRDefault="00B061C8">
            <w:pPr>
              <w:jc w:val="right"/>
              <w:rPr>
                <w:rFonts w:ascii="Arial" w:hAnsi="Arial" w:cs="Arial"/>
                <w:color w:val="000000"/>
                <w:sz w:val="18"/>
                <w:szCs w:val="18"/>
              </w:rPr>
            </w:pPr>
            <w:r w:rsidRPr="008D6EF8">
              <w:rPr>
                <w:rFonts w:ascii="Arial" w:hAnsi="Arial" w:cs="Arial"/>
                <w:color w:val="000000"/>
                <w:sz w:val="18"/>
                <w:szCs w:val="18"/>
              </w:rPr>
              <w:t>(981.219)</w:t>
            </w:r>
          </w:p>
        </w:tc>
      </w:tr>
      <w:tr w:rsidR="00B061C8" w:rsidRPr="008D6EF8" w14:paraId="096D3D00" w14:textId="77777777" w:rsidTr="00B061C8">
        <w:trPr>
          <w:trHeight w:val="232"/>
        </w:trPr>
        <w:tc>
          <w:tcPr>
            <w:tcW w:w="3252" w:type="pct"/>
            <w:vAlign w:val="center"/>
            <w:hideMark/>
          </w:tcPr>
          <w:p w14:paraId="505B7246" w14:textId="77777777" w:rsidR="00B061C8" w:rsidRPr="008D6EF8" w:rsidRDefault="00B061C8">
            <w:pPr>
              <w:rPr>
                <w:rFonts w:ascii="Arial" w:hAnsi="Arial" w:cs="Arial"/>
                <w:b/>
                <w:bCs/>
                <w:color w:val="000000"/>
                <w:sz w:val="18"/>
                <w:szCs w:val="18"/>
              </w:rPr>
            </w:pPr>
            <w:r w:rsidRPr="008D6EF8">
              <w:rPr>
                <w:rFonts w:ascii="Arial" w:hAnsi="Arial" w:cs="Arial"/>
                <w:b/>
                <w:bCs/>
                <w:color w:val="000000"/>
                <w:sz w:val="18"/>
                <w:szCs w:val="18"/>
              </w:rPr>
              <w:t>Total das provisões/fundos e outros exigíveis</w:t>
            </w:r>
          </w:p>
        </w:tc>
        <w:tc>
          <w:tcPr>
            <w:tcW w:w="839" w:type="pct"/>
            <w:noWrap/>
            <w:vAlign w:val="center"/>
            <w:hideMark/>
          </w:tcPr>
          <w:p w14:paraId="5F3BD1C0" w14:textId="67A69C4B" w:rsidR="00B061C8" w:rsidRPr="008D6EF8" w:rsidRDefault="00B061C8">
            <w:pPr>
              <w:jc w:val="right"/>
              <w:rPr>
                <w:rFonts w:ascii="Arial" w:hAnsi="Arial" w:cs="Arial"/>
                <w:b/>
                <w:bCs/>
                <w:color w:val="000000"/>
                <w:sz w:val="18"/>
                <w:szCs w:val="18"/>
              </w:rPr>
            </w:pPr>
            <w:r w:rsidRPr="008D6EF8">
              <w:rPr>
                <w:rFonts w:ascii="Arial" w:hAnsi="Arial" w:cs="Arial"/>
                <w:b/>
                <w:bCs/>
                <w:color w:val="000000"/>
                <w:sz w:val="18"/>
                <w:szCs w:val="18"/>
              </w:rPr>
              <w:t>(11.739.956)</w:t>
            </w:r>
          </w:p>
        </w:tc>
        <w:tc>
          <w:tcPr>
            <w:tcW w:w="909" w:type="pct"/>
            <w:noWrap/>
            <w:vAlign w:val="center"/>
            <w:hideMark/>
          </w:tcPr>
          <w:p w14:paraId="14EAA94A" w14:textId="05CAD486" w:rsidR="00B061C8" w:rsidRPr="008D6EF8" w:rsidRDefault="00B061C8">
            <w:pPr>
              <w:jc w:val="right"/>
              <w:rPr>
                <w:rFonts w:ascii="Arial" w:hAnsi="Arial" w:cs="Arial"/>
                <w:b/>
                <w:bCs/>
                <w:color w:val="000000"/>
                <w:sz w:val="18"/>
                <w:szCs w:val="18"/>
              </w:rPr>
            </w:pPr>
            <w:r w:rsidRPr="008D6EF8">
              <w:rPr>
                <w:rFonts w:ascii="Arial" w:hAnsi="Arial" w:cs="Arial"/>
                <w:b/>
                <w:bCs/>
                <w:color w:val="000000"/>
                <w:sz w:val="18"/>
                <w:szCs w:val="18"/>
              </w:rPr>
              <w:t>(12.439.611)</w:t>
            </w:r>
          </w:p>
        </w:tc>
      </w:tr>
      <w:tr w:rsidR="00B061C8" w:rsidRPr="008D6EF8" w14:paraId="305F19F7" w14:textId="77777777" w:rsidTr="00B061C8">
        <w:trPr>
          <w:trHeight w:val="232"/>
        </w:trPr>
        <w:tc>
          <w:tcPr>
            <w:tcW w:w="3252" w:type="pct"/>
            <w:noWrap/>
            <w:vAlign w:val="center"/>
            <w:hideMark/>
          </w:tcPr>
          <w:p w14:paraId="3EC9D68F" w14:textId="77777777" w:rsidR="00B061C8" w:rsidRPr="008D6EF8" w:rsidRDefault="00B061C8">
            <w:pPr>
              <w:rPr>
                <w:rFonts w:ascii="Calibri" w:hAnsi="Calibri" w:cs="Calibri"/>
                <w:color w:val="000000"/>
                <w:sz w:val="22"/>
                <w:szCs w:val="22"/>
              </w:rPr>
            </w:pPr>
            <w:r w:rsidRPr="008D6EF8">
              <w:rPr>
                <w:rFonts w:ascii="Calibri" w:hAnsi="Calibri" w:cs="Calibri"/>
                <w:color w:val="000000"/>
                <w:sz w:val="22"/>
                <w:szCs w:val="22"/>
              </w:rPr>
              <w:t> </w:t>
            </w:r>
          </w:p>
        </w:tc>
        <w:tc>
          <w:tcPr>
            <w:tcW w:w="839" w:type="pct"/>
            <w:noWrap/>
            <w:vAlign w:val="center"/>
            <w:hideMark/>
          </w:tcPr>
          <w:p w14:paraId="6038F035" w14:textId="77777777" w:rsidR="00B061C8" w:rsidRPr="008D6EF8" w:rsidRDefault="00B061C8">
            <w:pPr>
              <w:jc w:val="right"/>
              <w:rPr>
                <w:rFonts w:ascii="Calibri" w:hAnsi="Calibri" w:cs="Calibri"/>
                <w:color w:val="000000"/>
                <w:sz w:val="22"/>
                <w:szCs w:val="22"/>
              </w:rPr>
            </w:pPr>
            <w:r w:rsidRPr="008D6EF8">
              <w:rPr>
                <w:rFonts w:ascii="Calibri" w:hAnsi="Calibri" w:cs="Calibri"/>
                <w:color w:val="000000"/>
                <w:sz w:val="22"/>
                <w:szCs w:val="22"/>
              </w:rPr>
              <w:t> </w:t>
            </w:r>
          </w:p>
        </w:tc>
        <w:tc>
          <w:tcPr>
            <w:tcW w:w="909" w:type="pct"/>
            <w:noWrap/>
            <w:vAlign w:val="center"/>
            <w:hideMark/>
          </w:tcPr>
          <w:p w14:paraId="03640D4E" w14:textId="77777777" w:rsidR="00B061C8" w:rsidRPr="008D6EF8" w:rsidRDefault="00B061C8">
            <w:pPr>
              <w:jc w:val="right"/>
              <w:rPr>
                <w:rFonts w:ascii="Calibri" w:hAnsi="Calibri" w:cs="Calibri"/>
                <w:color w:val="000000"/>
                <w:sz w:val="22"/>
                <w:szCs w:val="22"/>
              </w:rPr>
            </w:pPr>
            <w:r w:rsidRPr="008D6EF8">
              <w:rPr>
                <w:rFonts w:ascii="Calibri" w:hAnsi="Calibri" w:cs="Calibri"/>
                <w:color w:val="000000"/>
                <w:sz w:val="22"/>
                <w:szCs w:val="22"/>
              </w:rPr>
              <w:t> </w:t>
            </w:r>
          </w:p>
        </w:tc>
      </w:tr>
      <w:tr w:rsidR="00B061C8" w14:paraId="68B28C7C" w14:textId="77777777" w:rsidTr="00B061C8">
        <w:trPr>
          <w:trHeight w:val="232"/>
        </w:trPr>
        <w:tc>
          <w:tcPr>
            <w:tcW w:w="3252" w:type="pct"/>
            <w:vAlign w:val="center"/>
            <w:hideMark/>
          </w:tcPr>
          <w:p w14:paraId="4B73EE26" w14:textId="77777777" w:rsidR="00B061C8" w:rsidRPr="008D6EF8" w:rsidRDefault="00B061C8">
            <w:pPr>
              <w:rPr>
                <w:rFonts w:ascii="Arial" w:hAnsi="Arial" w:cs="Arial"/>
                <w:b/>
                <w:bCs/>
                <w:color w:val="000000"/>
                <w:sz w:val="18"/>
                <w:szCs w:val="18"/>
              </w:rPr>
            </w:pPr>
            <w:r w:rsidRPr="008D6EF8">
              <w:rPr>
                <w:rFonts w:ascii="Arial" w:hAnsi="Arial" w:cs="Arial"/>
                <w:b/>
                <w:bCs/>
                <w:color w:val="000000"/>
                <w:sz w:val="18"/>
                <w:szCs w:val="18"/>
              </w:rPr>
              <w:t>(=) Superávit Acumulado</w:t>
            </w:r>
          </w:p>
        </w:tc>
        <w:tc>
          <w:tcPr>
            <w:tcW w:w="839" w:type="pct"/>
            <w:vAlign w:val="center"/>
            <w:hideMark/>
          </w:tcPr>
          <w:p w14:paraId="39840458" w14:textId="65D4C482" w:rsidR="00B061C8" w:rsidRPr="008D6EF8" w:rsidRDefault="00B061C8">
            <w:pPr>
              <w:jc w:val="right"/>
              <w:rPr>
                <w:rFonts w:ascii="Arial" w:hAnsi="Arial" w:cs="Arial"/>
                <w:b/>
                <w:bCs/>
                <w:color w:val="000000"/>
                <w:sz w:val="18"/>
                <w:szCs w:val="18"/>
              </w:rPr>
            </w:pPr>
            <w:r w:rsidRPr="008D6EF8">
              <w:rPr>
                <w:rFonts w:ascii="Arial" w:hAnsi="Arial" w:cs="Arial"/>
                <w:b/>
                <w:bCs/>
                <w:color w:val="000000"/>
                <w:sz w:val="18"/>
                <w:szCs w:val="18"/>
              </w:rPr>
              <w:t>2.476.600</w:t>
            </w:r>
          </w:p>
        </w:tc>
        <w:tc>
          <w:tcPr>
            <w:tcW w:w="909" w:type="pct"/>
            <w:vAlign w:val="center"/>
            <w:hideMark/>
          </w:tcPr>
          <w:p w14:paraId="18A763F6" w14:textId="495638E0" w:rsidR="00B061C8" w:rsidRDefault="00B061C8">
            <w:pPr>
              <w:jc w:val="right"/>
              <w:rPr>
                <w:rFonts w:ascii="Arial" w:hAnsi="Arial" w:cs="Arial"/>
                <w:b/>
                <w:bCs/>
                <w:color w:val="000000"/>
                <w:sz w:val="18"/>
                <w:szCs w:val="18"/>
              </w:rPr>
            </w:pPr>
            <w:r w:rsidRPr="008D6EF8">
              <w:rPr>
                <w:rFonts w:ascii="Arial" w:hAnsi="Arial" w:cs="Arial"/>
                <w:b/>
                <w:bCs/>
                <w:color w:val="000000"/>
                <w:sz w:val="18"/>
                <w:szCs w:val="18"/>
              </w:rPr>
              <w:t>2.171.120</w:t>
            </w:r>
          </w:p>
        </w:tc>
      </w:tr>
    </w:tbl>
    <w:p w14:paraId="1B927294" w14:textId="78E4F696" w:rsidR="00150C32" w:rsidRDefault="00150C32" w:rsidP="00150C32">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31 de março de 202</w:t>
      </w:r>
      <w:r w:rsidR="00B061C8">
        <w:rPr>
          <w:rFonts w:ascii="Arial" w:hAnsi="Arial" w:cs="Arial"/>
          <w:sz w:val="18"/>
          <w:szCs w:val="18"/>
        </w:rPr>
        <w:t>6</w:t>
      </w:r>
      <w:r w:rsidRPr="002A36CE">
        <w:rPr>
          <w:rFonts w:ascii="Arial" w:hAnsi="Arial" w:cs="Arial"/>
          <w:sz w:val="18"/>
          <w:szCs w:val="18"/>
        </w:rPr>
        <w:t xml:space="preserve"> e 31 de dezembro de 20</w:t>
      </w:r>
      <w:r>
        <w:rPr>
          <w:rFonts w:ascii="Arial" w:hAnsi="Arial" w:cs="Arial"/>
          <w:sz w:val="18"/>
          <w:szCs w:val="18"/>
        </w:rPr>
        <w:t>2</w:t>
      </w:r>
      <w:r w:rsidR="00B061C8">
        <w:rPr>
          <w:rFonts w:ascii="Arial" w:hAnsi="Arial" w:cs="Arial"/>
          <w:sz w:val="18"/>
          <w:szCs w:val="18"/>
        </w:rPr>
        <w:t>5</w:t>
      </w:r>
      <w:r w:rsidRPr="002A36CE">
        <w:rPr>
          <w:rFonts w:ascii="Arial" w:hAnsi="Arial" w:cs="Arial"/>
          <w:sz w:val="18"/>
          <w:szCs w:val="18"/>
        </w:rPr>
        <w:t>.</w:t>
      </w:r>
    </w:p>
    <w:p w14:paraId="5C425548" w14:textId="77777777" w:rsidR="00150C32" w:rsidRPr="00BC6EA1" w:rsidRDefault="00150C32" w:rsidP="00150C32">
      <w:pPr>
        <w:pStyle w:val="Ttulo2"/>
        <w:numPr>
          <w:ilvl w:val="2"/>
          <w:numId w:val="7"/>
        </w:numPr>
        <w:tabs>
          <w:tab w:val="clear" w:pos="284"/>
          <w:tab w:val="clear" w:pos="340"/>
        </w:tabs>
        <w:spacing w:before="0" w:after="0" w:line="276" w:lineRule="auto"/>
        <w:ind w:left="851" w:hanging="851"/>
        <w:jc w:val="both"/>
        <w:rPr>
          <w:rFonts w:ascii="Arial" w:hAnsi="Arial" w:cs="Arial"/>
        </w:rPr>
      </w:pPr>
      <w:r>
        <w:rPr>
          <w:rFonts w:ascii="Arial" w:hAnsi="Arial" w:cs="Arial"/>
        </w:rPr>
        <w:lastRenderedPageBreak/>
        <w:t>Plano de Benefícios PBS - Telebras</w:t>
      </w:r>
    </w:p>
    <w:p w14:paraId="77CE89DD" w14:textId="77777777" w:rsidR="00150C32" w:rsidRPr="00BC6EA1" w:rsidRDefault="00150C32" w:rsidP="00150C32">
      <w:pPr>
        <w:spacing w:line="276" w:lineRule="auto"/>
      </w:pPr>
    </w:p>
    <w:p w14:paraId="498BD3E7" w14:textId="77777777" w:rsidR="00150C32" w:rsidRPr="00BC0D4E" w:rsidRDefault="00150C32" w:rsidP="00150C32">
      <w:pPr>
        <w:spacing w:line="276" w:lineRule="auto"/>
        <w:jc w:val="both"/>
        <w:rPr>
          <w:rFonts w:ascii="Arial" w:hAnsi="Arial" w:cs="Arial"/>
          <w:sz w:val="22"/>
          <w:szCs w:val="22"/>
        </w:rPr>
      </w:pPr>
      <w:r w:rsidRPr="00BC0D4E">
        <w:rPr>
          <w:rFonts w:ascii="Arial" w:hAnsi="Arial" w:cs="Arial"/>
          <w:sz w:val="22"/>
          <w:szCs w:val="22"/>
        </w:rPr>
        <w:t>O plano de Benefícios PBS Telebrás (CNPB nº 20.000.019-47) é estruturado na modalidade de benefício definido, sendo patrocinado pela Telebrás, nos termos dos convênios de adesão, regulamentos e estatuto relativos ao mencionado plano. O plano oferece rendas vitalícias de aposentadoria, auxílio-doença, auxílio-reclusão, bem como pagamentos únicos de pecúlios por morte, conforme discriminados no regulamento do plano de benefícios. Em resumo, o PBS Telebrás oferece aos seus participantes:</w:t>
      </w:r>
    </w:p>
    <w:p w14:paraId="144D1F0F" w14:textId="77777777" w:rsidR="00150C32" w:rsidRPr="004756F6" w:rsidRDefault="00150C32" w:rsidP="00150C32">
      <w:pPr>
        <w:pStyle w:val="PargrafodaLista"/>
        <w:numPr>
          <w:ilvl w:val="0"/>
          <w:numId w:val="8"/>
        </w:numPr>
        <w:spacing w:before="120" w:after="120"/>
        <w:rPr>
          <w:rFonts w:ascii="Arial" w:hAnsi="Arial" w:cs="Arial"/>
          <w:sz w:val="22"/>
          <w:szCs w:val="22"/>
        </w:rPr>
      </w:pPr>
      <w:r w:rsidRPr="004756F6">
        <w:rPr>
          <w:rFonts w:ascii="Arial" w:hAnsi="Arial" w:cs="Arial"/>
          <w:sz w:val="22"/>
          <w:szCs w:val="22"/>
        </w:rPr>
        <w:t>Aposentadoria por idade</w:t>
      </w:r>
    </w:p>
    <w:p w14:paraId="6DAD49A1" w14:textId="77777777" w:rsidR="00150C32" w:rsidRPr="00F1463E" w:rsidRDefault="00150C32" w:rsidP="00150C32">
      <w:pPr>
        <w:pStyle w:val="PargrafodaLista"/>
        <w:numPr>
          <w:ilvl w:val="0"/>
          <w:numId w:val="8"/>
        </w:numPr>
        <w:spacing w:before="120" w:after="120"/>
        <w:rPr>
          <w:rFonts w:ascii="Arial" w:hAnsi="Arial" w:cs="Arial"/>
          <w:sz w:val="22"/>
          <w:szCs w:val="22"/>
        </w:rPr>
      </w:pPr>
      <w:r w:rsidRPr="00F1463E">
        <w:rPr>
          <w:rFonts w:ascii="Arial" w:hAnsi="Arial" w:cs="Arial"/>
          <w:sz w:val="22"/>
          <w:szCs w:val="22"/>
        </w:rPr>
        <w:t>Aposentadoria por tempo de serviço</w:t>
      </w:r>
    </w:p>
    <w:p w14:paraId="2BEE94C2" w14:textId="77777777" w:rsidR="00150C32" w:rsidRPr="00BC0D4E" w:rsidRDefault="00150C32" w:rsidP="00150C32">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Aposentadoria por invalidez</w:t>
      </w:r>
    </w:p>
    <w:p w14:paraId="7ACDA646" w14:textId="77777777" w:rsidR="00150C32" w:rsidRPr="00BC0D4E" w:rsidRDefault="00150C32" w:rsidP="00150C32">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Aposentadoria especial</w:t>
      </w:r>
    </w:p>
    <w:p w14:paraId="3E70B66D" w14:textId="77777777" w:rsidR="00150C32" w:rsidRPr="00BC0D4E" w:rsidRDefault="00150C32" w:rsidP="00150C32">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Auxílio-doença</w:t>
      </w:r>
    </w:p>
    <w:p w14:paraId="05135C20" w14:textId="77777777" w:rsidR="00150C32" w:rsidRPr="00BC0D4E" w:rsidRDefault="00150C32" w:rsidP="00150C32">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Auxílio-reclusão</w:t>
      </w:r>
    </w:p>
    <w:p w14:paraId="52C1FA03" w14:textId="77777777" w:rsidR="00150C32" w:rsidRPr="00BC0D4E" w:rsidRDefault="00150C32" w:rsidP="00150C32">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Abono anual</w:t>
      </w:r>
    </w:p>
    <w:p w14:paraId="76A11C61" w14:textId="77777777" w:rsidR="00150C32" w:rsidRPr="00BC0D4E" w:rsidRDefault="00150C32" w:rsidP="00150C32">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Pensão por morte</w:t>
      </w:r>
    </w:p>
    <w:p w14:paraId="1DCAA688" w14:textId="77777777" w:rsidR="00150C32" w:rsidRPr="00BC0D4E" w:rsidRDefault="00150C32" w:rsidP="00150C32">
      <w:pPr>
        <w:numPr>
          <w:ilvl w:val="0"/>
          <w:numId w:val="8"/>
        </w:numPr>
        <w:spacing w:before="120" w:after="120" w:line="276" w:lineRule="auto"/>
        <w:jc w:val="both"/>
        <w:rPr>
          <w:rFonts w:ascii="Arial" w:hAnsi="Arial" w:cs="Arial"/>
          <w:sz w:val="22"/>
          <w:szCs w:val="22"/>
        </w:rPr>
      </w:pPr>
      <w:r w:rsidRPr="00BC0D4E">
        <w:rPr>
          <w:rFonts w:ascii="Arial" w:hAnsi="Arial" w:cs="Arial"/>
          <w:sz w:val="22"/>
          <w:szCs w:val="22"/>
        </w:rPr>
        <w:t>Pecúlio por morte</w:t>
      </w:r>
    </w:p>
    <w:p w14:paraId="02637B76" w14:textId="77777777" w:rsidR="00150C32" w:rsidRPr="00BC0D4E" w:rsidRDefault="00150C32" w:rsidP="00150C32">
      <w:pPr>
        <w:pStyle w:val="Recuodecorpodetexto2"/>
        <w:spacing w:before="120" w:line="276" w:lineRule="auto"/>
        <w:ind w:left="0"/>
        <w:jc w:val="both"/>
        <w:rPr>
          <w:rFonts w:ascii="Arial" w:hAnsi="Arial" w:cs="Arial"/>
          <w:sz w:val="22"/>
          <w:szCs w:val="22"/>
        </w:rPr>
      </w:pPr>
      <w:r w:rsidRPr="00BC0D4E">
        <w:rPr>
          <w:rFonts w:ascii="Arial" w:hAnsi="Arial" w:cs="Arial"/>
          <w:sz w:val="22"/>
          <w:szCs w:val="22"/>
        </w:rPr>
        <w:t>As regras de elegibilidade e de cálculo dos benefícios estão expressas no respectivo regulamento, cuja versão que deu suporte a este trabalho é denominada de Regulamento do Plano de Benefícios PBS-Telebrás, estando vigente desde 2008, cuja aprovação pela Secretaria de Previdência Complementar se deu através da Portaria nº 2.537, de 25 de setembro de 2008.</w:t>
      </w:r>
    </w:p>
    <w:p w14:paraId="3D841F5B" w14:textId="77777777" w:rsidR="00150C32" w:rsidRPr="00BC0D4E" w:rsidRDefault="00150C32" w:rsidP="00150C32">
      <w:pPr>
        <w:spacing w:before="120" w:after="120" w:line="276" w:lineRule="auto"/>
        <w:jc w:val="both"/>
        <w:rPr>
          <w:rFonts w:ascii="Arial" w:hAnsi="Arial" w:cs="Arial"/>
          <w:sz w:val="22"/>
          <w:szCs w:val="22"/>
        </w:rPr>
      </w:pPr>
      <w:r w:rsidRPr="00BC0D4E">
        <w:rPr>
          <w:rFonts w:ascii="Arial" w:hAnsi="Arial" w:cs="Arial"/>
          <w:sz w:val="22"/>
          <w:szCs w:val="22"/>
        </w:rPr>
        <w:t>O plano de custeio previsto em regulamento é composto pelas seguintes fontes:</w:t>
      </w:r>
    </w:p>
    <w:p w14:paraId="10B3B676" w14:textId="77777777" w:rsidR="00150C32" w:rsidRPr="00BC0D4E" w:rsidRDefault="00150C32" w:rsidP="00150C32">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Contribuições mensais, de participantes ativos sobre o salário-de-participação;</w:t>
      </w:r>
    </w:p>
    <w:p w14:paraId="596B9386" w14:textId="77777777" w:rsidR="00150C32" w:rsidRPr="00BC0D4E" w:rsidRDefault="00150C32" w:rsidP="00150C32">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Contribuição mensal de participantes assistidos que recebem abono de aposentadoria (mais de 30 anos de vinculação ao INSS), contribuem com percentual a ser fixado anualmente no plano de custeio, incidente sobre o benefício global pago pela SISTEL, limitado ao valor do abono;</w:t>
      </w:r>
    </w:p>
    <w:p w14:paraId="0F076089" w14:textId="77777777" w:rsidR="00150C32" w:rsidRPr="00BC0D4E" w:rsidRDefault="00150C32" w:rsidP="00150C32">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Contribuição mensal das patrocinadoras com percentual sobre a folha mensal de salário de todos os participantes definidos anualmente;</w:t>
      </w:r>
    </w:p>
    <w:p w14:paraId="290F2DFB" w14:textId="77777777" w:rsidR="00150C32" w:rsidRPr="00BC0D4E" w:rsidRDefault="00150C32" w:rsidP="00150C32">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Contribuições extraordinárias destinadas ao custeio de déficits, serviço passado e outras finalidades não incluídas nas contribuições normais;</w:t>
      </w:r>
    </w:p>
    <w:p w14:paraId="4663B13A" w14:textId="77777777" w:rsidR="00150C32" w:rsidRPr="00BC0D4E" w:rsidRDefault="00150C32" w:rsidP="00150C32">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Jóia de participantes ativos, determinada atuarialmente;</w:t>
      </w:r>
    </w:p>
    <w:p w14:paraId="7992DD00" w14:textId="77777777" w:rsidR="00150C32" w:rsidRPr="00BC0D4E" w:rsidRDefault="00150C32" w:rsidP="00150C32">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Dotação da patrocinadora; e</w:t>
      </w:r>
    </w:p>
    <w:p w14:paraId="12354E86" w14:textId="77777777" w:rsidR="00150C32" w:rsidRPr="00BC0D4E" w:rsidRDefault="00150C32" w:rsidP="00150C32">
      <w:pPr>
        <w:pStyle w:val="Recuodecorpodetexto3"/>
        <w:numPr>
          <w:ilvl w:val="0"/>
          <w:numId w:val="9"/>
        </w:numPr>
        <w:spacing w:before="120" w:line="276" w:lineRule="auto"/>
        <w:jc w:val="both"/>
        <w:rPr>
          <w:rFonts w:ascii="Arial" w:hAnsi="Arial" w:cs="Arial"/>
          <w:sz w:val="22"/>
          <w:szCs w:val="22"/>
        </w:rPr>
      </w:pPr>
      <w:r w:rsidRPr="00BC0D4E">
        <w:rPr>
          <w:rFonts w:ascii="Arial" w:hAnsi="Arial" w:cs="Arial"/>
          <w:sz w:val="22"/>
          <w:szCs w:val="22"/>
        </w:rPr>
        <w:t>Receitas de aplicação do patrimônio.</w:t>
      </w:r>
    </w:p>
    <w:p w14:paraId="22123888" w14:textId="4A950938" w:rsidR="00150C32" w:rsidRDefault="00150C32" w:rsidP="00150C32">
      <w:pPr>
        <w:autoSpaceDE w:val="0"/>
        <w:autoSpaceDN w:val="0"/>
        <w:adjustRightInd w:val="0"/>
        <w:jc w:val="both"/>
        <w:rPr>
          <w:rFonts w:ascii="Arial" w:hAnsi="Arial" w:cs="Arial"/>
          <w:sz w:val="22"/>
          <w:szCs w:val="22"/>
        </w:rPr>
      </w:pPr>
      <w:r w:rsidRPr="002A36CE">
        <w:rPr>
          <w:rFonts w:ascii="Arial" w:hAnsi="Arial" w:cs="Arial"/>
          <w:sz w:val="22"/>
          <w:szCs w:val="22"/>
        </w:rPr>
        <w:t>Em 31 de março de 202</w:t>
      </w:r>
      <w:r w:rsidR="002F4BA6">
        <w:rPr>
          <w:rFonts w:ascii="Arial" w:hAnsi="Arial" w:cs="Arial"/>
          <w:sz w:val="22"/>
          <w:szCs w:val="22"/>
        </w:rPr>
        <w:t>6</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300F88AF" w14:textId="77777777" w:rsidR="00150C32" w:rsidRDefault="00150C32" w:rsidP="00150C32">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780"/>
        <w:gridCol w:w="1780"/>
      </w:tblGrid>
      <w:tr w:rsidR="00150C32" w:rsidRPr="008D6EF8" w14:paraId="6A133F2D" w14:textId="77777777" w:rsidTr="002F4BA6">
        <w:trPr>
          <w:trHeight w:val="238"/>
        </w:trPr>
        <w:tc>
          <w:tcPr>
            <w:tcW w:w="3178" w:type="pct"/>
            <w:vMerge w:val="restart"/>
            <w:shd w:val="clear" w:color="000000" w:fill="D9D9D9"/>
            <w:vAlign w:val="center"/>
            <w:hideMark/>
          </w:tcPr>
          <w:p w14:paraId="6BFD59C1" w14:textId="77777777" w:rsidR="00150C32" w:rsidRPr="008D6EF8" w:rsidRDefault="00150C32" w:rsidP="00F924E3">
            <w:pPr>
              <w:rPr>
                <w:rFonts w:ascii="Arial" w:hAnsi="Arial" w:cs="Arial"/>
                <w:b/>
                <w:bCs/>
                <w:color w:val="000000"/>
                <w:sz w:val="18"/>
                <w:szCs w:val="18"/>
              </w:rPr>
            </w:pPr>
            <w:r w:rsidRPr="008D6EF8">
              <w:rPr>
                <w:rFonts w:ascii="Arial" w:hAnsi="Arial" w:cs="Arial"/>
                <w:b/>
                <w:bCs/>
                <w:color w:val="000000"/>
                <w:sz w:val="18"/>
                <w:szCs w:val="18"/>
              </w:rPr>
              <w:lastRenderedPageBreak/>
              <w:t>Composição:</w:t>
            </w:r>
          </w:p>
        </w:tc>
        <w:tc>
          <w:tcPr>
            <w:tcW w:w="1822" w:type="pct"/>
            <w:gridSpan w:val="2"/>
            <w:vAlign w:val="center"/>
            <w:hideMark/>
          </w:tcPr>
          <w:p w14:paraId="7169273D" w14:textId="77777777" w:rsidR="00150C32" w:rsidRPr="008D6EF8" w:rsidRDefault="00150C32" w:rsidP="00F924E3">
            <w:pPr>
              <w:jc w:val="center"/>
              <w:rPr>
                <w:rFonts w:ascii="Arial" w:hAnsi="Arial" w:cs="Arial"/>
                <w:b/>
                <w:bCs/>
                <w:color w:val="000000"/>
                <w:sz w:val="18"/>
                <w:szCs w:val="18"/>
              </w:rPr>
            </w:pPr>
            <w:r w:rsidRPr="008D6EF8">
              <w:rPr>
                <w:rFonts w:ascii="Arial" w:hAnsi="Arial" w:cs="Arial"/>
                <w:b/>
                <w:bCs/>
                <w:color w:val="000000"/>
                <w:sz w:val="18"/>
                <w:szCs w:val="18"/>
              </w:rPr>
              <w:t>PBS-Telebras</w:t>
            </w:r>
          </w:p>
        </w:tc>
      </w:tr>
      <w:tr w:rsidR="002F4BA6" w:rsidRPr="008D6EF8" w14:paraId="3CC2DCDD" w14:textId="77777777" w:rsidTr="002F4BA6">
        <w:trPr>
          <w:trHeight w:val="238"/>
        </w:trPr>
        <w:tc>
          <w:tcPr>
            <w:tcW w:w="3178" w:type="pct"/>
            <w:vMerge/>
            <w:vAlign w:val="center"/>
            <w:hideMark/>
          </w:tcPr>
          <w:p w14:paraId="7F6B9076" w14:textId="77777777" w:rsidR="002F4BA6" w:rsidRPr="008D6EF8" w:rsidRDefault="002F4BA6" w:rsidP="002F4BA6">
            <w:pPr>
              <w:rPr>
                <w:rFonts w:ascii="Arial" w:hAnsi="Arial" w:cs="Arial"/>
                <w:b/>
                <w:bCs/>
                <w:color w:val="000000"/>
                <w:sz w:val="18"/>
                <w:szCs w:val="18"/>
              </w:rPr>
            </w:pPr>
          </w:p>
        </w:tc>
        <w:tc>
          <w:tcPr>
            <w:tcW w:w="911" w:type="pct"/>
            <w:vAlign w:val="center"/>
            <w:hideMark/>
          </w:tcPr>
          <w:p w14:paraId="5C920D61" w14:textId="19F47686" w:rsidR="002F4BA6" w:rsidRPr="008D6EF8" w:rsidRDefault="002F4BA6" w:rsidP="002F4BA6">
            <w:pPr>
              <w:jc w:val="center"/>
              <w:rPr>
                <w:rFonts w:ascii="Arial" w:hAnsi="Arial" w:cs="Arial"/>
                <w:b/>
                <w:bCs/>
                <w:color w:val="000000"/>
                <w:sz w:val="18"/>
                <w:szCs w:val="18"/>
              </w:rPr>
            </w:pPr>
            <w:r w:rsidRPr="008D6EF8">
              <w:rPr>
                <w:rFonts w:ascii="Arial" w:hAnsi="Arial" w:cs="Arial"/>
                <w:b/>
                <w:bCs/>
                <w:color w:val="000000"/>
                <w:sz w:val="18"/>
                <w:szCs w:val="18"/>
              </w:rPr>
              <w:t>31/03/2026</w:t>
            </w:r>
          </w:p>
        </w:tc>
        <w:tc>
          <w:tcPr>
            <w:tcW w:w="911" w:type="pct"/>
            <w:vAlign w:val="center"/>
            <w:hideMark/>
          </w:tcPr>
          <w:p w14:paraId="6A182EA8" w14:textId="006C7438" w:rsidR="002F4BA6" w:rsidRPr="008D6EF8" w:rsidRDefault="002F4BA6" w:rsidP="002F4BA6">
            <w:pPr>
              <w:jc w:val="center"/>
              <w:rPr>
                <w:rFonts w:ascii="Arial" w:hAnsi="Arial" w:cs="Arial"/>
                <w:b/>
                <w:bCs/>
                <w:color w:val="000000"/>
                <w:sz w:val="18"/>
                <w:szCs w:val="18"/>
              </w:rPr>
            </w:pPr>
            <w:r w:rsidRPr="008D6EF8">
              <w:rPr>
                <w:rFonts w:ascii="Arial" w:hAnsi="Arial" w:cs="Arial"/>
                <w:b/>
                <w:bCs/>
                <w:color w:val="000000"/>
                <w:sz w:val="18"/>
                <w:szCs w:val="18"/>
              </w:rPr>
              <w:t>31/03/2025</w:t>
            </w:r>
          </w:p>
        </w:tc>
      </w:tr>
      <w:tr w:rsidR="002F4BA6" w:rsidRPr="008D6EF8" w14:paraId="16F57452" w14:textId="77777777" w:rsidTr="002F4BA6">
        <w:trPr>
          <w:trHeight w:val="238"/>
        </w:trPr>
        <w:tc>
          <w:tcPr>
            <w:tcW w:w="3178" w:type="pct"/>
            <w:noWrap/>
            <w:vAlign w:val="center"/>
            <w:hideMark/>
          </w:tcPr>
          <w:p w14:paraId="1A9FF177" w14:textId="77777777" w:rsidR="002F4BA6" w:rsidRPr="008D6EF8" w:rsidRDefault="002F4BA6" w:rsidP="002F4BA6">
            <w:pPr>
              <w:rPr>
                <w:rFonts w:ascii="Arial" w:hAnsi="Arial" w:cs="Arial"/>
                <w:b/>
                <w:bCs/>
                <w:color w:val="000000"/>
                <w:sz w:val="18"/>
                <w:szCs w:val="18"/>
              </w:rPr>
            </w:pPr>
            <w:r w:rsidRPr="008D6EF8">
              <w:rPr>
                <w:rFonts w:ascii="Arial" w:hAnsi="Arial" w:cs="Arial"/>
                <w:b/>
                <w:bCs/>
                <w:color w:val="000000"/>
                <w:sz w:val="18"/>
                <w:szCs w:val="18"/>
              </w:rPr>
              <w:t>Total dos Ativos do Plano</w:t>
            </w:r>
          </w:p>
        </w:tc>
        <w:tc>
          <w:tcPr>
            <w:tcW w:w="911" w:type="pct"/>
            <w:noWrap/>
            <w:vAlign w:val="center"/>
            <w:hideMark/>
          </w:tcPr>
          <w:p w14:paraId="04FF1A48" w14:textId="3DEA4DF7" w:rsidR="002F4BA6" w:rsidRPr="008D6EF8" w:rsidRDefault="002F4BA6" w:rsidP="002F4BA6">
            <w:pPr>
              <w:jc w:val="right"/>
              <w:rPr>
                <w:rFonts w:ascii="Arial" w:hAnsi="Arial" w:cs="Arial"/>
                <w:b/>
                <w:bCs/>
                <w:color w:val="000000"/>
                <w:sz w:val="18"/>
                <w:szCs w:val="18"/>
              </w:rPr>
            </w:pPr>
            <w:r w:rsidRPr="008D6EF8">
              <w:rPr>
                <w:rFonts w:ascii="Arial" w:hAnsi="Arial" w:cs="Arial"/>
                <w:b/>
                <w:bCs/>
                <w:color w:val="000000"/>
                <w:sz w:val="18"/>
                <w:szCs w:val="18"/>
              </w:rPr>
              <w:t>547.184</w:t>
            </w:r>
          </w:p>
        </w:tc>
        <w:tc>
          <w:tcPr>
            <w:tcW w:w="911" w:type="pct"/>
            <w:noWrap/>
            <w:vAlign w:val="center"/>
            <w:hideMark/>
          </w:tcPr>
          <w:p w14:paraId="499FEA89" w14:textId="06585579" w:rsidR="002F4BA6" w:rsidRPr="008D6EF8" w:rsidRDefault="002F4BA6" w:rsidP="002F4BA6">
            <w:pPr>
              <w:jc w:val="right"/>
              <w:rPr>
                <w:rFonts w:ascii="Arial" w:hAnsi="Arial" w:cs="Arial"/>
                <w:b/>
                <w:bCs/>
                <w:color w:val="000000"/>
                <w:sz w:val="18"/>
                <w:szCs w:val="18"/>
              </w:rPr>
            </w:pPr>
            <w:r w:rsidRPr="008D6EF8">
              <w:rPr>
                <w:rFonts w:ascii="Arial" w:hAnsi="Arial" w:cs="Arial"/>
                <w:b/>
                <w:bCs/>
                <w:color w:val="000000"/>
                <w:sz w:val="18"/>
                <w:szCs w:val="18"/>
              </w:rPr>
              <w:t>518.436</w:t>
            </w:r>
          </w:p>
        </w:tc>
      </w:tr>
      <w:tr w:rsidR="002F4BA6" w:rsidRPr="008D6EF8" w14:paraId="415A006B" w14:textId="77777777" w:rsidTr="002F4BA6">
        <w:trPr>
          <w:trHeight w:val="238"/>
        </w:trPr>
        <w:tc>
          <w:tcPr>
            <w:tcW w:w="3178" w:type="pct"/>
            <w:noWrap/>
            <w:vAlign w:val="center"/>
            <w:hideMark/>
          </w:tcPr>
          <w:p w14:paraId="617C2C81" w14:textId="77777777" w:rsidR="002F4BA6" w:rsidRPr="008D6EF8" w:rsidRDefault="002F4BA6" w:rsidP="002F4BA6">
            <w:pPr>
              <w:rPr>
                <w:rFonts w:ascii="Arial" w:hAnsi="Arial" w:cs="Arial"/>
                <w:color w:val="000000"/>
                <w:sz w:val="18"/>
                <w:szCs w:val="18"/>
              </w:rPr>
            </w:pPr>
            <w:r w:rsidRPr="008D6EF8">
              <w:rPr>
                <w:rFonts w:ascii="Arial" w:hAnsi="Arial" w:cs="Arial"/>
                <w:color w:val="000000"/>
                <w:sz w:val="18"/>
                <w:szCs w:val="18"/>
              </w:rPr>
              <w:t> </w:t>
            </w:r>
          </w:p>
        </w:tc>
        <w:tc>
          <w:tcPr>
            <w:tcW w:w="911" w:type="pct"/>
            <w:noWrap/>
            <w:vAlign w:val="center"/>
            <w:hideMark/>
          </w:tcPr>
          <w:p w14:paraId="73C42BF9" w14:textId="6D679603" w:rsidR="002F4BA6" w:rsidRPr="008D6EF8" w:rsidRDefault="002F4BA6" w:rsidP="002F4BA6">
            <w:pPr>
              <w:jc w:val="right"/>
              <w:rPr>
                <w:rFonts w:ascii="Arial" w:hAnsi="Arial" w:cs="Arial"/>
                <w:color w:val="000000"/>
                <w:sz w:val="18"/>
                <w:szCs w:val="18"/>
              </w:rPr>
            </w:pPr>
            <w:r w:rsidRPr="008D6EF8">
              <w:rPr>
                <w:rFonts w:ascii="Arial" w:hAnsi="Arial" w:cs="Arial"/>
                <w:color w:val="000000"/>
                <w:sz w:val="18"/>
                <w:szCs w:val="18"/>
              </w:rPr>
              <w:t> </w:t>
            </w:r>
          </w:p>
        </w:tc>
        <w:tc>
          <w:tcPr>
            <w:tcW w:w="911" w:type="pct"/>
            <w:noWrap/>
            <w:vAlign w:val="center"/>
            <w:hideMark/>
          </w:tcPr>
          <w:p w14:paraId="47D7EADD" w14:textId="2843B864" w:rsidR="002F4BA6" w:rsidRPr="008D6EF8" w:rsidRDefault="002F4BA6" w:rsidP="002F4BA6">
            <w:pPr>
              <w:jc w:val="right"/>
              <w:rPr>
                <w:rFonts w:ascii="Arial" w:hAnsi="Arial" w:cs="Arial"/>
                <w:color w:val="000000"/>
                <w:sz w:val="18"/>
                <w:szCs w:val="18"/>
              </w:rPr>
            </w:pPr>
            <w:r w:rsidRPr="008D6EF8">
              <w:rPr>
                <w:rFonts w:ascii="Arial" w:hAnsi="Arial" w:cs="Arial"/>
                <w:color w:val="000000"/>
                <w:sz w:val="18"/>
                <w:szCs w:val="18"/>
              </w:rPr>
              <w:t> </w:t>
            </w:r>
          </w:p>
        </w:tc>
      </w:tr>
      <w:tr w:rsidR="002F4BA6" w:rsidRPr="008D6EF8" w14:paraId="2F330DD2" w14:textId="77777777" w:rsidTr="002F4BA6">
        <w:trPr>
          <w:trHeight w:val="238"/>
        </w:trPr>
        <w:tc>
          <w:tcPr>
            <w:tcW w:w="3178" w:type="pct"/>
            <w:vAlign w:val="center"/>
            <w:hideMark/>
          </w:tcPr>
          <w:p w14:paraId="34CEE46F" w14:textId="77777777" w:rsidR="002F4BA6" w:rsidRPr="008D6EF8" w:rsidRDefault="002F4BA6" w:rsidP="002F4BA6">
            <w:pPr>
              <w:rPr>
                <w:rFonts w:ascii="Arial" w:hAnsi="Arial" w:cs="Arial"/>
                <w:color w:val="000000"/>
                <w:sz w:val="18"/>
                <w:szCs w:val="18"/>
              </w:rPr>
            </w:pPr>
            <w:r w:rsidRPr="008D6EF8">
              <w:rPr>
                <w:rFonts w:ascii="Arial" w:hAnsi="Arial" w:cs="Arial"/>
                <w:color w:val="000000"/>
                <w:sz w:val="18"/>
                <w:szCs w:val="18"/>
              </w:rPr>
              <w:t>Provisões Matemáticas e Fundos</w:t>
            </w:r>
          </w:p>
        </w:tc>
        <w:tc>
          <w:tcPr>
            <w:tcW w:w="911" w:type="pct"/>
            <w:noWrap/>
            <w:vAlign w:val="center"/>
            <w:hideMark/>
          </w:tcPr>
          <w:p w14:paraId="001E4ED2" w14:textId="34A1A424" w:rsidR="002F4BA6" w:rsidRPr="008D6EF8" w:rsidRDefault="002F4BA6" w:rsidP="002F4BA6">
            <w:pPr>
              <w:jc w:val="right"/>
              <w:rPr>
                <w:rFonts w:ascii="Arial" w:hAnsi="Arial" w:cs="Arial"/>
                <w:color w:val="000000"/>
                <w:sz w:val="18"/>
                <w:szCs w:val="18"/>
              </w:rPr>
            </w:pPr>
            <w:r w:rsidRPr="008D6EF8">
              <w:rPr>
                <w:rFonts w:ascii="Arial" w:hAnsi="Arial" w:cs="Arial"/>
                <w:color w:val="000000"/>
                <w:sz w:val="18"/>
                <w:szCs w:val="18"/>
              </w:rPr>
              <w:t>(448.819)</w:t>
            </w:r>
          </w:p>
        </w:tc>
        <w:tc>
          <w:tcPr>
            <w:tcW w:w="911" w:type="pct"/>
            <w:noWrap/>
            <w:vAlign w:val="center"/>
            <w:hideMark/>
          </w:tcPr>
          <w:p w14:paraId="25C26F42" w14:textId="78598BEA" w:rsidR="002F4BA6" w:rsidRPr="008D6EF8" w:rsidRDefault="002F4BA6" w:rsidP="002F4BA6">
            <w:pPr>
              <w:jc w:val="right"/>
              <w:rPr>
                <w:rFonts w:ascii="Arial" w:hAnsi="Arial" w:cs="Arial"/>
                <w:color w:val="000000"/>
                <w:sz w:val="18"/>
                <w:szCs w:val="18"/>
              </w:rPr>
            </w:pPr>
            <w:r w:rsidRPr="008D6EF8">
              <w:rPr>
                <w:rFonts w:ascii="Arial" w:hAnsi="Arial" w:cs="Arial"/>
                <w:color w:val="000000"/>
                <w:sz w:val="18"/>
                <w:szCs w:val="18"/>
              </w:rPr>
              <w:t>(444.151)</w:t>
            </w:r>
          </w:p>
        </w:tc>
      </w:tr>
      <w:tr w:rsidR="002F4BA6" w:rsidRPr="008D6EF8" w14:paraId="3F83A080" w14:textId="77777777" w:rsidTr="002F4BA6">
        <w:trPr>
          <w:trHeight w:val="238"/>
        </w:trPr>
        <w:tc>
          <w:tcPr>
            <w:tcW w:w="3178" w:type="pct"/>
            <w:vAlign w:val="center"/>
            <w:hideMark/>
          </w:tcPr>
          <w:p w14:paraId="54A60728" w14:textId="77777777" w:rsidR="002F4BA6" w:rsidRPr="008D6EF8" w:rsidRDefault="002F4BA6" w:rsidP="002F4BA6">
            <w:pPr>
              <w:rPr>
                <w:rFonts w:ascii="Arial" w:hAnsi="Arial" w:cs="Arial"/>
                <w:color w:val="000000"/>
                <w:sz w:val="18"/>
                <w:szCs w:val="18"/>
              </w:rPr>
            </w:pPr>
            <w:r w:rsidRPr="008D6EF8">
              <w:rPr>
                <w:rFonts w:ascii="Arial" w:hAnsi="Arial" w:cs="Arial"/>
                <w:color w:val="000000"/>
                <w:sz w:val="18"/>
                <w:szCs w:val="18"/>
              </w:rPr>
              <w:t>Outros Exigíveis</w:t>
            </w:r>
          </w:p>
        </w:tc>
        <w:tc>
          <w:tcPr>
            <w:tcW w:w="911" w:type="pct"/>
            <w:noWrap/>
            <w:vAlign w:val="center"/>
            <w:hideMark/>
          </w:tcPr>
          <w:p w14:paraId="006D6985" w14:textId="278A1B02" w:rsidR="002F4BA6" w:rsidRPr="008D6EF8" w:rsidRDefault="002F4BA6" w:rsidP="002F4BA6">
            <w:pPr>
              <w:jc w:val="right"/>
              <w:rPr>
                <w:rFonts w:ascii="Arial" w:hAnsi="Arial" w:cs="Arial"/>
                <w:color w:val="000000"/>
                <w:sz w:val="18"/>
                <w:szCs w:val="18"/>
              </w:rPr>
            </w:pPr>
            <w:r w:rsidRPr="008D6EF8">
              <w:rPr>
                <w:rFonts w:ascii="Arial" w:hAnsi="Arial" w:cs="Arial"/>
                <w:color w:val="000000"/>
                <w:sz w:val="18"/>
                <w:szCs w:val="18"/>
              </w:rPr>
              <w:t>(15.029)</w:t>
            </w:r>
          </w:p>
        </w:tc>
        <w:tc>
          <w:tcPr>
            <w:tcW w:w="911" w:type="pct"/>
            <w:noWrap/>
            <w:vAlign w:val="center"/>
            <w:hideMark/>
          </w:tcPr>
          <w:p w14:paraId="0075BA95" w14:textId="69DF1D50" w:rsidR="002F4BA6" w:rsidRPr="008D6EF8" w:rsidRDefault="002F4BA6" w:rsidP="002F4BA6">
            <w:pPr>
              <w:jc w:val="right"/>
              <w:rPr>
                <w:rFonts w:ascii="Arial" w:hAnsi="Arial" w:cs="Arial"/>
                <w:color w:val="000000"/>
                <w:sz w:val="18"/>
                <w:szCs w:val="18"/>
              </w:rPr>
            </w:pPr>
            <w:r w:rsidRPr="008D6EF8">
              <w:rPr>
                <w:rFonts w:ascii="Arial" w:hAnsi="Arial" w:cs="Arial"/>
                <w:color w:val="000000"/>
                <w:sz w:val="18"/>
                <w:szCs w:val="18"/>
              </w:rPr>
              <w:t>(13.761)</w:t>
            </w:r>
          </w:p>
        </w:tc>
      </w:tr>
      <w:tr w:rsidR="002F4BA6" w:rsidRPr="008D6EF8" w14:paraId="0B33C8D4" w14:textId="77777777" w:rsidTr="002F4BA6">
        <w:trPr>
          <w:trHeight w:val="238"/>
        </w:trPr>
        <w:tc>
          <w:tcPr>
            <w:tcW w:w="3178" w:type="pct"/>
            <w:vAlign w:val="center"/>
            <w:hideMark/>
          </w:tcPr>
          <w:p w14:paraId="37B12095" w14:textId="77777777" w:rsidR="002F4BA6" w:rsidRPr="008D6EF8" w:rsidRDefault="002F4BA6" w:rsidP="002F4BA6">
            <w:pPr>
              <w:rPr>
                <w:rFonts w:ascii="Arial" w:hAnsi="Arial" w:cs="Arial"/>
                <w:b/>
                <w:bCs/>
                <w:color w:val="000000"/>
                <w:sz w:val="18"/>
                <w:szCs w:val="18"/>
              </w:rPr>
            </w:pPr>
            <w:r w:rsidRPr="008D6EF8">
              <w:rPr>
                <w:rFonts w:ascii="Arial" w:hAnsi="Arial" w:cs="Arial"/>
                <w:b/>
                <w:bCs/>
                <w:color w:val="000000"/>
                <w:sz w:val="18"/>
                <w:szCs w:val="18"/>
              </w:rPr>
              <w:t>Total das provisões/fundos e outros exigíveis</w:t>
            </w:r>
          </w:p>
        </w:tc>
        <w:tc>
          <w:tcPr>
            <w:tcW w:w="911" w:type="pct"/>
            <w:noWrap/>
            <w:vAlign w:val="center"/>
            <w:hideMark/>
          </w:tcPr>
          <w:p w14:paraId="213BC9B3" w14:textId="0437238A" w:rsidR="002F4BA6" w:rsidRPr="008D6EF8" w:rsidRDefault="002F4BA6" w:rsidP="002F4BA6">
            <w:pPr>
              <w:jc w:val="right"/>
              <w:rPr>
                <w:rFonts w:ascii="Arial" w:hAnsi="Arial" w:cs="Arial"/>
                <w:b/>
                <w:bCs/>
                <w:color w:val="000000"/>
                <w:sz w:val="18"/>
                <w:szCs w:val="18"/>
              </w:rPr>
            </w:pPr>
            <w:r w:rsidRPr="008D6EF8">
              <w:rPr>
                <w:rFonts w:ascii="Arial" w:hAnsi="Arial" w:cs="Arial"/>
                <w:b/>
                <w:bCs/>
                <w:color w:val="000000"/>
                <w:sz w:val="18"/>
                <w:szCs w:val="18"/>
              </w:rPr>
              <w:t>(463.848)</w:t>
            </w:r>
          </w:p>
        </w:tc>
        <w:tc>
          <w:tcPr>
            <w:tcW w:w="911" w:type="pct"/>
            <w:noWrap/>
            <w:vAlign w:val="center"/>
            <w:hideMark/>
          </w:tcPr>
          <w:p w14:paraId="0DB59C24" w14:textId="24808E2E" w:rsidR="002F4BA6" w:rsidRPr="008D6EF8" w:rsidRDefault="002F4BA6" w:rsidP="002F4BA6">
            <w:pPr>
              <w:jc w:val="right"/>
              <w:rPr>
                <w:rFonts w:ascii="Arial" w:hAnsi="Arial" w:cs="Arial"/>
                <w:b/>
                <w:bCs/>
                <w:color w:val="000000"/>
                <w:sz w:val="18"/>
                <w:szCs w:val="18"/>
              </w:rPr>
            </w:pPr>
            <w:r w:rsidRPr="008D6EF8">
              <w:rPr>
                <w:rFonts w:ascii="Arial" w:hAnsi="Arial" w:cs="Arial"/>
                <w:b/>
                <w:bCs/>
                <w:color w:val="000000"/>
                <w:sz w:val="18"/>
                <w:szCs w:val="18"/>
              </w:rPr>
              <w:t>(457.912)</w:t>
            </w:r>
          </w:p>
        </w:tc>
      </w:tr>
      <w:tr w:rsidR="002F4BA6" w:rsidRPr="008D6EF8" w14:paraId="3C3CDCA9" w14:textId="77777777" w:rsidTr="002F4BA6">
        <w:trPr>
          <w:trHeight w:val="238"/>
        </w:trPr>
        <w:tc>
          <w:tcPr>
            <w:tcW w:w="3178" w:type="pct"/>
            <w:noWrap/>
            <w:vAlign w:val="center"/>
            <w:hideMark/>
          </w:tcPr>
          <w:p w14:paraId="5CAC25E3" w14:textId="77777777" w:rsidR="002F4BA6" w:rsidRPr="008D6EF8" w:rsidRDefault="002F4BA6" w:rsidP="002F4BA6">
            <w:pPr>
              <w:rPr>
                <w:rFonts w:ascii="Calibri" w:hAnsi="Calibri" w:cs="Calibri"/>
                <w:color w:val="000000"/>
                <w:sz w:val="22"/>
                <w:szCs w:val="22"/>
              </w:rPr>
            </w:pPr>
            <w:r w:rsidRPr="008D6EF8">
              <w:rPr>
                <w:rFonts w:ascii="Calibri" w:hAnsi="Calibri" w:cs="Calibri"/>
                <w:color w:val="000000"/>
                <w:sz w:val="22"/>
                <w:szCs w:val="22"/>
              </w:rPr>
              <w:t> </w:t>
            </w:r>
          </w:p>
        </w:tc>
        <w:tc>
          <w:tcPr>
            <w:tcW w:w="911" w:type="pct"/>
            <w:noWrap/>
            <w:vAlign w:val="center"/>
            <w:hideMark/>
          </w:tcPr>
          <w:p w14:paraId="53364A22" w14:textId="0BCBEA59" w:rsidR="002F4BA6" w:rsidRPr="008D6EF8" w:rsidRDefault="002F4BA6" w:rsidP="002F4BA6">
            <w:pPr>
              <w:jc w:val="right"/>
              <w:rPr>
                <w:rFonts w:ascii="Calibri" w:hAnsi="Calibri" w:cs="Calibri"/>
                <w:color w:val="000000"/>
                <w:sz w:val="22"/>
                <w:szCs w:val="22"/>
              </w:rPr>
            </w:pPr>
            <w:r w:rsidRPr="008D6EF8">
              <w:rPr>
                <w:rFonts w:ascii="Calibri" w:hAnsi="Calibri" w:cs="Calibri"/>
                <w:color w:val="000000"/>
                <w:sz w:val="22"/>
                <w:szCs w:val="22"/>
              </w:rPr>
              <w:t> </w:t>
            </w:r>
          </w:p>
        </w:tc>
        <w:tc>
          <w:tcPr>
            <w:tcW w:w="911" w:type="pct"/>
            <w:noWrap/>
            <w:vAlign w:val="center"/>
            <w:hideMark/>
          </w:tcPr>
          <w:p w14:paraId="64C6DDEE" w14:textId="5E764E60" w:rsidR="002F4BA6" w:rsidRPr="008D6EF8" w:rsidRDefault="002F4BA6" w:rsidP="002F4BA6">
            <w:pPr>
              <w:jc w:val="right"/>
              <w:rPr>
                <w:rFonts w:ascii="Calibri" w:hAnsi="Calibri" w:cs="Calibri"/>
                <w:color w:val="000000"/>
                <w:sz w:val="22"/>
                <w:szCs w:val="22"/>
              </w:rPr>
            </w:pPr>
            <w:r w:rsidRPr="008D6EF8">
              <w:rPr>
                <w:rFonts w:ascii="Calibri" w:hAnsi="Calibri" w:cs="Calibri"/>
                <w:color w:val="000000"/>
                <w:sz w:val="22"/>
                <w:szCs w:val="22"/>
              </w:rPr>
              <w:t> </w:t>
            </w:r>
          </w:p>
        </w:tc>
      </w:tr>
      <w:tr w:rsidR="002F4BA6" w:rsidRPr="00F51638" w14:paraId="1B7E5C35" w14:textId="77777777" w:rsidTr="002F4BA6">
        <w:trPr>
          <w:trHeight w:val="238"/>
        </w:trPr>
        <w:tc>
          <w:tcPr>
            <w:tcW w:w="3178" w:type="pct"/>
            <w:vAlign w:val="center"/>
            <w:hideMark/>
          </w:tcPr>
          <w:p w14:paraId="05EA1A23" w14:textId="77777777" w:rsidR="002F4BA6" w:rsidRPr="008D6EF8" w:rsidRDefault="002F4BA6" w:rsidP="002F4BA6">
            <w:pPr>
              <w:rPr>
                <w:rFonts w:ascii="Arial" w:hAnsi="Arial" w:cs="Arial"/>
                <w:b/>
                <w:bCs/>
                <w:color w:val="000000"/>
                <w:sz w:val="18"/>
                <w:szCs w:val="18"/>
              </w:rPr>
            </w:pPr>
            <w:r w:rsidRPr="008D6EF8">
              <w:rPr>
                <w:rFonts w:ascii="Arial" w:hAnsi="Arial" w:cs="Arial"/>
                <w:b/>
                <w:bCs/>
                <w:color w:val="000000"/>
                <w:sz w:val="18"/>
                <w:szCs w:val="18"/>
              </w:rPr>
              <w:t>(=) Superávit Acumulado</w:t>
            </w:r>
          </w:p>
        </w:tc>
        <w:tc>
          <w:tcPr>
            <w:tcW w:w="911" w:type="pct"/>
            <w:vAlign w:val="center"/>
            <w:hideMark/>
          </w:tcPr>
          <w:p w14:paraId="00F962EC" w14:textId="35C296A6" w:rsidR="002F4BA6" w:rsidRPr="008D6EF8" w:rsidRDefault="002F4BA6" w:rsidP="002F4BA6">
            <w:pPr>
              <w:jc w:val="right"/>
              <w:rPr>
                <w:rFonts w:ascii="Arial" w:hAnsi="Arial" w:cs="Arial"/>
                <w:b/>
                <w:bCs/>
                <w:color w:val="000000"/>
                <w:sz w:val="18"/>
                <w:szCs w:val="18"/>
              </w:rPr>
            </w:pPr>
            <w:r w:rsidRPr="008D6EF8">
              <w:rPr>
                <w:rFonts w:ascii="Arial" w:hAnsi="Arial" w:cs="Arial"/>
                <w:b/>
                <w:bCs/>
                <w:color w:val="000000"/>
                <w:sz w:val="18"/>
                <w:szCs w:val="18"/>
              </w:rPr>
              <w:t>83.336</w:t>
            </w:r>
          </w:p>
        </w:tc>
        <w:tc>
          <w:tcPr>
            <w:tcW w:w="911" w:type="pct"/>
            <w:vAlign w:val="center"/>
            <w:hideMark/>
          </w:tcPr>
          <w:p w14:paraId="7A549FAB" w14:textId="33DB833D" w:rsidR="002F4BA6" w:rsidRPr="00F51638" w:rsidRDefault="002F4BA6" w:rsidP="002F4BA6">
            <w:pPr>
              <w:jc w:val="right"/>
              <w:rPr>
                <w:rFonts w:ascii="Arial" w:hAnsi="Arial" w:cs="Arial"/>
                <w:b/>
                <w:bCs/>
                <w:color w:val="000000"/>
                <w:sz w:val="18"/>
                <w:szCs w:val="18"/>
              </w:rPr>
            </w:pPr>
            <w:r w:rsidRPr="008D6EF8">
              <w:rPr>
                <w:rFonts w:ascii="Arial" w:hAnsi="Arial" w:cs="Arial"/>
                <w:b/>
                <w:bCs/>
                <w:color w:val="000000"/>
                <w:sz w:val="18"/>
                <w:szCs w:val="18"/>
              </w:rPr>
              <w:t>60.524</w:t>
            </w:r>
          </w:p>
        </w:tc>
      </w:tr>
    </w:tbl>
    <w:p w14:paraId="59A430A6" w14:textId="02015635" w:rsidR="00150C32" w:rsidRDefault="00150C32" w:rsidP="00150C32">
      <w:pPr>
        <w:spacing w:after="120" w:line="276" w:lineRule="auto"/>
        <w:jc w:val="both"/>
        <w:rPr>
          <w:rFonts w:ascii="Arial" w:hAnsi="Arial" w:cs="Arial"/>
          <w:sz w:val="22"/>
          <w:szCs w:val="22"/>
        </w:rPr>
      </w:pPr>
      <w:r w:rsidRPr="002A36CE">
        <w:rPr>
          <w:rFonts w:ascii="Arial" w:hAnsi="Arial" w:cs="Arial"/>
          <w:sz w:val="18"/>
          <w:szCs w:val="18"/>
        </w:rPr>
        <w:t>Valores extraídos do balancete da Sistel em 31 de março de 202</w:t>
      </w:r>
      <w:r w:rsidR="002F4BA6">
        <w:rPr>
          <w:rFonts w:ascii="Arial" w:hAnsi="Arial" w:cs="Arial"/>
          <w:sz w:val="18"/>
          <w:szCs w:val="18"/>
        </w:rPr>
        <w:t>6</w:t>
      </w:r>
      <w:r w:rsidRPr="002A36CE">
        <w:rPr>
          <w:rFonts w:ascii="Arial" w:hAnsi="Arial" w:cs="Arial"/>
          <w:sz w:val="18"/>
          <w:szCs w:val="18"/>
        </w:rPr>
        <w:t xml:space="preserve"> e 31 de dezembro de 20</w:t>
      </w:r>
      <w:r>
        <w:rPr>
          <w:rFonts w:ascii="Arial" w:hAnsi="Arial" w:cs="Arial"/>
          <w:sz w:val="18"/>
          <w:szCs w:val="18"/>
        </w:rPr>
        <w:t>2</w:t>
      </w:r>
      <w:r w:rsidR="002F4BA6">
        <w:rPr>
          <w:rFonts w:ascii="Arial" w:hAnsi="Arial" w:cs="Arial"/>
          <w:sz w:val="18"/>
          <w:szCs w:val="18"/>
        </w:rPr>
        <w:t>5</w:t>
      </w:r>
      <w:r w:rsidRPr="002A36CE">
        <w:rPr>
          <w:rFonts w:ascii="Arial" w:hAnsi="Arial" w:cs="Arial"/>
          <w:sz w:val="18"/>
          <w:szCs w:val="18"/>
        </w:rPr>
        <w:t>.</w:t>
      </w:r>
    </w:p>
    <w:p w14:paraId="0AEB3084" w14:textId="77777777" w:rsidR="00150C32" w:rsidRDefault="00150C32" w:rsidP="00150C32">
      <w:pPr>
        <w:pStyle w:val="Ttulo2"/>
        <w:numPr>
          <w:ilvl w:val="2"/>
          <w:numId w:val="7"/>
        </w:numPr>
        <w:tabs>
          <w:tab w:val="clear" w:pos="284"/>
          <w:tab w:val="clear" w:pos="340"/>
        </w:tabs>
        <w:spacing w:after="0" w:line="276" w:lineRule="auto"/>
        <w:ind w:left="851" w:hanging="851"/>
        <w:jc w:val="both"/>
        <w:rPr>
          <w:rFonts w:ascii="Arial" w:hAnsi="Arial" w:cs="Arial"/>
        </w:rPr>
      </w:pPr>
      <w:r>
        <w:rPr>
          <w:rFonts w:ascii="Arial" w:hAnsi="Arial" w:cs="Arial"/>
        </w:rPr>
        <w:t>Plano de Benefícios Telebras PREV</w:t>
      </w:r>
    </w:p>
    <w:p w14:paraId="7BB0F41E" w14:textId="77777777" w:rsidR="00150C32" w:rsidRPr="00443B4F" w:rsidRDefault="00150C32" w:rsidP="00150C32">
      <w:pPr>
        <w:spacing w:before="120" w:after="120" w:line="276" w:lineRule="auto"/>
        <w:jc w:val="both"/>
        <w:rPr>
          <w:rFonts w:ascii="Arial" w:hAnsi="Arial" w:cs="Arial"/>
          <w:sz w:val="22"/>
          <w:szCs w:val="22"/>
          <w:highlight w:val="yellow"/>
        </w:rPr>
      </w:pPr>
      <w:r w:rsidRPr="00443B4F">
        <w:rPr>
          <w:rFonts w:ascii="Arial" w:hAnsi="Arial" w:cs="Arial"/>
          <w:sz w:val="22"/>
          <w:szCs w:val="22"/>
        </w:rPr>
        <w:t>O plano de Benefícios Telebrás PREV é estruturado na modalidade de contribuição variável, sendo patrocinado pela Telebrás, nos termos dos convênios de adesão, regulamentos e estatuto relativos ao mencionado plano.</w:t>
      </w:r>
      <w:r w:rsidRPr="00443B4F">
        <w:rPr>
          <w:rFonts w:ascii="Arial" w:hAnsi="Arial" w:cs="Arial"/>
          <w:sz w:val="22"/>
          <w:szCs w:val="22"/>
          <w:highlight w:val="yellow"/>
        </w:rPr>
        <w:t xml:space="preserve"> </w:t>
      </w:r>
    </w:p>
    <w:p w14:paraId="4E921DA1" w14:textId="77777777" w:rsidR="00150C32" w:rsidRPr="00443B4F" w:rsidRDefault="00150C32" w:rsidP="00150C32">
      <w:pPr>
        <w:spacing w:before="120" w:after="120" w:line="276" w:lineRule="auto"/>
        <w:jc w:val="both"/>
        <w:rPr>
          <w:rFonts w:ascii="Arial" w:hAnsi="Arial" w:cs="Arial"/>
          <w:sz w:val="22"/>
          <w:szCs w:val="22"/>
        </w:rPr>
      </w:pPr>
      <w:r w:rsidRPr="00443B4F">
        <w:rPr>
          <w:rFonts w:ascii="Arial" w:hAnsi="Arial" w:cs="Arial"/>
          <w:sz w:val="22"/>
          <w:szCs w:val="22"/>
        </w:rPr>
        <w:t>O plano oferece benefícios classificados nas categorias de benefícios de risco, que são custeados na modalidade de benefício definido, e benefícios programados, que são custeados pelo regime de contribuição definida.</w:t>
      </w:r>
    </w:p>
    <w:p w14:paraId="568797B5" w14:textId="77777777" w:rsidR="00150C32" w:rsidRPr="00443B4F" w:rsidRDefault="00150C32" w:rsidP="00150C32">
      <w:pPr>
        <w:spacing w:before="120" w:after="120" w:line="276" w:lineRule="auto"/>
        <w:jc w:val="both"/>
        <w:rPr>
          <w:rFonts w:ascii="Arial" w:hAnsi="Arial" w:cs="Arial"/>
          <w:sz w:val="22"/>
          <w:szCs w:val="22"/>
        </w:rPr>
      </w:pPr>
      <w:r w:rsidRPr="00443B4F">
        <w:rPr>
          <w:rFonts w:ascii="Arial" w:hAnsi="Arial" w:cs="Arial"/>
          <w:sz w:val="22"/>
          <w:szCs w:val="22"/>
        </w:rPr>
        <w:t>Os benefícios de risco se referem a:</w:t>
      </w:r>
    </w:p>
    <w:p w14:paraId="2AD3DC03" w14:textId="77777777" w:rsidR="00150C32" w:rsidRPr="00F1463E" w:rsidRDefault="00150C32" w:rsidP="00150C32">
      <w:pPr>
        <w:pStyle w:val="PargrafodaLista"/>
        <w:numPr>
          <w:ilvl w:val="0"/>
          <w:numId w:val="10"/>
        </w:numPr>
        <w:spacing w:before="120" w:after="120"/>
        <w:rPr>
          <w:rFonts w:ascii="Arial" w:hAnsi="Arial" w:cs="Arial"/>
          <w:sz w:val="22"/>
          <w:szCs w:val="22"/>
        </w:rPr>
      </w:pPr>
      <w:r w:rsidRPr="00F1463E">
        <w:rPr>
          <w:rFonts w:ascii="Arial" w:hAnsi="Arial" w:cs="Arial"/>
          <w:sz w:val="22"/>
          <w:szCs w:val="22"/>
        </w:rPr>
        <w:t>Auxílio-doença</w:t>
      </w:r>
    </w:p>
    <w:p w14:paraId="1CAC3017" w14:textId="77777777" w:rsidR="00150C32" w:rsidRPr="00443B4F" w:rsidRDefault="00150C32" w:rsidP="00150C32">
      <w:pPr>
        <w:numPr>
          <w:ilvl w:val="0"/>
          <w:numId w:val="10"/>
        </w:numPr>
        <w:spacing w:before="120" w:after="120" w:line="276" w:lineRule="auto"/>
        <w:jc w:val="both"/>
        <w:rPr>
          <w:rFonts w:ascii="Arial" w:hAnsi="Arial" w:cs="Arial"/>
          <w:sz w:val="22"/>
          <w:szCs w:val="22"/>
        </w:rPr>
      </w:pPr>
      <w:r w:rsidRPr="00443B4F">
        <w:rPr>
          <w:rFonts w:ascii="Arial" w:hAnsi="Arial" w:cs="Arial"/>
          <w:sz w:val="22"/>
          <w:szCs w:val="22"/>
        </w:rPr>
        <w:t>Aposentadoria por Invalidez, reversível em pensão</w:t>
      </w:r>
    </w:p>
    <w:p w14:paraId="14BDA365" w14:textId="77777777" w:rsidR="00150C32" w:rsidRPr="00443B4F" w:rsidRDefault="00150C32" w:rsidP="00150C32">
      <w:pPr>
        <w:numPr>
          <w:ilvl w:val="0"/>
          <w:numId w:val="10"/>
        </w:numPr>
        <w:spacing w:before="120" w:after="120" w:line="276" w:lineRule="auto"/>
        <w:jc w:val="both"/>
        <w:rPr>
          <w:rFonts w:ascii="Arial" w:hAnsi="Arial" w:cs="Arial"/>
          <w:sz w:val="22"/>
          <w:szCs w:val="22"/>
        </w:rPr>
      </w:pPr>
      <w:r w:rsidRPr="00443B4F">
        <w:rPr>
          <w:rFonts w:ascii="Arial" w:hAnsi="Arial" w:cs="Arial"/>
          <w:sz w:val="22"/>
          <w:szCs w:val="22"/>
        </w:rPr>
        <w:t>Pensão por morte de participante</w:t>
      </w:r>
    </w:p>
    <w:p w14:paraId="4A3226A4" w14:textId="77777777" w:rsidR="00150C32" w:rsidRPr="00443B4F" w:rsidRDefault="00150C32" w:rsidP="00150C32">
      <w:pPr>
        <w:spacing w:before="120" w:after="120" w:line="276" w:lineRule="auto"/>
        <w:jc w:val="both"/>
        <w:rPr>
          <w:rFonts w:ascii="Arial" w:hAnsi="Arial" w:cs="Arial"/>
          <w:sz w:val="22"/>
          <w:szCs w:val="22"/>
        </w:rPr>
      </w:pPr>
      <w:r w:rsidRPr="00443B4F">
        <w:rPr>
          <w:rFonts w:ascii="Arial" w:hAnsi="Arial" w:cs="Arial"/>
          <w:sz w:val="22"/>
          <w:szCs w:val="22"/>
        </w:rPr>
        <w:t>Os benefícios programados se referem a:</w:t>
      </w:r>
    </w:p>
    <w:p w14:paraId="01015054" w14:textId="77777777" w:rsidR="00150C32" w:rsidRPr="00F1463E" w:rsidRDefault="00150C32" w:rsidP="00150C32">
      <w:pPr>
        <w:pStyle w:val="PargrafodaLista"/>
        <w:numPr>
          <w:ilvl w:val="0"/>
          <w:numId w:val="11"/>
        </w:numPr>
        <w:spacing w:before="120" w:after="120"/>
        <w:rPr>
          <w:rFonts w:ascii="Arial" w:hAnsi="Arial" w:cs="Arial"/>
          <w:sz w:val="22"/>
          <w:szCs w:val="22"/>
        </w:rPr>
      </w:pPr>
      <w:r w:rsidRPr="00F1463E">
        <w:rPr>
          <w:rFonts w:ascii="Arial" w:hAnsi="Arial" w:cs="Arial"/>
          <w:sz w:val="22"/>
          <w:szCs w:val="22"/>
        </w:rPr>
        <w:t>Aposentadoria ordinária, reversível em pensão</w:t>
      </w:r>
    </w:p>
    <w:p w14:paraId="2A734576" w14:textId="77777777" w:rsidR="00150C32" w:rsidRPr="00443B4F" w:rsidRDefault="00150C32" w:rsidP="00150C32">
      <w:pPr>
        <w:numPr>
          <w:ilvl w:val="0"/>
          <w:numId w:val="11"/>
        </w:numPr>
        <w:spacing w:before="120" w:after="120" w:line="276" w:lineRule="auto"/>
        <w:jc w:val="both"/>
        <w:rPr>
          <w:rFonts w:ascii="Arial" w:hAnsi="Arial" w:cs="Arial"/>
          <w:sz w:val="22"/>
          <w:szCs w:val="22"/>
        </w:rPr>
      </w:pPr>
      <w:r w:rsidRPr="00443B4F">
        <w:rPr>
          <w:rFonts w:ascii="Arial" w:hAnsi="Arial" w:cs="Arial"/>
          <w:sz w:val="22"/>
          <w:szCs w:val="22"/>
        </w:rPr>
        <w:t>Aposentadoria antecipada, reversível em pensão</w:t>
      </w:r>
    </w:p>
    <w:p w14:paraId="736D3044" w14:textId="581F9EA0" w:rsidR="00A417B7" w:rsidRPr="00443B4F" w:rsidRDefault="00150C32" w:rsidP="00150C32">
      <w:pPr>
        <w:spacing w:before="120" w:after="120" w:line="276" w:lineRule="auto"/>
        <w:jc w:val="both"/>
        <w:rPr>
          <w:rFonts w:ascii="Arial" w:hAnsi="Arial" w:cs="Arial"/>
          <w:sz w:val="22"/>
          <w:szCs w:val="22"/>
        </w:rPr>
      </w:pPr>
      <w:r w:rsidRPr="00443B4F">
        <w:rPr>
          <w:rFonts w:ascii="Arial" w:hAnsi="Arial" w:cs="Arial"/>
          <w:sz w:val="22"/>
          <w:szCs w:val="22"/>
        </w:rPr>
        <w:t>As regras de elegibilidade e de cálculo dos benefícios estão expressas no respectivo regulamento, cuja versão que deu suporte a este trabalho é denominada de Regulamento do Plano de Benefícios Previdenciais Telebrás PREV, estando vigente desde 2007, cuja aprovação pela Secretaria de Previdência Complementar se deu através da Portaria nº 1.722, de 22 de outubro de 2007.</w:t>
      </w:r>
    </w:p>
    <w:p w14:paraId="66FB70C3" w14:textId="77777777" w:rsidR="00150C32" w:rsidRPr="00443B4F" w:rsidRDefault="00150C32" w:rsidP="00150C32">
      <w:pPr>
        <w:spacing w:before="120" w:after="120" w:line="276" w:lineRule="auto"/>
        <w:jc w:val="both"/>
        <w:rPr>
          <w:rFonts w:ascii="Arial" w:hAnsi="Arial" w:cs="Arial"/>
          <w:sz w:val="22"/>
          <w:szCs w:val="22"/>
        </w:rPr>
      </w:pPr>
      <w:r w:rsidRPr="00443B4F">
        <w:rPr>
          <w:rFonts w:ascii="Arial" w:hAnsi="Arial" w:cs="Arial"/>
          <w:sz w:val="22"/>
          <w:szCs w:val="22"/>
        </w:rPr>
        <w:t>O plano de custeio previsto em regulamento é composto pelas seguintes fontes:</w:t>
      </w:r>
    </w:p>
    <w:p w14:paraId="5721D227" w14:textId="77777777" w:rsidR="00150C32" w:rsidRPr="00443B4F" w:rsidRDefault="00150C32" w:rsidP="00150C32">
      <w:pPr>
        <w:pStyle w:val="Recuodecorpodetexto3"/>
        <w:numPr>
          <w:ilvl w:val="0"/>
          <w:numId w:val="11"/>
        </w:numPr>
        <w:spacing w:before="120" w:line="276" w:lineRule="auto"/>
        <w:jc w:val="both"/>
        <w:rPr>
          <w:rFonts w:ascii="Arial" w:hAnsi="Arial" w:cs="Arial"/>
          <w:sz w:val="22"/>
          <w:szCs w:val="22"/>
        </w:rPr>
      </w:pPr>
      <w:r w:rsidRPr="00443B4F">
        <w:rPr>
          <w:rFonts w:ascii="Arial" w:hAnsi="Arial" w:cs="Arial"/>
          <w:sz w:val="22"/>
          <w:szCs w:val="22"/>
        </w:rPr>
        <w:t>Contribuições de Participante:</w:t>
      </w:r>
    </w:p>
    <w:p w14:paraId="4787F424" w14:textId="77777777" w:rsidR="00150C32" w:rsidRPr="00443B4F" w:rsidRDefault="00150C32" w:rsidP="00150C32">
      <w:pPr>
        <w:pStyle w:val="Recuodecorpodetexto3"/>
        <w:numPr>
          <w:ilvl w:val="0"/>
          <w:numId w:val="4"/>
        </w:numPr>
        <w:spacing w:before="120" w:line="276" w:lineRule="auto"/>
        <w:jc w:val="both"/>
        <w:rPr>
          <w:rFonts w:ascii="Arial" w:hAnsi="Arial" w:cs="Arial"/>
          <w:sz w:val="22"/>
          <w:szCs w:val="22"/>
        </w:rPr>
      </w:pPr>
      <w:r w:rsidRPr="00443B4F">
        <w:rPr>
          <w:rFonts w:ascii="Arial" w:hAnsi="Arial" w:cs="Arial"/>
          <w:sz w:val="22"/>
          <w:szCs w:val="22"/>
        </w:rPr>
        <w:t>Ordinária: mensal e obrigatória aos participantes vinculados, autopatrocinados e em gozo de auxílio-doença ou aposentadoria por invalidez equivalente a 2%SP + 3% (SP-PP)</w:t>
      </w:r>
    </w:p>
    <w:p w14:paraId="45ADD7FA" w14:textId="77777777" w:rsidR="00150C32" w:rsidRPr="00443B4F" w:rsidRDefault="00150C32" w:rsidP="00150C32">
      <w:pPr>
        <w:pStyle w:val="Recuodecorpodetexto3"/>
        <w:numPr>
          <w:ilvl w:val="0"/>
          <w:numId w:val="4"/>
        </w:numPr>
        <w:spacing w:before="120" w:line="276" w:lineRule="auto"/>
        <w:jc w:val="both"/>
        <w:rPr>
          <w:rFonts w:ascii="Arial" w:hAnsi="Arial" w:cs="Arial"/>
          <w:sz w:val="22"/>
          <w:szCs w:val="22"/>
        </w:rPr>
      </w:pPr>
      <w:r w:rsidRPr="00443B4F">
        <w:rPr>
          <w:rFonts w:ascii="Arial" w:hAnsi="Arial" w:cs="Arial"/>
          <w:sz w:val="22"/>
          <w:szCs w:val="22"/>
        </w:rPr>
        <w:t xml:space="preserve">Adicional: de caráter facultativo ao participante Vinculado, Autopatrocinado e em gozo de </w:t>
      </w:r>
      <w:proofErr w:type="gramStart"/>
      <w:r w:rsidRPr="00443B4F">
        <w:rPr>
          <w:rFonts w:ascii="Arial" w:hAnsi="Arial" w:cs="Arial"/>
          <w:sz w:val="22"/>
          <w:szCs w:val="22"/>
        </w:rPr>
        <w:t>Auxílio Doença</w:t>
      </w:r>
      <w:proofErr w:type="gramEnd"/>
      <w:r w:rsidRPr="00443B4F">
        <w:rPr>
          <w:rFonts w:ascii="Arial" w:hAnsi="Arial" w:cs="Arial"/>
          <w:sz w:val="22"/>
          <w:szCs w:val="22"/>
        </w:rPr>
        <w:t xml:space="preserve"> ou Aposentadoria por Invalidez, em percentual múltiplo de 0,5% do Salário de Participação, e por prazo não inferior a 12 meses.</w:t>
      </w:r>
    </w:p>
    <w:p w14:paraId="394375ED" w14:textId="77777777" w:rsidR="00150C32" w:rsidRPr="00443B4F" w:rsidRDefault="00150C32" w:rsidP="00150C32">
      <w:pPr>
        <w:pStyle w:val="Recuodecorpodetexto3"/>
        <w:numPr>
          <w:ilvl w:val="0"/>
          <w:numId w:val="4"/>
        </w:numPr>
        <w:spacing w:before="120" w:line="276" w:lineRule="auto"/>
        <w:jc w:val="both"/>
        <w:rPr>
          <w:rFonts w:ascii="Arial" w:hAnsi="Arial" w:cs="Arial"/>
          <w:sz w:val="22"/>
          <w:szCs w:val="22"/>
        </w:rPr>
      </w:pPr>
      <w:r w:rsidRPr="00443B4F">
        <w:rPr>
          <w:rFonts w:ascii="Arial" w:hAnsi="Arial" w:cs="Arial"/>
          <w:sz w:val="22"/>
          <w:szCs w:val="22"/>
        </w:rPr>
        <w:t xml:space="preserve">Eventual: de caráter facultativo ao participante Vinculado, optante pelo Benefício Proporcional Diferido, Autopatrocinado e em gozo de </w:t>
      </w:r>
      <w:proofErr w:type="gramStart"/>
      <w:r w:rsidRPr="00443B4F">
        <w:rPr>
          <w:rFonts w:ascii="Arial" w:hAnsi="Arial" w:cs="Arial"/>
          <w:sz w:val="22"/>
          <w:szCs w:val="22"/>
        </w:rPr>
        <w:t>Auxílio Doença</w:t>
      </w:r>
      <w:proofErr w:type="gramEnd"/>
      <w:r w:rsidRPr="00443B4F">
        <w:rPr>
          <w:rFonts w:ascii="Arial" w:hAnsi="Arial" w:cs="Arial"/>
          <w:sz w:val="22"/>
          <w:szCs w:val="22"/>
        </w:rPr>
        <w:t xml:space="preserve"> ou Aposentadoria por Invalidez, no valor mínimo de 5% do teto do Salário de Participação.</w:t>
      </w:r>
    </w:p>
    <w:p w14:paraId="6C0FD259" w14:textId="77777777" w:rsidR="00150C32" w:rsidRPr="00443B4F" w:rsidRDefault="00150C32" w:rsidP="00150C32">
      <w:pPr>
        <w:pStyle w:val="Recuodecorpodetexto3"/>
        <w:numPr>
          <w:ilvl w:val="0"/>
          <w:numId w:val="4"/>
        </w:numPr>
        <w:spacing w:before="120" w:line="276" w:lineRule="auto"/>
        <w:jc w:val="both"/>
        <w:rPr>
          <w:rFonts w:ascii="Arial" w:hAnsi="Arial" w:cs="Arial"/>
          <w:sz w:val="22"/>
          <w:szCs w:val="22"/>
        </w:rPr>
      </w:pPr>
      <w:r w:rsidRPr="00443B4F">
        <w:rPr>
          <w:rFonts w:ascii="Arial" w:hAnsi="Arial" w:cs="Arial"/>
          <w:sz w:val="22"/>
          <w:szCs w:val="22"/>
        </w:rPr>
        <w:lastRenderedPageBreak/>
        <w:t>Contribuições para os benefícios de risco.</w:t>
      </w:r>
    </w:p>
    <w:p w14:paraId="36058496" w14:textId="77777777" w:rsidR="00150C32" w:rsidRPr="00443B4F" w:rsidRDefault="00150C32" w:rsidP="00150C32">
      <w:pPr>
        <w:pStyle w:val="Recuodecorpodetexto3"/>
        <w:numPr>
          <w:ilvl w:val="0"/>
          <w:numId w:val="11"/>
        </w:numPr>
        <w:spacing w:before="120" w:line="276" w:lineRule="auto"/>
        <w:jc w:val="both"/>
        <w:rPr>
          <w:rFonts w:ascii="Arial" w:hAnsi="Arial" w:cs="Arial"/>
          <w:sz w:val="22"/>
          <w:szCs w:val="22"/>
        </w:rPr>
      </w:pPr>
      <w:r w:rsidRPr="00443B4F">
        <w:rPr>
          <w:rFonts w:ascii="Arial" w:hAnsi="Arial" w:cs="Arial"/>
          <w:sz w:val="22"/>
          <w:szCs w:val="22"/>
        </w:rPr>
        <w:t>Contribuições de Patrocinador: mensalmente, contribuições no valor equivalente ao total das contribuições do participante Vinculado, limitadas a 8% do SP, sendo deduzido destes montantes os valores necessários à cobertura dos benefícios de risco e das despesas administrativas. A dedução relativa ao custeio dos benefícios de risco somente será praticada após a extinção dos recursos recolhidos, na data de vigência do Telebrás PREV, para a cobertura desses benefícios.</w:t>
      </w:r>
    </w:p>
    <w:p w14:paraId="0CBC49D5" w14:textId="65181175" w:rsidR="00150C32" w:rsidRDefault="00150C32" w:rsidP="00150C32">
      <w:pPr>
        <w:autoSpaceDE w:val="0"/>
        <w:autoSpaceDN w:val="0"/>
        <w:adjustRightInd w:val="0"/>
        <w:jc w:val="both"/>
        <w:rPr>
          <w:rFonts w:ascii="Arial" w:hAnsi="Arial" w:cs="Arial"/>
          <w:sz w:val="22"/>
          <w:szCs w:val="22"/>
        </w:rPr>
      </w:pPr>
      <w:r w:rsidRPr="002A36CE">
        <w:rPr>
          <w:rFonts w:ascii="Arial" w:hAnsi="Arial" w:cs="Arial"/>
          <w:sz w:val="22"/>
          <w:szCs w:val="22"/>
        </w:rPr>
        <w:t>Em 31 de março de 202</w:t>
      </w:r>
      <w:r w:rsidR="007C2427">
        <w:rPr>
          <w:rFonts w:ascii="Arial" w:hAnsi="Arial" w:cs="Arial"/>
          <w:sz w:val="22"/>
          <w:szCs w:val="22"/>
        </w:rPr>
        <w:t>6</w:t>
      </w:r>
      <w:r w:rsidRPr="002A36CE">
        <w:rPr>
          <w:rFonts w:ascii="Arial" w:hAnsi="Arial" w:cs="Arial"/>
          <w:sz w:val="22"/>
          <w:szCs w:val="22"/>
        </w:rPr>
        <w:t xml:space="preserve">, o </w:t>
      </w:r>
      <w:r>
        <w:rPr>
          <w:rFonts w:ascii="Arial" w:hAnsi="Arial" w:cs="Arial"/>
          <w:sz w:val="22"/>
          <w:szCs w:val="22"/>
        </w:rPr>
        <w:t>p</w:t>
      </w:r>
      <w:r w:rsidRPr="002A36CE">
        <w:rPr>
          <w:rFonts w:ascii="Arial" w:hAnsi="Arial" w:cs="Arial"/>
          <w:sz w:val="22"/>
          <w:szCs w:val="22"/>
        </w:rPr>
        <w:t>lano continua superavitário, não ensejando no pagamento de contribuições por parte da Telebras e</w:t>
      </w:r>
      <w:r>
        <w:rPr>
          <w:rFonts w:ascii="Arial" w:hAnsi="Arial" w:cs="Arial"/>
          <w:sz w:val="22"/>
          <w:szCs w:val="22"/>
        </w:rPr>
        <w:t>/</w:t>
      </w:r>
      <w:r w:rsidRPr="002A36CE">
        <w:rPr>
          <w:rFonts w:ascii="Arial" w:hAnsi="Arial" w:cs="Arial"/>
          <w:sz w:val="22"/>
          <w:szCs w:val="22"/>
        </w:rPr>
        <w:t>ou dos participantes.</w:t>
      </w:r>
    </w:p>
    <w:p w14:paraId="2E6933F7" w14:textId="77777777" w:rsidR="00150C32" w:rsidRDefault="00150C32" w:rsidP="00150C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150C32" w:rsidRPr="008D6EF8" w14:paraId="78D66278" w14:textId="77777777" w:rsidTr="000055AE">
        <w:trPr>
          <w:trHeight w:val="238"/>
        </w:trPr>
        <w:tc>
          <w:tcPr>
            <w:tcW w:w="3504" w:type="pct"/>
            <w:vMerge w:val="restart"/>
            <w:shd w:val="clear" w:color="000000" w:fill="D9D9D9"/>
            <w:vAlign w:val="center"/>
            <w:hideMark/>
          </w:tcPr>
          <w:p w14:paraId="14FB5E6E" w14:textId="77777777" w:rsidR="00150C32" w:rsidRPr="008D6EF8" w:rsidRDefault="00150C32" w:rsidP="00F924E3">
            <w:pPr>
              <w:rPr>
                <w:rFonts w:ascii="Arial" w:hAnsi="Arial" w:cs="Arial"/>
                <w:b/>
                <w:bCs/>
                <w:color w:val="000000"/>
                <w:sz w:val="18"/>
                <w:szCs w:val="18"/>
              </w:rPr>
            </w:pPr>
            <w:r w:rsidRPr="008D6EF8">
              <w:rPr>
                <w:rFonts w:ascii="Arial" w:hAnsi="Arial" w:cs="Arial"/>
                <w:b/>
                <w:bCs/>
                <w:color w:val="000000"/>
                <w:sz w:val="18"/>
                <w:szCs w:val="18"/>
              </w:rPr>
              <w:t>Composição:</w:t>
            </w:r>
          </w:p>
        </w:tc>
        <w:tc>
          <w:tcPr>
            <w:tcW w:w="1496" w:type="pct"/>
            <w:gridSpan w:val="2"/>
            <w:vAlign w:val="center"/>
            <w:hideMark/>
          </w:tcPr>
          <w:p w14:paraId="0A625152" w14:textId="77777777" w:rsidR="00150C32" w:rsidRPr="008D6EF8" w:rsidRDefault="00150C32" w:rsidP="00F924E3">
            <w:pPr>
              <w:jc w:val="center"/>
              <w:rPr>
                <w:rFonts w:ascii="Arial" w:hAnsi="Arial" w:cs="Arial"/>
                <w:b/>
                <w:bCs/>
                <w:color w:val="000000"/>
                <w:sz w:val="18"/>
                <w:szCs w:val="18"/>
              </w:rPr>
            </w:pPr>
            <w:r w:rsidRPr="008D6EF8">
              <w:rPr>
                <w:rFonts w:ascii="Arial" w:hAnsi="Arial" w:cs="Arial"/>
                <w:b/>
                <w:bCs/>
                <w:color w:val="000000"/>
                <w:sz w:val="18"/>
                <w:szCs w:val="18"/>
              </w:rPr>
              <w:t>Telebras PREV</w:t>
            </w:r>
          </w:p>
        </w:tc>
      </w:tr>
      <w:tr w:rsidR="000055AE" w:rsidRPr="008D6EF8" w14:paraId="01D7C1A0" w14:textId="77777777" w:rsidTr="000055AE">
        <w:trPr>
          <w:trHeight w:val="238"/>
        </w:trPr>
        <w:tc>
          <w:tcPr>
            <w:tcW w:w="3504" w:type="pct"/>
            <w:vMerge/>
            <w:vAlign w:val="center"/>
            <w:hideMark/>
          </w:tcPr>
          <w:p w14:paraId="538C91D3" w14:textId="77777777" w:rsidR="000055AE" w:rsidRPr="008D6EF8" w:rsidRDefault="000055AE" w:rsidP="000055AE">
            <w:pPr>
              <w:rPr>
                <w:rFonts w:ascii="Arial" w:hAnsi="Arial" w:cs="Arial"/>
                <w:b/>
                <w:bCs/>
                <w:color w:val="000000"/>
                <w:sz w:val="18"/>
                <w:szCs w:val="18"/>
              </w:rPr>
            </w:pPr>
          </w:p>
        </w:tc>
        <w:tc>
          <w:tcPr>
            <w:tcW w:w="761" w:type="pct"/>
            <w:vAlign w:val="center"/>
            <w:hideMark/>
          </w:tcPr>
          <w:p w14:paraId="52C32BC9" w14:textId="31FC3158" w:rsidR="000055AE" w:rsidRPr="008D6EF8" w:rsidRDefault="000055AE" w:rsidP="000055AE">
            <w:pPr>
              <w:jc w:val="center"/>
              <w:rPr>
                <w:rFonts w:ascii="Arial" w:hAnsi="Arial" w:cs="Arial"/>
                <w:b/>
                <w:bCs/>
                <w:color w:val="000000"/>
                <w:sz w:val="18"/>
                <w:szCs w:val="18"/>
              </w:rPr>
            </w:pPr>
            <w:r w:rsidRPr="008D6EF8">
              <w:rPr>
                <w:rFonts w:ascii="Arial" w:hAnsi="Arial" w:cs="Arial"/>
                <w:b/>
                <w:bCs/>
                <w:color w:val="000000"/>
                <w:sz w:val="18"/>
                <w:szCs w:val="18"/>
              </w:rPr>
              <w:t>31/03/2026</w:t>
            </w:r>
          </w:p>
        </w:tc>
        <w:tc>
          <w:tcPr>
            <w:tcW w:w="735" w:type="pct"/>
            <w:vAlign w:val="center"/>
            <w:hideMark/>
          </w:tcPr>
          <w:p w14:paraId="24739995" w14:textId="791D5D9D" w:rsidR="000055AE" w:rsidRPr="008D6EF8" w:rsidRDefault="000055AE" w:rsidP="000055AE">
            <w:pPr>
              <w:jc w:val="center"/>
              <w:rPr>
                <w:rFonts w:ascii="Arial" w:hAnsi="Arial" w:cs="Arial"/>
                <w:b/>
                <w:bCs/>
                <w:color w:val="000000"/>
                <w:sz w:val="18"/>
                <w:szCs w:val="18"/>
              </w:rPr>
            </w:pPr>
            <w:r w:rsidRPr="008D6EF8">
              <w:rPr>
                <w:rFonts w:ascii="Arial" w:hAnsi="Arial" w:cs="Arial"/>
                <w:b/>
                <w:bCs/>
                <w:color w:val="000000"/>
                <w:sz w:val="18"/>
                <w:szCs w:val="18"/>
              </w:rPr>
              <w:t>31/03/2025</w:t>
            </w:r>
          </w:p>
        </w:tc>
      </w:tr>
      <w:tr w:rsidR="000055AE" w:rsidRPr="008D6EF8" w14:paraId="180F96D3" w14:textId="77777777" w:rsidTr="000055AE">
        <w:trPr>
          <w:trHeight w:val="238"/>
        </w:trPr>
        <w:tc>
          <w:tcPr>
            <w:tcW w:w="3504" w:type="pct"/>
            <w:noWrap/>
            <w:vAlign w:val="center"/>
            <w:hideMark/>
          </w:tcPr>
          <w:p w14:paraId="4D2BB818" w14:textId="77777777" w:rsidR="000055AE" w:rsidRPr="008D6EF8" w:rsidRDefault="000055AE" w:rsidP="000055AE">
            <w:pPr>
              <w:rPr>
                <w:rFonts w:ascii="Arial" w:hAnsi="Arial" w:cs="Arial"/>
                <w:b/>
                <w:bCs/>
                <w:color w:val="000000"/>
                <w:sz w:val="18"/>
                <w:szCs w:val="18"/>
              </w:rPr>
            </w:pPr>
            <w:r w:rsidRPr="008D6EF8">
              <w:rPr>
                <w:rFonts w:ascii="Arial" w:hAnsi="Arial" w:cs="Arial"/>
                <w:b/>
                <w:bCs/>
                <w:color w:val="000000"/>
                <w:sz w:val="18"/>
                <w:szCs w:val="18"/>
              </w:rPr>
              <w:t>Total dos Ativos do Plano</w:t>
            </w:r>
          </w:p>
        </w:tc>
        <w:tc>
          <w:tcPr>
            <w:tcW w:w="761" w:type="pct"/>
            <w:noWrap/>
            <w:vAlign w:val="center"/>
            <w:hideMark/>
          </w:tcPr>
          <w:p w14:paraId="21424791" w14:textId="4BB41C93" w:rsidR="000055AE" w:rsidRPr="008D6EF8" w:rsidRDefault="000055AE" w:rsidP="000055AE">
            <w:pPr>
              <w:jc w:val="right"/>
              <w:rPr>
                <w:rFonts w:ascii="Arial" w:hAnsi="Arial" w:cs="Arial"/>
                <w:b/>
                <w:bCs/>
                <w:color w:val="000000"/>
                <w:sz w:val="18"/>
                <w:szCs w:val="18"/>
              </w:rPr>
            </w:pPr>
            <w:r w:rsidRPr="008D6EF8">
              <w:rPr>
                <w:rFonts w:ascii="Arial" w:hAnsi="Arial" w:cs="Arial"/>
                <w:b/>
                <w:bCs/>
                <w:color w:val="000000"/>
                <w:sz w:val="18"/>
                <w:szCs w:val="18"/>
              </w:rPr>
              <w:t>1.453.809</w:t>
            </w:r>
          </w:p>
        </w:tc>
        <w:tc>
          <w:tcPr>
            <w:tcW w:w="735" w:type="pct"/>
            <w:noWrap/>
            <w:vAlign w:val="center"/>
            <w:hideMark/>
          </w:tcPr>
          <w:p w14:paraId="06C03DCD" w14:textId="08AC6D7C" w:rsidR="000055AE" w:rsidRPr="008D6EF8" w:rsidRDefault="000055AE" w:rsidP="000055AE">
            <w:pPr>
              <w:jc w:val="right"/>
              <w:rPr>
                <w:rFonts w:ascii="Arial" w:hAnsi="Arial" w:cs="Arial"/>
                <w:b/>
                <w:bCs/>
                <w:color w:val="000000"/>
                <w:sz w:val="18"/>
                <w:szCs w:val="18"/>
              </w:rPr>
            </w:pPr>
            <w:r w:rsidRPr="008D6EF8">
              <w:rPr>
                <w:rFonts w:ascii="Arial" w:hAnsi="Arial" w:cs="Arial"/>
                <w:b/>
                <w:bCs/>
                <w:color w:val="000000"/>
                <w:sz w:val="18"/>
                <w:szCs w:val="18"/>
              </w:rPr>
              <w:t>1.467.966</w:t>
            </w:r>
          </w:p>
        </w:tc>
      </w:tr>
      <w:tr w:rsidR="000055AE" w:rsidRPr="008D6EF8" w14:paraId="0F8FB650" w14:textId="77777777" w:rsidTr="000055AE">
        <w:trPr>
          <w:trHeight w:val="238"/>
        </w:trPr>
        <w:tc>
          <w:tcPr>
            <w:tcW w:w="3504" w:type="pct"/>
            <w:noWrap/>
            <w:vAlign w:val="center"/>
            <w:hideMark/>
          </w:tcPr>
          <w:p w14:paraId="2919DCB8" w14:textId="77777777" w:rsidR="000055AE" w:rsidRPr="008D6EF8" w:rsidRDefault="000055AE" w:rsidP="000055AE">
            <w:pPr>
              <w:rPr>
                <w:rFonts w:ascii="Arial" w:hAnsi="Arial" w:cs="Arial"/>
                <w:color w:val="000000"/>
                <w:sz w:val="18"/>
                <w:szCs w:val="18"/>
              </w:rPr>
            </w:pPr>
            <w:r w:rsidRPr="008D6EF8">
              <w:rPr>
                <w:rFonts w:ascii="Arial" w:hAnsi="Arial" w:cs="Arial"/>
                <w:color w:val="000000"/>
                <w:sz w:val="18"/>
                <w:szCs w:val="18"/>
              </w:rPr>
              <w:t> </w:t>
            </w:r>
          </w:p>
        </w:tc>
        <w:tc>
          <w:tcPr>
            <w:tcW w:w="761" w:type="pct"/>
            <w:noWrap/>
            <w:vAlign w:val="center"/>
            <w:hideMark/>
          </w:tcPr>
          <w:p w14:paraId="60353DEF" w14:textId="710CF764" w:rsidR="000055AE" w:rsidRPr="008D6EF8" w:rsidRDefault="000055AE" w:rsidP="000055AE">
            <w:pPr>
              <w:jc w:val="right"/>
              <w:rPr>
                <w:rFonts w:ascii="Arial" w:hAnsi="Arial" w:cs="Arial"/>
                <w:color w:val="000000"/>
                <w:sz w:val="18"/>
                <w:szCs w:val="18"/>
              </w:rPr>
            </w:pPr>
            <w:r w:rsidRPr="008D6EF8">
              <w:rPr>
                <w:rFonts w:ascii="Arial" w:hAnsi="Arial" w:cs="Arial"/>
                <w:color w:val="000000"/>
                <w:sz w:val="18"/>
                <w:szCs w:val="18"/>
              </w:rPr>
              <w:t> </w:t>
            </w:r>
          </w:p>
        </w:tc>
        <w:tc>
          <w:tcPr>
            <w:tcW w:w="735" w:type="pct"/>
            <w:noWrap/>
            <w:vAlign w:val="center"/>
            <w:hideMark/>
          </w:tcPr>
          <w:p w14:paraId="7595D16A" w14:textId="0947E083" w:rsidR="000055AE" w:rsidRPr="008D6EF8" w:rsidRDefault="000055AE" w:rsidP="000055AE">
            <w:pPr>
              <w:jc w:val="right"/>
              <w:rPr>
                <w:rFonts w:ascii="Arial" w:hAnsi="Arial" w:cs="Arial"/>
                <w:color w:val="000000"/>
                <w:sz w:val="18"/>
                <w:szCs w:val="18"/>
              </w:rPr>
            </w:pPr>
            <w:r w:rsidRPr="008D6EF8">
              <w:rPr>
                <w:rFonts w:ascii="Arial" w:hAnsi="Arial" w:cs="Arial"/>
                <w:color w:val="000000"/>
                <w:sz w:val="18"/>
                <w:szCs w:val="18"/>
              </w:rPr>
              <w:t> </w:t>
            </w:r>
          </w:p>
        </w:tc>
      </w:tr>
      <w:tr w:rsidR="000055AE" w:rsidRPr="008D6EF8" w14:paraId="4C11EA32" w14:textId="77777777" w:rsidTr="000055AE">
        <w:trPr>
          <w:trHeight w:val="238"/>
        </w:trPr>
        <w:tc>
          <w:tcPr>
            <w:tcW w:w="3504" w:type="pct"/>
            <w:vAlign w:val="center"/>
            <w:hideMark/>
          </w:tcPr>
          <w:p w14:paraId="1751D6A2" w14:textId="77777777" w:rsidR="000055AE" w:rsidRPr="008D6EF8" w:rsidRDefault="000055AE" w:rsidP="000055AE">
            <w:pPr>
              <w:rPr>
                <w:rFonts w:ascii="Arial" w:hAnsi="Arial" w:cs="Arial"/>
                <w:color w:val="000000"/>
                <w:sz w:val="18"/>
                <w:szCs w:val="18"/>
              </w:rPr>
            </w:pPr>
            <w:r w:rsidRPr="008D6EF8">
              <w:rPr>
                <w:rFonts w:ascii="Arial" w:hAnsi="Arial" w:cs="Arial"/>
                <w:color w:val="000000"/>
                <w:sz w:val="18"/>
                <w:szCs w:val="18"/>
              </w:rPr>
              <w:t>Provisões Matemáticas e Fundos</w:t>
            </w:r>
          </w:p>
        </w:tc>
        <w:tc>
          <w:tcPr>
            <w:tcW w:w="761" w:type="pct"/>
            <w:noWrap/>
            <w:vAlign w:val="center"/>
            <w:hideMark/>
          </w:tcPr>
          <w:p w14:paraId="39A3C7D7" w14:textId="392B9A5D" w:rsidR="000055AE" w:rsidRPr="008D6EF8" w:rsidRDefault="000055AE" w:rsidP="000055AE">
            <w:pPr>
              <w:jc w:val="right"/>
              <w:rPr>
                <w:rFonts w:ascii="Arial" w:hAnsi="Arial" w:cs="Arial"/>
                <w:color w:val="000000"/>
                <w:sz w:val="18"/>
                <w:szCs w:val="18"/>
              </w:rPr>
            </w:pPr>
            <w:r w:rsidRPr="008D6EF8">
              <w:rPr>
                <w:rFonts w:ascii="Arial" w:hAnsi="Arial" w:cs="Arial"/>
                <w:color w:val="000000"/>
                <w:sz w:val="18"/>
                <w:szCs w:val="18"/>
              </w:rPr>
              <w:t>(1.290.676)</w:t>
            </w:r>
          </w:p>
        </w:tc>
        <w:tc>
          <w:tcPr>
            <w:tcW w:w="735" w:type="pct"/>
            <w:noWrap/>
            <w:vAlign w:val="center"/>
            <w:hideMark/>
          </w:tcPr>
          <w:p w14:paraId="5B36456A" w14:textId="3A1337AE" w:rsidR="000055AE" w:rsidRPr="008D6EF8" w:rsidRDefault="000055AE" w:rsidP="000055AE">
            <w:pPr>
              <w:jc w:val="right"/>
              <w:rPr>
                <w:rFonts w:ascii="Arial" w:hAnsi="Arial" w:cs="Arial"/>
                <w:color w:val="000000"/>
                <w:sz w:val="18"/>
                <w:szCs w:val="18"/>
              </w:rPr>
            </w:pPr>
            <w:r w:rsidRPr="008D6EF8">
              <w:rPr>
                <w:rFonts w:ascii="Arial" w:hAnsi="Arial" w:cs="Arial"/>
                <w:color w:val="000000"/>
                <w:sz w:val="18"/>
                <w:szCs w:val="18"/>
              </w:rPr>
              <w:t>(1.354.385)</w:t>
            </w:r>
          </w:p>
        </w:tc>
      </w:tr>
      <w:tr w:rsidR="000055AE" w:rsidRPr="008D6EF8" w14:paraId="0BFFA880" w14:textId="77777777" w:rsidTr="000055AE">
        <w:trPr>
          <w:trHeight w:val="238"/>
        </w:trPr>
        <w:tc>
          <w:tcPr>
            <w:tcW w:w="3504" w:type="pct"/>
            <w:vAlign w:val="center"/>
            <w:hideMark/>
          </w:tcPr>
          <w:p w14:paraId="66524F36" w14:textId="77777777" w:rsidR="000055AE" w:rsidRPr="008D6EF8" w:rsidRDefault="000055AE" w:rsidP="000055AE">
            <w:pPr>
              <w:rPr>
                <w:rFonts w:ascii="Arial" w:hAnsi="Arial" w:cs="Arial"/>
                <w:color w:val="000000"/>
                <w:sz w:val="18"/>
                <w:szCs w:val="18"/>
              </w:rPr>
            </w:pPr>
            <w:r w:rsidRPr="008D6EF8">
              <w:rPr>
                <w:rFonts w:ascii="Arial" w:hAnsi="Arial" w:cs="Arial"/>
                <w:color w:val="000000"/>
                <w:sz w:val="18"/>
                <w:szCs w:val="18"/>
              </w:rPr>
              <w:t>Outros Exigíveis</w:t>
            </w:r>
          </w:p>
        </w:tc>
        <w:tc>
          <w:tcPr>
            <w:tcW w:w="761" w:type="pct"/>
            <w:noWrap/>
            <w:vAlign w:val="center"/>
            <w:hideMark/>
          </w:tcPr>
          <w:p w14:paraId="7EB5BCA8" w14:textId="68C04DFE" w:rsidR="000055AE" w:rsidRPr="008D6EF8" w:rsidRDefault="000055AE" w:rsidP="000055AE">
            <w:pPr>
              <w:jc w:val="right"/>
              <w:rPr>
                <w:rFonts w:ascii="Arial" w:hAnsi="Arial" w:cs="Arial"/>
                <w:color w:val="000000"/>
                <w:sz w:val="18"/>
                <w:szCs w:val="18"/>
              </w:rPr>
            </w:pPr>
            <w:r w:rsidRPr="008D6EF8">
              <w:rPr>
                <w:rFonts w:ascii="Arial" w:hAnsi="Arial" w:cs="Arial"/>
                <w:color w:val="000000"/>
                <w:sz w:val="18"/>
                <w:szCs w:val="18"/>
              </w:rPr>
              <w:t>(18.040)</w:t>
            </w:r>
          </w:p>
        </w:tc>
        <w:tc>
          <w:tcPr>
            <w:tcW w:w="735" w:type="pct"/>
            <w:noWrap/>
            <w:vAlign w:val="center"/>
            <w:hideMark/>
          </w:tcPr>
          <w:p w14:paraId="1D136468" w14:textId="0ED8E601" w:rsidR="000055AE" w:rsidRPr="008D6EF8" w:rsidRDefault="000055AE" w:rsidP="000055AE">
            <w:pPr>
              <w:jc w:val="right"/>
              <w:rPr>
                <w:rFonts w:ascii="Arial" w:hAnsi="Arial" w:cs="Arial"/>
                <w:color w:val="000000"/>
                <w:sz w:val="18"/>
                <w:szCs w:val="18"/>
              </w:rPr>
            </w:pPr>
            <w:r w:rsidRPr="008D6EF8">
              <w:rPr>
                <w:rFonts w:ascii="Arial" w:hAnsi="Arial" w:cs="Arial"/>
                <w:color w:val="000000"/>
                <w:sz w:val="18"/>
                <w:szCs w:val="18"/>
              </w:rPr>
              <w:t>(7.439)</w:t>
            </w:r>
          </w:p>
        </w:tc>
      </w:tr>
      <w:tr w:rsidR="000055AE" w:rsidRPr="008D6EF8" w14:paraId="1FC770EF" w14:textId="77777777" w:rsidTr="000055AE">
        <w:trPr>
          <w:trHeight w:val="238"/>
        </w:trPr>
        <w:tc>
          <w:tcPr>
            <w:tcW w:w="3504" w:type="pct"/>
            <w:vAlign w:val="center"/>
            <w:hideMark/>
          </w:tcPr>
          <w:p w14:paraId="69EFEB3F" w14:textId="77777777" w:rsidR="000055AE" w:rsidRPr="008D6EF8" w:rsidRDefault="000055AE" w:rsidP="000055AE">
            <w:pPr>
              <w:rPr>
                <w:rFonts w:ascii="Arial" w:hAnsi="Arial" w:cs="Arial"/>
                <w:b/>
                <w:bCs/>
                <w:color w:val="000000"/>
                <w:sz w:val="18"/>
                <w:szCs w:val="18"/>
              </w:rPr>
            </w:pPr>
            <w:r w:rsidRPr="008D6EF8">
              <w:rPr>
                <w:rFonts w:ascii="Arial" w:hAnsi="Arial" w:cs="Arial"/>
                <w:b/>
                <w:bCs/>
                <w:color w:val="000000"/>
                <w:sz w:val="18"/>
                <w:szCs w:val="18"/>
              </w:rPr>
              <w:t>Total das provisões/fundos e outros exigíveis</w:t>
            </w:r>
          </w:p>
        </w:tc>
        <w:tc>
          <w:tcPr>
            <w:tcW w:w="761" w:type="pct"/>
            <w:noWrap/>
            <w:vAlign w:val="center"/>
            <w:hideMark/>
          </w:tcPr>
          <w:p w14:paraId="3420CB4B" w14:textId="3829E9CD" w:rsidR="000055AE" w:rsidRPr="008D6EF8" w:rsidRDefault="000055AE" w:rsidP="000055AE">
            <w:pPr>
              <w:jc w:val="right"/>
              <w:rPr>
                <w:rFonts w:ascii="Arial" w:hAnsi="Arial" w:cs="Arial"/>
                <w:b/>
                <w:bCs/>
                <w:color w:val="000000"/>
                <w:sz w:val="18"/>
                <w:szCs w:val="18"/>
              </w:rPr>
            </w:pPr>
            <w:r w:rsidRPr="008D6EF8">
              <w:rPr>
                <w:rFonts w:ascii="Arial" w:hAnsi="Arial" w:cs="Arial"/>
                <w:b/>
                <w:bCs/>
                <w:color w:val="000000"/>
                <w:sz w:val="18"/>
                <w:szCs w:val="18"/>
              </w:rPr>
              <w:t>(1.308.716)</w:t>
            </w:r>
          </w:p>
        </w:tc>
        <w:tc>
          <w:tcPr>
            <w:tcW w:w="735" w:type="pct"/>
            <w:noWrap/>
            <w:vAlign w:val="center"/>
            <w:hideMark/>
          </w:tcPr>
          <w:p w14:paraId="6923DC4D" w14:textId="3CA3E3B5" w:rsidR="000055AE" w:rsidRPr="008D6EF8" w:rsidRDefault="000055AE" w:rsidP="000055AE">
            <w:pPr>
              <w:jc w:val="right"/>
              <w:rPr>
                <w:rFonts w:ascii="Arial" w:hAnsi="Arial" w:cs="Arial"/>
                <w:b/>
                <w:bCs/>
                <w:color w:val="000000"/>
                <w:sz w:val="18"/>
                <w:szCs w:val="18"/>
              </w:rPr>
            </w:pPr>
            <w:r w:rsidRPr="008D6EF8">
              <w:rPr>
                <w:rFonts w:ascii="Arial" w:hAnsi="Arial" w:cs="Arial"/>
                <w:b/>
                <w:bCs/>
                <w:color w:val="000000"/>
                <w:sz w:val="18"/>
                <w:szCs w:val="18"/>
              </w:rPr>
              <w:t>(1.361.824)</w:t>
            </w:r>
          </w:p>
        </w:tc>
      </w:tr>
      <w:tr w:rsidR="000055AE" w:rsidRPr="008D6EF8" w14:paraId="16DD00C2" w14:textId="77777777" w:rsidTr="000055AE">
        <w:trPr>
          <w:trHeight w:val="238"/>
        </w:trPr>
        <w:tc>
          <w:tcPr>
            <w:tcW w:w="3504" w:type="pct"/>
            <w:noWrap/>
            <w:vAlign w:val="center"/>
            <w:hideMark/>
          </w:tcPr>
          <w:p w14:paraId="41443713" w14:textId="77777777" w:rsidR="000055AE" w:rsidRPr="008D6EF8" w:rsidRDefault="000055AE" w:rsidP="000055AE">
            <w:pPr>
              <w:rPr>
                <w:rFonts w:ascii="Calibri" w:hAnsi="Calibri" w:cs="Calibri"/>
                <w:color w:val="000000"/>
                <w:sz w:val="22"/>
                <w:szCs w:val="22"/>
              </w:rPr>
            </w:pPr>
            <w:r w:rsidRPr="008D6EF8">
              <w:rPr>
                <w:rFonts w:ascii="Calibri" w:hAnsi="Calibri" w:cs="Calibri"/>
                <w:color w:val="000000"/>
                <w:sz w:val="22"/>
                <w:szCs w:val="22"/>
              </w:rPr>
              <w:t> </w:t>
            </w:r>
          </w:p>
        </w:tc>
        <w:tc>
          <w:tcPr>
            <w:tcW w:w="761" w:type="pct"/>
            <w:noWrap/>
            <w:vAlign w:val="center"/>
            <w:hideMark/>
          </w:tcPr>
          <w:p w14:paraId="71019ADB" w14:textId="4FE807DE" w:rsidR="000055AE" w:rsidRPr="008D6EF8" w:rsidRDefault="000055AE" w:rsidP="000055AE">
            <w:pPr>
              <w:jc w:val="right"/>
              <w:rPr>
                <w:rFonts w:ascii="Calibri" w:hAnsi="Calibri" w:cs="Calibri"/>
                <w:color w:val="000000"/>
                <w:sz w:val="22"/>
                <w:szCs w:val="22"/>
              </w:rPr>
            </w:pPr>
            <w:r w:rsidRPr="008D6EF8">
              <w:rPr>
                <w:rFonts w:ascii="Calibri" w:hAnsi="Calibri" w:cs="Calibri"/>
                <w:color w:val="000000"/>
                <w:sz w:val="22"/>
                <w:szCs w:val="22"/>
              </w:rPr>
              <w:t> </w:t>
            </w:r>
          </w:p>
        </w:tc>
        <w:tc>
          <w:tcPr>
            <w:tcW w:w="735" w:type="pct"/>
            <w:noWrap/>
            <w:vAlign w:val="center"/>
            <w:hideMark/>
          </w:tcPr>
          <w:p w14:paraId="659EC449" w14:textId="5EC99590" w:rsidR="000055AE" w:rsidRPr="008D6EF8" w:rsidRDefault="000055AE" w:rsidP="000055AE">
            <w:pPr>
              <w:jc w:val="right"/>
              <w:rPr>
                <w:rFonts w:ascii="Calibri" w:hAnsi="Calibri" w:cs="Calibri"/>
                <w:color w:val="000000"/>
                <w:sz w:val="22"/>
                <w:szCs w:val="22"/>
              </w:rPr>
            </w:pPr>
            <w:r w:rsidRPr="008D6EF8">
              <w:rPr>
                <w:rFonts w:ascii="Calibri" w:hAnsi="Calibri" w:cs="Calibri"/>
                <w:color w:val="000000"/>
                <w:sz w:val="22"/>
                <w:szCs w:val="22"/>
              </w:rPr>
              <w:t> </w:t>
            </w:r>
          </w:p>
        </w:tc>
      </w:tr>
      <w:tr w:rsidR="000055AE" w14:paraId="22B1E79E" w14:textId="77777777" w:rsidTr="000055AE">
        <w:trPr>
          <w:trHeight w:val="238"/>
        </w:trPr>
        <w:tc>
          <w:tcPr>
            <w:tcW w:w="3504" w:type="pct"/>
            <w:vAlign w:val="center"/>
            <w:hideMark/>
          </w:tcPr>
          <w:p w14:paraId="3772DCF5" w14:textId="77777777" w:rsidR="000055AE" w:rsidRPr="008D6EF8" w:rsidRDefault="000055AE" w:rsidP="000055AE">
            <w:pPr>
              <w:rPr>
                <w:rFonts w:ascii="Arial" w:hAnsi="Arial" w:cs="Arial"/>
                <w:b/>
                <w:bCs/>
                <w:color w:val="000000"/>
                <w:sz w:val="18"/>
                <w:szCs w:val="18"/>
              </w:rPr>
            </w:pPr>
            <w:r w:rsidRPr="008D6EF8">
              <w:rPr>
                <w:rFonts w:ascii="Arial" w:hAnsi="Arial" w:cs="Arial"/>
                <w:b/>
                <w:bCs/>
                <w:color w:val="000000"/>
                <w:sz w:val="18"/>
                <w:szCs w:val="18"/>
              </w:rPr>
              <w:t>(=) Superávit Acumulado</w:t>
            </w:r>
          </w:p>
        </w:tc>
        <w:tc>
          <w:tcPr>
            <w:tcW w:w="761" w:type="pct"/>
            <w:vAlign w:val="center"/>
            <w:hideMark/>
          </w:tcPr>
          <w:p w14:paraId="4C936B9C" w14:textId="16C6D0EC" w:rsidR="000055AE" w:rsidRPr="008D6EF8" w:rsidRDefault="000055AE" w:rsidP="000055AE">
            <w:pPr>
              <w:jc w:val="right"/>
              <w:rPr>
                <w:rFonts w:ascii="Arial" w:hAnsi="Arial" w:cs="Arial"/>
                <w:b/>
                <w:bCs/>
                <w:color w:val="000000"/>
                <w:sz w:val="18"/>
                <w:szCs w:val="18"/>
              </w:rPr>
            </w:pPr>
            <w:r w:rsidRPr="008D6EF8">
              <w:rPr>
                <w:rFonts w:ascii="Arial" w:hAnsi="Arial" w:cs="Arial"/>
                <w:b/>
                <w:bCs/>
                <w:color w:val="000000"/>
                <w:sz w:val="18"/>
                <w:szCs w:val="18"/>
              </w:rPr>
              <w:t>145.093</w:t>
            </w:r>
          </w:p>
        </w:tc>
        <w:tc>
          <w:tcPr>
            <w:tcW w:w="735" w:type="pct"/>
            <w:vAlign w:val="center"/>
            <w:hideMark/>
          </w:tcPr>
          <w:p w14:paraId="4E9419E3" w14:textId="00267AB4" w:rsidR="000055AE" w:rsidRPr="008D6EF8" w:rsidRDefault="000055AE" w:rsidP="000055AE">
            <w:pPr>
              <w:jc w:val="right"/>
              <w:rPr>
                <w:rFonts w:ascii="Arial" w:hAnsi="Arial" w:cs="Arial"/>
                <w:b/>
                <w:bCs/>
                <w:color w:val="000000"/>
                <w:sz w:val="18"/>
                <w:szCs w:val="18"/>
              </w:rPr>
            </w:pPr>
            <w:r w:rsidRPr="008D6EF8">
              <w:rPr>
                <w:rFonts w:ascii="Arial" w:hAnsi="Arial" w:cs="Arial"/>
                <w:b/>
                <w:bCs/>
                <w:color w:val="000000"/>
                <w:sz w:val="18"/>
                <w:szCs w:val="18"/>
              </w:rPr>
              <w:t>106.142</w:t>
            </w:r>
          </w:p>
        </w:tc>
      </w:tr>
    </w:tbl>
    <w:p w14:paraId="1E0F5D2F" w14:textId="17CF0EDE" w:rsidR="00150C32" w:rsidRDefault="00150C32" w:rsidP="00150C32">
      <w:pPr>
        <w:spacing w:after="120" w:line="276" w:lineRule="auto"/>
        <w:jc w:val="both"/>
        <w:rPr>
          <w:rFonts w:ascii="Arial" w:hAnsi="Arial" w:cs="Arial"/>
          <w:sz w:val="18"/>
          <w:szCs w:val="18"/>
        </w:rPr>
      </w:pPr>
      <w:r w:rsidRPr="002A36CE">
        <w:rPr>
          <w:rFonts w:ascii="Arial" w:hAnsi="Arial" w:cs="Arial"/>
          <w:sz w:val="18"/>
          <w:szCs w:val="18"/>
        </w:rPr>
        <w:t>Valores extraídos do balancete da Sistel em 31 de março de 202</w:t>
      </w:r>
      <w:r w:rsidR="007C2427">
        <w:rPr>
          <w:rFonts w:ascii="Arial" w:hAnsi="Arial" w:cs="Arial"/>
          <w:sz w:val="18"/>
          <w:szCs w:val="18"/>
        </w:rPr>
        <w:t>6</w:t>
      </w:r>
      <w:r w:rsidRPr="002A36CE">
        <w:rPr>
          <w:rFonts w:ascii="Arial" w:hAnsi="Arial" w:cs="Arial"/>
          <w:sz w:val="18"/>
          <w:szCs w:val="18"/>
        </w:rPr>
        <w:t xml:space="preserve"> e 31 de dezembro de 20</w:t>
      </w:r>
      <w:r>
        <w:rPr>
          <w:rFonts w:ascii="Arial" w:hAnsi="Arial" w:cs="Arial"/>
          <w:sz w:val="18"/>
          <w:szCs w:val="18"/>
        </w:rPr>
        <w:t>2</w:t>
      </w:r>
      <w:r w:rsidR="007C2427">
        <w:rPr>
          <w:rFonts w:ascii="Arial" w:hAnsi="Arial" w:cs="Arial"/>
          <w:sz w:val="18"/>
          <w:szCs w:val="18"/>
        </w:rPr>
        <w:t>5</w:t>
      </w:r>
      <w:r w:rsidRPr="002A36CE">
        <w:rPr>
          <w:rFonts w:ascii="Arial" w:hAnsi="Arial" w:cs="Arial"/>
          <w:sz w:val="18"/>
          <w:szCs w:val="18"/>
        </w:rPr>
        <w:t>.</w:t>
      </w:r>
    </w:p>
    <w:p w14:paraId="4E76A42C" w14:textId="77777777" w:rsidR="00150C32" w:rsidRPr="00D8396F" w:rsidRDefault="00150C32" w:rsidP="00150C32">
      <w:pPr>
        <w:spacing w:after="120" w:line="276" w:lineRule="auto"/>
        <w:jc w:val="both"/>
        <w:rPr>
          <w:rFonts w:ascii="Arial" w:hAnsi="Arial" w:cs="Arial"/>
          <w:sz w:val="8"/>
          <w:szCs w:val="8"/>
        </w:rPr>
      </w:pPr>
    </w:p>
    <w:p w14:paraId="38850C7E" w14:textId="77777777" w:rsidR="00150C32" w:rsidRPr="00275EC5" w:rsidRDefault="00150C32" w:rsidP="00150C32">
      <w:pPr>
        <w:pStyle w:val="Ttulo2"/>
        <w:numPr>
          <w:ilvl w:val="1"/>
          <w:numId w:val="7"/>
        </w:numPr>
        <w:tabs>
          <w:tab w:val="clear" w:pos="284"/>
          <w:tab w:val="clear" w:pos="340"/>
        </w:tabs>
        <w:spacing w:before="0" w:after="0" w:line="276" w:lineRule="auto"/>
        <w:ind w:left="851" w:hanging="851"/>
        <w:jc w:val="both"/>
        <w:rPr>
          <w:rFonts w:ascii="Arial" w:hAnsi="Arial" w:cs="Arial"/>
        </w:rPr>
      </w:pPr>
      <w:r w:rsidRPr="00275EC5">
        <w:rPr>
          <w:rFonts w:ascii="Arial" w:hAnsi="Arial" w:cs="Arial"/>
        </w:rPr>
        <w:t>Pano de Assistência Médica ao Aposentado (PAMA)</w:t>
      </w:r>
    </w:p>
    <w:p w14:paraId="633D15D0" w14:textId="77777777" w:rsidR="00150C32" w:rsidRPr="00275EC5" w:rsidRDefault="00150C32" w:rsidP="00150C32">
      <w:pPr>
        <w:spacing w:before="120" w:after="120" w:line="276" w:lineRule="auto"/>
        <w:jc w:val="both"/>
        <w:rPr>
          <w:rFonts w:ascii="Arial" w:hAnsi="Arial" w:cs="Arial"/>
          <w:sz w:val="22"/>
          <w:szCs w:val="22"/>
        </w:rPr>
      </w:pPr>
      <w:r w:rsidRPr="00275EC5">
        <w:rPr>
          <w:rFonts w:ascii="Arial" w:hAnsi="Arial" w:cs="Arial"/>
          <w:sz w:val="22"/>
          <w:szCs w:val="22"/>
        </w:rPr>
        <w:t>A Telebrás é patrocinadora de um plano médico-hospitalar denominado Plano de Assistência Médica ao Aposentado (PAMA), plano de benefícios de caráter assistencial, cujo objetivo é proporcionar aos participantes atendimento médico e hospitalar, com custos compartilhados e de modo semelhante ao proporcionado aos empregados das patrocinadoras, quando em atividade, conforme reza os artigos 1º e 9º do regulamento.</w:t>
      </w:r>
    </w:p>
    <w:p w14:paraId="1BA5AE28" w14:textId="5F91F232" w:rsidR="008D6EF8" w:rsidRPr="00275EC5" w:rsidRDefault="008D6EF8" w:rsidP="008D6EF8">
      <w:pPr>
        <w:spacing w:line="276" w:lineRule="auto"/>
        <w:jc w:val="both"/>
        <w:rPr>
          <w:sz w:val="22"/>
          <w:szCs w:val="22"/>
        </w:rPr>
      </w:pPr>
      <w:r w:rsidRPr="000A2750">
        <w:rPr>
          <w:rFonts w:ascii="Arial" w:hAnsi="Arial" w:cs="Arial"/>
          <w:sz w:val="22"/>
          <w:szCs w:val="22"/>
        </w:rPr>
        <w:t>O plano PAMA contava, em 31 de dezembro de 202</w:t>
      </w:r>
      <w:r>
        <w:rPr>
          <w:rFonts w:ascii="Arial" w:hAnsi="Arial" w:cs="Arial"/>
          <w:sz w:val="22"/>
          <w:szCs w:val="22"/>
        </w:rPr>
        <w:t>5</w:t>
      </w:r>
      <w:r w:rsidRPr="000A2750">
        <w:rPr>
          <w:rFonts w:ascii="Arial" w:hAnsi="Arial" w:cs="Arial"/>
          <w:sz w:val="22"/>
          <w:szCs w:val="22"/>
        </w:rPr>
        <w:t xml:space="preserve">, com </w:t>
      </w:r>
      <w:r>
        <w:rPr>
          <w:rFonts w:ascii="Arial" w:hAnsi="Arial" w:cs="Arial"/>
          <w:sz w:val="22"/>
          <w:szCs w:val="22"/>
        </w:rPr>
        <w:t>23.077</w:t>
      </w:r>
      <w:r w:rsidRPr="000A2750">
        <w:rPr>
          <w:rFonts w:ascii="Arial" w:hAnsi="Arial" w:cs="Arial"/>
          <w:sz w:val="22"/>
          <w:szCs w:val="22"/>
        </w:rPr>
        <w:t xml:space="preserve"> beneficiários</w:t>
      </w:r>
      <w:r>
        <w:rPr>
          <w:rFonts w:ascii="Arial" w:hAnsi="Arial" w:cs="Arial"/>
          <w:sz w:val="22"/>
          <w:szCs w:val="22"/>
        </w:rPr>
        <w:t xml:space="preserve"> (15.772</w:t>
      </w:r>
      <w:r w:rsidRPr="00FB6551">
        <w:rPr>
          <w:rFonts w:ascii="Arial" w:hAnsi="Arial" w:cs="Arial"/>
          <w:sz w:val="22"/>
          <w:szCs w:val="22"/>
        </w:rPr>
        <w:t xml:space="preserve"> titulares e </w:t>
      </w:r>
      <w:r>
        <w:rPr>
          <w:rFonts w:ascii="Arial" w:hAnsi="Arial" w:cs="Arial"/>
          <w:sz w:val="22"/>
          <w:szCs w:val="22"/>
        </w:rPr>
        <w:t>7.305</w:t>
      </w:r>
      <w:r w:rsidRPr="00FB6551">
        <w:rPr>
          <w:rFonts w:ascii="Arial" w:hAnsi="Arial" w:cs="Arial"/>
          <w:sz w:val="22"/>
          <w:szCs w:val="22"/>
        </w:rPr>
        <w:t xml:space="preserve"> dependentes</w:t>
      </w:r>
      <w:r>
        <w:rPr>
          <w:rFonts w:ascii="Arial" w:hAnsi="Arial" w:cs="Arial"/>
          <w:sz w:val="22"/>
          <w:szCs w:val="22"/>
        </w:rPr>
        <w:t xml:space="preserve">), </w:t>
      </w:r>
      <w:r w:rsidRPr="000A2750">
        <w:rPr>
          <w:rFonts w:ascii="Arial" w:hAnsi="Arial" w:cs="Arial"/>
          <w:sz w:val="22"/>
          <w:szCs w:val="22"/>
        </w:rPr>
        <w:t>sendo que apenas</w:t>
      </w:r>
      <w:r w:rsidRPr="00FE17C8">
        <w:rPr>
          <w:rFonts w:ascii="Arial" w:hAnsi="Arial" w:cs="Arial"/>
          <w:sz w:val="22"/>
          <w:szCs w:val="22"/>
        </w:rPr>
        <w:t xml:space="preserve"> 5 destes </w:t>
      </w:r>
      <w:r w:rsidRPr="00275EC5">
        <w:rPr>
          <w:rFonts w:ascii="Arial" w:hAnsi="Arial" w:cs="Arial"/>
          <w:sz w:val="22"/>
          <w:szCs w:val="22"/>
        </w:rPr>
        <w:t>ainda detinham vínculo com a Telebras. Desse modo, para o exercício de 202</w:t>
      </w:r>
      <w:r>
        <w:rPr>
          <w:rFonts w:ascii="Arial" w:hAnsi="Arial" w:cs="Arial"/>
          <w:sz w:val="22"/>
          <w:szCs w:val="22"/>
        </w:rPr>
        <w:t>6</w:t>
      </w:r>
      <w:r w:rsidRPr="00275EC5">
        <w:rPr>
          <w:rFonts w:ascii="Arial" w:hAnsi="Arial" w:cs="Arial"/>
          <w:sz w:val="22"/>
          <w:szCs w:val="22"/>
        </w:rPr>
        <w:t xml:space="preserve">, a estimativa de gasto da Telebras com esse plano </w:t>
      </w:r>
      <w:r w:rsidRPr="00797FCE">
        <w:rPr>
          <w:rFonts w:ascii="Arial" w:hAnsi="Arial" w:cs="Arial"/>
          <w:sz w:val="22"/>
          <w:szCs w:val="22"/>
        </w:rPr>
        <w:t>é de R$1</w:t>
      </w:r>
      <w:r>
        <w:rPr>
          <w:rFonts w:ascii="Arial" w:hAnsi="Arial" w:cs="Arial"/>
          <w:sz w:val="22"/>
          <w:szCs w:val="22"/>
        </w:rPr>
        <w:t>2.400,00</w:t>
      </w:r>
      <w:r w:rsidRPr="00275EC5">
        <w:rPr>
          <w:rFonts w:ascii="Arial" w:hAnsi="Arial" w:cs="Arial"/>
          <w:sz w:val="22"/>
          <w:szCs w:val="22"/>
        </w:rPr>
        <w:t xml:space="preserve">. </w:t>
      </w:r>
    </w:p>
    <w:p w14:paraId="33C412C5" w14:textId="77777777" w:rsidR="00150C32" w:rsidRPr="00275EC5" w:rsidRDefault="00150C32" w:rsidP="00150C32">
      <w:pPr>
        <w:jc w:val="both"/>
        <w:rPr>
          <w:rFonts w:ascii="Arial" w:hAnsi="Arial" w:cs="Arial"/>
          <w:sz w:val="22"/>
          <w:szCs w:val="22"/>
        </w:rPr>
      </w:pPr>
    </w:p>
    <w:p w14:paraId="0410D4CE" w14:textId="05EED240" w:rsidR="00150C32" w:rsidRDefault="00150C32" w:rsidP="00150C32">
      <w:pPr>
        <w:jc w:val="both"/>
        <w:rPr>
          <w:rFonts w:ascii="Arial" w:hAnsi="Arial" w:cs="Arial"/>
          <w:sz w:val="22"/>
          <w:szCs w:val="22"/>
        </w:rPr>
      </w:pPr>
      <w:r>
        <w:rPr>
          <w:rFonts w:ascii="Arial" w:hAnsi="Arial" w:cs="Arial"/>
          <w:sz w:val="22"/>
          <w:szCs w:val="22"/>
        </w:rPr>
        <w:t>Em 31 de março de 202</w:t>
      </w:r>
      <w:r w:rsidR="00105EBC">
        <w:rPr>
          <w:rFonts w:ascii="Arial" w:hAnsi="Arial" w:cs="Arial"/>
          <w:sz w:val="22"/>
          <w:szCs w:val="22"/>
        </w:rPr>
        <w:t>6</w:t>
      </w:r>
      <w:r>
        <w:rPr>
          <w:rFonts w:ascii="Arial" w:hAnsi="Arial" w:cs="Arial"/>
          <w:sz w:val="22"/>
          <w:szCs w:val="22"/>
        </w:rPr>
        <w:t>, o plano apresentava um déficit conforme demonstrado a seguir:</w:t>
      </w:r>
    </w:p>
    <w:p w14:paraId="14C09005" w14:textId="77777777" w:rsidR="00150C32" w:rsidRDefault="00150C32" w:rsidP="00150C32">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8"/>
        <w:gridCol w:w="1487"/>
        <w:gridCol w:w="1436"/>
      </w:tblGrid>
      <w:tr w:rsidR="00150C32" w:rsidRPr="008D6EF8" w14:paraId="42445A21" w14:textId="77777777" w:rsidTr="00DD4E77">
        <w:trPr>
          <w:trHeight w:val="238"/>
        </w:trPr>
        <w:tc>
          <w:tcPr>
            <w:tcW w:w="3504" w:type="pct"/>
            <w:vMerge w:val="restart"/>
            <w:shd w:val="clear" w:color="000000" w:fill="D9D9D9"/>
            <w:vAlign w:val="center"/>
            <w:hideMark/>
          </w:tcPr>
          <w:p w14:paraId="3A61D799" w14:textId="77777777" w:rsidR="00150C32" w:rsidRPr="008D6EF8" w:rsidRDefault="00150C32" w:rsidP="00F924E3">
            <w:pPr>
              <w:rPr>
                <w:rFonts w:ascii="Arial" w:hAnsi="Arial" w:cs="Arial"/>
                <w:b/>
                <w:bCs/>
                <w:color w:val="000000"/>
                <w:sz w:val="18"/>
                <w:szCs w:val="18"/>
              </w:rPr>
            </w:pPr>
            <w:r w:rsidRPr="008D6EF8">
              <w:rPr>
                <w:rFonts w:ascii="Arial" w:hAnsi="Arial" w:cs="Arial"/>
                <w:b/>
                <w:bCs/>
                <w:color w:val="000000"/>
                <w:sz w:val="18"/>
                <w:szCs w:val="18"/>
              </w:rPr>
              <w:t>Composição:</w:t>
            </w:r>
          </w:p>
        </w:tc>
        <w:tc>
          <w:tcPr>
            <w:tcW w:w="1496" w:type="pct"/>
            <w:gridSpan w:val="2"/>
            <w:vAlign w:val="center"/>
            <w:hideMark/>
          </w:tcPr>
          <w:p w14:paraId="5698E2DF" w14:textId="77777777" w:rsidR="00150C32" w:rsidRPr="008D6EF8" w:rsidRDefault="00150C32" w:rsidP="00F924E3">
            <w:pPr>
              <w:jc w:val="center"/>
              <w:rPr>
                <w:rFonts w:ascii="Arial" w:hAnsi="Arial" w:cs="Arial"/>
                <w:b/>
                <w:bCs/>
                <w:color w:val="000000"/>
                <w:sz w:val="18"/>
                <w:szCs w:val="18"/>
              </w:rPr>
            </w:pPr>
            <w:r w:rsidRPr="008D6EF8">
              <w:rPr>
                <w:rFonts w:ascii="Arial" w:hAnsi="Arial" w:cs="Arial"/>
                <w:b/>
                <w:bCs/>
                <w:color w:val="000000"/>
                <w:sz w:val="18"/>
                <w:szCs w:val="18"/>
              </w:rPr>
              <w:t>PAMA</w:t>
            </w:r>
          </w:p>
        </w:tc>
      </w:tr>
      <w:tr w:rsidR="00DD4E77" w:rsidRPr="008D6EF8" w14:paraId="52FA746D" w14:textId="77777777" w:rsidTr="00DD4E77">
        <w:trPr>
          <w:trHeight w:val="238"/>
        </w:trPr>
        <w:tc>
          <w:tcPr>
            <w:tcW w:w="3504" w:type="pct"/>
            <w:vMerge/>
            <w:vAlign w:val="center"/>
            <w:hideMark/>
          </w:tcPr>
          <w:p w14:paraId="53428B04" w14:textId="77777777" w:rsidR="00DD4E77" w:rsidRPr="008D6EF8" w:rsidRDefault="00DD4E77" w:rsidP="00DD4E77">
            <w:pPr>
              <w:rPr>
                <w:rFonts w:ascii="Arial" w:hAnsi="Arial" w:cs="Arial"/>
                <w:b/>
                <w:bCs/>
                <w:color w:val="000000"/>
                <w:sz w:val="18"/>
                <w:szCs w:val="18"/>
              </w:rPr>
            </w:pPr>
          </w:p>
        </w:tc>
        <w:tc>
          <w:tcPr>
            <w:tcW w:w="761" w:type="pct"/>
            <w:vAlign w:val="center"/>
            <w:hideMark/>
          </w:tcPr>
          <w:p w14:paraId="3ADBE8ED" w14:textId="05772FC8" w:rsidR="00DD4E77" w:rsidRPr="008D6EF8" w:rsidRDefault="00DD4E77" w:rsidP="00DD4E77">
            <w:pPr>
              <w:jc w:val="center"/>
              <w:rPr>
                <w:rFonts w:ascii="Arial" w:hAnsi="Arial" w:cs="Arial"/>
                <w:b/>
                <w:bCs/>
                <w:color w:val="000000"/>
                <w:sz w:val="18"/>
                <w:szCs w:val="18"/>
              </w:rPr>
            </w:pPr>
            <w:r w:rsidRPr="008D6EF8">
              <w:rPr>
                <w:rFonts w:ascii="Arial" w:hAnsi="Arial" w:cs="Arial"/>
                <w:b/>
                <w:bCs/>
                <w:color w:val="000000"/>
                <w:sz w:val="18"/>
                <w:szCs w:val="18"/>
              </w:rPr>
              <w:t>31/03/2026</w:t>
            </w:r>
          </w:p>
        </w:tc>
        <w:tc>
          <w:tcPr>
            <w:tcW w:w="735" w:type="pct"/>
            <w:vAlign w:val="center"/>
            <w:hideMark/>
          </w:tcPr>
          <w:p w14:paraId="2183A916" w14:textId="463FBD32" w:rsidR="00DD4E77" w:rsidRPr="008D6EF8" w:rsidRDefault="00DD4E77" w:rsidP="00DD4E77">
            <w:pPr>
              <w:jc w:val="center"/>
              <w:rPr>
                <w:rFonts w:ascii="Arial" w:hAnsi="Arial" w:cs="Arial"/>
                <w:b/>
                <w:bCs/>
                <w:color w:val="000000"/>
                <w:sz w:val="18"/>
                <w:szCs w:val="18"/>
              </w:rPr>
            </w:pPr>
            <w:r w:rsidRPr="008D6EF8">
              <w:rPr>
                <w:rFonts w:ascii="Arial" w:hAnsi="Arial" w:cs="Arial"/>
                <w:b/>
                <w:bCs/>
                <w:color w:val="000000"/>
                <w:sz w:val="18"/>
                <w:szCs w:val="18"/>
              </w:rPr>
              <w:t>31/03/2025</w:t>
            </w:r>
          </w:p>
        </w:tc>
      </w:tr>
      <w:tr w:rsidR="00DD4E77" w:rsidRPr="008D6EF8" w14:paraId="2C058E01" w14:textId="77777777" w:rsidTr="00DD4E77">
        <w:trPr>
          <w:trHeight w:val="238"/>
        </w:trPr>
        <w:tc>
          <w:tcPr>
            <w:tcW w:w="3504" w:type="pct"/>
            <w:noWrap/>
            <w:vAlign w:val="center"/>
            <w:hideMark/>
          </w:tcPr>
          <w:p w14:paraId="6D5165B7" w14:textId="77777777" w:rsidR="00DD4E77" w:rsidRPr="008D6EF8" w:rsidRDefault="00DD4E77" w:rsidP="00DD4E77">
            <w:pPr>
              <w:rPr>
                <w:rFonts w:ascii="Arial" w:hAnsi="Arial" w:cs="Arial"/>
                <w:b/>
                <w:bCs/>
                <w:color w:val="000000"/>
                <w:sz w:val="18"/>
                <w:szCs w:val="18"/>
              </w:rPr>
            </w:pPr>
            <w:r w:rsidRPr="008D6EF8">
              <w:rPr>
                <w:rFonts w:ascii="Arial" w:hAnsi="Arial" w:cs="Arial"/>
                <w:b/>
                <w:bCs/>
                <w:color w:val="000000"/>
                <w:sz w:val="18"/>
                <w:szCs w:val="18"/>
              </w:rPr>
              <w:t>Total dos Ativos do Plano</w:t>
            </w:r>
          </w:p>
        </w:tc>
        <w:tc>
          <w:tcPr>
            <w:tcW w:w="761" w:type="pct"/>
            <w:noWrap/>
            <w:vAlign w:val="center"/>
            <w:hideMark/>
          </w:tcPr>
          <w:p w14:paraId="66B821CD" w14:textId="26AC60AF" w:rsidR="00DD4E77" w:rsidRPr="008D6EF8" w:rsidRDefault="00DD4E77" w:rsidP="00DD4E77">
            <w:pPr>
              <w:jc w:val="right"/>
              <w:rPr>
                <w:rFonts w:ascii="Arial" w:hAnsi="Arial" w:cs="Arial"/>
                <w:b/>
                <w:bCs/>
                <w:color w:val="000000"/>
                <w:sz w:val="18"/>
                <w:szCs w:val="18"/>
              </w:rPr>
            </w:pPr>
            <w:r w:rsidRPr="008D6EF8">
              <w:rPr>
                <w:rFonts w:ascii="Arial" w:hAnsi="Arial" w:cs="Arial"/>
                <w:b/>
                <w:bCs/>
                <w:color w:val="000000"/>
                <w:sz w:val="18"/>
                <w:szCs w:val="18"/>
              </w:rPr>
              <w:t>5.256.036</w:t>
            </w:r>
          </w:p>
        </w:tc>
        <w:tc>
          <w:tcPr>
            <w:tcW w:w="735" w:type="pct"/>
            <w:noWrap/>
            <w:vAlign w:val="center"/>
            <w:hideMark/>
          </w:tcPr>
          <w:p w14:paraId="40F5AD49" w14:textId="3034F39D" w:rsidR="00DD4E77" w:rsidRPr="008D6EF8" w:rsidRDefault="00DD4E77" w:rsidP="00DD4E77">
            <w:pPr>
              <w:jc w:val="right"/>
              <w:rPr>
                <w:rFonts w:ascii="Arial" w:hAnsi="Arial" w:cs="Arial"/>
                <w:b/>
                <w:bCs/>
                <w:color w:val="000000"/>
                <w:sz w:val="18"/>
                <w:szCs w:val="18"/>
              </w:rPr>
            </w:pPr>
            <w:r w:rsidRPr="008D6EF8">
              <w:rPr>
                <w:rFonts w:ascii="Arial" w:hAnsi="Arial" w:cs="Arial"/>
                <w:b/>
                <w:bCs/>
                <w:color w:val="000000"/>
                <w:sz w:val="18"/>
                <w:szCs w:val="18"/>
              </w:rPr>
              <w:t>5.251.049</w:t>
            </w:r>
          </w:p>
        </w:tc>
      </w:tr>
      <w:tr w:rsidR="00DD4E77" w:rsidRPr="008D6EF8" w14:paraId="2E18ECB8" w14:textId="77777777" w:rsidTr="00DD4E77">
        <w:trPr>
          <w:trHeight w:val="238"/>
        </w:trPr>
        <w:tc>
          <w:tcPr>
            <w:tcW w:w="3504" w:type="pct"/>
            <w:noWrap/>
            <w:vAlign w:val="center"/>
            <w:hideMark/>
          </w:tcPr>
          <w:p w14:paraId="6C2596F3" w14:textId="77777777" w:rsidR="00DD4E77" w:rsidRPr="008D6EF8" w:rsidRDefault="00DD4E77" w:rsidP="00DD4E77">
            <w:pPr>
              <w:rPr>
                <w:rFonts w:ascii="Arial" w:hAnsi="Arial" w:cs="Arial"/>
                <w:color w:val="000000"/>
                <w:sz w:val="18"/>
                <w:szCs w:val="18"/>
              </w:rPr>
            </w:pPr>
            <w:r w:rsidRPr="008D6EF8">
              <w:rPr>
                <w:rFonts w:ascii="Arial" w:hAnsi="Arial" w:cs="Arial"/>
                <w:color w:val="000000"/>
                <w:sz w:val="18"/>
                <w:szCs w:val="18"/>
              </w:rPr>
              <w:t> </w:t>
            </w:r>
          </w:p>
        </w:tc>
        <w:tc>
          <w:tcPr>
            <w:tcW w:w="761" w:type="pct"/>
            <w:noWrap/>
            <w:vAlign w:val="center"/>
            <w:hideMark/>
          </w:tcPr>
          <w:p w14:paraId="791CD944" w14:textId="0169E873" w:rsidR="00DD4E77" w:rsidRPr="008D6EF8" w:rsidRDefault="00DD4E77" w:rsidP="00DD4E77">
            <w:pPr>
              <w:jc w:val="right"/>
              <w:rPr>
                <w:rFonts w:ascii="Arial" w:hAnsi="Arial" w:cs="Arial"/>
                <w:color w:val="000000"/>
                <w:sz w:val="18"/>
                <w:szCs w:val="18"/>
              </w:rPr>
            </w:pPr>
            <w:r w:rsidRPr="008D6EF8">
              <w:rPr>
                <w:rFonts w:ascii="Arial" w:hAnsi="Arial" w:cs="Arial"/>
                <w:color w:val="000000"/>
                <w:sz w:val="18"/>
                <w:szCs w:val="18"/>
              </w:rPr>
              <w:t> </w:t>
            </w:r>
          </w:p>
        </w:tc>
        <w:tc>
          <w:tcPr>
            <w:tcW w:w="735" w:type="pct"/>
            <w:noWrap/>
            <w:vAlign w:val="center"/>
            <w:hideMark/>
          </w:tcPr>
          <w:p w14:paraId="62C8029B" w14:textId="1A827ADA" w:rsidR="00DD4E77" w:rsidRPr="008D6EF8" w:rsidRDefault="00DD4E77" w:rsidP="00DD4E77">
            <w:pPr>
              <w:jc w:val="right"/>
              <w:rPr>
                <w:rFonts w:ascii="Arial" w:hAnsi="Arial" w:cs="Arial"/>
                <w:color w:val="000000"/>
                <w:sz w:val="18"/>
                <w:szCs w:val="18"/>
              </w:rPr>
            </w:pPr>
            <w:r w:rsidRPr="008D6EF8">
              <w:rPr>
                <w:rFonts w:ascii="Arial" w:hAnsi="Arial" w:cs="Arial"/>
                <w:color w:val="000000"/>
                <w:sz w:val="18"/>
                <w:szCs w:val="18"/>
              </w:rPr>
              <w:t> </w:t>
            </w:r>
          </w:p>
        </w:tc>
      </w:tr>
      <w:tr w:rsidR="00DD4E77" w:rsidRPr="008D6EF8" w14:paraId="359D2446" w14:textId="77777777" w:rsidTr="00DD4E77">
        <w:trPr>
          <w:trHeight w:val="238"/>
        </w:trPr>
        <w:tc>
          <w:tcPr>
            <w:tcW w:w="3504" w:type="pct"/>
            <w:vAlign w:val="center"/>
            <w:hideMark/>
          </w:tcPr>
          <w:p w14:paraId="0D3E24B7" w14:textId="77777777" w:rsidR="00DD4E77" w:rsidRPr="008D6EF8" w:rsidRDefault="00DD4E77" w:rsidP="00DD4E77">
            <w:pPr>
              <w:rPr>
                <w:rFonts w:ascii="Arial" w:hAnsi="Arial" w:cs="Arial"/>
                <w:color w:val="000000"/>
                <w:sz w:val="18"/>
                <w:szCs w:val="18"/>
              </w:rPr>
            </w:pPr>
            <w:r w:rsidRPr="008D6EF8">
              <w:rPr>
                <w:rFonts w:ascii="Arial" w:hAnsi="Arial" w:cs="Arial"/>
                <w:color w:val="000000"/>
                <w:sz w:val="18"/>
                <w:szCs w:val="18"/>
              </w:rPr>
              <w:t>Provisões Matemáticas e Fundos</w:t>
            </w:r>
          </w:p>
        </w:tc>
        <w:tc>
          <w:tcPr>
            <w:tcW w:w="761" w:type="pct"/>
            <w:noWrap/>
            <w:vAlign w:val="center"/>
            <w:hideMark/>
          </w:tcPr>
          <w:p w14:paraId="24133A1A" w14:textId="487E25B4" w:rsidR="00DD4E77" w:rsidRPr="008D6EF8" w:rsidRDefault="00DD4E77" w:rsidP="00DD4E77">
            <w:pPr>
              <w:jc w:val="right"/>
              <w:rPr>
                <w:rFonts w:ascii="Arial" w:hAnsi="Arial" w:cs="Arial"/>
                <w:color w:val="000000"/>
                <w:sz w:val="18"/>
                <w:szCs w:val="18"/>
              </w:rPr>
            </w:pPr>
            <w:r w:rsidRPr="008D6EF8">
              <w:rPr>
                <w:rFonts w:ascii="Arial" w:hAnsi="Arial" w:cs="Arial"/>
                <w:color w:val="000000"/>
                <w:sz w:val="18"/>
                <w:szCs w:val="18"/>
              </w:rPr>
              <w:t>(6.301.553)</w:t>
            </w:r>
          </w:p>
        </w:tc>
        <w:tc>
          <w:tcPr>
            <w:tcW w:w="735" w:type="pct"/>
            <w:noWrap/>
            <w:vAlign w:val="center"/>
            <w:hideMark/>
          </w:tcPr>
          <w:p w14:paraId="10A8C513" w14:textId="64B15EC5" w:rsidR="00DD4E77" w:rsidRPr="008D6EF8" w:rsidRDefault="00DD4E77" w:rsidP="00DD4E77">
            <w:pPr>
              <w:jc w:val="right"/>
              <w:rPr>
                <w:rFonts w:ascii="Arial" w:hAnsi="Arial" w:cs="Arial"/>
                <w:color w:val="000000"/>
                <w:sz w:val="18"/>
                <w:szCs w:val="18"/>
              </w:rPr>
            </w:pPr>
            <w:r w:rsidRPr="008D6EF8">
              <w:rPr>
                <w:rFonts w:ascii="Arial" w:hAnsi="Arial" w:cs="Arial"/>
                <w:color w:val="000000"/>
                <w:sz w:val="18"/>
                <w:szCs w:val="18"/>
              </w:rPr>
              <w:t>(6.239.754)</w:t>
            </w:r>
          </w:p>
        </w:tc>
      </w:tr>
      <w:tr w:rsidR="00DD4E77" w:rsidRPr="008D6EF8" w14:paraId="72D8B7D6" w14:textId="77777777" w:rsidTr="00DD4E77">
        <w:trPr>
          <w:trHeight w:val="238"/>
        </w:trPr>
        <w:tc>
          <w:tcPr>
            <w:tcW w:w="3504" w:type="pct"/>
            <w:vAlign w:val="center"/>
            <w:hideMark/>
          </w:tcPr>
          <w:p w14:paraId="68855803" w14:textId="77777777" w:rsidR="00DD4E77" w:rsidRPr="008D6EF8" w:rsidRDefault="00DD4E77" w:rsidP="00DD4E77">
            <w:pPr>
              <w:rPr>
                <w:rFonts w:ascii="Arial" w:hAnsi="Arial" w:cs="Arial"/>
                <w:color w:val="000000"/>
                <w:sz w:val="18"/>
                <w:szCs w:val="18"/>
              </w:rPr>
            </w:pPr>
            <w:r w:rsidRPr="008D6EF8">
              <w:rPr>
                <w:rFonts w:ascii="Arial" w:hAnsi="Arial" w:cs="Arial"/>
                <w:color w:val="000000"/>
                <w:sz w:val="18"/>
                <w:szCs w:val="18"/>
              </w:rPr>
              <w:t>Outros Exigíveis</w:t>
            </w:r>
          </w:p>
        </w:tc>
        <w:tc>
          <w:tcPr>
            <w:tcW w:w="761" w:type="pct"/>
            <w:noWrap/>
            <w:vAlign w:val="center"/>
            <w:hideMark/>
          </w:tcPr>
          <w:p w14:paraId="5E8E48F9" w14:textId="0994791A" w:rsidR="00DD4E77" w:rsidRPr="008D6EF8" w:rsidRDefault="00DD4E77" w:rsidP="00DD4E77">
            <w:pPr>
              <w:jc w:val="right"/>
              <w:rPr>
                <w:rFonts w:ascii="Arial" w:hAnsi="Arial" w:cs="Arial"/>
                <w:color w:val="000000"/>
                <w:sz w:val="18"/>
                <w:szCs w:val="18"/>
              </w:rPr>
            </w:pPr>
            <w:r w:rsidRPr="008D6EF8">
              <w:rPr>
                <w:rFonts w:ascii="Arial" w:hAnsi="Arial" w:cs="Arial"/>
                <w:color w:val="000000"/>
                <w:sz w:val="18"/>
                <w:szCs w:val="18"/>
              </w:rPr>
              <w:t>(64.913)</w:t>
            </w:r>
          </w:p>
        </w:tc>
        <w:tc>
          <w:tcPr>
            <w:tcW w:w="735" w:type="pct"/>
            <w:noWrap/>
            <w:vAlign w:val="center"/>
            <w:hideMark/>
          </w:tcPr>
          <w:p w14:paraId="13926927" w14:textId="6ACA4FD8" w:rsidR="00DD4E77" w:rsidRPr="008D6EF8" w:rsidRDefault="00DD4E77" w:rsidP="00DD4E77">
            <w:pPr>
              <w:jc w:val="right"/>
              <w:rPr>
                <w:rFonts w:ascii="Arial" w:hAnsi="Arial" w:cs="Arial"/>
                <w:color w:val="000000"/>
                <w:sz w:val="18"/>
                <w:szCs w:val="18"/>
              </w:rPr>
            </w:pPr>
            <w:r w:rsidRPr="008D6EF8">
              <w:rPr>
                <w:rFonts w:ascii="Arial" w:hAnsi="Arial" w:cs="Arial"/>
                <w:color w:val="000000"/>
                <w:sz w:val="18"/>
                <w:szCs w:val="18"/>
              </w:rPr>
              <w:t>(60.853)</w:t>
            </w:r>
          </w:p>
        </w:tc>
      </w:tr>
      <w:tr w:rsidR="00DD4E77" w:rsidRPr="008D6EF8" w14:paraId="4A4F5F7B" w14:textId="77777777" w:rsidTr="00DD4E77">
        <w:trPr>
          <w:trHeight w:val="238"/>
        </w:trPr>
        <w:tc>
          <w:tcPr>
            <w:tcW w:w="3504" w:type="pct"/>
            <w:vAlign w:val="center"/>
            <w:hideMark/>
          </w:tcPr>
          <w:p w14:paraId="7F116F32" w14:textId="77777777" w:rsidR="00DD4E77" w:rsidRPr="008D6EF8" w:rsidRDefault="00DD4E77" w:rsidP="00DD4E77">
            <w:pPr>
              <w:rPr>
                <w:rFonts w:ascii="Arial" w:hAnsi="Arial" w:cs="Arial"/>
                <w:b/>
                <w:bCs/>
                <w:color w:val="000000"/>
                <w:sz w:val="18"/>
                <w:szCs w:val="18"/>
              </w:rPr>
            </w:pPr>
            <w:r w:rsidRPr="008D6EF8">
              <w:rPr>
                <w:rFonts w:ascii="Arial" w:hAnsi="Arial" w:cs="Arial"/>
                <w:b/>
                <w:bCs/>
                <w:color w:val="000000"/>
                <w:sz w:val="18"/>
                <w:szCs w:val="18"/>
              </w:rPr>
              <w:t>Total das provisões/fundos e outros exigíveis</w:t>
            </w:r>
          </w:p>
        </w:tc>
        <w:tc>
          <w:tcPr>
            <w:tcW w:w="761" w:type="pct"/>
            <w:noWrap/>
            <w:vAlign w:val="center"/>
            <w:hideMark/>
          </w:tcPr>
          <w:p w14:paraId="5AE3C514" w14:textId="4EB85F0A" w:rsidR="00DD4E77" w:rsidRPr="008D6EF8" w:rsidRDefault="00DD4E77" w:rsidP="00DD4E77">
            <w:pPr>
              <w:jc w:val="right"/>
              <w:rPr>
                <w:rFonts w:ascii="Arial" w:hAnsi="Arial" w:cs="Arial"/>
                <w:b/>
                <w:bCs/>
                <w:color w:val="000000"/>
                <w:sz w:val="18"/>
                <w:szCs w:val="18"/>
              </w:rPr>
            </w:pPr>
            <w:r w:rsidRPr="008D6EF8">
              <w:rPr>
                <w:rFonts w:ascii="Arial" w:hAnsi="Arial" w:cs="Arial"/>
                <w:b/>
                <w:bCs/>
                <w:color w:val="000000"/>
                <w:sz w:val="18"/>
                <w:szCs w:val="18"/>
              </w:rPr>
              <w:t>(6.366.466)</w:t>
            </w:r>
          </w:p>
        </w:tc>
        <w:tc>
          <w:tcPr>
            <w:tcW w:w="735" w:type="pct"/>
            <w:noWrap/>
            <w:vAlign w:val="center"/>
            <w:hideMark/>
          </w:tcPr>
          <w:p w14:paraId="6F0C6A1A" w14:textId="587C7660" w:rsidR="00DD4E77" w:rsidRPr="008D6EF8" w:rsidRDefault="00DD4E77" w:rsidP="00DD4E77">
            <w:pPr>
              <w:jc w:val="right"/>
              <w:rPr>
                <w:rFonts w:ascii="Arial" w:hAnsi="Arial" w:cs="Arial"/>
                <w:b/>
                <w:bCs/>
                <w:color w:val="000000"/>
                <w:sz w:val="18"/>
                <w:szCs w:val="18"/>
              </w:rPr>
            </w:pPr>
            <w:r w:rsidRPr="008D6EF8">
              <w:rPr>
                <w:rFonts w:ascii="Arial" w:hAnsi="Arial" w:cs="Arial"/>
                <w:b/>
                <w:bCs/>
                <w:color w:val="000000"/>
                <w:sz w:val="18"/>
                <w:szCs w:val="18"/>
              </w:rPr>
              <w:t>(6.300.607)</w:t>
            </w:r>
          </w:p>
        </w:tc>
      </w:tr>
      <w:tr w:rsidR="00DD4E77" w:rsidRPr="008D6EF8" w14:paraId="49B8A47B" w14:textId="77777777" w:rsidTr="00DD4E77">
        <w:trPr>
          <w:trHeight w:val="238"/>
        </w:trPr>
        <w:tc>
          <w:tcPr>
            <w:tcW w:w="3504" w:type="pct"/>
            <w:noWrap/>
            <w:vAlign w:val="center"/>
            <w:hideMark/>
          </w:tcPr>
          <w:p w14:paraId="620ECB39" w14:textId="77777777" w:rsidR="00DD4E77" w:rsidRPr="008D6EF8" w:rsidRDefault="00DD4E77" w:rsidP="00DD4E77">
            <w:pPr>
              <w:rPr>
                <w:rFonts w:ascii="Calibri" w:hAnsi="Calibri" w:cs="Calibri"/>
                <w:color w:val="000000"/>
                <w:sz w:val="22"/>
                <w:szCs w:val="22"/>
              </w:rPr>
            </w:pPr>
            <w:r w:rsidRPr="008D6EF8">
              <w:rPr>
                <w:rFonts w:ascii="Calibri" w:hAnsi="Calibri" w:cs="Calibri"/>
                <w:color w:val="000000"/>
                <w:sz w:val="22"/>
                <w:szCs w:val="22"/>
              </w:rPr>
              <w:t> </w:t>
            </w:r>
          </w:p>
        </w:tc>
        <w:tc>
          <w:tcPr>
            <w:tcW w:w="761" w:type="pct"/>
            <w:noWrap/>
            <w:vAlign w:val="center"/>
            <w:hideMark/>
          </w:tcPr>
          <w:p w14:paraId="6C9725DE" w14:textId="5D378DB9" w:rsidR="00DD4E77" w:rsidRPr="008D6EF8" w:rsidRDefault="00DD4E77" w:rsidP="00DD4E77">
            <w:pPr>
              <w:jc w:val="right"/>
              <w:rPr>
                <w:rFonts w:ascii="Calibri" w:hAnsi="Calibri" w:cs="Calibri"/>
                <w:color w:val="000000"/>
                <w:sz w:val="22"/>
                <w:szCs w:val="22"/>
              </w:rPr>
            </w:pPr>
            <w:r w:rsidRPr="008D6EF8">
              <w:rPr>
                <w:rFonts w:ascii="Calibri" w:hAnsi="Calibri" w:cs="Calibri"/>
                <w:color w:val="000000"/>
                <w:sz w:val="22"/>
                <w:szCs w:val="22"/>
              </w:rPr>
              <w:t> </w:t>
            </w:r>
          </w:p>
        </w:tc>
        <w:tc>
          <w:tcPr>
            <w:tcW w:w="735" w:type="pct"/>
            <w:noWrap/>
            <w:vAlign w:val="center"/>
            <w:hideMark/>
          </w:tcPr>
          <w:p w14:paraId="7D949F85" w14:textId="65C030AB" w:rsidR="00DD4E77" w:rsidRPr="008D6EF8" w:rsidRDefault="00DD4E77" w:rsidP="00DD4E77">
            <w:pPr>
              <w:jc w:val="right"/>
              <w:rPr>
                <w:rFonts w:ascii="Calibri" w:hAnsi="Calibri" w:cs="Calibri"/>
                <w:color w:val="000000"/>
                <w:sz w:val="22"/>
                <w:szCs w:val="22"/>
              </w:rPr>
            </w:pPr>
            <w:r w:rsidRPr="008D6EF8">
              <w:rPr>
                <w:rFonts w:ascii="Calibri" w:hAnsi="Calibri" w:cs="Calibri"/>
                <w:color w:val="000000"/>
                <w:sz w:val="22"/>
                <w:szCs w:val="22"/>
              </w:rPr>
              <w:t> </w:t>
            </w:r>
          </w:p>
        </w:tc>
      </w:tr>
      <w:tr w:rsidR="00DD4E77" w14:paraId="0CA3AD48" w14:textId="77777777" w:rsidTr="00DD4E77">
        <w:trPr>
          <w:trHeight w:val="238"/>
        </w:trPr>
        <w:tc>
          <w:tcPr>
            <w:tcW w:w="3504" w:type="pct"/>
            <w:vAlign w:val="center"/>
            <w:hideMark/>
          </w:tcPr>
          <w:p w14:paraId="4B8AE391" w14:textId="77777777" w:rsidR="00DD4E77" w:rsidRPr="008D6EF8" w:rsidRDefault="00DD4E77" w:rsidP="00DD4E77">
            <w:pPr>
              <w:rPr>
                <w:rFonts w:ascii="Arial" w:hAnsi="Arial" w:cs="Arial"/>
                <w:b/>
                <w:bCs/>
                <w:color w:val="000000"/>
                <w:sz w:val="18"/>
                <w:szCs w:val="18"/>
              </w:rPr>
            </w:pPr>
            <w:r w:rsidRPr="008D6EF8">
              <w:rPr>
                <w:rFonts w:ascii="Arial" w:hAnsi="Arial" w:cs="Arial"/>
                <w:b/>
                <w:bCs/>
                <w:color w:val="000000"/>
                <w:sz w:val="18"/>
                <w:szCs w:val="18"/>
              </w:rPr>
              <w:t>(=) Déficit Acumulado</w:t>
            </w:r>
          </w:p>
        </w:tc>
        <w:tc>
          <w:tcPr>
            <w:tcW w:w="761" w:type="pct"/>
            <w:vAlign w:val="center"/>
            <w:hideMark/>
          </w:tcPr>
          <w:p w14:paraId="2A490632" w14:textId="6956EBDC" w:rsidR="00DD4E77" w:rsidRPr="008D6EF8" w:rsidRDefault="00DD4E77" w:rsidP="00DD4E77">
            <w:pPr>
              <w:jc w:val="right"/>
              <w:rPr>
                <w:rFonts w:ascii="Arial" w:hAnsi="Arial" w:cs="Arial"/>
                <w:b/>
                <w:bCs/>
                <w:color w:val="000000"/>
                <w:sz w:val="18"/>
                <w:szCs w:val="18"/>
              </w:rPr>
            </w:pPr>
            <w:r w:rsidRPr="008D6EF8">
              <w:rPr>
                <w:rFonts w:ascii="Arial" w:hAnsi="Arial" w:cs="Arial"/>
                <w:b/>
                <w:bCs/>
                <w:color w:val="000000"/>
                <w:sz w:val="18"/>
                <w:szCs w:val="18"/>
              </w:rPr>
              <w:t>(1.110.430)</w:t>
            </w:r>
          </w:p>
        </w:tc>
        <w:tc>
          <w:tcPr>
            <w:tcW w:w="735" w:type="pct"/>
            <w:vAlign w:val="center"/>
            <w:hideMark/>
          </w:tcPr>
          <w:p w14:paraId="4E7F81CE" w14:textId="47DE785D" w:rsidR="00DD4E77" w:rsidRDefault="00DD4E77" w:rsidP="00DD4E77">
            <w:pPr>
              <w:jc w:val="right"/>
              <w:rPr>
                <w:rFonts w:ascii="Arial" w:hAnsi="Arial" w:cs="Arial"/>
                <w:b/>
                <w:bCs/>
                <w:color w:val="000000"/>
                <w:sz w:val="18"/>
                <w:szCs w:val="18"/>
              </w:rPr>
            </w:pPr>
            <w:r w:rsidRPr="008D6EF8">
              <w:rPr>
                <w:rFonts w:ascii="Arial" w:hAnsi="Arial" w:cs="Arial"/>
                <w:b/>
                <w:bCs/>
                <w:color w:val="000000"/>
                <w:sz w:val="18"/>
                <w:szCs w:val="18"/>
              </w:rPr>
              <w:t>(1.049.558)</w:t>
            </w:r>
          </w:p>
        </w:tc>
      </w:tr>
    </w:tbl>
    <w:p w14:paraId="7E3B56C7" w14:textId="40A8F9B7" w:rsidR="00150C32" w:rsidRDefault="00150C32" w:rsidP="00150C32">
      <w:pPr>
        <w:spacing w:after="120" w:line="276" w:lineRule="auto"/>
        <w:jc w:val="both"/>
        <w:rPr>
          <w:rFonts w:ascii="Arial" w:hAnsi="Arial" w:cs="Arial"/>
          <w:sz w:val="18"/>
          <w:szCs w:val="18"/>
        </w:rPr>
      </w:pPr>
      <w:r w:rsidRPr="002A36CE">
        <w:rPr>
          <w:rFonts w:ascii="Arial" w:hAnsi="Arial" w:cs="Arial"/>
          <w:sz w:val="18"/>
          <w:szCs w:val="18"/>
        </w:rPr>
        <w:t>Valores extraídos do balancete da Sistel em 31 de março de 202</w:t>
      </w:r>
      <w:r w:rsidR="00DD4E77">
        <w:rPr>
          <w:rFonts w:ascii="Arial" w:hAnsi="Arial" w:cs="Arial"/>
          <w:sz w:val="18"/>
          <w:szCs w:val="18"/>
        </w:rPr>
        <w:t>6</w:t>
      </w:r>
      <w:r w:rsidRPr="002A36CE">
        <w:rPr>
          <w:rFonts w:ascii="Arial" w:hAnsi="Arial" w:cs="Arial"/>
          <w:sz w:val="18"/>
          <w:szCs w:val="18"/>
        </w:rPr>
        <w:t xml:space="preserve"> e 31 de dezembro de 20</w:t>
      </w:r>
      <w:r>
        <w:rPr>
          <w:rFonts w:ascii="Arial" w:hAnsi="Arial" w:cs="Arial"/>
          <w:sz w:val="18"/>
          <w:szCs w:val="18"/>
        </w:rPr>
        <w:t>2</w:t>
      </w:r>
      <w:r w:rsidR="00DD4E77">
        <w:rPr>
          <w:rFonts w:ascii="Arial" w:hAnsi="Arial" w:cs="Arial"/>
          <w:sz w:val="18"/>
          <w:szCs w:val="18"/>
        </w:rPr>
        <w:t>5</w:t>
      </w:r>
      <w:r w:rsidRPr="002A36CE">
        <w:rPr>
          <w:rFonts w:ascii="Arial" w:hAnsi="Arial" w:cs="Arial"/>
          <w:sz w:val="18"/>
          <w:szCs w:val="18"/>
        </w:rPr>
        <w:t>.</w:t>
      </w:r>
    </w:p>
    <w:p w14:paraId="579152D6" w14:textId="77777777" w:rsidR="00394EF9" w:rsidRDefault="00394EF9" w:rsidP="00150C32">
      <w:pPr>
        <w:spacing w:after="120" w:line="276" w:lineRule="auto"/>
        <w:jc w:val="both"/>
        <w:rPr>
          <w:rFonts w:ascii="Arial" w:hAnsi="Arial" w:cs="Arial"/>
          <w:sz w:val="22"/>
          <w:szCs w:val="22"/>
        </w:rPr>
      </w:pPr>
    </w:p>
    <w:p w14:paraId="62D86689" w14:textId="77777777" w:rsidR="00150C32" w:rsidRPr="002A36CE" w:rsidRDefault="00150C32" w:rsidP="00150C32">
      <w:pPr>
        <w:pStyle w:val="Ttulo2"/>
        <w:numPr>
          <w:ilvl w:val="1"/>
          <w:numId w:val="7"/>
        </w:numPr>
        <w:tabs>
          <w:tab w:val="clear" w:pos="284"/>
          <w:tab w:val="clear" w:pos="340"/>
        </w:tabs>
        <w:spacing w:before="0" w:after="0"/>
        <w:ind w:left="709" w:hanging="709"/>
        <w:jc w:val="both"/>
        <w:rPr>
          <w:rFonts w:ascii="Arial" w:hAnsi="Arial" w:cs="Arial"/>
        </w:rPr>
      </w:pPr>
      <w:r w:rsidRPr="002A36CE">
        <w:rPr>
          <w:rFonts w:ascii="Arial" w:hAnsi="Arial" w:cs="Arial"/>
        </w:rPr>
        <w:lastRenderedPageBreak/>
        <w:t>Contribuições do patrocinador</w:t>
      </w:r>
    </w:p>
    <w:p w14:paraId="22E2724F" w14:textId="77777777" w:rsidR="00150C32" w:rsidRPr="002A36CE" w:rsidRDefault="00150C32" w:rsidP="00150C32">
      <w:pPr>
        <w:pStyle w:val="Corpodetexto"/>
        <w:spacing w:before="0" w:after="0"/>
        <w:rPr>
          <w:rFonts w:ascii="Arial" w:hAnsi="Arial" w:cs="Arial"/>
        </w:rPr>
      </w:pPr>
    </w:p>
    <w:p w14:paraId="644800B0" w14:textId="33F50C34" w:rsidR="00150C32" w:rsidRPr="002A36CE" w:rsidRDefault="00150C32" w:rsidP="00150C32">
      <w:pPr>
        <w:pStyle w:val="Corpodetexto"/>
        <w:spacing w:before="0" w:after="0"/>
        <w:rPr>
          <w:rFonts w:ascii="Arial" w:hAnsi="Arial" w:cs="Arial"/>
        </w:rPr>
      </w:pPr>
      <w:r w:rsidRPr="002A36CE">
        <w:rPr>
          <w:rFonts w:ascii="Arial" w:hAnsi="Arial" w:cs="Arial"/>
        </w:rPr>
        <w:t xml:space="preserve">Nos </w:t>
      </w:r>
      <w:r>
        <w:rPr>
          <w:rFonts w:ascii="Arial" w:hAnsi="Arial" w:cs="Arial"/>
        </w:rPr>
        <w:t>trimestres</w:t>
      </w:r>
      <w:r w:rsidRPr="002A36CE">
        <w:rPr>
          <w:rFonts w:ascii="Arial" w:hAnsi="Arial" w:cs="Arial"/>
        </w:rPr>
        <w:t xml:space="preserve"> findos em 31 de março de 202</w:t>
      </w:r>
      <w:r w:rsidR="00793F65">
        <w:rPr>
          <w:rFonts w:ascii="Arial" w:hAnsi="Arial" w:cs="Arial"/>
        </w:rPr>
        <w:t>6</w:t>
      </w:r>
      <w:r w:rsidRPr="002A36CE">
        <w:rPr>
          <w:rFonts w:ascii="Arial" w:hAnsi="Arial" w:cs="Arial"/>
        </w:rPr>
        <w:t xml:space="preserve"> e 20</w:t>
      </w:r>
      <w:r>
        <w:rPr>
          <w:rFonts w:ascii="Arial" w:hAnsi="Arial" w:cs="Arial"/>
        </w:rPr>
        <w:t>2</w:t>
      </w:r>
      <w:r w:rsidR="00793F65">
        <w:rPr>
          <w:rFonts w:ascii="Arial" w:hAnsi="Arial" w:cs="Arial"/>
        </w:rPr>
        <w:t>5</w:t>
      </w:r>
      <w:r w:rsidRPr="002A36CE">
        <w:rPr>
          <w:rFonts w:ascii="Arial" w:hAnsi="Arial" w:cs="Arial"/>
        </w:rPr>
        <w:t>, a Companhia realizou as seguintes contribuições para os planos:</w:t>
      </w:r>
    </w:p>
    <w:p w14:paraId="394F3E6C" w14:textId="77777777" w:rsidR="00150C32" w:rsidRDefault="00150C32" w:rsidP="00150C32">
      <w:pPr>
        <w:pStyle w:val="Corpodetexto"/>
        <w:spacing w:before="0" w:after="0"/>
        <w:rPr>
          <w:rFonts w:ascii="Arial" w:hAnsi="Arial" w:cs="Arial"/>
        </w:rPr>
      </w:pPr>
    </w:p>
    <w:tbl>
      <w:tblPr>
        <w:tblW w:w="5000" w:type="pct"/>
        <w:tblCellMar>
          <w:left w:w="70" w:type="dxa"/>
          <w:right w:w="70" w:type="dxa"/>
        </w:tblCellMar>
        <w:tblLook w:val="04A0" w:firstRow="1" w:lastRow="0" w:firstColumn="1" w:lastColumn="0" w:noHBand="0" w:noVBand="1"/>
      </w:tblPr>
      <w:tblGrid>
        <w:gridCol w:w="5291"/>
        <w:gridCol w:w="1117"/>
        <w:gridCol w:w="1119"/>
        <w:gridCol w:w="1117"/>
        <w:gridCol w:w="1117"/>
      </w:tblGrid>
      <w:tr w:rsidR="00150C32" w:rsidRPr="00394EF9" w14:paraId="2995B40B" w14:textId="77777777" w:rsidTr="00F924E3">
        <w:trPr>
          <w:trHeight w:val="238"/>
        </w:trPr>
        <w:tc>
          <w:tcPr>
            <w:tcW w:w="271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01A90F3" w14:textId="77777777" w:rsidR="00150C32" w:rsidRPr="00394EF9" w:rsidRDefault="00150C32" w:rsidP="00F924E3">
            <w:pPr>
              <w:rPr>
                <w:rFonts w:ascii="Arial" w:hAnsi="Arial" w:cs="Arial"/>
                <w:b/>
                <w:bCs/>
                <w:color w:val="000000"/>
                <w:sz w:val="18"/>
                <w:szCs w:val="18"/>
              </w:rPr>
            </w:pPr>
            <w:r w:rsidRPr="00394EF9">
              <w:rPr>
                <w:rFonts w:ascii="Arial" w:hAnsi="Arial" w:cs="Arial"/>
                <w:b/>
                <w:bCs/>
                <w:color w:val="000000"/>
                <w:sz w:val="18"/>
                <w:szCs w:val="18"/>
              </w:rPr>
              <w:t>Composição:</w:t>
            </w:r>
          </w:p>
        </w:tc>
        <w:tc>
          <w:tcPr>
            <w:tcW w:w="1145"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06377A58" w14:textId="77777777" w:rsidR="00150C32" w:rsidRPr="00394EF9" w:rsidRDefault="00150C32" w:rsidP="00F924E3">
            <w:pPr>
              <w:jc w:val="center"/>
              <w:rPr>
                <w:rFonts w:ascii="Arial" w:hAnsi="Arial" w:cs="Arial"/>
                <w:b/>
                <w:bCs/>
                <w:color w:val="000000"/>
                <w:sz w:val="18"/>
                <w:szCs w:val="18"/>
              </w:rPr>
            </w:pPr>
            <w:r w:rsidRPr="00394EF9">
              <w:rPr>
                <w:rFonts w:ascii="Arial" w:hAnsi="Arial" w:cs="Arial"/>
                <w:b/>
                <w:bCs/>
                <w:color w:val="000000"/>
                <w:sz w:val="18"/>
                <w:szCs w:val="18"/>
              </w:rPr>
              <w:t>PBS TELEBRAS - PAMA</w:t>
            </w:r>
          </w:p>
        </w:tc>
        <w:tc>
          <w:tcPr>
            <w:tcW w:w="1144" w:type="pct"/>
            <w:gridSpan w:val="2"/>
            <w:tcBorders>
              <w:top w:val="single" w:sz="8" w:space="0" w:color="auto"/>
              <w:left w:val="nil"/>
              <w:bottom w:val="single" w:sz="8" w:space="0" w:color="auto"/>
              <w:right w:val="single" w:sz="8" w:space="0" w:color="000000"/>
            </w:tcBorders>
            <w:shd w:val="clear" w:color="000000" w:fill="FFFFFF"/>
            <w:noWrap/>
            <w:vAlign w:val="center"/>
            <w:hideMark/>
          </w:tcPr>
          <w:p w14:paraId="195D4110" w14:textId="77777777" w:rsidR="00150C32" w:rsidRPr="00394EF9" w:rsidRDefault="00150C32" w:rsidP="00F924E3">
            <w:pPr>
              <w:jc w:val="center"/>
              <w:rPr>
                <w:rFonts w:ascii="Arial" w:hAnsi="Arial" w:cs="Arial"/>
                <w:b/>
                <w:bCs/>
                <w:color w:val="000000"/>
                <w:sz w:val="18"/>
                <w:szCs w:val="18"/>
              </w:rPr>
            </w:pPr>
            <w:r w:rsidRPr="00394EF9">
              <w:rPr>
                <w:rFonts w:ascii="Arial" w:hAnsi="Arial" w:cs="Arial"/>
                <w:b/>
                <w:bCs/>
                <w:color w:val="000000"/>
                <w:sz w:val="18"/>
                <w:szCs w:val="18"/>
              </w:rPr>
              <w:t>TELEBRAS PREV</w:t>
            </w:r>
          </w:p>
        </w:tc>
      </w:tr>
      <w:tr w:rsidR="00793F65" w:rsidRPr="00394EF9" w14:paraId="22E380C9" w14:textId="77777777" w:rsidTr="00F924E3">
        <w:trPr>
          <w:trHeight w:val="238"/>
        </w:trPr>
        <w:tc>
          <w:tcPr>
            <w:tcW w:w="2710" w:type="pct"/>
            <w:vMerge/>
            <w:tcBorders>
              <w:top w:val="single" w:sz="8" w:space="0" w:color="auto"/>
              <w:left w:val="single" w:sz="8" w:space="0" w:color="auto"/>
              <w:bottom w:val="single" w:sz="8" w:space="0" w:color="000000"/>
              <w:right w:val="single" w:sz="8" w:space="0" w:color="auto"/>
            </w:tcBorders>
            <w:vAlign w:val="center"/>
            <w:hideMark/>
          </w:tcPr>
          <w:p w14:paraId="6F28CA6F" w14:textId="77777777" w:rsidR="00793F65" w:rsidRPr="00394EF9" w:rsidRDefault="00793F65" w:rsidP="00793F65">
            <w:pPr>
              <w:rPr>
                <w:rFonts w:ascii="Arial" w:hAnsi="Arial" w:cs="Arial"/>
                <w:b/>
                <w:bCs/>
                <w:color w:val="000000"/>
                <w:sz w:val="18"/>
                <w:szCs w:val="18"/>
              </w:rPr>
            </w:pPr>
          </w:p>
        </w:tc>
        <w:tc>
          <w:tcPr>
            <w:tcW w:w="572" w:type="pct"/>
            <w:tcBorders>
              <w:top w:val="nil"/>
              <w:left w:val="nil"/>
              <w:bottom w:val="single" w:sz="8" w:space="0" w:color="auto"/>
              <w:right w:val="single" w:sz="8" w:space="0" w:color="auto"/>
            </w:tcBorders>
            <w:vAlign w:val="center"/>
            <w:hideMark/>
          </w:tcPr>
          <w:p w14:paraId="0AEAE642" w14:textId="474BE18A" w:rsidR="00793F65" w:rsidRPr="00394EF9" w:rsidRDefault="00793F65" w:rsidP="00793F65">
            <w:pPr>
              <w:jc w:val="center"/>
              <w:rPr>
                <w:rFonts w:ascii="Arial" w:hAnsi="Arial" w:cs="Arial"/>
                <w:b/>
                <w:bCs/>
                <w:color w:val="000000"/>
                <w:sz w:val="18"/>
                <w:szCs w:val="18"/>
              </w:rPr>
            </w:pPr>
            <w:r w:rsidRPr="00394EF9">
              <w:rPr>
                <w:rFonts w:ascii="Arial" w:hAnsi="Arial" w:cs="Arial"/>
                <w:b/>
                <w:bCs/>
                <w:color w:val="000000"/>
                <w:sz w:val="18"/>
                <w:szCs w:val="18"/>
              </w:rPr>
              <w:t>31/03/2026</w:t>
            </w:r>
          </w:p>
        </w:tc>
        <w:tc>
          <w:tcPr>
            <w:tcW w:w="573" w:type="pct"/>
            <w:tcBorders>
              <w:top w:val="nil"/>
              <w:left w:val="nil"/>
              <w:bottom w:val="single" w:sz="8" w:space="0" w:color="auto"/>
              <w:right w:val="single" w:sz="8" w:space="0" w:color="auto"/>
            </w:tcBorders>
            <w:vAlign w:val="center"/>
            <w:hideMark/>
          </w:tcPr>
          <w:p w14:paraId="70903509" w14:textId="7D4CC7D2" w:rsidR="00793F65" w:rsidRPr="00394EF9" w:rsidRDefault="00793F65" w:rsidP="00793F65">
            <w:pPr>
              <w:jc w:val="center"/>
              <w:rPr>
                <w:rFonts w:ascii="Arial" w:hAnsi="Arial" w:cs="Arial"/>
                <w:b/>
                <w:bCs/>
                <w:color w:val="000000"/>
                <w:sz w:val="18"/>
                <w:szCs w:val="18"/>
              </w:rPr>
            </w:pPr>
            <w:r w:rsidRPr="00394EF9">
              <w:rPr>
                <w:rFonts w:ascii="Arial" w:hAnsi="Arial" w:cs="Arial"/>
                <w:b/>
                <w:bCs/>
                <w:color w:val="000000"/>
                <w:sz w:val="18"/>
                <w:szCs w:val="18"/>
              </w:rPr>
              <w:t>31/03/2025</w:t>
            </w:r>
          </w:p>
        </w:tc>
        <w:tc>
          <w:tcPr>
            <w:tcW w:w="572" w:type="pct"/>
            <w:tcBorders>
              <w:top w:val="nil"/>
              <w:left w:val="nil"/>
              <w:bottom w:val="single" w:sz="8" w:space="0" w:color="auto"/>
              <w:right w:val="single" w:sz="8" w:space="0" w:color="auto"/>
            </w:tcBorders>
            <w:vAlign w:val="center"/>
            <w:hideMark/>
          </w:tcPr>
          <w:p w14:paraId="674F89E9" w14:textId="4E405FF5" w:rsidR="00793F65" w:rsidRPr="00394EF9" w:rsidRDefault="00793F65" w:rsidP="00793F65">
            <w:pPr>
              <w:jc w:val="center"/>
              <w:rPr>
                <w:rFonts w:ascii="Arial" w:hAnsi="Arial" w:cs="Arial"/>
                <w:b/>
                <w:bCs/>
                <w:color w:val="000000"/>
                <w:sz w:val="18"/>
                <w:szCs w:val="18"/>
              </w:rPr>
            </w:pPr>
            <w:r w:rsidRPr="00394EF9">
              <w:rPr>
                <w:rFonts w:ascii="Arial" w:hAnsi="Arial" w:cs="Arial"/>
                <w:b/>
                <w:bCs/>
                <w:color w:val="000000"/>
                <w:sz w:val="18"/>
                <w:szCs w:val="18"/>
              </w:rPr>
              <w:t>31/03/2026</w:t>
            </w:r>
          </w:p>
        </w:tc>
        <w:tc>
          <w:tcPr>
            <w:tcW w:w="572" w:type="pct"/>
            <w:tcBorders>
              <w:top w:val="nil"/>
              <w:left w:val="nil"/>
              <w:bottom w:val="single" w:sz="8" w:space="0" w:color="auto"/>
              <w:right w:val="single" w:sz="8" w:space="0" w:color="auto"/>
            </w:tcBorders>
            <w:vAlign w:val="center"/>
            <w:hideMark/>
          </w:tcPr>
          <w:p w14:paraId="716AA25B" w14:textId="0737E5B3" w:rsidR="00793F65" w:rsidRPr="00394EF9" w:rsidRDefault="00793F65" w:rsidP="00793F65">
            <w:pPr>
              <w:jc w:val="center"/>
              <w:rPr>
                <w:rFonts w:ascii="Arial" w:hAnsi="Arial" w:cs="Arial"/>
                <w:b/>
                <w:bCs/>
                <w:color w:val="000000"/>
                <w:sz w:val="18"/>
                <w:szCs w:val="18"/>
              </w:rPr>
            </w:pPr>
            <w:r w:rsidRPr="00394EF9">
              <w:rPr>
                <w:rFonts w:ascii="Arial" w:hAnsi="Arial" w:cs="Arial"/>
                <w:b/>
                <w:bCs/>
                <w:color w:val="000000"/>
                <w:sz w:val="18"/>
                <w:szCs w:val="18"/>
              </w:rPr>
              <w:t>31/03/2025</w:t>
            </w:r>
          </w:p>
        </w:tc>
      </w:tr>
      <w:tr w:rsidR="00793F65" w:rsidRPr="00394EF9" w14:paraId="0B3B80F0" w14:textId="77777777" w:rsidTr="00F924E3">
        <w:trPr>
          <w:trHeight w:val="238"/>
        </w:trPr>
        <w:tc>
          <w:tcPr>
            <w:tcW w:w="2710" w:type="pct"/>
            <w:tcBorders>
              <w:top w:val="nil"/>
              <w:left w:val="single" w:sz="8" w:space="0" w:color="auto"/>
              <w:bottom w:val="single" w:sz="8" w:space="0" w:color="auto"/>
              <w:right w:val="single" w:sz="8" w:space="0" w:color="auto"/>
            </w:tcBorders>
            <w:noWrap/>
            <w:vAlign w:val="center"/>
            <w:hideMark/>
          </w:tcPr>
          <w:p w14:paraId="0CD05F16" w14:textId="77777777" w:rsidR="00793F65" w:rsidRPr="00394EF9" w:rsidRDefault="00793F65" w:rsidP="00793F65">
            <w:pPr>
              <w:rPr>
                <w:rFonts w:ascii="Arial" w:hAnsi="Arial" w:cs="Arial"/>
                <w:b/>
                <w:bCs/>
                <w:color w:val="000000"/>
                <w:sz w:val="18"/>
                <w:szCs w:val="18"/>
              </w:rPr>
            </w:pPr>
            <w:r w:rsidRPr="00394EF9">
              <w:rPr>
                <w:rFonts w:ascii="Arial" w:hAnsi="Arial" w:cs="Arial"/>
                <w:b/>
                <w:bCs/>
                <w:color w:val="000000"/>
                <w:sz w:val="18"/>
                <w:szCs w:val="18"/>
              </w:rPr>
              <w:t>Contribuições:</w:t>
            </w:r>
          </w:p>
        </w:tc>
        <w:tc>
          <w:tcPr>
            <w:tcW w:w="572" w:type="pct"/>
            <w:tcBorders>
              <w:top w:val="nil"/>
              <w:left w:val="nil"/>
              <w:bottom w:val="single" w:sz="8" w:space="0" w:color="auto"/>
              <w:right w:val="single" w:sz="8" w:space="0" w:color="auto"/>
            </w:tcBorders>
            <w:vAlign w:val="center"/>
            <w:hideMark/>
          </w:tcPr>
          <w:p w14:paraId="30DC8E15" w14:textId="77777777"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 </w:t>
            </w:r>
          </w:p>
        </w:tc>
        <w:tc>
          <w:tcPr>
            <w:tcW w:w="573" w:type="pct"/>
            <w:tcBorders>
              <w:top w:val="nil"/>
              <w:left w:val="nil"/>
              <w:bottom w:val="single" w:sz="8" w:space="0" w:color="auto"/>
              <w:right w:val="single" w:sz="8" w:space="0" w:color="auto"/>
            </w:tcBorders>
            <w:vAlign w:val="center"/>
            <w:hideMark/>
          </w:tcPr>
          <w:p w14:paraId="18439339" w14:textId="1DE2E398"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 </w:t>
            </w:r>
          </w:p>
        </w:tc>
        <w:tc>
          <w:tcPr>
            <w:tcW w:w="572" w:type="pct"/>
            <w:tcBorders>
              <w:top w:val="nil"/>
              <w:left w:val="nil"/>
              <w:bottom w:val="single" w:sz="8" w:space="0" w:color="auto"/>
              <w:right w:val="single" w:sz="8" w:space="0" w:color="auto"/>
            </w:tcBorders>
            <w:vAlign w:val="center"/>
            <w:hideMark/>
          </w:tcPr>
          <w:p w14:paraId="7373B224" w14:textId="77777777"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 </w:t>
            </w:r>
          </w:p>
        </w:tc>
        <w:tc>
          <w:tcPr>
            <w:tcW w:w="572" w:type="pct"/>
            <w:tcBorders>
              <w:top w:val="nil"/>
              <w:left w:val="nil"/>
              <w:bottom w:val="single" w:sz="8" w:space="0" w:color="auto"/>
              <w:right w:val="single" w:sz="8" w:space="0" w:color="auto"/>
            </w:tcBorders>
            <w:vAlign w:val="center"/>
            <w:hideMark/>
          </w:tcPr>
          <w:p w14:paraId="38861760" w14:textId="229E0728"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 </w:t>
            </w:r>
          </w:p>
        </w:tc>
      </w:tr>
      <w:tr w:rsidR="00793F65" w:rsidRPr="00394EF9" w14:paraId="2D585A2A" w14:textId="77777777" w:rsidTr="00F924E3">
        <w:trPr>
          <w:trHeight w:val="238"/>
        </w:trPr>
        <w:tc>
          <w:tcPr>
            <w:tcW w:w="2710" w:type="pct"/>
            <w:tcBorders>
              <w:top w:val="nil"/>
              <w:left w:val="single" w:sz="8" w:space="0" w:color="auto"/>
              <w:bottom w:val="single" w:sz="8" w:space="0" w:color="auto"/>
              <w:right w:val="single" w:sz="8" w:space="0" w:color="auto"/>
            </w:tcBorders>
            <w:noWrap/>
            <w:vAlign w:val="center"/>
            <w:hideMark/>
          </w:tcPr>
          <w:p w14:paraId="04CE4079" w14:textId="77777777" w:rsidR="00793F65" w:rsidRPr="00394EF9" w:rsidRDefault="00793F65" w:rsidP="00793F65">
            <w:pPr>
              <w:rPr>
                <w:rFonts w:ascii="Arial" w:hAnsi="Arial" w:cs="Arial"/>
                <w:color w:val="000000"/>
                <w:sz w:val="18"/>
                <w:szCs w:val="18"/>
              </w:rPr>
            </w:pPr>
            <w:r w:rsidRPr="00394EF9">
              <w:rPr>
                <w:rFonts w:ascii="Arial" w:hAnsi="Arial" w:cs="Arial"/>
                <w:color w:val="000000"/>
                <w:sz w:val="18"/>
                <w:szCs w:val="18"/>
              </w:rPr>
              <w:t>Contribuição Empresa</w:t>
            </w:r>
          </w:p>
        </w:tc>
        <w:tc>
          <w:tcPr>
            <w:tcW w:w="572" w:type="pct"/>
            <w:tcBorders>
              <w:top w:val="nil"/>
              <w:left w:val="nil"/>
              <w:bottom w:val="single" w:sz="8" w:space="0" w:color="auto"/>
              <w:right w:val="single" w:sz="8" w:space="0" w:color="auto"/>
            </w:tcBorders>
            <w:vAlign w:val="center"/>
            <w:hideMark/>
          </w:tcPr>
          <w:p w14:paraId="778C07CB" w14:textId="77777777"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 xml:space="preserve"> - </w:t>
            </w:r>
          </w:p>
        </w:tc>
        <w:tc>
          <w:tcPr>
            <w:tcW w:w="573" w:type="pct"/>
            <w:tcBorders>
              <w:top w:val="nil"/>
              <w:left w:val="nil"/>
              <w:bottom w:val="single" w:sz="8" w:space="0" w:color="auto"/>
              <w:right w:val="single" w:sz="8" w:space="0" w:color="auto"/>
            </w:tcBorders>
            <w:vAlign w:val="center"/>
            <w:hideMark/>
          </w:tcPr>
          <w:p w14:paraId="5213EC88" w14:textId="129417D0"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 xml:space="preserve"> - </w:t>
            </w:r>
          </w:p>
        </w:tc>
        <w:tc>
          <w:tcPr>
            <w:tcW w:w="572" w:type="pct"/>
            <w:tcBorders>
              <w:top w:val="nil"/>
              <w:left w:val="nil"/>
              <w:bottom w:val="single" w:sz="8" w:space="0" w:color="auto"/>
              <w:right w:val="single" w:sz="8" w:space="0" w:color="auto"/>
            </w:tcBorders>
            <w:vAlign w:val="center"/>
            <w:hideMark/>
          </w:tcPr>
          <w:p w14:paraId="61660BEC" w14:textId="511E2620"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586</w:t>
            </w:r>
          </w:p>
        </w:tc>
        <w:tc>
          <w:tcPr>
            <w:tcW w:w="572" w:type="pct"/>
            <w:tcBorders>
              <w:top w:val="nil"/>
              <w:left w:val="nil"/>
              <w:bottom w:val="single" w:sz="8" w:space="0" w:color="auto"/>
              <w:right w:val="single" w:sz="8" w:space="0" w:color="auto"/>
            </w:tcBorders>
            <w:vAlign w:val="center"/>
            <w:hideMark/>
          </w:tcPr>
          <w:p w14:paraId="22E459DE" w14:textId="49EF827C"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562</w:t>
            </w:r>
          </w:p>
        </w:tc>
      </w:tr>
      <w:tr w:rsidR="00793F65" w:rsidRPr="00394EF9" w14:paraId="11D72B40" w14:textId="77777777" w:rsidTr="00F924E3">
        <w:trPr>
          <w:trHeight w:val="238"/>
        </w:trPr>
        <w:tc>
          <w:tcPr>
            <w:tcW w:w="2710" w:type="pct"/>
            <w:tcBorders>
              <w:top w:val="nil"/>
              <w:left w:val="single" w:sz="8" w:space="0" w:color="auto"/>
              <w:bottom w:val="single" w:sz="8" w:space="0" w:color="auto"/>
              <w:right w:val="single" w:sz="8" w:space="0" w:color="auto"/>
            </w:tcBorders>
            <w:noWrap/>
            <w:vAlign w:val="center"/>
            <w:hideMark/>
          </w:tcPr>
          <w:p w14:paraId="3187BFCC" w14:textId="77777777" w:rsidR="00793F65" w:rsidRPr="00394EF9" w:rsidRDefault="00793F65" w:rsidP="00793F65">
            <w:pPr>
              <w:rPr>
                <w:rFonts w:ascii="Arial" w:hAnsi="Arial" w:cs="Arial"/>
                <w:color w:val="000000"/>
                <w:sz w:val="18"/>
                <w:szCs w:val="18"/>
              </w:rPr>
            </w:pPr>
            <w:r w:rsidRPr="00394EF9">
              <w:rPr>
                <w:rFonts w:ascii="Arial" w:hAnsi="Arial" w:cs="Arial"/>
                <w:color w:val="000000"/>
                <w:sz w:val="18"/>
                <w:szCs w:val="18"/>
              </w:rPr>
              <w:t>Contribuição Assistencial</w:t>
            </w:r>
          </w:p>
        </w:tc>
        <w:tc>
          <w:tcPr>
            <w:tcW w:w="572" w:type="pct"/>
            <w:tcBorders>
              <w:top w:val="nil"/>
              <w:left w:val="nil"/>
              <w:bottom w:val="single" w:sz="8" w:space="0" w:color="auto"/>
              <w:right w:val="single" w:sz="8" w:space="0" w:color="auto"/>
            </w:tcBorders>
            <w:vAlign w:val="center"/>
            <w:hideMark/>
          </w:tcPr>
          <w:p w14:paraId="3FD5B3F9" w14:textId="301C4D0E"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2</w:t>
            </w:r>
          </w:p>
        </w:tc>
        <w:tc>
          <w:tcPr>
            <w:tcW w:w="573" w:type="pct"/>
            <w:tcBorders>
              <w:top w:val="nil"/>
              <w:left w:val="nil"/>
              <w:bottom w:val="single" w:sz="8" w:space="0" w:color="auto"/>
              <w:right w:val="single" w:sz="8" w:space="0" w:color="auto"/>
            </w:tcBorders>
            <w:vAlign w:val="center"/>
            <w:hideMark/>
          </w:tcPr>
          <w:p w14:paraId="04664083" w14:textId="100352B3"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3</w:t>
            </w:r>
          </w:p>
        </w:tc>
        <w:tc>
          <w:tcPr>
            <w:tcW w:w="572" w:type="pct"/>
            <w:tcBorders>
              <w:top w:val="nil"/>
              <w:left w:val="nil"/>
              <w:bottom w:val="single" w:sz="8" w:space="0" w:color="auto"/>
              <w:right w:val="single" w:sz="8" w:space="0" w:color="auto"/>
            </w:tcBorders>
            <w:vAlign w:val="center"/>
            <w:hideMark/>
          </w:tcPr>
          <w:p w14:paraId="61C58807" w14:textId="77777777"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 xml:space="preserve">-                          </w:t>
            </w:r>
          </w:p>
        </w:tc>
        <w:tc>
          <w:tcPr>
            <w:tcW w:w="572" w:type="pct"/>
            <w:tcBorders>
              <w:top w:val="nil"/>
              <w:left w:val="nil"/>
              <w:bottom w:val="single" w:sz="8" w:space="0" w:color="auto"/>
              <w:right w:val="single" w:sz="8" w:space="0" w:color="auto"/>
            </w:tcBorders>
            <w:vAlign w:val="center"/>
            <w:hideMark/>
          </w:tcPr>
          <w:p w14:paraId="72005559" w14:textId="7D6AE457" w:rsidR="00793F65" w:rsidRPr="00394EF9" w:rsidRDefault="00793F65" w:rsidP="00793F65">
            <w:pPr>
              <w:jc w:val="right"/>
              <w:rPr>
                <w:rFonts w:ascii="Arial" w:hAnsi="Arial" w:cs="Arial"/>
                <w:color w:val="000000"/>
                <w:sz w:val="18"/>
                <w:szCs w:val="18"/>
              </w:rPr>
            </w:pPr>
            <w:r w:rsidRPr="00394EF9">
              <w:rPr>
                <w:rFonts w:ascii="Arial" w:hAnsi="Arial" w:cs="Arial"/>
                <w:color w:val="000000"/>
                <w:sz w:val="18"/>
                <w:szCs w:val="18"/>
              </w:rPr>
              <w:t xml:space="preserve">-                          </w:t>
            </w:r>
          </w:p>
        </w:tc>
      </w:tr>
      <w:tr w:rsidR="00793F65" w:rsidRPr="00246311" w14:paraId="3C3EEE33" w14:textId="77777777" w:rsidTr="00F924E3">
        <w:trPr>
          <w:trHeight w:val="238"/>
        </w:trPr>
        <w:tc>
          <w:tcPr>
            <w:tcW w:w="2710" w:type="pct"/>
            <w:tcBorders>
              <w:top w:val="nil"/>
              <w:left w:val="single" w:sz="8" w:space="0" w:color="auto"/>
              <w:bottom w:val="single" w:sz="8" w:space="0" w:color="auto"/>
              <w:right w:val="single" w:sz="8" w:space="0" w:color="auto"/>
            </w:tcBorders>
            <w:noWrap/>
            <w:vAlign w:val="center"/>
            <w:hideMark/>
          </w:tcPr>
          <w:p w14:paraId="06A2E9BB" w14:textId="77777777" w:rsidR="00793F65" w:rsidRPr="00394EF9" w:rsidRDefault="00793F65" w:rsidP="00793F65">
            <w:pPr>
              <w:rPr>
                <w:rFonts w:ascii="Arial" w:hAnsi="Arial" w:cs="Arial"/>
                <w:b/>
                <w:bCs/>
                <w:color w:val="000000"/>
                <w:sz w:val="18"/>
                <w:szCs w:val="18"/>
              </w:rPr>
            </w:pPr>
            <w:r w:rsidRPr="00394EF9">
              <w:rPr>
                <w:rFonts w:ascii="Arial" w:hAnsi="Arial" w:cs="Arial"/>
                <w:b/>
                <w:bCs/>
                <w:color w:val="000000"/>
                <w:sz w:val="18"/>
                <w:szCs w:val="18"/>
              </w:rPr>
              <w:t>Total</w:t>
            </w:r>
          </w:p>
        </w:tc>
        <w:tc>
          <w:tcPr>
            <w:tcW w:w="572" w:type="pct"/>
            <w:tcBorders>
              <w:top w:val="nil"/>
              <w:left w:val="nil"/>
              <w:bottom w:val="single" w:sz="8" w:space="0" w:color="auto"/>
              <w:right w:val="single" w:sz="8" w:space="0" w:color="auto"/>
            </w:tcBorders>
            <w:noWrap/>
            <w:vAlign w:val="center"/>
            <w:hideMark/>
          </w:tcPr>
          <w:p w14:paraId="32ED563E" w14:textId="435CCEA3" w:rsidR="00793F65" w:rsidRPr="00394EF9" w:rsidRDefault="00793F65" w:rsidP="00793F65">
            <w:pPr>
              <w:jc w:val="right"/>
              <w:rPr>
                <w:rFonts w:ascii="Arial" w:hAnsi="Arial" w:cs="Arial"/>
                <w:b/>
                <w:bCs/>
                <w:color w:val="000000"/>
                <w:sz w:val="18"/>
                <w:szCs w:val="18"/>
              </w:rPr>
            </w:pPr>
            <w:r w:rsidRPr="00394EF9">
              <w:rPr>
                <w:rFonts w:ascii="Arial" w:hAnsi="Arial" w:cs="Arial"/>
                <w:b/>
                <w:bCs/>
                <w:color w:val="000000"/>
                <w:sz w:val="18"/>
                <w:szCs w:val="18"/>
              </w:rPr>
              <w:t>2</w:t>
            </w:r>
          </w:p>
        </w:tc>
        <w:tc>
          <w:tcPr>
            <w:tcW w:w="573" w:type="pct"/>
            <w:tcBorders>
              <w:top w:val="nil"/>
              <w:left w:val="nil"/>
              <w:bottom w:val="single" w:sz="8" w:space="0" w:color="auto"/>
              <w:right w:val="single" w:sz="8" w:space="0" w:color="auto"/>
            </w:tcBorders>
            <w:noWrap/>
            <w:vAlign w:val="center"/>
            <w:hideMark/>
          </w:tcPr>
          <w:p w14:paraId="561261E9" w14:textId="0934E5AB" w:rsidR="00793F65" w:rsidRPr="00394EF9" w:rsidRDefault="00793F65" w:rsidP="00793F65">
            <w:pPr>
              <w:jc w:val="right"/>
              <w:rPr>
                <w:rFonts w:ascii="Arial" w:hAnsi="Arial" w:cs="Arial"/>
                <w:b/>
                <w:bCs/>
                <w:color w:val="000000"/>
                <w:sz w:val="18"/>
                <w:szCs w:val="18"/>
              </w:rPr>
            </w:pPr>
            <w:r w:rsidRPr="00394EF9">
              <w:rPr>
                <w:rFonts w:ascii="Arial" w:hAnsi="Arial" w:cs="Arial"/>
                <w:b/>
                <w:bCs/>
                <w:color w:val="000000"/>
                <w:sz w:val="18"/>
                <w:szCs w:val="18"/>
              </w:rPr>
              <w:t>3</w:t>
            </w:r>
          </w:p>
        </w:tc>
        <w:tc>
          <w:tcPr>
            <w:tcW w:w="572" w:type="pct"/>
            <w:tcBorders>
              <w:top w:val="nil"/>
              <w:left w:val="nil"/>
              <w:bottom w:val="single" w:sz="8" w:space="0" w:color="auto"/>
              <w:right w:val="single" w:sz="8" w:space="0" w:color="auto"/>
            </w:tcBorders>
            <w:noWrap/>
            <w:vAlign w:val="center"/>
            <w:hideMark/>
          </w:tcPr>
          <w:p w14:paraId="1A431C3C" w14:textId="78918050" w:rsidR="00793F65" w:rsidRPr="00394EF9" w:rsidRDefault="00793F65" w:rsidP="00793F65">
            <w:pPr>
              <w:jc w:val="right"/>
              <w:rPr>
                <w:rFonts w:ascii="Arial" w:hAnsi="Arial" w:cs="Arial"/>
                <w:b/>
                <w:bCs/>
                <w:color w:val="000000"/>
                <w:sz w:val="18"/>
                <w:szCs w:val="18"/>
              </w:rPr>
            </w:pPr>
            <w:r w:rsidRPr="00394EF9">
              <w:rPr>
                <w:rFonts w:ascii="Arial" w:hAnsi="Arial" w:cs="Arial"/>
                <w:b/>
                <w:bCs/>
                <w:color w:val="000000"/>
                <w:sz w:val="18"/>
                <w:szCs w:val="18"/>
              </w:rPr>
              <w:t>586</w:t>
            </w:r>
          </w:p>
        </w:tc>
        <w:tc>
          <w:tcPr>
            <w:tcW w:w="572" w:type="pct"/>
            <w:tcBorders>
              <w:top w:val="nil"/>
              <w:left w:val="nil"/>
              <w:bottom w:val="single" w:sz="8" w:space="0" w:color="auto"/>
              <w:right w:val="single" w:sz="8" w:space="0" w:color="auto"/>
            </w:tcBorders>
            <w:noWrap/>
            <w:vAlign w:val="center"/>
            <w:hideMark/>
          </w:tcPr>
          <w:p w14:paraId="1B9EF58D" w14:textId="510CD660" w:rsidR="00793F65" w:rsidRPr="00246311" w:rsidRDefault="00793F65" w:rsidP="00793F65">
            <w:pPr>
              <w:jc w:val="right"/>
              <w:rPr>
                <w:rFonts w:ascii="Arial" w:hAnsi="Arial" w:cs="Arial"/>
                <w:b/>
                <w:bCs/>
                <w:color w:val="000000"/>
                <w:sz w:val="18"/>
                <w:szCs w:val="18"/>
              </w:rPr>
            </w:pPr>
            <w:r w:rsidRPr="00394EF9">
              <w:rPr>
                <w:rFonts w:ascii="Arial" w:hAnsi="Arial" w:cs="Arial"/>
                <w:b/>
                <w:bCs/>
                <w:color w:val="000000"/>
                <w:sz w:val="18"/>
                <w:szCs w:val="18"/>
              </w:rPr>
              <w:t>562</w:t>
            </w:r>
          </w:p>
        </w:tc>
      </w:tr>
    </w:tbl>
    <w:p w14:paraId="3014D051" w14:textId="77777777" w:rsidR="00150C32" w:rsidRDefault="00150C32" w:rsidP="007967C8"/>
    <w:p w14:paraId="761F2636" w14:textId="77777777" w:rsidR="008776B8" w:rsidRPr="003E1A56" w:rsidRDefault="008776B8" w:rsidP="009541E1">
      <w:pPr>
        <w:pStyle w:val="Ttulo2"/>
        <w:numPr>
          <w:ilvl w:val="0"/>
          <w:numId w:val="7"/>
        </w:numPr>
        <w:tabs>
          <w:tab w:val="clear" w:pos="284"/>
          <w:tab w:val="clear" w:pos="340"/>
        </w:tabs>
        <w:spacing w:before="0" w:after="0" w:line="276" w:lineRule="auto"/>
        <w:ind w:left="851" w:hanging="851"/>
        <w:jc w:val="both"/>
        <w:rPr>
          <w:rFonts w:ascii="Arial" w:hAnsi="Arial" w:cs="Arial"/>
        </w:rPr>
      </w:pPr>
      <w:bookmarkStart w:id="65" w:name="_Toc491337781"/>
      <w:r w:rsidRPr="003E1A56">
        <w:rPr>
          <w:rFonts w:ascii="Arial" w:hAnsi="Arial" w:cs="Arial"/>
        </w:rPr>
        <w:t>PARTES RELACIONADAS</w:t>
      </w:r>
      <w:bookmarkEnd w:id="65"/>
    </w:p>
    <w:p w14:paraId="2409D76F" w14:textId="6FF4D40A" w:rsidR="00B0654A" w:rsidRPr="003E1A56" w:rsidRDefault="00B0654A" w:rsidP="00D70C66">
      <w:pPr>
        <w:pStyle w:val="Corpodetexto"/>
        <w:spacing w:before="0" w:after="0" w:line="276" w:lineRule="auto"/>
        <w:rPr>
          <w:rFonts w:ascii="Arial" w:hAnsi="Arial" w:cs="Arial"/>
          <w:sz w:val="14"/>
          <w:szCs w:val="14"/>
        </w:rPr>
      </w:pPr>
    </w:p>
    <w:p w14:paraId="4A792927" w14:textId="6038CCEF" w:rsidR="007A1B07" w:rsidRPr="003E1A56" w:rsidRDefault="007A1B07" w:rsidP="00D70C66">
      <w:pPr>
        <w:spacing w:line="276" w:lineRule="auto"/>
        <w:jc w:val="both"/>
        <w:rPr>
          <w:rFonts w:ascii="Arial" w:hAnsi="Arial" w:cs="Arial"/>
          <w:sz w:val="22"/>
          <w:szCs w:val="22"/>
        </w:rPr>
      </w:pPr>
      <w:r w:rsidRPr="003E1A56">
        <w:rPr>
          <w:rFonts w:ascii="Arial" w:hAnsi="Arial" w:cs="Arial"/>
          <w:sz w:val="22"/>
          <w:szCs w:val="22"/>
        </w:rPr>
        <w:t>A controladora final da Companhia é a União</w:t>
      </w:r>
      <w:r w:rsidR="00330ADC" w:rsidRPr="003E1A56">
        <w:rPr>
          <w:rFonts w:ascii="Arial" w:hAnsi="Arial" w:cs="Arial"/>
          <w:sz w:val="22"/>
          <w:szCs w:val="22"/>
        </w:rPr>
        <w:t>,</w:t>
      </w:r>
      <w:r w:rsidRPr="003E1A56">
        <w:rPr>
          <w:rFonts w:ascii="Arial" w:hAnsi="Arial" w:cs="Arial"/>
          <w:sz w:val="22"/>
          <w:szCs w:val="22"/>
        </w:rPr>
        <w:t xml:space="preserve"> que detém </w:t>
      </w:r>
      <w:r w:rsidR="00105441" w:rsidRPr="003E1A56">
        <w:rPr>
          <w:rFonts w:ascii="Arial" w:hAnsi="Arial" w:cs="Arial"/>
          <w:sz w:val="22"/>
          <w:szCs w:val="22"/>
        </w:rPr>
        <w:t>93,</w:t>
      </w:r>
      <w:r w:rsidR="00333EE0" w:rsidRPr="003E1A56">
        <w:rPr>
          <w:rFonts w:ascii="Arial" w:hAnsi="Arial" w:cs="Arial"/>
          <w:sz w:val="22"/>
          <w:szCs w:val="22"/>
        </w:rPr>
        <w:t>5</w:t>
      </w:r>
      <w:r w:rsidR="007054F4">
        <w:rPr>
          <w:rFonts w:ascii="Arial" w:hAnsi="Arial" w:cs="Arial"/>
          <w:sz w:val="22"/>
          <w:szCs w:val="22"/>
        </w:rPr>
        <w:t>2</w:t>
      </w:r>
      <w:r w:rsidRPr="003E1A56">
        <w:rPr>
          <w:rFonts w:ascii="Arial" w:hAnsi="Arial" w:cs="Arial"/>
          <w:sz w:val="22"/>
          <w:szCs w:val="22"/>
        </w:rPr>
        <w:t>% das ações ordinárias da Companhia</w:t>
      </w:r>
      <w:r w:rsidR="001D1099" w:rsidRPr="003E1A56">
        <w:rPr>
          <w:rFonts w:ascii="Arial" w:hAnsi="Arial" w:cs="Arial"/>
          <w:sz w:val="22"/>
          <w:szCs w:val="22"/>
        </w:rPr>
        <w:t>.</w:t>
      </w:r>
      <w:r w:rsidRPr="003E1A56">
        <w:rPr>
          <w:rFonts w:ascii="Arial" w:hAnsi="Arial" w:cs="Arial"/>
          <w:sz w:val="22"/>
          <w:szCs w:val="22"/>
        </w:rPr>
        <w:t xml:space="preserve"> (Nota Explicativa </w:t>
      </w:r>
      <w:r w:rsidR="002B2FDC" w:rsidRPr="003E1A56">
        <w:rPr>
          <w:rFonts w:ascii="Arial" w:hAnsi="Arial" w:cs="Arial"/>
          <w:sz w:val="22"/>
          <w:szCs w:val="22"/>
        </w:rPr>
        <w:t>2</w:t>
      </w:r>
      <w:r w:rsidR="00394EF9">
        <w:rPr>
          <w:rFonts w:ascii="Arial" w:hAnsi="Arial" w:cs="Arial"/>
          <w:sz w:val="22"/>
          <w:szCs w:val="22"/>
        </w:rPr>
        <w:t>6</w:t>
      </w:r>
      <w:r w:rsidRPr="003E1A56">
        <w:rPr>
          <w:rFonts w:ascii="Arial" w:hAnsi="Arial" w:cs="Arial"/>
          <w:sz w:val="22"/>
          <w:szCs w:val="22"/>
        </w:rPr>
        <w:t xml:space="preserve">) </w:t>
      </w:r>
    </w:p>
    <w:p w14:paraId="252C8D6B" w14:textId="77777777" w:rsidR="007A1B07" w:rsidRPr="003E1A56" w:rsidRDefault="007A1B07" w:rsidP="00D70C66">
      <w:pPr>
        <w:spacing w:line="276" w:lineRule="auto"/>
        <w:jc w:val="both"/>
        <w:rPr>
          <w:rFonts w:ascii="Arial" w:hAnsi="Arial" w:cs="Arial"/>
          <w:sz w:val="14"/>
          <w:szCs w:val="14"/>
        </w:rPr>
      </w:pPr>
      <w:r w:rsidRPr="003E1A56">
        <w:rPr>
          <w:rFonts w:ascii="Arial" w:hAnsi="Arial" w:cs="Arial"/>
          <w:sz w:val="22"/>
          <w:szCs w:val="22"/>
        </w:rPr>
        <w:t xml:space="preserve"> </w:t>
      </w:r>
    </w:p>
    <w:p w14:paraId="393A09F4" w14:textId="7E31C226" w:rsidR="007A1B07" w:rsidRPr="003E1A56" w:rsidRDefault="007A1B07" w:rsidP="00D70C66">
      <w:pPr>
        <w:spacing w:line="276" w:lineRule="auto"/>
        <w:jc w:val="both"/>
        <w:rPr>
          <w:rFonts w:ascii="Arial" w:hAnsi="Arial" w:cs="Arial"/>
          <w:sz w:val="22"/>
          <w:szCs w:val="22"/>
        </w:rPr>
      </w:pPr>
      <w:r w:rsidRPr="003E1A56">
        <w:rPr>
          <w:rFonts w:ascii="Arial" w:hAnsi="Arial" w:cs="Arial"/>
          <w:sz w:val="22"/>
          <w:szCs w:val="22"/>
        </w:rPr>
        <w:t xml:space="preserve">As transações da Companhia com sua controladora e sua coligada são realizadas a preços e condições definidos entre as partes, que </w:t>
      </w:r>
      <w:r w:rsidR="004716BB" w:rsidRPr="003E1A56">
        <w:rPr>
          <w:rFonts w:ascii="Arial" w:hAnsi="Arial" w:cs="Arial"/>
          <w:sz w:val="22"/>
          <w:szCs w:val="22"/>
        </w:rPr>
        <w:t>consideram</w:t>
      </w:r>
      <w:r w:rsidRPr="003E1A56">
        <w:rPr>
          <w:rFonts w:ascii="Arial" w:hAnsi="Arial" w:cs="Arial"/>
          <w:sz w:val="22"/>
          <w:szCs w:val="22"/>
        </w:rPr>
        <w:t xml:space="preserve"> as condições que poderiam ser praticadas no mercado com partes não relacionadas, quando aplicável. </w:t>
      </w:r>
    </w:p>
    <w:p w14:paraId="7AC645E2" w14:textId="2373DF59" w:rsidR="00B4658E" w:rsidRPr="003E1A56" w:rsidRDefault="00B4658E" w:rsidP="00D70C66">
      <w:pPr>
        <w:spacing w:line="276" w:lineRule="auto"/>
        <w:jc w:val="both"/>
        <w:rPr>
          <w:rFonts w:ascii="Arial" w:hAnsi="Arial" w:cs="Arial"/>
          <w:sz w:val="14"/>
          <w:szCs w:val="14"/>
        </w:rPr>
      </w:pPr>
    </w:p>
    <w:p w14:paraId="08028ACB" w14:textId="57F34905" w:rsidR="00311CBA" w:rsidRPr="003E1A56" w:rsidRDefault="00311CBA" w:rsidP="00D70C66">
      <w:pPr>
        <w:shd w:val="clear" w:color="auto" w:fill="FFFFFF"/>
        <w:spacing w:line="276" w:lineRule="auto"/>
        <w:jc w:val="both"/>
        <w:rPr>
          <w:rFonts w:ascii="Arial" w:hAnsi="Arial" w:cs="Arial"/>
          <w:sz w:val="22"/>
          <w:szCs w:val="22"/>
        </w:rPr>
      </w:pPr>
      <w:r w:rsidRPr="003E1A56">
        <w:rPr>
          <w:rFonts w:ascii="Arial" w:hAnsi="Arial" w:cs="Arial"/>
          <w:sz w:val="22"/>
          <w:szCs w:val="22"/>
        </w:rPr>
        <w:t>As transações com partes relacionadas envolvendo a União, suas empresas e entidades também são apresentadas.</w:t>
      </w:r>
    </w:p>
    <w:p w14:paraId="4C0EBBE5" w14:textId="77777777" w:rsidR="001158FB" w:rsidRPr="003E1A56" w:rsidRDefault="001158FB" w:rsidP="00D70C66">
      <w:pPr>
        <w:spacing w:line="276" w:lineRule="auto"/>
        <w:jc w:val="both"/>
        <w:rPr>
          <w:rFonts w:ascii="Arial" w:hAnsi="Arial" w:cs="Arial"/>
          <w:sz w:val="22"/>
          <w:szCs w:val="22"/>
        </w:rPr>
      </w:pPr>
    </w:p>
    <w:p w14:paraId="65CB367F" w14:textId="5BB40E27" w:rsidR="00B0654A" w:rsidRPr="003E1A56" w:rsidRDefault="00B0654A" w:rsidP="009541E1">
      <w:pPr>
        <w:pStyle w:val="Ttulo2"/>
        <w:numPr>
          <w:ilvl w:val="1"/>
          <w:numId w:val="7"/>
        </w:numPr>
        <w:tabs>
          <w:tab w:val="clear" w:pos="284"/>
          <w:tab w:val="clear" w:pos="340"/>
        </w:tabs>
        <w:spacing w:before="0" w:after="0" w:line="276" w:lineRule="auto"/>
        <w:ind w:left="851" w:hanging="851"/>
        <w:jc w:val="both"/>
        <w:rPr>
          <w:rFonts w:ascii="Arial" w:hAnsi="Arial" w:cs="Arial"/>
        </w:rPr>
      </w:pPr>
      <w:bookmarkStart w:id="66" w:name="_Toc491337783"/>
      <w:proofErr w:type="gramStart"/>
      <w:r w:rsidRPr="003E1A56">
        <w:rPr>
          <w:rFonts w:ascii="Arial" w:hAnsi="Arial" w:cs="Arial"/>
        </w:rPr>
        <w:t>Pessoal</w:t>
      </w:r>
      <w:proofErr w:type="gramEnd"/>
      <w:r w:rsidRPr="003E1A56">
        <w:rPr>
          <w:rFonts w:ascii="Arial" w:hAnsi="Arial" w:cs="Arial"/>
        </w:rPr>
        <w:t xml:space="preserve"> </w:t>
      </w:r>
      <w:r w:rsidR="00E144A2">
        <w:rPr>
          <w:rFonts w:ascii="Arial" w:hAnsi="Arial" w:cs="Arial"/>
        </w:rPr>
        <w:t>C</w:t>
      </w:r>
      <w:r w:rsidRPr="003E1A56">
        <w:rPr>
          <w:rFonts w:ascii="Arial" w:hAnsi="Arial" w:cs="Arial"/>
        </w:rPr>
        <w:t>have da Administração</w:t>
      </w:r>
      <w:bookmarkEnd w:id="66"/>
    </w:p>
    <w:p w14:paraId="3FF699C0" w14:textId="77777777" w:rsidR="00B0654A" w:rsidRPr="003E1A56" w:rsidRDefault="00B0654A" w:rsidP="00D70C66">
      <w:pPr>
        <w:spacing w:line="276" w:lineRule="auto"/>
      </w:pPr>
    </w:p>
    <w:p w14:paraId="72753F00" w14:textId="77777777" w:rsidR="008B6452" w:rsidRPr="003E1A56" w:rsidRDefault="008B6452" w:rsidP="00D70C66">
      <w:pPr>
        <w:widowControl w:val="0"/>
        <w:autoSpaceDE w:val="0"/>
        <w:autoSpaceDN w:val="0"/>
        <w:adjustRightInd w:val="0"/>
        <w:spacing w:after="200" w:line="276" w:lineRule="auto"/>
        <w:jc w:val="both"/>
        <w:rPr>
          <w:rFonts w:ascii="Arial" w:eastAsia="Arial Unicode MS" w:hAnsi="Arial" w:cs="Arial"/>
          <w:sz w:val="22"/>
          <w:szCs w:val="22"/>
        </w:rPr>
      </w:pPr>
      <w:r w:rsidRPr="003E1A56">
        <w:rPr>
          <w:rFonts w:ascii="Arial" w:eastAsia="Arial Unicode MS" w:hAnsi="Arial" w:cs="Arial"/>
          <w:sz w:val="22"/>
          <w:szCs w:val="22"/>
        </w:rPr>
        <w:t xml:space="preserve">A Companhia não </w:t>
      </w:r>
      <w:r w:rsidR="00D330F9" w:rsidRPr="003E1A56">
        <w:rPr>
          <w:rFonts w:ascii="Arial" w:eastAsia="Arial Unicode MS" w:hAnsi="Arial" w:cs="Arial"/>
          <w:sz w:val="22"/>
          <w:szCs w:val="22"/>
        </w:rPr>
        <w:t>possui</w:t>
      </w:r>
      <w:r w:rsidRPr="003E1A56">
        <w:rPr>
          <w:rFonts w:ascii="Arial" w:eastAsia="Arial Unicode MS" w:hAnsi="Arial" w:cs="Arial"/>
          <w:sz w:val="22"/>
          <w:szCs w:val="22"/>
        </w:rPr>
        <w:t xml:space="preserve"> transações de empréstimos ou outras transações com diretores/conselheiros ou familiares imediatos.</w:t>
      </w:r>
    </w:p>
    <w:p w14:paraId="4B149750" w14:textId="679B596C" w:rsidR="00BC3EFC" w:rsidRDefault="008B6452" w:rsidP="00552CE9">
      <w:pPr>
        <w:pStyle w:val="Corpodetexto3"/>
        <w:spacing w:after="0" w:line="276" w:lineRule="auto"/>
        <w:jc w:val="both"/>
        <w:rPr>
          <w:rFonts w:ascii="Arial" w:hAnsi="Arial" w:cs="Arial"/>
          <w:color w:val="000000"/>
          <w:sz w:val="22"/>
          <w:szCs w:val="22"/>
        </w:rPr>
      </w:pPr>
      <w:r w:rsidRPr="003E1A56">
        <w:rPr>
          <w:rFonts w:ascii="Arial" w:hAnsi="Arial" w:cs="Arial"/>
          <w:color w:val="000000"/>
          <w:sz w:val="22"/>
          <w:szCs w:val="22"/>
        </w:rPr>
        <w:t>As remunerações dos administradores, responsáveis pelo planejamento, direção e controle das</w:t>
      </w:r>
      <w:r w:rsidRPr="002A36CE">
        <w:rPr>
          <w:rFonts w:ascii="Arial" w:hAnsi="Arial" w:cs="Arial"/>
          <w:color w:val="000000"/>
          <w:sz w:val="22"/>
          <w:szCs w:val="22"/>
        </w:rPr>
        <w:t xml:space="preserve"> atividades da Companhia, que incluem os membros do conselho de administração, conselho fiscal e diretores estatutários, estão apresentadas a seguir:</w:t>
      </w:r>
    </w:p>
    <w:p w14:paraId="653481E7" w14:textId="7931095B" w:rsidR="00FF2ABE" w:rsidRDefault="00FF2ABE" w:rsidP="006C6329">
      <w:pPr>
        <w:pStyle w:val="Corpodetexto3"/>
        <w:spacing w:after="0"/>
        <w:ind w:right="-60"/>
        <w:jc w:val="both"/>
        <w:rPr>
          <w:rFonts w:ascii="Arial"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74"/>
        <w:gridCol w:w="1364"/>
        <w:gridCol w:w="1833"/>
      </w:tblGrid>
      <w:tr w:rsidR="00CB2E9D" w:rsidRPr="00394EF9" w14:paraId="16F80F44" w14:textId="77777777" w:rsidTr="00CB2E9D">
        <w:trPr>
          <w:trHeight w:val="232"/>
        </w:trPr>
        <w:tc>
          <w:tcPr>
            <w:tcW w:w="3364" w:type="pct"/>
            <w:shd w:val="clear" w:color="000000" w:fill="D8D8D8"/>
            <w:noWrap/>
            <w:vAlign w:val="center"/>
            <w:hideMark/>
          </w:tcPr>
          <w:p w14:paraId="236D8FD1" w14:textId="77777777" w:rsidR="00CB2E9D" w:rsidRPr="00394EF9" w:rsidRDefault="00CB2E9D">
            <w:pPr>
              <w:rPr>
                <w:rFonts w:ascii="Arial" w:hAnsi="Arial" w:cs="Arial"/>
                <w:b/>
                <w:bCs/>
                <w:color w:val="000000"/>
                <w:sz w:val="18"/>
                <w:szCs w:val="18"/>
              </w:rPr>
            </w:pPr>
            <w:r w:rsidRPr="00394EF9">
              <w:rPr>
                <w:rFonts w:ascii="Arial" w:hAnsi="Arial" w:cs="Arial"/>
                <w:b/>
                <w:bCs/>
                <w:color w:val="000000"/>
                <w:sz w:val="18"/>
                <w:szCs w:val="18"/>
              </w:rPr>
              <w:t>Remunerações/Benefícios </w:t>
            </w:r>
          </w:p>
        </w:tc>
        <w:tc>
          <w:tcPr>
            <w:tcW w:w="698" w:type="pct"/>
            <w:noWrap/>
            <w:vAlign w:val="center"/>
            <w:hideMark/>
          </w:tcPr>
          <w:p w14:paraId="3D330045" w14:textId="710E162A" w:rsidR="00CB2E9D" w:rsidRPr="00394EF9" w:rsidRDefault="00BB3AA1">
            <w:pPr>
              <w:jc w:val="center"/>
              <w:rPr>
                <w:rFonts w:ascii="Arial" w:hAnsi="Arial" w:cs="Arial"/>
                <w:b/>
                <w:bCs/>
                <w:color w:val="000000"/>
                <w:sz w:val="18"/>
                <w:szCs w:val="18"/>
              </w:rPr>
            </w:pPr>
            <w:r w:rsidRPr="00394EF9">
              <w:rPr>
                <w:rFonts w:ascii="Arial" w:hAnsi="Arial" w:cs="Arial"/>
                <w:b/>
                <w:bCs/>
                <w:color w:val="000000"/>
                <w:sz w:val="18"/>
                <w:szCs w:val="18"/>
              </w:rPr>
              <w:t>31/03/2026</w:t>
            </w:r>
          </w:p>
        </w:tc>
        <w:tc>
          <w:tcPr>
            <w:tcW w:w="938" w:type="pct"/>
            <w:noWrap/>
            <w:vAlign w:val="center"/>
            <w:hideMark/>
          </w:tcPr>
          <w:p w14:paraId="689E2B82" w14:textId="2360BB59" w:rsidR="00CB2E9D" w:rsidRPr="00394EF9" w:rsidRDefault="00BB3AA1">
            <w:pPr>
              <w:jc w:val="center"/>
              <w:rPr>
                <w:rFonts w:ascii="Arial" w:hAnsi="Arial" w:cs="Arial"/>
                <w:b/>
                <w:bCs/>
                <w:color w:val="000000"/>
                <w:sz w:val="18"/>
                <w:szCs w:val="18"/>
              </w:rPr>
            </w:pPr>
            <w:r w:rsidRPr="00394EF9">
              <w:rPr>
                <w:rFonts w:ascii="Arial" w:hAnsi="Arial" w:cs="Arial"/>
                <w:b/>
                <w:bCs/>
                <w:color w:val="000000"/>
                <w:sz w:val="18"/>
                <w:szCs w:val="18"/>
              </w:rPr>
              <w:t>31/03/2025</w:t>
            </w:r>
          </w:p>
        </w:tc>
      </w:tr>
      <w:tr w:rsidR="00BB3AA1" w:rsidRPr="00394EF9" w14:paraId="2CA6CA86" w14:textId="77777777" w:rsidTr="002268BE">
        <w:trPr>
          <w:trHeight w:val="232"/>
        </w:trPr>
        <w:tc>
          <w:tcPr>
            <w:tcW w:w="3364" w:type="pct"/>
            <w:noWrap/>
            <w:vAlign w:val="center"/>
            <w:hideMark/>
          </w:tcPr>
          <w:p w14:paraId="456E72E7" w14:textId="77777777" w:rsidR="00BB3AA1" w:rsidRPr="00394EF9" w:rsidRDefault="00BB3AA1" w:rsidP="00BB3AA1">
            <w:pPr>
              <w:rPr>
                <w:rFonts w:ascii="Arial" w:hAnsi="Arial" w:cs="Arial"/>
                <w:color w:val="000000"/>
                <w:sz w:val="18"/>
                <w:szCs w:val="18"/>
              </w:rPr>
            </w:pPr>
            <w:r w:rsidRPr="00394EF9">
              <w:rPr>
                <w:rFonts w:ascii="Arial" w:hAnsi="Arial" w:cs="Arial"/>
                <w:color w:val="000000"/>
                <w:sz w:val="18"/>
                <w:szCs w:val="18"/>
              </w:rPr>
              <w:t>Remunerações</w:t>
            </w:r>
          </w:p>
        </w:tc>
        <w:tc>
          <w:tcPr>
            <w:tcW w:w="698" w:type="pct"/>
            <w:noWrap/>
            <w:vAlign w:val="bottom"/>
            <w:hideMark/>
          </w:tcPr>
          <w:p w14:paraId="393AE188" w14:textId="5CEC8E95" w:rsidR="00BB3AA1" w:rsidRPr="00394EF9" w:rsidRDefault="00BB3AA1" w:rsidP="00BB3AA1">
            <w:pPr>
              <w:jc w:val="right"/>
              <w:rPr>
                <w:rFonts w:ascii="Arial" w:hAnsi="Arial" w:cs="Arial"/>
                <w:color w:val="000000"/>
                <w:sz w:val="18"/>
                <w:szCs w:val="18"/>
              </w:rPr>
            </w:pPr>
            <w:r w:rsidRPr="00394EF9">
              <w:rPr>
                <w:rFonts w:ascii="Arial" w:hAnsi="Arial" w:cs="Arial"/>
                <w:color w:val="000000"/>
                <w:sz w:val="18"/>
                <w:szCs w:val="18"/>
              </w:rPr>
              <w:t xml:space="preserve">              858 </w:t>
            </w:r>
          </w:p>
        </w:tc>
        <w:tc>
          <w:tcPr>
            <w:tcW w:w="938" w:type="pct"/>
            <w:noWrap/>
            <w:vAlign w:val="center"/>
            <w:hideMark/>
          </w:tcPr>
          <w:p w14:paraId="22EB018A" w14:textId="3A2F9CCE" w:rsidR="00BB3AA1" w:rsidRPr="00394EF9" w:rsidRDefault="00BB3AA1" w:rsidP="00BB3AA1">
            <w:pPr>
              <w:jc w:val="right"/>
              <w:rPr>
                <w:rFonts w:ascii="Arial" w:hAnsi="Arial" w:cs="Arial"/>
                <w:color w:val="000000"/>
                <w:sz w:val="18"/>
                <w:szCs w:val="18"/>
              </w:rPr>
            </w:pPr>
            <w:r w:rsidRPr="00394EF9">
              <w:rPr>
                <w:rFonts w:ascii="Arial" w:hAnsi="Arial" w:cs="Arial"/>
                <w:color w:val="000000"/>
                <w:sz w:val="18"/>
                <w:szCs w:val="18"/>
              </w:rPr>
              <w:t xml:space="preserve">           855 </w:t>
            </w:r>
          </w:p>
        </w:tc>
      </w:tr>
      <w:tr w:rsidR="00BB3AA1" w:rsidRPr="00394EF9" w14:paraId="0A8C73BB" w14:textId="77777777" w:rsidTr="002268BE">
        <w:trPr>
          <w:trHeight w:val="232"/>
        </w:trPr>
        <w:tc>
          <w:tcPr>
            <w:tcW w:w="3364" w:type="pct"/>
            <w:noWrap/>
            <w:vAlign w:val="center"/>
            <w:hideMark/>
          </w:tcPr>
          <w:p w14:paraId="15B443C9" w14:textId="77777777" w:rsidR="00BB3AA1" w:rsidRPr="00394EF9" w:rsidRDefault="00BB3AA1" w:rsidP="00BB3AA1">
            <w:pPr>
              <w:rPr>
                <w:rFonts w:ascii="Arial" w:hAnsi="Arial" w:cs="Arial"/>
                <w:color w:val="000000"/>
                <w:sz w:val="18"/>
                <w:szCs w:val="18"/>
              </w:rPr>
            </w:pPr>
            <w:r w:rsidRPr="00394EF9">
              <w:rPr>
                <w:rFonts w:ascii="Arial" w:hAnsi="Arial" w:cs="Arial"/>
                <w:color w:val="000000"/>
                <w:sz w:val="18"/>
                <w:szCs w:val="18"/>
              </w:rPr>
              <w:t>Benefícios de Curto Prazo</w:t>
            </w:r>
          </w:p>
        </w:tc>
        <w:tc>
          <w:tcPr>
            <w:tcW w:w="698" w:type="pct"/>
            <w:noWrap/>
            <w:vAlign w:val="bottom"/>
            <w:hideMark/>
          </w:tcPr>
          <w:p w14:paraId="3F9925F9" w14:textId="3C417DD8" w:rsidR="00BB3AA1" w:rsidRPr="00394EF9" w:rsidRDefault="00BB3AA1" w:rsidP="00BB3AA1">
            <w:pPr>
              <w:jc w:val="right"/>
              <w:rPr>
                <w:rFonts w:ascii="Arial" w:hAnsi="Arial" w:cs="Arial"/>
                <w:color w:val="000000"/>
                <w:sz w:val="18"/>
                <w:szCs w:val="18"/>
              </w:rPr>
            </w:pPr>
            <w:r w:rsidRPr="00394EF9">
              <w:rPr>
                <w:rFonts w:ascii="Arial" w:hAnsi="Arial" w:cs="Arial"/>
                <w:color w:val="000000"/>
                <w:sz w:val="18"/>
                <w:szCs w:val="18"/>
              </w:rPr>
              <w:t xml:space="preserve">              236 </w:t>
            </w:r>
          </w:p>
        </w:tc>
        <w:tc>
          <w:tcPr>
            <w:tcW w:w="938" w:type="pct"/>
            <w:noWrap/>
            <w:vAlign w:val="center"/>
            <w:hideMark/>
          </w:tcPr>
          <w:p w14:paraId="7152A4E2" w14:textId="2DA757E5" w:rsidR="00BB3AA1" w:rsidRPr="00394EF9" w:rsidRDefault="00BB3AA1" w:rsidP="00BB3AA1">
            <w:pPr>
              <w:jc w:val="right"/>
              <w:rPr>
                <w:rFonts w:ascii="Arial" w:hAnsi="Arial" w:cs="Arial"/>
                <w:color w:val="000000"/>
                <w:sz w:val="18"/>
                <w:szCs w:val="18"/>
              </w:rPr>
            </w:pPr>
            <w:r w:rsidRPr="00394EF9">
              <w:rPr>
                <w:rFonts w:ascii="Arial" w:hAnsi="Arial" w:cs="Arial"/>
                <w:color w:val="000000"/>
                <w:sz w:val="18"/>
                <w:szCs w:val="18"/>
              </w:rPr>
              <w:t xml:space="preserve">           260 </w:t>
            </w:r>
          </w:p>
        </w:tc>
      </w:tr>
      <w:tr w:rsidR="00BB3AA1" w14:paraId="04439ECC" w14:textId="77777777" w:rsidTr="002268BE">
        <w:trPr>
          <w:trHeight w:val="232"/>
        </w:trPr>
        <w:tc>
          <w:tcPr>
            <w:tcW w:w="3364" w:type="pct"/>
            <w:noWrap/>
            <w:vAlign w:val="center"/>
            <w:hideMark/>
          </w:tcPr>
          <w:p w14:paraId="494089B3" w14:textId="77777777" w:rsidR="00BB3AA1" w:rsidRPr="00394EF9" w:rsidRDefault="00BB3AA1" w:rsidP="00BB3AA1">
            <w:pPr>
              <w:rPr>
                <w:rFonts w:ascii="Arial" w:hAnsi="Arial" w:cs="Arial"/>
                <w:b/>
                <w:bCs/>
                <w:color w:val="000000"/>
                <w:sz w:val="18"/>
                <w:szCs w:val="18"/>
              </w:rPr>
            </w:pPr>
            <w:r w:rsidRPr="00394EF9">
              <w:rPr>
                <w:rFonts w:ascii="Arial" w:hAnsi="Arial" w:cs="Arial"/>
                <w:b/>
                <w:bCs/>
                <w:color w:val="000000"/>
                <w:sz w:val="18"/>
                <w:szCs w:val="18"/>
              </w:rPr>
              <w:t>Total</w:t>
            </w:r>
          </w:p>
        </w:tc>
        <w:tc>
          <w:tcPr>
            <w:tcW w:w="698" w:type="pct"/>
            <w:noWrap/>
            <w:vAlign w:val="bottom"/>
            <w:hideMark/>
          </w:tcPr>
          <w:p w14:paraId="4BEF7DC8" w14:textId="1970C911" w:rsidR="00BB3AA1" w:rsidRPr="00394EF9" w:rsidRDefault="00BB3AA1" w:rsidP="00BB3AA1">
            <w:pPr>
              <w:jc w:val="right"/>
              <w:rPr>
                <w:rFonts w:ascii="Arial" w:hAnsi="Arial" w:cs="Arial"/>
                <w:b/>
                <w:bCs/>
                <w:color w:val="000000"/>
                <w:sz w:val="18"/>
                <w:szCs w:val="18"/>
              </w:rPr>
            </w:pPr>
            <w:r w:rsidRPr="00394EF9">
              <w:rPr>
                <w:rFonts w:ascii="Arial" w:hAnsi="Arial" w:cs="Arial"/>
                <w:b/>
                <w:bCs/>
                <w:color w:val="000000"/>
                <w:sz w:val="18"/>
                <w:szCs w:val="18"/>
              </w:rPr>
              <w:t xml:space="preserve">          1.094 </w:t>
            </w:r>
          </w:p>
        </w:tc>
        <w:tc>
          <w:tcPr>
            <w:tcW w:w="938" w:type="pct"/>
            <w:noWrap/>
            <w:vAlign w:val="center"/>
            <w:hideMark/>
          </w:tcPr>
          <w:p w14:paraId="3DB92EC2" w14:textId="4861D061" w:rsidR="00BB3AA1" w:rsidRDefault="00BB3AA1" w:rsidP="00BB3AA1">
            <w:pPr>
              <w:jc w:val="right"/>
              <w:rPr>
                <w:rFonts w:ascii="Arial" w:hAnsi="Arial" w:cs="Arial"/>
                <w:b/>
                <w:bCs/>
                <w:color w:val="000000"/>
                <w:sz w:val="18"/>
                <w:szCs w:val="18"/>
              </w:rPr>
            </w:pPr>
            <w:r w:rsidRPr="00394EF9">
              <w:rPr>
                <w:rFonts w:ascii="Arial" w:hAnsi="Arial" w:cs="Arial"/>
                <w:b/>
                <w:bCs/>
                <w:color w:val="000000"/>
                <w:sz w:val="18"/>
                <w:szCs w:val="18"/>
              </w:rPr>
              <w:t xml:space="preserve">        1.115</w:t>
            </w:r>
            <w:r w:rsidRPr="00BE22BF">
              <w:rPr>
                <w:rFonts w:ascii="Arial" w:hAnsi="Arial" w:cs="Arial"/>
                <w:b/>
                <w:bCs/>
                <w:color w:val="000000"/>
                <w:sz w:val="18"/>
                <w:szCs w:val="18"/>
              </w:rPr>
              <w:t xml:space="preserve"> </w:t>
            </w:r>
          </w:p>
        </w:tc>
      </w:tr>
    </w:tbl>
    <w:p w14:paraId="326400B6" w14:textId="77777777" w:rsidR="00CB2E9D" w:rsidRDefault="00CB2E9D" w:rsidP="006C6329">
      <w:pPr>
        <w:pStyle w:val="Corpodetexto3"/>
        <w:spacing w:after="0"/>
        <w:ind w:right="-60"/>
        <w:jc w:val="both"/>
        <w:rPr>
          <w:rFonts w:ascii="Arial" w:hAnsi="Arial" w:cs="Arial"/>
          <w:color w:val="000000"/>
          <w:sz w:val="22"/>
          <w:szCs w:val="22"/>
        </w:rPr>
      </w:pPr>
    </w:p>
    <w:p w14:paraId="781BC825" w14:textId="76EE2497" w:rsidR="002A0424" w:rsidRDefault="002A0424" w:rsidP="00955E68">
      <w:pPr>
        <w:widowControl w:val="0"/>
        <w:autoSpaceDE w:val="0"/>
        <w:autoSpaceDN w:val="0"/>
        <w:adjustRightInd w:val="0"/>
        <w:spacing w:line="276" w:lineRule="auto"/>
        <w:jc w:val="both"/>
        <w:rPr>
          <w:rFonts w:ascii="Arial" w:eastAsia="Arial Unicode MS" w:hAnsi="Arial" w:cs="Arial"/>
          <w:sz w:val="22"/>
          <w:szCs w:val="22"/>
        </w:rPr>
      </w:pPr>
      <w:r w:rsidRPr="002A36CE">
        <w:rPr>
          <w:rFonts w:ascii="Arial" w:eastAsia="Arial Unicode MS" w:hAnsi="Arial" w:cs="Arial"/>
          <w:sz w:val="22"/>
          <w:szCs w:val="22"/>
        </w:rPr>
        <w:t xml:space="preserve">A Companhia concede benefícios pós-emprego aos </w:t>
      </w:r>
      <w:r w:rsidR="000D2FD2" w:rsidRPr="002A36CE">
        <w:rPr>
          <w:rFonts w:ascii="Arial" w:eastAsia="Arial Unicode MS" w:hAnsi="Arial" w:cs="Arial"/>
          <w:sz w:val="22"/>
          <w:szCs w:val="22"/>
        </w:rPr>
        <w:t>dirigentes estatuários, mas não aos</w:t>
      </w:r>
      <w:r w:rsidRPr="002A36CE">
        <w:rPr>
          <w:rFonts w:ascii="Arial" w:eastAsia="Arial Unicode MS" w:hAnsi="Arial" w:cs="Arial"/>
          <w:sz w:val="22"/>
          <w:szCs w:val="22"/>
        </w:rPr>
        <w:t xml:space="preserve"> conselheiros.</w:t>
      </w:r>
    </w:p>
    <w:p w14:paraId="08095594" w14:textId="77777777" w:rsidR="00104194" w:rsidRDefault="00104194" w:rsidP="00D90455">
      <w:pPr>
        <w:pStyle w:val="Corpodetexto"/>
        <w:spacing w:before="0" w:after="0"/>
        <w:rPr>
          <w:rFonts w:ascii="Arial" w:hAnsi="Arial" w:cs="Arial"/>
          <w:sz w:val="14"/>
          <w:szCs w:val="14"/>
        </w:rPr>
      </w:pPr>
    </w:p>
    <w:p w14:paraId="5B740F1E" w14:textId="6736AF9B" w:rsidR="00367CBD" w:rsidRDefault="00D90455" w:rsidP="009541E1">
      <w:pPr>
        <w:pStyle w:val="Ttulo2"/>
        <w:numPr>
          <w:ilvl w:val="1"/>
          <w:numId w:val="7"/>
        </w:numPr>
        <w:tabs>
          <w:tab w:val="clear" w:pos="284"/>
          <w:tab w:val="clear" w:pos="340"/>
        </w:tabs>
        <w:spacing w:before="0" w:after="0"/>
        <w:ind w:left="851" w:hanging="851"/>
        <w:jc w:val="both"/>
        <w:rPr>
          <w:rFonts w:ascii="Arial" w:hAnsi="Arial" w:cs="Arial"/>
        </w:rPr>
      </w:pPr>
      <w:bookmarkStart w:id="67" w:name="_Toc491337784"/>
      <w:r w:rsidRPr="002A36CE">
        <w:rPr>
          <w:rFonts w:ascii="Arial" w:hAnsi="Arial" w:cs="Arial"/>
        </w:rPr>
        <w:t>Transações com partes relacionadas</w:t>
      </w:r>
      <w:bookmarkEnd w:id="67"/>
    </w:p>
    <w:p w14:paraId="2E4A2E85" w14:textId="77777777" w:rsidR="00BE0A9A" w:rsidRDefault="00BE0A9A" w:rsidP="00BE0A9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9"/>
        <w:gridCol w:w="1708"/>
        <w:gridCol w:w="1714"/>
      </w:tblGrid>
      <w:tr w:rsidR="002E40E9" w:rsidRPr="00394EF9" w14:paraId="53C4D9A9" w14:textId="77777777" w:rsidTr="00394EF9">
        <w:trPr>
          <w:trHeight w:val="232"/>
          <w:tblHeader/>
        </w:trPr>
        <w:tc>
          <w:tcPr>
            <w:tcW w:w="3249" w:type="pct"/>
            <w:shd w:val="clear" w:color="000000" w:fill="D9D9D9"/>
            <w:vAlign w:val="center"/>
            <w:hideMark/>
          </w:tcPr>
          <w:p w14:paraId="2C93FBAD"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Balanço Patrimonial</w:t>
            </w:r>
          </w:p>
        </w:tc>
        <w:tc>
          <w:tcPr>
            <w:tcW w:w="874" w:type="pct"/>
            <w:shd w:val="clear" w:color="000000" w:fill="D9D9D9"/>
            <w:vAlign w:val="center"/>
            <w:hideMark/>
          </w:tcPr>
          <w:p w14:paraId="442AE008" w14:textId="77777777" w:rsidR="002E40E9" w:rsidRPr="00394EF9" w:rsidRDefault="002E40E9">
            <w:pPr>
              <w:jc w:val="center"/>
              <w:rPr>
                <w:rFonts w:ascii="Arial" w:hAnsi="Arial" w:cs="Arial"/>
                <w:b/>
                <w:bCs/>
                <w:color w:val="000000"/>
                <w:sz w:val="18"/>
                <w:szCs w:val="18"/>
              </w:rPr>
            </w:pPr>
            <w:r w:rsidRPr="00394EF9">
              <w:rPr>
                <w:rFonts w:ascii="Arial" w:hAnsi="Arial" w:cs="Arial"/>
                <w:b/>
                <w:bCs/>
                <w:color w:val="000000"/>
                <w:sz w:val="18"/>
                <w:szCs w:val="18"/>
              </w:rPr>
              <w:t>31/03/2026</w:t>
            </w:r>
          </w:p>
        </w:tc>
        <w:tc>
          <w:tcPr>
            <w:tcW w:w="877" w:type="pct"/>
            <w:shd w:val="clear" w:color="000000" w:fill="D9D9D9"/>
            <w:vAlign w:val="center"/>
            <w:hideMark/>
          </w:tcPr>
          <w:p w14:paraId="3BE177FC" w14:textId="77777777" w:rsidR="002E40E9" w:rsidRPr="00394EF9" w:rsidRDefault="002E40E9">
            <w:pPr>
              <w:jc w:val="center"/>
              <w:rPr>
                <w:rFonts w:ascii="Arial" w:hAnsi="Arial" w:cs="Arial"/>
                <w:b/>
                <w:bCs/>
                <w:color w:val="000000"/>
                <w:sz w:val="18"/>
                <w:szCs w:val="18"/>
              </w:rPr>
            </w:pPr>
            <w:r w:rsidRPr="00394EF9">
              <w:rPr>
                <w:rFonts w:ascii="Arial" w:hAnsi="Arial" w:cs="Arial"/>
                <w:b/>
                <w:bCs/>
                <w:color w:val="000000"/>
                <w:sz w:val="18"/>
                <w:szCs w:val="18"/>
              </w:rPr>
              <w:t>31/12/2025</w:t>
            </w:r>
          </w:p>
        </w:tc>
      </w:tr>
      <w:tr w:rsidR="002E40E9" w:rsidRPr="00394EF9" w14:paraId="2DA719CC" w14:textId="77777777" w:rsidTr="00394EF9">
        <w:trPr>
          <w:trHeight w:val="232"/>
        </w:trPr>
        <w:tc>
          <w:tcPr>
            <w:tcW w:w="3249" w:type="pct"/>
            <w:shd w:val="clear" w:color="000000" w:fill="D9D9D9"/>
            <w:noWrap/>
            <w:vAlign w:val="center"/>
            <w:hideMark/>
          </w:tcPr>
          <w:p w14:paraId="41DEFD70"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Ativo</w:t>
            </w:r>
          </w:p>
        </w:tc>
        <w:tc>
          <w:tcPr>
            <w:tcW w:w="874" w:type="pct"/>
            <w:shd w:val="clear" w:color="000000" w:fill="D9D9D9"/>
            <w:noWrap/>
            <w:vAlign w:val="center"/>
            <w:hideMark/>
          </w:tcPr>
          <w:p w14:paraId="22AD91BF"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368.478 </w:t>
            </w:r>
          </w:p>
        </w:tc>
        <w:tc>
          <w:tcPr>
            <w:tcW w:w="877" w:type="pct"/>
            <w:shd w:val="clear" w:color="000000" w:fill="D9D9D9"/>
            <w:noWrap/>
            <w:vAlign w:val="center"/>
            <w:hideMark/>
          </w:tcPr>
          <w:p w14:paraId="77BD20FA"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388.315 </w:t>
            </w:r>
          </w:p>
        </w:tc>
      </w:tr>
      <w:tr w:rsidR="002E40E9" w:rsidRPr="00394EF9" w14:paraId="090664FE" w14:textId="77777777" w:rsidTr="00394EF9">
        <w:trPr>
          <w:trHeight w:val="232"/>
        </w:trPr>
        <w:tc>
          <w:tcPr>
            <w:tcW w:w="3249" w:type="pct"/>
            <w:noWrap/>
            <w:vAlign w:val="center"/>
            <w:hideMark/>
          </w:tcPr>
          <w:p w14:paraId="7E956E10"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a) Contas a Receber de Serviços</w:t>
            </w:r>
          </w:p>
        </w:tc>
        <w:tc>
          <w:tcPr>
            <w:tcW w:w="874" w:type="pct"/>
            <w:noWrap/>
            <w:vAlign w:val="center"/>
            <w:hideMark/>
          </w:tcPr>
          <w:p w14:paraId="45AC5C8A"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366.187 </w:t>
            </w:r>
          </w:p>
        </w:tc>
        <w:tc>
          <w:tcPr>
            <w:tcW w:w="877" w:type="pct"/>
            <w:noWrap/>
            <w:vAlign w:val="center"/>
            <w:hideMark/>
          </w:tcPr>
          <w:p w14:paraId="0066F660"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385.600 </w:t>
            </w:r>
          </w:p>
        </w:tc>
      </w:tr>
      <w:tr w:rsidR="002E40E9" w:rsidRPr="00394EF9" w14:paraId="17E2956D" w14:textId="77777777" w:rsidTr="00394EF9">
        <w:trPr>
          <w:trHeight w:val="232"/>
        </w:trPr>
        <w:tc>
          <w:tcPr>
            <w:tcW w:w="3249" w:type="pct"/>
            <w:noWrap/>
            <w:vAlign w:val="center"/>
            <w:hideMark/>
          </w:tcPr>
          <w:p w14:paraId="555D2CE1" w14:textId="77777777" w:rsidR="002E40E9" w:rsidRPr="00394EF9" w:rsidRDefault="002E40E9">
            <w:pPr>
              <w:rPr>
                <w:rFonts w:ascii="Arial" w:hAnsi="Arial" w:cs="Arial"/>
                <w:color w:val="000000"/>
                <w:sz w:val="18"/>
                <w:szCs w:val="18"/>
              </w:rPr>
            </w:pPr>
            <w:r w:rsidRPr="00394EF9">
              <w:rPr>
                <w:rFonts w:ascii="Arial" w:hAnsi="Arial" w:cs="Arial"/>
                <w:color w:val="000000"/>
                <w:sz w:val="18"/>
                <w:szCs w:val="18"/>
              </w:rPr>
              <w:t xml:space="preserve">  Entidades Governamentais:</w:t>
            </w:r>
          </w:p>
        </w:tc>
        <w:tc>
          <w:tcPr>
            <w:tcW w:w="874" w:type="pct"/>
            <w:noWrap/>
            <w:vAlign w:val="center"/>
            <w:hideMark/>
          </w:tcPr>
          <w:p w14:paraId="728F9C53"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335.205 </w:t>
            </w:r>
          </w:p>
        </w:tc>
        <w:tc>
          <w:tcPr>
            <w:tcW w:w="877" w:type="pct"/>
            <w:noWrap/>
            <w:vAlign w:val="center"/>
            <w:hideMark/>
          </w:tcPr>
          <w:p w14:paraId="0A6D22F4"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344.281 </w:t>
            </w:r>
          </w:p>
        </w:tc>
      </w:tr>
      <w:tr w:rsidR="002E40E9" w:rsidRPr="00394EF9" w14:paraId="6FD3E062" w14:textId="77777777" w:rsidTr="00394EF9">
        <w:trPr>
          <w:trHeight w:val="232"/>
        </w:trPr>
        <w:tc>
          <w:tcPr>
            <w:tcW w:w="3249" w:type="pct"/>
            <w:noWrap/>
            <w:vAlign w:val="center"/>
            <w:hideMark/>
          </w:tcPr>
          <w:p w14:paraId="6A8B4592" w14:textId="77777777" w:rsidR="002E40E9" w:rsidRPr="00394EF9" w:rsidRDefault="002E40E9">
            <w:pPr>
              <w:ind w:firstLineChars="200" w:firstLine="360"/>
              <w:rPr>
                <w:rFonts w:ascii="Arial" w:hAnsi="Arial" w:cs="Arial"/>
                <w:color w:val="000000"/>
                <w:sz w:val="18"/>
                <w:szCs w:val="18"/>
              </w:rPr>
            </w:pPr>
            <w:r w:rsidRPr="00394EF9">
              <w:rPr>
                <w:rFonts w:ascii="Arial" w:hAnsi="Arial" w:cs="Arial"/>
                <w:color w:val="000000"/>
                <w:sz w:val="18"/>
                <w:szCs w:val="18"/>
              </w:rPr>
              <w:t>Ministérios</w:t>
            </w:r>
          </w:p>
        </w:tc>
        <w:tc>
          <w:tcPr>
            <w:tcW w:w="874" w:type="pct"/>
            <w:noWrap/>
            <w:vAlign w:val="center"/>
            <w:hideMark/>
          </w:tcPr>
          <w:p w14:paraId="7BF8DD1C"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325.700 </w:t>
            </w:r>
          </w:p>
        </w:tc>
        <w:tc>
          <w:tcPr>
            <w:tcW w:w="877" w:type="pct"/>
            <w:noWrap/>
            <w:vAlign w:val="center"/>
            <w:hideMark/>
          </w:tcPr>
          <w:p w14:paraId="15476AAB"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336.455 </w:t>
            </w:r>
          </w:p>
        </w:tc>
      </w:tr>
      <w:tr w:rsidR="002E40E9" w:rsidRPr="00394EF9" w14:paraId="15DC3887" w14:textId="77777777" w:rsidTr="00394EF9">
        <w:trPr>
          <w:trHeight w:val="232"/>
        </w:trPr>
        <w:tc>
          <w:tcPr>
            <w:tcW w:w="3249" w:type="pct"/>
            <w:noWrap/>
            <w:vAlign w:val="center"/>
            <w:hideMark/>
          </w:tcPr>
          <w:p w14:paraId="2E540DA2" w14:textId="77777777" w:rsidR="002E40E9" w:rsidRPr="00394EF9" w:rsidRDefault="002E40E9">
            <w:pPr>
              <w:ind w:firstLineChars="200" w:firstLine="360"/>
              <w:rPr>
                <w:rFonts w:ascii="Arial" w:hAnsi="Arial" w:cs="Arial"/>
                <w:color w:val="000000"/>
                <w:sz w:val="18"/>
                <w:szCs w:val="18"/>
              </w:rPr>
            </w:pPr>
            <w:r w:rsidRPr="00394EF9">
              <w:rPr>
                <w:rFonts w:ascii="Arial" w:hAnsi="Arial" w:cs="Arial"/>
                <w:color w:val="000000"/>
                <w:sz w:val="18"/>
                <w:szCs w:val="18"/>
              </w:rPr>
              <w:t>Demais Entidades (i)</w:t>
            </w:r>
          </w:p>
        </w:tc>
        <w:tc>
          <w:tcPr>
            <w:tcW w:w="874" w:type="pct"/>
            <w:noWrap/>
            <w:vAlign w:val="center"/>
            <w:hideMark/>
          </w:tcPr>
          <w:p w14:paraId="699BC768"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9.505 </w:t>
            </w:r>
          </w:p>
        </w:tc>
        <w:tc>
          <w:tcPr>
            <w:tcW w:w="877" w:type="pct"/>
            <w:noWrap/>
            <w:vAlign w:val="center"/>
            <w:hideMark/>
          </w:tcPr>
          <w:p w14:paraId="183DCC88"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7.826 </w:t>
            </w:r>
          </w:p>
        </w:tc>
      </w:tr>
      <w:tr w:rsidR="002E40E9" w:rsidRPr="00394EF9" w14:paraId="7218F4D7" w14:textId="77777777" w:rsidTr="00394EF9">
        <w:trPr>
          <w:trHeight w:val="232"/>
        </w:trPr>
        <w:tc>
          <w:tcPr>
            <w:tcW w:w="3249" w:type="pct"/>
            <w:noWrap/>
            <w:vAlign w:val="center"/>
            <w:hideMark/>
          </w:tcPr>
          <w:p w14:paraId="3C715295"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lastRenderedPageBreak/>
              <w:t>Empresas de Tecnologia da Informação da Prev. Social - Dataprev</w:t>
            </w:r>
          </w:p>
        </w:tc>
        <w:tc>
          <w:tcPr>
            <w:tcW w:w="874" w:type="pct"/>
            <w:noWrap/>
            <w:vAlign w:val="center"/>
            <w:hideMark/>
          </w:tcPr>
          <w:p w14:paraId="6279F92A"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47 </w:t>
            </w:r>
          </w:p>
        </w:tc>
        <w:tc>
          <w:tcPr>
            <w:tcW w:w="877" w:type="pct"/>
            <w:noWrap/>
            <w:vAlign w:val="center"/>
            <w:hideMark/>
          </w:tcPr>
          <w:p w14:paraId="7C58B4B1"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47 </w:t>
            </w:r>
          </w:p>
        </w:tc>
      </w:tr>
      <w:tr w:rsidR="002E40E9" w:rsidRPr="00394EF9" w14:paraId="79EC7C07" w14:textId="77777777" w:rsidTr="00394EF9">
        <w:trPr>
          <w:trHeight w:val="232"/>
        </w:trPr>
        <w:tc>
          <w:tcPr>
            <w:tcW w:w="3249" w:type="pct"/>
            <w:noWrap/>
            <w:vAlign w:val="center"/>
            <w:hideMark/>
          </w:tcPr>
          <w:p w14:paraId="4275D6C3"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Instituto Nacional do Seguro Social - INSS</w:t>
            </w:r>
          </w:p>
        </w:tc>
        <w:tc>
          <w:tcPr>
            <w:tcW w:w="874" w:type="pct"/>
            <w:noWrap/>
            <w:vAlign w:val="center"/>
            <w:hideMark/>
          </w:tcPr>
          <w:p w14:paraId="3DBCDE04"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30.529 </w:t>
            </w:r>
          </w:p>
        </w:tc>
        <w:tc>
          <w:tcPr>
            <w:tcW w:w="877" w:type="pct"/>
            <w:noWrap/>
            <w:vAlign w:val="center"/>
            <w:hideMark/>
          </w:tcPr>
          <w:p w14:paraId="119E1DDE"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40.935 </w:t>
            </w:r>
          </w:p>
        </w:tc>
      </w:tr>
      <w:tr w:rsidR="002E40E9" w:rsidRPr="00394EF9" w14:paraId="203146E7" w14:textId="77777777" w:rsidTr="00394EF9">
        <w:trPr>
          <w:trHeight w:val="232"/>
        </w:trPr>
        <w:tc>
          <w:tcPr>
            <w:tcW w:w="3249" w:type="pct"/>
            <w:noWrap/>
            <w:vAlign w:val="center"/>
            <w:hideMark/>
          </w:tcPr>
          <w:p w14:paraId="005F0318"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Empresa Brasileira de Comunicação - EBC</w:t>
            </w:r>
          </w:p>
        </w:tc>
        <w:tc>
          <w:tcPr>
            <w:tcW w:w="874" w:type="pct"/>
            <w:noWrap/>
            <w:vAlign w:val="center"/>
            <w:hideMark/>
          </w:tcPr>
          <w:p w14:paraId="58066E95"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406 </w:t>
            </w:r>
          </w:p>
        </w:tc>
        <w:tc>
          <w:tcPr>
            <w:tcW w:w="877" w:type="pct"/>
            <w:noWrap/>
            <w:vAlign w:val="center"/>
            <w:hideMark/>
          </w:tcPr>
          <w:p w14:paraId="09CD332F"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337 </w:t>
            </w:r>
          </w:p>
        </w:tc>
      </w:tr>
      <w:tr w:rsidR="002E40E9" w:rsidRPr="00394EF9" w14:paraId="62F8F674" w14:textId="77777777" w:rsidTr="00394EF9">
        <w:trPr>
          <w:trHeight w:val="232"/>
        </w:trPr>
        <w:tc>
          <w:tcPr>
            <w:tcW w:w="3249" w:type="pct"/>
            <w:vAlign w:val="center"/>
            <w:hideMark/>
          </w:tcPr>
          <w:p w14:paraId="1D79C192"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 xml:space="preserve">b) Cauções </w:t>
            </w:r>
          </w:p>
        </w:tc>
        <w:tc>
          <w:tcPr>
            <w:tcW w:w="874" w:type="pct"/>
            <w:noWrap/>
            <w:vAlign w:val="center"/>
            <w:hideMark/>
          </w:tcPr>
          <w:p w14:paraId="6303B39C"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2.291 </w:t>
            </w:r>
          </w:p>
        </w:tc>
        <w:tc>
          <w:tcPr>
            <w:tcW w:w="877" w:type="pct"/>
            <w:noWrap/>
            <w:vAlign w:val="center"/>
            <w:hideMark/>
          </w:tcPr>
          <w:p w14:paraId="200E6302"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2.715 </w:t>
            </w:r>
          </w:p>
        </w:tc>
      </w:tr>
      <w:tr w:rsidR="002E40E9" w:rsidRPr="00394EF9" w14:paraId="3743A29D" w14:textId="77777777" w:rsidTr="00394EF9">
        <w:trPr>
          <w:trHeight w:val="232"/>
        </w:trPr>
        <w:tc>
          <w:tcPr>
            <w:tcW w:w="3249" w:type="pct"/>
            <w:vAlign w:val="center"/>
            <w:hideMark/>
          </w:tcPr>
          <w:p w14:paraId="041398DC"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Ministérios e Demais Entidades (i)</w:t>
            </w:r>
          </w:p>
        </w:tc>
        <w:tc>
          <w:tcPr>
            <w:tcW w:w="874" w:type="pct"/>
            <w:noWrap/>
            <w:vAlign w:val="center"/>
            <w:hideMark/>
          </w:tcPr>
          <w:p w14:paraId="7EDBE5CB"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2.291 </w:t>
            </w:r>
          </w:p>
        </w:tc>
        <w:tc>
          <w:tcPr>
            <w:tcW w:w="877" w:type="pct"/>
            <w:noWrap/>
            <w:vAlign w:val="center"/>
            <w:hideMark/>
          </w:tcPr>
          <w:p w14:paraId="550B8D96"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2.715 </w:t>
            </w:r>
          </w:p>
        </w:tc>
      </w:tr>
      <w:tr w:rsidR="002E40E9" w:rsidRPr="00394EF9" w14:paraId="13E6D0E4" w14:textId="77777777" w:rsidTr="00394EF9">
        <w:trPr>
          <w:trHeight w:val="232"/>
        </w:trPr>
        <w:tc>
          <w:tcPr>
            <w:tcW w:w="3249" w:type="pct"/>
            <w:shd w:val="clear" w:color="000000" w:fill="D9D9D9"/>
            <w:noWrap/>
            <w:vAlign w:val="center"/>
            <w:hideMark/>
          </w:tcPr>
          <w:p w14:paraId="38C222D3"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Passivo</w:t>
            </w:r>
          </w:p>
        </w:tc>
        <w:tc>
          <w:tcPr>
            <w:tcW w:w="874" w:type="pct"/>
            <w:shd w:val="clear" w:color="000000" w:fill="D9D9D9"/>
            <w:noWrap/>
            <w:vAlign w:val="center"/>
            <w:hideMark/>
          </w:tcPr>
          <w:p w14:paraId="0ABEBE90"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2.290.332 </w:t>
            </w:r>
          </w:p>
        </w:tc>
        <w:tc>
          <w:tcPr>
            <w:tcW w:w="877" w:type="pct"/>
            <w:shd w:val="clear" w:color="000000" w:fill="D9D9D9"/>
            <w:noWrap/>
            <w:vAlign w:val="center"/>
            <w:hideMark/>
          </w:tcPr>
          <w:p w14:paraId="52A15FD8"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2.233.802 </w:t>
            </w:r>
          </w:p>
        </w:tc>
      </w:tr>
      <w:tr w:rsidR="002E40E9" w:rsidRPr="00394EF9" w14:paraId="23624D77" w14:textId="77777777" w:rsidTr="00394EF9">
        <w:trPr>
          <w:trHeight w:val="232"/>
        </w:trPr>
        <w:tc>
          <w:tcPr>
            <w:tcW w:w="3249" w:type="pct"/>
            <w:noWrap/>
            <w:vAlign w:val="center"/>
            <w:hideMark/>
          </w:tcPr>
          <w:p w14:paraId="18E87221"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c) Fornecedores</w:t>
            </w:r>
          </w:p>
        </w:tc>
        <w:tc>
          <w:tcPr>
            <w:tcW w:w="874" w:type="pct"/>
            <w:noWrap/>
            <w:vAlign w:val="center"/>
            <w:hideMark/>
          </w:tcPr>
          <w:p w14:paraId="286F116A"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322 </w:t>
            </w:r>
          </w:p>
        </w:tc>
        <w:tc>
          <w:tcPr>
            <w:tcW w:w="877" w:type="pct"/>
            <w:noWrap/>
            <w:vAlign w:val="center"/>
            <w:hideMark/>
          </w:tcPr>
          <w:p w14:paraId="47FBD68A"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1.226 </w:t>
            </w:r>
          </w:p>
        </w:tc>
      </w:tr>
      <w:tr w:rsidR="002E40E9" w:rsidRPr="00394EF9" w14:paraId="382ABEE2" w14:textId="77777777" w:rsidTr="00394EF9">
        <w:trPr>
          <w:trHeight w:val="232"/>
        </w:trPr>
        <w:tc>
          <w:tcPr>
            <w:tcW w:w="3249" w:type="pct"/>
            <w:noWrap/>
            <w:vAlign w:val="center"/>
            <w:hideMark/>
          </w:tcPr>
          <w:p w14:paraId="0D42A633"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Fundação Sistel de Seguridade Social</w:t>
            </w:r>
          </w:p>
        </w:tc>
        <w:tc>
          <w:tcPr>
            <w:tcW w:w="874" w:type="pct"/>
            <w:noWrap/>
            <w:vAlign w:val="center"/>
            <w:hideMark/>
          </w:tcPr>
          <w:p w14:paraId="50EEAF71"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 </w:t>
            </w:r>
          </w:p>
        </w:tc>
        <w:tc>
          <w:tcPr>
            <w:tcW w:w="877" w:type="pct"/>
            <w:noWrap/>
            <w:vAlign w:val="center"/>
            <w:hideMark/>
          </w:tcPr>
          <w:p w14:paraId="6FCD75BD"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 </w:t>
            </w:r>
          </w:p>
        </w:tc>
      </w:tr>
      <w:tr w:rsidR="002E40E9" w:rsidRPr="00394EF9" w14:paraId="1C09F203" w14:textId="77777777" w:rsidTr="00394EF9">
        <w:trPr>
          <w:trHeight w:val="232"/>
        </w:trPr>
        <w:tc>
          <w:tcPr>
            <w:tcW w:w="3249" w:type="pct"/>
            <w:noWrap/>
            <w:vAlign w:val="center"/>
            <w:hideMark/>
          </w:tcPr>
          <w:p w14:paraId="5AE9BB3E"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Petróleo Brasileiro S.A</w:t>
            </w:r>
          </w:p>
        </w:tc>
        <w:tc>
          <w:tcPr>
            <w:tcW w:w="874" w:type="pct"/>
            <w:noWrap/>
            <w:vAlign w:val="center"/>
            <w:hideMark/>
          </w:tcPr>
          <w:p w14:paraId="53C11CE1"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137 </w:t>
            </w:r>
          </w:p>
        </w:tc>
        <w:tc>
          <w:tcPr>
            <w:tcW w:w="877" w:type="pct"/>
            <w:noWrap/>
            <w:vAlign w:val="center"/>
            <w:hideMark/>
          </w:tcPr>
          <w:p w14:paraId="327DB809"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1.048 </w:t>
            </w:r>
          </w:p>
        </w:tc>
      </w:tr>
      <w:tr w:rsidR="002E40E9" w:rsidRPr="00394EF9" w14:paraId="7405CFF1" w14:textId="77777777" w:rsidTr="00394EF9">
        <w:trPr>
          <w:trHeight w:val="232"/>
        </w:trPr>
        <w:tc>
          <w:tcPr>
            <w:tcW w:w="3249" w:type="pct"/>
            <w:noWrap/>
            <w:vAlign w:val="center"/>
            <w:hideMark/>
          </w:tcPr>
          <w:p w14:paraId="44960E2B"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Banco do Brasil S.A</w:t>
            </w:r>
          </w:p>
        </w:tc>
        <w:tc>
          <w:tcPr>
            <w:tcW w:w="874" w:type="pct"/>
            <w:noWrap/>
            <w:vAlign w:val="center"/>
            <w:hideMark/>
          </w:tcPr>
          <w:p w14:paraId="4BAA607C"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184 </w:t>
            </w:r>
          </w:p>
        </w:tc>
        <w:tc>
          <w:tcPr>
            <w:tcW w:w="877" w:type="pct"/>
            <w:noWrap/>
            <w:vAlign w:val="center"/>
            <w:hideMark/>
          </w:tcPr>
          <w:p w14:paraId="62445F38"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178 </w:t>
            </w:r>
          </w:p>
        </w:tc>
      </w:tr>
      <w:tr w:rsidR="002E40E9" w:rsidRPr="00394EF9" w14:paraId="572D14A7" w14:textId="77777777" w:rsidTr="00394EF9">
        <w:trPr>
          <w:trHeight w:val="232"/>
        </w:trPr>
        <w:tc>
          <w:tcPr>
            <w:tcW w:w="3249" w:type="pct"/>
            <w:vAlign w:val="center"/>
            <w:hideMark/>
          </w:tcPr>
          <w:p w14:paraId="1E074045"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Visiona Tecnologia Espacial S.A</w:t>
            </w:r>
          </w:p>
        </w:tc>
        <w:tc>
          <w:tcPr>
            <w:tcW w:w="874" w:type="pct"/>
            <w:noWrap/>
            <w:vAlign w:val="center"/>
            <w:hideMark/>
          </w:tcPr>
          <w:p w14:paraId="17396A51"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2.155 </w:t>
            </w:r>
          </w:p>
        </w:tc>
        <w:tc>
          <w:tcPr>
            <w:tcW w:w="877" w:type="pct"/>
            <w:noWrap/>
            <w:vAlign w:val="center"/>
            <w:hideMark/>
          </w:tcPr>
          <w:p w14:paraId="10B05156"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2.155 </w:t>
            </w:r>
          </w:p>
        </w:tc>
      </w:tr>
      <w:tr w:rsidR="002E40E9" w:rsidRPr="00394EF9" w14:paraId="5594612E" w14:textId="77777777" w:rsidTr="00394EF9">
        <w:trPr>
          <w:trHeight w:val="232"/>
        </w:trPr>
        <w:tc>
          <w:tcPr>
            <w:tcW w:w="3249" w:type="pct"/>
            <w:vAlign w:val="center"/>
            <w:hideMark/>
          </w:tcPr>
          <w:p w14:paraId="777E1E49"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d) Receitas Diferidas</w:t>
            </w:r>
          </w:p>
        </w:tc>
        <w:tc>
          <w:tcPr>
            <w:tcW w:w="874" w:type="pct"/>
            <w:noWrap/>
            <w:vAlign w:val="center"/>
            <w:hideMark/>
          </w:tcPr>
          <w:p w14:paraId="3C5CCBA2"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272.411 </w:t>
            </w:r>
          </w:p>
        </w:tc>
        <w:tc>
          <w:tcPr>
            <w:tcW w:w="877" w:type="pct"/>
            <w:noWrap/>
            <w:vAlign w:val="center"/>
            <w:hideMark/>
          </w:tcPr>
          <w:p w14:paraId="4EFCDC18"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281.531 </w:t>
            </w:r>
          </w:p>
        </w:tc>
      </w:tr>
      <w:tr w:rsidR="002E40E9" w:rsidRPr="00394EF9" w14:paraId="19DE7C70" w14:textId="77777777" w:rsidTr="00394EF9">
        <w:trPr>
          <w:trHeight w:val="232"/>
        </w:trPr>
        <w:tc>
          <w:tcPr>
            <w:tcW w:w="3249" w:type="pct"/>
            <w:noWrap/>
            <w:vAlign w:val="center"/>
            <w:hideMark/>
          </w:tcPr>
          <w:p w14:paraId="38610118" w14:textId="77777777" w:rsidR="002E40E9" w:rsidRPr="00394EF9" w:rsidRDefault="002E40E9">
            <w:pPr>
              <w:ind w:firstLineChars="200" w:firstLine="360"/>
              <w:rPr>
                <w:rFonts w:ascii="Arial" w:hAnsi="Arial" w:cs="Arial"/>
                <w:color w:val="000000"/>
                <w:sz w:val="18"/>
                <w:szCs w:val="18"/>
              </w:rPr>
            </w:pPr>
            <w:r w:rsidRPr="00394EF9">
              <w:rPr>
                <w:rFonts w:ascii="Arial" w:hAnsi="Arial" w:cs="Arial"/>
                <w:color w:val="000000"/>
                <w:sz w:val="18"/>
                <w:szCs w:val="18"/>
              </w:rPr>
              <w:t>Ministérios</w:t>
            </w:r>
          </w:p>
        </w:tc>
        <w:tc>
          <w:tcPr>
            <w:tcW w:w="874" w:type="pct"/>
            <w:noWrap/>
            <w:vAlign w:val="center"/>
            <w:hideMark/>
          </w:tcPr>
          <w:p w14:paraId="7C73D852"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272.411 </w:t>
            </w:r>
          </w:p>
        </w:tc>
        <w:tc>
          <w:tcPr>
            <w:tcW w:w="877" w:type="pct"/>
            <w:noWrap/>
            <w:vAlign w:val="center"/>
            <w:hideMark/>
          </w:tcPr>
          <w:p w14:paraId="033EC37E"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281.531 </w:t>
            </w:r>
          </w:p>
        </w:tc>
      </w:tr>
      <w:tr w:rsidR="002E40E9" w:rsidRPr="00394EF9" w14:paraId="3A9F2316" w14:textId="77777777" w:rsidTr="00394EF9">
        <w:trPr>
          <w:trHeight w:val="232"/>
        </w:trPr>
        <w:tc>
          <w:tcPr>
            <w:tcW w:w="3249" w:type="pct"/>
            <w:noWrap/>
            <w:vAlign w:val="center"/>
            <w:hideMark/>
          </w:tcPr>
          <w:p w14:paraId="075888FE"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e) Recursos Capitalizáveis - AFAC</w:t>
            </w:r>
          </w:p>
        </w:tc>
        <w:tc>
          <w:tcPr>
            <w:tcW w:w="874" w:type="pct"/>
            <w:noWrap/>
            <w:vAlign w:val="center"/>
            <w:hideMark/>
          </w:tcPr>
          <w:p w14:paraId="6A8C3A82"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2.017.599 </w:t>
            </w:r>
          </w:p>
        </w:tc>
        <w:tc>
          <w:tcPr>
            <w:tcW w:w="877" w:type="pct"/>
            <w:noWrap/>
            <w:vAlign w:val="center"/>
            <w:hideMark/>
          </w:tcPr>
          <w:p w14:paraId="20AD7CF2"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1.951.045 </w:t>
            </w:r>
          </w:p>
        </w:tc>
      </w:tr>
      <w:tr w:rsidR="002E40E9" w14:paraId="68C72C7F" w14:textId="77777777" w:rsidTr="00394EF9">
        <w:trPr>
          <w:trHeight w:val="232"/>
        </w:trPr>
        <w:tc>
          <w:tcPr>
            <w:tcW w:w="3249" w:type="pct"/>
            <w:noWrap/>
            <w:vAlign w:val="center"/>
            <w:hideMark/>
          </w:tcPr>
          <w:p w14:paraId="0611CE4D"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União Federal</w:t>
            </w:r>
          </w:p>
        </w:tc>
        <w:tc>
          <w:tcPr>
            <w:tcW w:w="874" w:type="pct"/>
            <w:noWrap/>
            <w:vAlign w:val="center"/>
            <w:hideMark/>
          </w:tcPr>
          <w:p w14:paraId="74240223"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2.017.599 </w:t>
            </w:r>
          </w:p>
        </w:tc>
        <w:tc>
          <w:tcPr>
            <w:tcW w:w="877" w:type="pct"/>
            <w:noWrap/>
            <w:vAlign w:val="center"/>
            <w:hideMark/>
          </w:tcPr>
          <w:p w14:paraId="2472F253" w14:textId="77777777" w:rsidR="002E40E9" w:rsidRDefault="002E40E9">
            <w:pPr>
              <w:jc w:val="right"/>
              <w:rPr>
                <w:rFonts w:ascii="Arial" w:hAnsi="Arial" w:cs="Arial"/>
                <w:color w:val="000000"/>
                <w:sz w:val="18"/>
                <w:szCs w:val="18"/>
              </w:rPr>
            </w:pPr>
            <w:r w:rsidRPr="00394EF9">
              <w:rPr>
                <w:rFonts w:ascii="Arial" w:hAnsi="Arial" w:cs="Arial"/>
                <w:color w:val="000000"/>
                <w:sz w:val="18"/>
                <w:szCs w:val="18"/>
              </w:rPr>
              <w:t xml:space="preserve">             1.951.045</w:t>
            </w:r>
            <w:r>
              <w:rPr>
                <w:rFonts w:ascii="Arial" w:hAnsi="Arial" w:cs="Arial"/>
                <w:color w:val="000000"/>
                <w:sz w:val="18"/>
                <w:szCs w:val="18"/>
              </w:rPr>
              <w:t xml:space="preserve"> </w:t>
            </w:r>
          </w:p>
        </w:tc>
      </w:tr>
    </w:tbl>
    <w:p w14:paraId="34883489" w14:textId="77777777" w:rsidR="002E40E9" w:rsidRDefault="002E40E9" w:rsidP="00BE0A9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9"/>
        <w:gridCol w:w="1712"/>
        <w:gridCol w:w="1710"/>
      </w:tblGrid>
      <w:tr w:rsidR="002E40E9" w:rsidRPr="00394EF9" w14:paraId="53FDF7B4" w14:textId="77777777" w:rsidTr="00394EF9">
        <w:trPr>
          <w:trHeight w:val="232"/>
          <w:tblHeader/>
        </w:trPr>
        <w:tc>
          <w:tcPr>
            <w:tcW w:w="3249" w:type="pct"/>
            <w:shd w:val="clear" w:color="000000" w:fill="D9D9D9"/>
            <w:noWrap/>
            <w:vAlign w:val="center"/>
            <w:hideMark/>
          </w:tcPr>
          <w:p w14:paraId="72B35FB2"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Demonstração do Resultado do Exercício - DRE</w:t>
            </w:r>
          </w:p>
        </w:tc>
        <w:tc>
          <w:tcPr>
            <w:tcW w:w="876" w:type="pct"/>
            <w:shd w:val="clear" w:color="000000" w:fill="D9D9D9"/>
            <w:vAlign w:val="center"/>
            <w:hideMark/>
          </w:tcPr>
          <w:p w14:paraId="666B18B6" w14:textId="77777777" w:rsidR="002E40E9" w:rsidRPr="00394EF9" w:rsidRDefault="002E40E9">
            <w:pPr>
              <w:jc w:val="center"/>
              <w:rPr>
                <w:rFonts w:ascii="Arial" w:hAnsi="Arial" w:cs="Arial"/>
                <w:b/>
                <w:bCs/>
                <w:color w:val="000000"/>
                <w:sz w:val="18"/>
                <w:szCs w:val="18"/>
              </w:rPr>
            </w:pPr>
            <w:r w:rsidRPr="00394EF9">
              <w:rPr>
                <w:rFonts w:ascii="Arial" w:hAnsi="Arial" w:cs="Arial"/>
                <w:b/>
                <w:bCs/>
                <w:color w:val="000000"/>
                <w:sz w:val="18"/>
                <w:szCs w:val="18"/>
              </w:rPr>
              <w:t>31/03/2026</w:t>
            </w:r>
          </w:p>
        </w:tc>
        <w:tc>
          <w:tcPr>
            <w:tcW w:w="876" w:type="pct"/>
            <w:shd w:val="clear" w:color="000000" w:fill="D9D9D9"/>
            <w:vAlign w:val="center"/>
            <w:hideMark/>
          </w:tcPr>
          <w:p w14:paraId="359FF16F" w14:textId="77777777" w:rsidR="002E40E9" w:rsidRPr="00394EF9" w:rsidRDefault="002E40E9">
            <w:pPr>
              <w:jc w:val="center"/>
              <w:rPr>
                <w:rFonts w:ascii="Arial" w:hAnsi="Arial" w:cs="Arial"/>
                <w:b/>
                <w:bCs/>
                <w:color w:val="000000"/>
                <w:sz w:val="18"/>
                <w:szCs w:val="18"/>
              </w:rPr>
            </w:pPr>
            <w:r w:rsidRPr="00394EF9">
              <w:rPr>
                <w:rFonts w:ascii="Arial" w:hAnsi="Arial" w:cs="Arial"/>
                <w:b/>
                <w:bCs/>
                <w:color w:val="000000"/>
                <w:sz w:val="18"/>
                <w:szCs w:val="18"/>
              </w:rPr>
              <w:t>31/03/2025</w:t>
            </w:r>
          </w:p>
        </w:tc>
      </w:tr>
      <w:tr w:rsidR="002E40E9" w:rsidRPr="00394EF9" w14:paraId="0A45AB04" w14:textId="77777777" w:rsidTr="00394EF9">
        <w:trPr>
          <w:trHeight w:val="232"/>
        </w:trPr>
        <w:tc>
          <w:tcPr>
            <w:tcW w:w="3249" w:type="pct"/>
            <w:shd w:val="clear" w:color="000000" w:fill="D9D9D9"/>
            <w:noWrap/>
            <w:vAlign w:val="center"/>
            <w:hideMark/>
          </w:tcPr>
          <w:p w14:paraId="5114A010"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Despesas</w:t>
            </w:r>
          </w:p>
        </w:tc>
        <w:tc>
          <w:tcPr>
            <w:tcW w:w="876" w:type="pct"/>
            <w:shd w:val="clear" w:color="000000" w:fill="D9D9D9"/>
            <w:noWrap/>
            <w:vAlign w:val="center"/>
            <w:hideMark/>
          </w:tcPr>
          <w:p w14:paraId="1F4D6054"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(51.392)</w:t>
            </w:r>
          </w:p>
        </w:tc>
        <w:tc>
          <w:tcPr>
            <w:tcW w:w="876" w:type="pct"/>
            <w:shd w:val="clear" w:color="000000" w:fill="D9D9D9"/>
            <w:noWrap/>
            <w:vAlign w:val="center"/>
            <w:hideMark/>
          </w:tcPr>
          <w:p w14:paraId="76753A2C"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(62.242)</w:t>
            </w:r>
          </w:p>
        </w:tc>
      </w:tr>
      <w:tr w:rsidR="002E40E9" w:rsidRPr="00394EF9" w14:paraId="382F716D" w14:textId="77777777" w:rsidTr="00394EF9">
        <w:trPr>
          <w:trHeight w:val="232"/>
        </w:trPr>
        <w:tc>
          <w:tcPr>
            <w:tcW w:w="3249" w:type="pct"/>
            <w:noWrap/>
            <w:vAlign w:val="center"/>
            <w:hideMark/>
          </w:tcPr>
          <w:p w14:paraId="2DBE63D7"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f) Compartilhamento de Instalações</w:t>
            </w:r>
          </w:p>
        </w:tc>
        <w:tc>
          <w:tcPr>
            <w:tcW w:w="876" w:type="pct"/>
            <w:noWrap/>
            <w:vAlign w:val="center"/>
            <w:hideMark/>
          </w:tcPr>
          <w:p w14:paraId="7C08E919"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(105)</w:t>
            </w:r>
          </w:p>
        </w:tc>
        <w:tc>
          <w:tcPr>
            <w:tcW w:w="876" w:type="pct"/>
            <w:noWrap/>
            <w:vAlign w:val="center"/>
            <w:hideMark/>
          </w:tcPr>
          <w:p w14:paraId="7CE3548C"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(211)</w:t>
            </w:r>
          </w:p>
        </w:tc>
      </w:tr>
      <w:tr w:rsidR="002E40E9" w:rsidRPr="00394EF9" w14:paraId="522DADCE" w14:textId="77777777" w:rsidTr="00394EF9">
        <w:trPr>
          <w:trHeight w:val="232"/>
        </w:trPr>
        <w:tc>
          <w:tcPr>
            <w:tcW w:w="3249" w:type="pct"/>
            <w:noWrap/>
            <w:vAlign w:val="center"/>
            <w:hideMark/>
          </w:tcPr>
          <w:p w14:paraId="0F1F321A"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Petróleo Brasileiro S. A</w:t>
            </w:r>
          </w:p>
        </w:tc>
        <w:tc>
          <w:tcPr>
            <w:tcW w:w="876" w:type="pct"/>
            <w:noWrap/>
            <w:vAlign w:val="center"/>
            <w:hideMark/>
          </w:tcPr>
          <w:p w14:paraId="3AD1B835"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(105)</w:t>
            </w:r>
          </w:p>
        </w:tc>
        <w:tc>
          <w:tcPr>
            <w:tcW w:w="876" w:type="pct"/>
            <w:noWrap/>
            <w:vAlign w:val="center"/>
            <w:hideMark/>
          </w:tcPr>
          <w:p w14:paraId="1A949BE7"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(211)</w:t>
            </w:r>
          </w:p>
        </w:tc>
      </w:tr>
      <w:tr w:rsidR="002E40E9" w:rsidRPr="00394EF9" w14:paraId="6CB37B34" w14:textId="77777777" w:rsidTr="00394EF9">
        <w:trPr>
          <w:trHeight w:val="232"/>
        </w:trPr>
        <w:tc>
          <w:tcPr>
            <w:tcW w:w="3249" w:type="pct"/>
            <w:noWrap/>
            <w:vAlign w:val="center"/>
            <w:hideMark/>
          </w:tcPr>
          <w:p w14:paraId="3D719D37"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g) Meios de conexão e Transmissão</w:t>
            </w:r>
          </w:p>
        </w:tc>
        <w:tc>
          <w:tcPr>
            <w:tcW w:w="876" w:type="pct"/>
            <w:noWrap/>
            <w:vAlign w:val="center"/>
            <w:hideMark/>
          </w:tcPr>
          <w:p w14:paraId="4AA9179A"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(3.001)</w:t>
            </w:r>
          </w:p>
        </w:tc>
        <w:tc>
          <w:tcPr>
            <w:tcW w:w="876" w:type="pct"/>
            <w:noWrap/>
            <w:vAlign w:val="center"/>
            <w:hideMark/>
          </w:tcPr>
          <w:p w14:paraId="53FB59DE"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(4.759)</w:t>
            </w:r>
          </w:p>
        </w:tc>
      </w:tr>
      <w:tr w:rsidR="002E40E9" w:rsidRPr="00394EF9" w14:paraId="1169F3A6" w14:textId="77777777" w:rsidTr="00394EF9">
        <w:trPr>
          <w:trHeight w:val="232"/>
        </w:trPr>
        <w:tc>
          <w:tcPr>
            <w:tcW w:w="3249" w:type="pct"/>
            <w:noWrap/>
            <w:vAlign w:val="center"/>
            <w:hideMark/>
          </w:tcPr>
          <w:p w14:paraId="3C8A66C3"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Petróleo Brasileiro S. A</w:t>
            </w:r>
          </w:p>
        </w:tc>
        <w:tc>
          <w:tcPr>
            <w:tcW w:w="876" w:type="pct"/>
            <w:noWrap/>
            <w:vAlign w:val="center"/>
            <w:hideMark/>
          </w:tcPr>
          <w:p w14:paraId="24951DD5"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(3.001)</w:t>
            </w:r>
          </w:p>
        </w:tc>
        <w:tc>
          <w:tcPr>
            <w:tcW w:w="876" w:type="pct"/>
            <w:noWrap/>
            <w:vAlign w:val="center"/>
            <w:hideMark/>
          </w:tcPr>
          <w:p w14:paraId="07A649CD"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(4.759)</w:t>
            </w:r>
          </w:p>
        </w:tc>
      </w:tr>
      <w:tr w:rsidR="002E40E9" w:rsidRPr="00394EF9" w14:paraId="4642135E" w14:textId="77777777" w:rsidTr="00394EF9">
        <w:trPr>
          <w:trHeight w:val="232"/>
        </w:trPr>
        <w:tc>
          <w:tcPr>
            <w:tcW w:w="3249" w:type="pct"/>
            <w:noWrap/>
            <w:vAlign w:val="center"/>
            <w:hideMark/>
          </w:tcPr>
          <w:p w14:paraId="28B4E74C"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h) Garantia Estendida</w:t>
            </w:r>
          </w:p>
        </w:tc>
        <w:tc>
          <w:tcPr>
            <w:tcW w:w="876" w:type="pct"/>
            <w:noWrap/>
            <w:vAlign w:val="center"/>
            <w:hideMark/>
          </w:tcPr>
          <w:p w14:paraId="3F1A06BB"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 </w:t>
            </w:r>
          </w:p>
        </w:tc>
        <w:tc>
          <w:tcPr>
            <w:tcW w:w="876" w:type="pct"/>
            <w:noWrap/>
            <w:vAlign w:val="center"/>
            <w:hideMark/>
          </w:tcPr>
          <w:p w14:paraId="64810FA5"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(2.652)</w:t>
            </w:r>
          </w:p>
        </w:tc>
      </w:tr>
      <w:tr w:rsidR="002E40E9" w:rsidRPr="00394EF9" w14:paraId="638685D7" w14:textId="77777777" w:rsidTr="00394EF9">
        <w:trPr>
          <w:trHeight w:val="232"/>
        </w:trPr>
        <w:tc>
          <w:tcPr>
            <w:tcW w:w="3249" w:type="pct"/>
            <w:vAlign w:val="center"/>
            <w:hideMark/>
          </w:tcPr>
          <w:p w14:paraId="6FEDE299"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Visiona Internacional BV</w:t>
            </w:r>
          </w:p>
        </w:tc>
        <w:tc>
          <w:tcPr>
            <w:tcW w:w="876" w:type="pct"/>
            <w:noWrap/>
            <w:vAlign w:val="center"/>
            <w:hideMark/>
          </w:tcPr>
          <w:p w14:paraId="141B058A"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 </w:t>
            </w:r>
          </w:p>
        </w:tc>
        <w:tc>
          <w:tcPr>
            <w:tcW w:w="876" w:type="pct"/>
            <w:noWrap/>
            <w:vAlign w:val="center"/>
            <w:hideMark/>
          </w:tcPr>
          <w:p w14:paraId="6BB03FA5"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(2.652)</w:t>
            </w:r>
          </w:p>
        </w:tc>
      </w:tr>
      <w:tr w:rsidR="002E40E9" w:rsidRPr="00394EF9" w14:paraId="2C2ED926" w14:textId="77777777" w:rsidTr="00394EF9">
        <w:trPr>
          <w:trHeight w:val="232"/>
        </w:trPr>
        <w:tc>
          <w:tcPr>
            <w:tcW w:w="3249" w:type="pct"/>
            <w:noWrap/>
            <w:vAlign w:val="center"/>
            <w:hideMark/>
          </w:tcPr>
          <w:p w14:paraId="3AC96E56"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i) Despesas financeiras</w:t>
            </w:r>
          </w:p>
        </w:tc>
        <w:tc>
          <w:tcPr>
            <w:tcW w:w="876" w:type="pct"/>
            <w:noWrap/>
            <w:vAlign w:val="center"/>
            <w:hideMark/>
          </w:tcPr>
          <w:p w14:paraId="5C9A9BED"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(48.286)</w:t>
            </w:r>
          </w:p>
        </w:tc>
        <w:tc>
          <w:tcPr>
            <w:tcW w:w="876" w:type="pct"/>
            <w:noWrap/>
            <w:vAlign w:val="center"/>
            <w:hideMark/>
          </w:tcPr>
          <w:p w14:paraId="325CC643"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(54.620)</w:t>
            </w:r>
          </w:p>
        </w:tc>
      </w:tr>
      <w:tr w:rsidR="002E40E9" w:rsidRPr="00394EF9" w14:paraId="1E4CA592" w14:textId="77777777" w:rsidTr="00394EF9">
        <w:trPr>
          <w:trHeight w:val="232"/>
        </w:trPr>
        <w:tc>
          <w:tcPr>
            <w:tcW w:w="3249" w:type="pct"/>
            <w:noWrap/>
            <w:vAlign w:val="center"/>
            <w:hideMark/>
          </w:tcPr>
          <w:p w14:paraId="1C4D545C"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União Federal - AFAC</w:t>
            </w:r>
          </w:p>
        </w:tc>
        <w:tc>
          <w:tcPr>
            <w:tcW w:w="876" w:type="pct"/>
            <w:noWrap/>
            <w:vAlign w:val="center"/>
            <w:hideMark/>
          </w:tcPr>
          <w:p w14:paraId="5DAA00D2"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(48.286)</w:t>
            </w:r>
          </w:p>
        </w:tc>
        <w:tc>
          <w:tcPr>
            <w:tcW w:w="876" w:type="pct"/>
            <w:noWrap/>
            <w:vAlign w:val="center"/>
            <w:hideMark/>
          </w:tcPr>
          <w:p w14:paraId="5DEE695B"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(54.829)</w:t>
            </w:r>
          </w:p>
        </w:tc>
      </w:tr>
      <w:tr w:rsidR="002E40E9" w:rsidRPr="00394EF9" w14:paraId="3696FE4B" w14:textId="77777777" w:rsidTr="00394EF9">
        <w:trPr>
          <w:trHeight w:val="232"/>
        </w:trPr>
        <w:tc>
          <w:tcPr>
            <w:tcW w:w="3249" w:type="pct"/>
            <w:vAlign w:val="center"/>
            <w:hideMark/>
          </w:tcPr>
          <w:p w14:paraId="7D789FE3"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Financiadora de Estudos e Projetos – FINEP</w:t>
            </w:r>
          </w:p>
        </w:tc>
        <w:tc>
          <w:tcPr>
            <w:tcW w:w="876" w:type="pct"/>
            <w:noWrap/>
            <w:vAlign w:val="center"/>
            <w:hideMark/>
          </w:tcPr>
          <w:p w14:paraId="179ABD1B"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 </w:t>
            </w:r>
          </w:p>
        </w:tc>
        <w:tc>
          <w:tcPr>
            <w:tcW w:w="876" w:type="pct"/>
            <w:noWrap/>
            <w:vAlign w:val="center"/>
            <w:hideMark/>
          </w:tcPr>
          <w:p w14:paraId="26556F2E"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209 </w:t>
            </w:r>
          </w:p>
        </w:tc>
      </w:tr>
      <w:tr w:rsidR="002E40E9" w:rsidRPr="00394EF9" w14:paraId="026127FC" w14:textId="77777777" w:rsidTr="00394EF9">
        <w:trPr>
          <w:trHeight w:val="232"/>
        </w:trPr>
        <w:tc>
          <w:tcPr>
            <w:tcW w:w="3249" w:type="pct"/>
            <w:shd w:val="clear" w:color="000000" w:fill="D9D9D9"/>
            <w:noWrap/>
            <w:vAlign w:val="center"/>
            <w:hideMark/>
          </w:tcPr>
          <w:p w14:paraId="59A66121" w14:textId="77777777" w:rsidR="002E40E9" w:rsidRPr="00394EF9" w:rsidRDefault="002E40E9">
            <w:pPr>
              <w:ind w:firstLineChars="100" w:firstLine="181"/>
              <w:rPr>
                <w:rFonts w:ascii="Arial" w:hAnsi="Arial" w:cs="Arial"/>
                <w:b/>
                <w:bCs/>
                <w:color w:val="000000"/>
                <w:sz w:val="18"/>
                <w:szCs w:val="18"/>
              </w:rPr>
            </w:pPr>
            <w:r w:rsidRPr="00394EF9">
              <w:rPr>
                <w:rFonts w:ascii="Arial" w:hAnsi="Arial" w:cs="Arial"/>
                <w:b/>
                <w:bCs/>
                <w:color w:val="000000"/>
                <w:sz w:val="18"/>
                <w:szCs w:val="18"/>
              </w:rPr>
              <w:t>Receitas</w:t>
            </w:r>
          </w:p>
        </w:tc>
        <w:tc>
          <w:tcPr>
            <w:tcW w:w="876" w:type="pct"/>
            <w:shd w:val="clear" w:color="000000" w:fill="D9D9D9"/>
            <w:noWrap/>
            <w:vAlign w:val="center"/>
            <w:hideMark/>
          </w:tcPr>
          <w:p w14:paraId="5EE91FAE"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46.694 </w:t>
            </w:r>
          </w:p>
        </w:tc>
        <w:tc>
          <w:tcPr>
            <w:tcW w:w="876" w:type="pct"/>
            <w:shd w:val="clear" w:color="000000" w:fill="D9D9D9"/>
            <w:noWrap/>
            <w:vAlign w:val="center"/>
            <w:hideMark/>
          </w:tcPr>
          <w:p w14:paraId="3071373F"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104.106 </w:t>
            </w:r>
          </w:p>
        </w:tc>
      </w:tr>
      <w:tr w:rsidR="002E40E9" w:rsidRPr="00394EF9" w14:paraId="75108C5A" w14:textId="77777777" w:rsidTr="00394EF9">
        <w:trPr>
          <w:trHeight w:val="232"/>
        </w:trPr>
        <w:tc>
          <w:tcPr>
            <w:tcW w:w="3249" w:type="pct"/>
            <w:noWrap/>
            <w:vAlign w:val="center"/>
            <w:hideMark/>
          </w:tcPr>
          <w:p w14:paraId="64479595"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j) Receitas de Serviços - SCM</w:t>
            </w:r>
          </w:p>
        </w:tc>
        <w:tc>
          <w:tcPr>
            <w:tcW w:w="876" w:type="pct"/>
            <w:noWrap/>
            <w:vAlign w:val="center"/>
            <w:hideMark/>
          </w:tcPr>
          <w:p w14:paraId="29426753"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32.847 </w:t>
            </w:r>
          </w:p>
        </w:tc>
        <w:tc>
          <w:tcPr>
            <w:tcW w:w="876" w:type="pct"/>
            <w:noWrap/>
            <w:vAlign w:val="center"/>
            <w:hideMark/>
          </w:tcPr>
          <w:p w14:paraId="73829EBC"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89.605 </w:t>
            </w:r>
          </w:p>
        </w:tc>
      </w:tr>
      <w:tr w:rsidR="002E40E9" w:rsidRPr="00394EF9" w14:paraId="3FDB2709" w14:textId="77777777" w:rsidTr="00394EF9">
        <w:trPr>
          <w:trHeight w:val="232"/>
        </w:trPr>
        <w:tc>
          <w:tcPr>
            <w:tcW w:w="3249" w:type="pct"/>
            <w:noWrap/>
            <w:vAlign w:val="center"/>
            <w:hideMark/>
          </w:tcPr>
          <w:p w14:paraId="16E554DB" w14:textId="77777777" w:rsidR="002E40E9" w:rsidRPr="00394EF9" w:rsidRDefault="002E40E9">
            <w:pPr>
              <w:rPr>
                <w:rFonts w:ascii="Arial" w:hAnsi="Arial" w:cs="Arial"/>
                <w:color w:val="000000"/>
                <w:sz w:val="18"/>
                <w:szCs w:val="18"/>
              </w:rPr>
            </w:pPr>
            <w:r w:rsidRPr="00394EF9">
              <w:rPr>
                <w:rFonts w:ascii="Arial" w:hAnsi="Arial" w:cs="Arial"/>
                <w:color w:val="000000"/>
                <w:sz w:val="18"/>
                <w:szCs w:val="18"/>
              </w:rPr>
              <w:t xml:space="preserve">  Entidades Governamentais:</w:t>
            </w:r>
          </w:p>
        </w:tc>
        <w:tc>
          <w:tcPr>
            <w:tcW w:w="876" w:type="pct"/>
            <w:noWrap/>
            <w:vAlign w:val="center"/>
            <w:hideMark/>
          </w:tcPr>
          <w:p w14:paraId="76F50848"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18.451 </w:t>
            </w:r>
          </w:p>
        </w:tc>
        <w:tc>
          <w:tcPr>
            <w:tcW w:w="876" w:type="pct"/>
            <w:noWrap/>
            <w:vAlign w:val="center"/>
            <w:hideMark/>
          </w:tcPr>
          <w:p w14:paraId="314BB13C"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78.804 </w:t>
            </w:r>
          </w:p>
        </w:tc>
      </w:tr>
      <w:tr w:rsidR="002E40E9" w:rsidRPr="00394EF9" w14:paraId="6FF5B894" w14:textId="77777777" w:rsidTr="00394EF9">
        <w:trPr>
          <w:trHeight w:val="232"/>
        </w:trPr>
        <w:tc>
          <w:tcPr>
            <w:tcW w:w="3249" w:type="pct"/>
            <w:noWrap/>
            <w:vAlign w:val="center"/>
            <w:hideMark/>
          </w:tcPr>
          <w:p w14:paraId="55754EBF" w14:textId="77777777" w:rsidR="002E40E9" w:rsidRPr="00394EF9" w:rsidRDefault="002E40E9">
            <w:pPr>
              <w:ind w:firstLineChars="200" w:firstLine="360"/>
              <w:rPr>
                <w:rFonts w:ascii="Arial" w:hAnsi="Arial" w:cs="Arial"/>
                <w:color w:val="000000"/>
                <w:sz w:val="18"/>
                <w:szCs w:val="18"/>
              </w:rPr>
            </w:pPr>
            <w:r w:rsidRPr="00394EF9">
              <w:rPr>
                <w:rFonts w:ascii="Arial" w:hAnsi="Arial" w:cs="Arial"/>
                <w:color w:val="000000"/>
                <w:sz w:val="18"/>
                <w:szCs w:val="18"/>
              </w:rPr>
              <w:t>Ministérios</w:t>
            </w:r>
          </w:p>
        </w:tc>
        <w:tc>
          <w:tcPr>
            <w:tcW w:w="876" w:type="pct"/>
            <w:noWrap/>
            <w:vAlign w:val="center"/>
            <w:hideMark/>
          </w:tcPr>
          <w:p w14:paraId="105AE45C"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11.275 </w:t>
            </w:r>
          </w:p>
        </w:tc>
        <w:tc>
          <w:tcPr>
            <w:tcW w:w="876" w:type="pct"/>
            <w:noWrap/>
            <w:vAlign w:val="center"/>
            <w:hideMark/>
          </w:tcPr>
          <w:p w14:paraId="09F75147"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73.839 </w:t>
            </w:r>
          </w:p>
        </w:tc>
      </w:tr>
      <w:tr w:rsidR="002E40E9" w:rsidRPr="00394EF9" w14:paraId="5F9AE43F" w14:textId="77777777" w:rsidTr="00394EF9">
        <w:trPr>
          <w:trHeight w:val="232"/>
        </w:trPr>
        <w:tc>
          <w:tcPr>
            <w:tcW w:w="3249" w:type="pct"/>
            <w:noWrap/>
            <w:vAlign w:val="center"/>
            <w:hideMark/>
          </w:tcPr>
          <w:p w14:paraId="40B6F0EA" w14:textId="77777777" w:rsidR="002E40E9" w:rsidRPr="00394EF9" w:rsidRDefault="002E40E9">
            <w:pPr>
              <w:ind w:firstLineChars="200" w:firstLine="360"/>
              <w:rPr>
                <w:rFonts w:ascii="Arial" w:hAnsi="Arial" w:cs="Arial"/>
                <w:color w:val="000000"/>
                <w:sz w:val="18"/>
                <w:szCs w:val="18"/>
              </w:rPr>
            </w:pPr>
            <w:r w:rsidRPr="00394EF9">
              <w:rPr>
                <w:rFonts w:ascii="Arial" w:hAnsi="Arial" w:cs="Arial"/>
                <w:color w:val="000000"/>
                <w:sz w:val="18"/>
                <w:szCs w:val="18"/>
              </w:rPr>
              <w:t>Demais Entidades (i)</w:t>
            </w:r>
          </w:p>
        </w:tc>
        <w:tc>
          <w:tcPr>
            <w:tcW w:w="876" w:type="pct"/>
            <w:noWrap/>
            <w:vAlign w:val="center"/>
            <w:hideMark/>
          </w:tcPr>
          <w:p w14:paraId="45451142"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7.176 </w:t>
            </w:r>
          </w:p>
        </w:tc>
        <w:tc>
          <w:tcPr>
            <w:tcW w:w="876" w:type="pct"/>
            <w:noWrap/>
            <w:vAlign w:val="center"/>
            <w:hideMark/>
          </w:tcPr>
          <w:p w14:paraId="05B3D910"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4.965 </w:t>
            </w:r>
          </w:p>
        </w:tc>
      </w:tr>
      <w:tr w:rsidR="002E40E9" w:rsidRPr="00394EF9" w14:paraId="69BFE3AA" w14:textId="77777777" w:rsidTr="00394EF9">
        <w:trPr>
          <w:trHeight w:val="232"/>
        </w:trPr>
        <w:tc>
          <w:tcPr>
            <w:tcW w:w="3249" w:type="pct"/>
            <w:noWrap/>
            <w:vAlign w:val="center"/>
            <w:hideMark/>
          </w:tcPr>
          <w:p w14:paraId="54332FE2"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Empresas de Tecnologia da Informação da Prev. Social - Dataprev</w:t>
            </w:r>
          </w:p>
        </w:tc>
        <w:tc>
          <w:tcPr>
            <w:tcW w:w="876" w:type="pct"/>
            <w:noWrap/>
            <w:vAlign w:val="center"/>
            <w:hideMark/>
          </w:tcPr>
          <w:p w14:paraId="4AC0D9A0"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47 </w:t>
            </w:r>
          </w:p>
        </w:tc>
        <w:tc>
          <w:tcPr>
            <w:tcW w:w="876" w:type="pct"/>
            <w:noWrap/>
            <w:vAlign w:val="center"/>
            <w:hideMark/>
          </w:tcPr>
          <w:p w14:paraId="6369B7DF"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34 </w:t>
            </w:r>
          </w:p>
        </w:tc>
      </w:tr>
      <w:tr w:rsidR="002E40E9" w:rsidRPr="00394EF9" w14:paraId="54A2D384" w14:textId="77777777" w:rsidTr="00394EF9">
        <w:trPr>
          <w:trHeight w:val="232"/>
        </w:trPr>
        <w:tc>
          <w:tcPr>
            <w:tcW w:w="3249" w:type="pct"/>
            <w:noWrap/>
            <w:vAlign w:val="center"/>
            <w:hideMark/>
          </w:tcPr>
          <w:p w14:paraId="018DE20E"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Instituto Nacional do Seguro Social - INSS</w:t>
            </w:r>
          </w:p>
        </w:tc>
        <w:tc>
          <w:tcPr>
            <w:tcW w:w="876" w:type="pct"/>
            <w:noWrap/>
            <w:vAlign w:val="center"/>
            <w:hideMark/>
          </w:tcPr>
          <w:p w14:paraId="3B25D8C7"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13.780 </w:t>
            </w:r>
          </w:p>
        </w:tc>
        <w:tc>
          <w:tcPr>
            <w:tcW w:w="876" w:type="pct"/>
            <w:noWrap/>
            <w:vAlign w:val="center"/>
            <w:hideMark/>
          </w:tcPr>
          <w:p w14:paraId="35FA0BC8"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10.767 </w:t>
            </w:r>
          </w:p>
        </w:tc>
      </w:tr>
      <w:tr w:rsidR="002E40E9" w:rsidRPr="00394EF9" w14:paraId="45E22758" w14:textId="77777777" w:rsidTr="00394EF9">
        <w:trPr>
          <w:trHeight w:val="232"/>
        </w:trPr>
        <w:tc>
          <w:tcPr>
            <w:tcW w:w="3249" w:type="pct"/>
            <w:noWrap/>
            <w:vAlign w:val="center"/>
            <w:hideMark/>
          </w:tcPr>
          <w:p w14:paraId="05996352"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Empresa Brasil de Comunicação -  EBC</w:t>
            </w:r>
          </w:p>
        </w:tc>
        <w:tc>
          <w:tcPr>
            <w:tcW w:w="876" w:type="pct"/>
            <w:noWrap/>
            <w:vAlign w:val="center"/>
            <w:hideMark/>
          </w:tcPr>
          <w:p w14:paraId="6883F7A2"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569 </w:t>
            </w:r>
          </w:p>
        </w:tc>
        <w:tc>
          <w:tcPr>
            <w:tcW w:w="876" w:type="pct"/>
            <w:noWrap/>
            <w:vAlign w:val="center"/>
            <w:hideMark/>
          </w:tcPr>
          <w:p w14:paraId="29C0008F"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 </w:t>
            </w:r>
          </w:p>
        </w:tc>
      </w:tr>
      <w:tr w:rsidR="002E40E9" w:rsidRPr="00394EF9" w14:paraId="5126E9D6" w14:textId="77777777" w:rsidTr="00394EF9">
        <w:trPr>
          <w:trHeight w:val="232"/>
        </w:trPr>
        <w:tc>
          <w:tcPr>
            <w:tcW w:w="3249" w:type="pct"/>
            <w:noWrap/>
            <w:vAlign w:val="center"/>
            <w:hideMark/>
          </w:tcPr>
          <w:p w14:paraId="100C3A0E" w14:textId="2B8FE6A5"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k) Aluguéis e Locações</w:t>
            </w:r>
          </w:p>
        </w:tc>
        <w:tc>
          <w:tcPr>
            <w:tcW w:w="876" w:type="pct"/>
            <w:noWrap/>
            <w:vAlign w:val="center"/>
            <w:hideMark/>
          </w:tcPr>
          <w:p w14:paraId="401BF1D2"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13.409 </w:t>
            </w:r>
          </w:p>
        </w:tc>
        <w:tc>
          <w:tcPr>
            <w:tcW w:w="876" w:type="pct"/>
            <w:noWrap/>
            <w:vAlign w:val="center"/>
            <w:hideMark/>
          </w:tcPr>
          <w:p w14:paraId="0B18CAC0"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12.462 </w:t>
            </w:r>
          </w:p>
        </w:tc>
      </w:tr>
      <w:tr w:rsidR="002E40E9" w:rsidRPr="00394EF9" w14:paraId="0405AC15" w14:textId="77777777" w:rsidTr="00394EF9">
        <w:trPr>
          <w:trHeight w:val="232"/>
        </w:trPr>
        <w:tc>
          <w:tcPr>
            <w:tcW w:w="3249" w:type="pct"/>
            <w:noWrap/>
            <w:vAlign w:val="center"/>
            <w:hideMark/>
          </w:tcPr>
          <w:p w14:paraId="5CE59886" w14:textId="77777777" w:rsidR="002E40E9" w:rsidRPr="00394EF9" w:rsidRDefault="002E40E9">
            <w:pPr>
              <w:rPr>
                <w:rFonts w:ascii="Arial" w:hAnsi="Arial" w:cs="Arial"/>
                <w:color w:val="000000"/>
                <w:sz w:val="18"/>
                <w:szCs w:val="18"/>
              </w:rPr>
            </w:pPr>
            <w:r w:rsidRPr="00394EF9">
              <w:rPr>
                <w:rFonts w:ascii="Arial" w:hAnsi="Arial" w:cs="Arial"/>
                <w:color w:val="000000"/>
                <w:sz w:val="18"/>
                <w:szCs w:val="18"/>
              </w:rPr>
              <w:t xml:space="preserve">  Entidades Governamentais:</w:t>
            </w:r>
          </w:p>
        </w:tc>
        <w:tc>
          <w:tcPr>
            <w:tcW w:w="876" w:type="pct"/>
            <w:noWrap/>
            <w:vAlign w:val="center"/>
            <w:hideMark/>
          </w:tcPr>
          <w:p w14:paraId="6F192817"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10.351 </w:t>
            </w:r>
          </w:p>
        </w:tc>
        <w:tc>
          <w:tcPr>
            <w:tcW w:w="876" w:type="pct"/>
            <w:noWrap/>
            <w:vAlign w:val="center"/>
            <w:hideMark/>
          </w:tcPr>
          <w:p w14:paraId="3323EB46"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9.386 </w:t>
            </w:r>
          </w:p>
        </w:tc>
      </w:tr>
      <w:tr w:rsidR="002E40E9" w:rsidRPr="00394EF9" w14:paraId="130175D9" w14:textId="77777777" w:rsidTr="00394EF9">
        <w:trPr>
          <w:trHeight w:val="232"/>
        </w:trPr>
        <w:tc>
          <w:tcPr>
            <w:tcW w:w="3249" w:type="pct"/>
            <w:noWrap/>
            <w:vAlign w:val="center"/>
            <w:hideMark/>
          </w:tcPr>
          <w:p w14:paraId="68A75853" w14:textId="77777777" w:rsidR="002E40E9" w:rsidRPr="00394EF9" w:rsidRDefault="002E40E9">
            <w:pPr>
              <w:ind w:firstLineChars="200" w:firstLine="360"/>
              <w:rPr>
                <w:rFonts w:ascii="Arial" w:hAnsi="Arial" w:cs="Arial"/>
                <w:color w:val="000000"/>
                <w:sz w:val="18"/>
                <w:szCs w:val="18"/>
              </w:rPr>
            </w:pPr>
            <w:r w:rsidRPr="00394EF9">
              <w:rPr>
                <w:rFonts w:ascii="Arial" w:hAnsi="Arial" w:cs="Arial"/>
                <w:color w:val="000000"/>
                <w:sz w:val="18"/>
                <w:szCs w:val="18"/>
              </w:rPr>
              <w:t>Ministérios</w:t>
            </w:r>
          </w:p>
        </w:tc>
        <w:tc>
          <w:tcPr>
            <w:tcW w:w="876" w:type="pct"/>
            <w:noWrap/>
            <w:vAlign w:val="center"/>
            <w:hideMark/>
          </w:tcPr>
          <w:p w14:paraId="76F458EB"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10.000 </w:t>
            </w:r>
          </w:p>
        </w:tc>
        <w:tc>
          <w:tcPr>
            <w:tcW w:w="876" w:type="pct"/>
            <w:noWrap/>
            <w:vAlign w:val="center"/>
            <w:hideMark/>
          </w:tcPr>
          <w:p w14:paraId="17041760"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9.140 </w:t>
            </w:r>
          </w:p>
        </w:tc>
      </w:tr>
      <w:tr w:rsidR="002E40E9" w:rsidRPr="00394EF9" w14:paraId="0F0F8951" w14:textId="77777777" w:rsidTr="00394EF9">
        <w:trPr>
          <w:trHeight w:val="232"/>
        </w:trPr>
        <w:tc>
          <w:tcPr>
            <w:tcW w:w="3249" w:type="pct"/>
            <w:noWrap/>
            <w:vAlign w:val="center"/>
            <w:hideMark/>
          </w:tcPr>
          <w:p w14:paraId="3A12D39C" w14:textId="77777777" w:rsidR="002E40E9" w:rsidRPr="00394EF9" w:rsidRDefault="002E40E9">
            <w:pPr>
              <w:ind w:firstLineChars="200" w:firstLine="360"/>
              <w:rPr>
                <w:rFonts w:ascii="Arial" w:hAnsi="Arial" w:cs="Arial"/>
                <w:color w:val="000000"/>
                <w:sz w:val="18"/>
                <w:szCs w:val="18"/>
              </w:rPr>
            </w:pPr>
            <w:r w:rsidRPr="00394EF9">
              <w:rPr>
                <w:rFonts w:ascii="Arial" w:hAnsi="Arial" w:cs="Arial"/>
                <w:color w:val="000000"/>
                <w:sz w:val="18"/>
                <w:szCs w:val="18"/>
              </w:rPr>
              <w:t>Demais Entidades (i)</w:t>
            </w:r>
          </w:p>
        </w:tc>
        <w:tc>
          <w:tcPr>
            <w:tcW w:w="876" w:type="pct"/>
            <w:noWrap/>
            <w:vAlign w:val="center"/>
            <w:hideMark/>
          </w:tcPr>
          <w:p w14:paraId="7F4CCFF9"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351 </w:t>
            </w:r>
          </w:p>
        </w:tc>
        <w:tc>
          <w:tcPr>
            <w:tcW w:w="876" w:type="pct"/>
            <w:noWrap/>
            <w:vAlign w:val="center"/>
            <w:hideMark/>
          </w:tcPr>
          <w:p w14:paraId="40D38E86"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246 </w:t>
            </w:r>
          </w:p>
        </w:tc>
      </w:tr>
      <w:tr w:rsidR="002E40E9" w:rsidRPr="00394EF9" w14:paraId="1DA6D9E6" w14:textId="77777777" w:rsidTr="00394EF9">
        <w:trPr>
          <w:trHeight w:val="232"/>
        </w:trPr>
        <w:tc>
          <w:tcPr>
            <w:tcW w:w="3249" w:type="pct"/>
            <w:noWrap/>
            <w:vAlign w:val="center"/>
            <w:hideMark/>
          </w:tcPr>
          <w:p w14:paraId="6213ABB6" w14:textId="77777777" w:rsidR="002E40E9" w:rsidRPr="00394EF9" w:rsidRDefault="002E40E9">
            <w:pPr>
              <w:ind w:firstLineChars="100" w:firstLine="180"/>
              <w:rPr>
                <w:rFonts w:ascii="Arial" w:hAnsi="Arial" w:cs="Arial"/>
                <w:color w:val="000000"/>
                <w:sz w:val="18"/>
                <w:szCs w:val="18"/>
              </w:rPr>
            </w:pPr>
            <w:r w:rsidRPr="00394EF9">
              <w:rPr>
                <w:rFonts w:ascii="Arial" w:hAnsi="Arial" w:cs="Arial"/>
                <w:color w:val="000000"/>
                <w:sz w:val="18"/>
                <w:szCs w:val="18"/>
              </w:rPr>
              <w:t>Instituto Nacional do Seguro Social - INSS</w:t>
            </w:r>
          </w:p>
        </w:tc>
        <w:tc>
          <w:tcPr>
            <w:tcW w:w="876" w:type="pct"/>
            <w:noWrap/>
            <w:vAlign w:val="center"/>
            <w:hideMark/>
          </w:tcPr>
          <w:p w14:paraId="27AF434E"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3.058 </w:t>
            </w:r>
          </w:p>
        </w:tc>
        <w:tc>
          <w:tcPr>
            <w:tcW w:w="876" w:type="pct"/>
            <w:noWrap/>
            <w:vAlign w:val="center"/>
            <w:hideMark/>
          </w:tcPr>
          <w:p w14:paraId="09B5C72E"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3.076 </w:t>
            </w:r>
          </w:p>
        </w:tc>
      </w:tr>
      <w:tr w:rsidR="002E40E9" w:rsidRPr="00394EF9" w14:paraId="4313C721" w14:textId="77777777" w:rsidTr="00394EF9">
        <w:trPr>
          <w:trHeight w:val="232"/>
        </w:trPr>
        <w:tc>
          <w:tcPr>
            <w:tcW w:w="3249" w:type="pct"/>
            <w:noWrap/>
            <w:vAlign w:val="center"/>
            <w:hideMark/>
          </w:tcPr>
          <w:p w14:paraId="25020A26" w14:textId="77777777" w:rsidR="002E40E9" w:rsidRPr="00394EF9" w:rsidRDefault="002E40E9">
            <w:pPr>
              <w:rPr>
                <w:rFonts w:ascii="Arial" w:hAnsi="Arial" w:cs="Arial"/>
                <w:b/>
                <w:bCs/>
                <w:color w:val="000000"/>
                <w:sz w:val="18"/>
                <w:szCs w:val="18"/>
              </w:rPr>
            </w:pPr>
            <w:r w:rsidRPr="00394EF9">
              <w:rPr>
                <w:rFonts w:ascii="Arial" w:hAnsi="Arial" w:cs="Arial"/>
                <w:b/>
                <w:bCs/>
                <w:color w:val="000000"/>
                <w:sz w:val="18"/>
                <w:szCs w:val="18"/>
              </w:rPr>
              <w:t>l) Outras Receitas</w:t>
            </w:r>
          </w:p>
        </w:tc>
        <w:tc>
          <w:tcPr>
            <w:tcW w:w="876" w:type="pct"/>
            <w:noWrap/>
            <w:vAlign w:val="center"/>
            <w:hideMark/>
          </w:tcPr>
          <w:p w14:paraId="5A4C131E"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438 </w:t>
            </w:r>
          </w:p>
        </w:tc>
        <w:tc>
          <w:tcPr>
            <w:tcW w:w="876" w:type="pct"/>
            <w:noWrap/>
            <w:vAlign w:val="center"/>
            <w:hideMark/>
          </w:tcPr>
          <w:p w14:paraId="33865265" w14:textId="77777777" w:rsidR="002E40E9" w:rsidRPr="00394EF9" w:rsidRDefault="002E40E9">
            <w:pPr>
              <w:jc w:val="right"/>
              <w:rPr>
                <w:rFonts w:ascii="Arial" w:hAnsi="Arial" w:cs="Arial"/>
                <w:b/>
                <w:bCs/>
                <w:color w:val="000000"/>
                <w:sz w:val="18"/>
                <w:szCs w:val="18"/>
              </w:rPr>
            </w:pPr>
            <w:r w:rsidRPr="00394EF9">
              <w:rPr>
                <w:rFonts w:ascii="Arial" w:hAnsi="Arial" w:cs="Arial"/>
                <w:b/>
                <w:bCs/>
                <w:color w:val="000000"/>
                <w:sz w:val="18"/>
                <w:szCs w:val="18"/>
              </w:rPr>
              <w:t xml:space="preserve">                    2.039 </w:t>
            </w:r>
          </w:p>
        </w:tc>
      </w:tr>
      <w:tr w:rsidR="002E40E9" w:rsidRPr="00394EF9" w14:paraId="6260D6AE" w14:textId="77777777" w:rsidTr="00394EF9">
        <w:trPr>
          <w:trHeight w:val="232"/>
        </w:trPr>
        <w:tc>
          <w:tcPr>
            <w:tcW w:w="3249" w:type="pct"/>
            <w:noWrap/>
            <w:vAlign w:val="center"/>
            <w:hideMark/>
          </w:tcPr>
          <w:p w14:paraId="68CB200B" w14:textId="77777777" w:rsidR="002E40E9" w:rsidRPr="00394EF9" w:rsidRDefault="002E40E9">
            <w:pPr>
              <w:rPr>
                <w:rFonts w:ascii="Arial" w:hAnsi="Arial" w:cs="Arial"/>
                <w:color w:val="000000"/>
                <w:sz w:val="18"/>
                <w:szCs w:val="18"/>
              </w:rPr>
            </w:pPr>
            <w:r w:rsidRPr="00394EF9">
              <w:rPr>
                <w:rFonts w:ascii="Arial" w:hAnsi="Arial" w:cs="Arial"/>
                <w:color w:val="000000"/>
                <w:sz w:val="18"/>
                <w:szCs w:val="18"/>
              </w:rPr>
              <w:t xml:space="preserve">      Ministérios</w:t>
            </w:r>
          </w:p>
        </w:tc>
        <w:tc>
          <w:tcPr>
            <w:tcW w:w="876" w:type="pct"/>
            <w:noWrap/>
            <w:vAlign w:val="center"/>
            <w:hideMark/>
          </w:tcPr>
          <w:p w14:paraId="539924C8"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438 </w:t>
            </w:r>
          </w:p>
        </w:tc>
        <w:tc>
          <w:tcPr>
            <w:tcW w:w="876" w:type="pct"/>
            <w:noWrap/>
            <w:vAlign w:val="center"/>
            <w:hideMark/>
          </w:tcPr>
          <w:p w14:paraId="3524DDE1"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2.039 </w:t>
            </w:r>
          </w:p>
        </w:tc>
      </w:tr>
      <w:tr w:rsidR="002E40E9" w14:paraId="0D2C8E57" w14:textId="77777777" w:rsidTr="00394EF9">
        <w:trPr>
          <w:trHeight w:val="232"/>
        </w:trPr>
        <w:tc>
          <w:tcPr>
            <w:tcW w:w="3249" w:type="pct"/>
            <w:noWrap/>
            <w:vAlign w:val="center"/>
            <w:hideMark/>
          </w:tcPr>
          <w:p w14:paraId="3818B82A" w14:textId="77777777" w:rsidR="002E40E9" w:rsidRPr="00394EF9" w:rsidRDefault="002E40E9">
            <w:pPr>
              <w:ind w:firstLineChars="200" w:firstLine="360"/>
              <w:rPr>
                <w:rFonts w:ascii="Arial" w:hAnsi="Arial" w:cs="Arial"/>
                <w:color w:val="000000"/>
                <w:sz w:val="18"/>
                <w:szCs w:val="18"/>
              </w:rPr>
            </w:pPr>
            <w:r w:rsidRPr="00394EF9">
              <w:rPr>
                <w:rFonts w:ascii="Arial" w:hAnsi="Arial" w:cs="Arial"/>
                <w:color w:val="000000"/>
                <w:sz w:val="18"/>
                <w:szCs w:val="18"/>
              </w:rPr>
              <w:t>Demais Entidades (i)</w:t>
            </w:r>
          </w:p>
        </w:tc>
        <w:tc>
          <w:tcPr>
            <w:tcW w:w="876" w:type="pct"/>
            <w:noWrap/>
            <w:vAlign w:val="center"/>
            <w:hideMark/>
          </w:tcPr>
          <w:p w14:paraId="275DECC4" w14:textId="77777777" w:rsidR="002E40E9" w:rsidRPr="00394EF9" w:rsidRDefault="002E40E9">
            <w:pPr>
              <w:jc w:val="right"/>
              <w:rPr>
                <w:rFonts w:ascii="Arial" w:hAnsi="Arial" w:cs="Arial"/>
                <w:color w:val="000000"/>
                <w:sz w:val="18"/>
                <w:szCs w:val="18"/>
              </w:rPr>
            </w:pPr>
            <w:r w:rsidRPr="00394EF9">
              <w:rPr>
                <w:rFonts w:ascii="Arial" w:hAnsi="Arial" w:cs="Arial"/>
                <w:color w:val="000000"/>
                <w:sz w:val="18"/>
                <w:szCs w:val="18"/>
              </w:rPr>
              <w:t xml:space="preserve">                       184 </w:t>
            </w:r>
          </w:p>
        </w:tc>
        <w:tc>
          <w:tcPr>
            <w:tcW w:w="876" w:type="pct"/>
            <w:noWrap/>
            <w:vAlign w:val="center"/>
            <w:hideMark/>
          </w:tcPr>
          <w:p w14:paraId="5950D5F2" w14:textId="77777777" w:rsidR="002E40E9" w:rsidRDefault="002E40E9">
            <w:pPr>
              <w:jc w:val="right"/>
              <w:rPr>
                <w:rFonts w:ascii="Arial" w:hAnsi="Arial" w:cs="Arial"/>
                <w:color w:val="000000"/>
                <w:sz w:val="18"/>
                <w:szCs w:val="18"/>
              </w:rPr>
            </w:pPr>
            <w:r w:rsidRPr="00394EF9">
              <w:rPr>
                <w:rFonts w:ascii="Arial" w:hAnsi="Arial" w:cs="Arial"/>
                <w:color w:val="000000"/>
                <w:sz w:val="18"/>
                <w:szCs w:val="18"/>
              </w:rPr>
              <w:t xml:space="preserve">                            -</w:t>
            </w:r>
            <w:r>
              <w:rPr>
                <w:rFonts w:ascii="Arial" w:hAnsi="Arial" w:cs="Arial"/>
                <w:color w:val="000000"/>
                <w:sz w:val="18"/>
                <w:szCs w:val="18"/>
              </w:rPr>
              <w:t xml:space="preserve"> </w:t>
            </w:r>
          </w:p>
        </w:tc>
      </w:tr>
    </w:tbl>
    <w:p w14:paraId="031A53B8" w14:textId="78911C8A" w:rsidR="009F1143" w:rsidRDefault="002E40E9" w:rsidP="00955E68">
      <w:pPr>
        <w:spacing w:line="276" w:lineRule="auto"/>
        <w:jc w:val="both"/>
        <w:rPr>
          <w:rFonts w:ascii="Arial" w:hAnsi="Arial" w:cs="Arial"/>
          <w:sz w:val="18"/>
          <w:szCs w:val="18"/>
        </w:rPr>
      </w:pPr>
      <w:r w:rsidRPr="00B92B75">
        <w:rPr>
          <w:rFonts w:ascii="Arial" w:hAnsi="Arial" w:cs="Arial"/>
          <w:sz w:val="18"/>
          <w:szCs w:val="18"/>
        </w:rPr>
        <w:t xml:space="preserve"> </w:t>
      </w:r>
      <w:r w:rsidR="009F1143" w:rsidRPr="00B92B75">
        <w:rPr>
          <w:rFonts w:ascii="Arial" w:hAnsi="Arial" w:cs="Arial"/>
          <w:sz w:val="18"/>
          <w:szCs w:val="18"/>
        </w:rPr>
        <w:t xml:space="preserve">(i) Demais Entidades Governamentais incluem: Universidades, Institutos Federais de Educação, Entidades Militares ligadas </w:t>
      </w:r>
      <w:r w:rsidR="001B78A0" w:rsidRPr="00B92B75">
        <w:rPr>
          <w:rFonts w:ascii="Arial" w:hAnsi="Arial" w:cs="Arial"/>
          <w:sz w:val="18"/>
          <w:szCs w:val="18"/>
        </w:rPr>
        <w:t>à</w:t>
      </w:r>
      <w:r w:rsidR="009F1143" w:rsidRPr="00B92B75">
        <w:rPr>
          <w:rFonts w:ascii="Arial" w:hAnsi="Arial" w:cs="Arial"/>
          <w:sz w:val="18"/>
          <w:szCs w:val="18"/>
        </w:rPr>
        <w:t xml:space="preserve">s Forças Armadas, </w:t>
      </w:r>
      <w:r w:rsidR="00463A00" w:rsidRPr="00B92B75">
        <w:rPr>
          <w:rFonts w:ascii="Arial" w:hAnsi="Arial" w:cs="Arial"/>
          <w:sz w:val="18"/>
          <w:szCs w:val="18"/>
        </w:rPr>
        <w:t>S</w:t>
      </w:r>
      <w:r w:rsidR="009F1143" w:rsidRPr="00B92B75">
        <w:rPr>
          <w:rFonts w:ascii="Arial" w:hAnsi="Arial" w:cs="Arial"/>
          <w:sz w:val="18"/>
          <w:szCs w:val="18"/>
        </w:rPr>
        <w:t xml:space="preserve">ecretarias vinculadas </w:t>
      </w:r>
      <w:r w:rsidR="00330ADC" w:rsidRPr="00B92B75">
        <w:rPr>
          <w:rFonts w:ascii="Arial" w:hAnsi="Arial" w:cs="Arial"/>
          <w:sz w:val="18"/>
          <w:szCs w:val="18"/>
        </w:rPr>
        <w:t>à</w:t>
      </w:r>
      <w:r w:rsidR="009F1143" w:rsidRPr="00B92B75">
        <w:rPr>
          <w:rFonts w:ascii="Arial" w:hAnsi="Arial" w:cs="Arial"/>
          <w:sz w:val="18"/>
          <w:szCs w:val="18"/>
        </w:rPr>
        <w:t xml:space="preserve"> União Federal </w:t>
      </w:r>
      <w:r w:rsidR="007F143E" w:rsidRPr="00B92B75">
        <w:rPr>
          <w:rFonts w:ascii="Arial" w:hAnsi="Arial" w:cs="Arial"/>
          <w:sz w:val="18"/>
          <w:szCs w:val="18"/>
        </w:rPr>
        <w:t>e outros</w:t>
      </w:r>
      <w:r w:rsidR="000F13C4" w:rsidRPr="00B92B75">
        <w:rPr>
          <w:rFonts w:ascii="Arial" w:hAnsi="Arial" w:cs="Arial"/>
          <w:sz w:val="18"/>
          <w:szCs w:val="18"/>
        </w:rPr>
        <w:t>.</w:t>
      </w:r>
    </w:p>
    <w:p w14:paraId="4F045BF8" w14:textId="77777777" w:rsidR="00B1439C" w:rsidRPr="00B92B75" w:rsidRDefault="00B1439C" w:rsidP="00955E68">
      <w:pPr>
        <w:spacing w:line="276" w:lineRule="auto"/>
        <w:jc w:val="both"/>
        <w:rPr>
          <w:rFonts w:ascii="Arial" w:hAnsi="Arial" w:cs="Arial"/>
          <w:sz w:val="18"/>
          <w:szCs w:val="18"/>
        </w:rPr>
      </w:pPr>
    </w:p>
    <w:p w14:paraId="4E2698CD" w14:textId="70E2D2F8" w:rsidR="00E144A2" w:rsidRDefault="00E144A2" w:rsidP="00E144A2">
      <w:pPr>
        <w:spacing w:line="276" w:lineRule="auto"/>
        <w:jc w:val="both"/>
        <w:rPr>
          <w:rFonts w:ascii="Arial" w:hAnsi="Arial" w:cs="Arial"/>
          <w:sz w:val="22"/>
          <w:szCs w:val="22"/>
        </w:rPr>
      </w:pPr>
      <w:r w:rsidRPr="00E144A2">
        <w:rPr>
          <w:rFonts w:ascii="Arial" w:hAnsi="Arial" w:cs="Arial"/>
          <w:b/>
          <w:bCs/>
          <w:sz w:val="22"/>
          <w:szCs w:val="22"/>
        </w:rPr>
        <w:t>a)</w:t>
      </w:r>
      <w:r w:rsidRPr="00E144A2">
        <w:rPr>
          <w:rFonts w:ascii="Arial" w:hAnsi="Arial" w:cs="Arial"/>
          <w:sz w:val="22"/>
          <w:szCs w:val="22"/>
        </w:rPr>
        <w:t xml:space="preserve"> Representa os valores a receber pela prestação do Serviço de Comunicação Multimídia (</w:t>
      </w:r>
      <w:r>
        <w:rPr>
          <w:rFonts w:ascii="Arial" w:hAnsi="Arial" w:cs="Arial"/>
          <w:sz w:val="22"/>
          <w:szCs w:val="22"/>
        </w:rPr>
        <w:t>SCM</w:t>
      </w:r>
      <w:r w:rsidRPr="00E144A2">
        <w:rPr>
          <w:rFonts w:ascii="Arial" w:hAnsi="Arial" w:cs="Arial"/>
          <w:sz w:val="22"/>
          <w:szCs w:val="22"/>
        </w:rPr>
        <w:t>) e pelos serviços de aluguéis e locações de equipamentos fornecidos a ministérios, entidades governamentais e empresas sob controle da União. Os preços cobrados são equivalentes aos praticados pelo mercado.</w:t>
      </w:r>
    </w:p>
    <w:p w14:paraId="571D2889" w14:textId="77777777" w:rsidR="00E144A2" w:rsidRPr="00E144A2" w:rsidRDefault="00E144A2" w:rsidP="00E144A2">
      <w:pPr>
        <w:spacing w:line="276" w:lineRule="auto"/>
        <w:jc w:val="both"/>
        <w:rPr>
          <w:rFonts w:ascii="Arial" w:hAnsi="Arial" w:cs="Arial"/>
          <w:sz w:val="22"/>
          <w:szCs w:val="22"/>
        </w:rPr>
      </w:pPr>
    </w:p>
    <w:p w14:paraId="39C0BED9" w14:textId="77777777" w:rsidR="00E144A2" w:rsidRDefault="00E144A2" w:rsidP="00E144A2">
      <w:pPr>
        <w:spacing w:line="276" w:lineRule="auto"/>
        <w:jc w:val="both"/>
        <w:rPr>
          <w:rFonts w:ascii="Arial" w:hAnsi="Arial" w:cs="Arial"/>
          <w:sz w:val="22"/>
          <w:szCs w:val="22"/>
        </w:rPr>
      </w:pPr>
      <w:r w:rsidRPr="00E144A2">
        <w:rPr>
          <w:rFonts w:ascii="Arial" w:hAnsi="Arial" w:cs="Arial"/>
          <w:b/>
          <w:bCs/>
          <w:sz w:val="22"/>
          <w:szCs w:val="22"/>
        </w:rPr>
        <w:lastRenderedPageBreak/>
        <w:t>b)</w:t>
      </w:r>
      <w:r w:rsidRPr="00E144A2">
        <w:rPr>
          <w:rFonts w:ascii="Arial" w:hAnsi="Arial" w:cs="Arial"/>
          <w:sz w:val="22"/>
          <w:szCs w:val="22"/>
        </w:rPr>
        <w:t xml:space="preserve"> Refere-se às cauções efetuadas junto a órgãos públicos para a prestação de serviços, conforme os contratos firmados.</w:t>
      </w:r>
    </w:p>
    <w:p w14:paraId="311C170C" w14:textId="77777777" w:rsidR="00E144A2" w:rsidRPr="00E144A2" w:rsidRDefault="00E144A2" w:rsidP="00E144A2">
      <w:pPr>
        <w:spacing w:line="276" w:lineRule="auto"/>
        <w:jc w:val="both"/>
        <w:rPr>
          <w:rFonts w:ascii="Arial" w:hAnsi="Arial" w:cs="Arial"/>
          <w:sz w:val="22"/>
          <w:szCs w:val="22"/>
        </w:rPr>
      </w:pPr>
    </w:p>
    <w:p w14:paraId="1C53C024" w14:textId="274615A9" w:rsidR="00E144A2" w:rsidRDefault="002E40E9" w:rsidP="00E144A2">
      <w:pPr>
        <w:spacing w:line="276" w:lineRule="auto"/>
        <w:jc w:val="both"/>
        <w:rPr>
          <w:rFonts w:ascii="Arial" w:hAnsi="Arial" w:cs="Arial"/>
          <w:sz w:val="22"/>
          <w:szCs w:val="22"/>
        </w:rPr>
      </w:pPr>
      <w:r>
        <w:rPr>
          <w:rFonts w:ascii="Arial" w:hAnsi="Arial" w:cs="Arial"/>
          <w:b/>
          <w:bCs/>
          <w:sz w:val="22"/>
          <w:szCs w:val="22"/>
        </w:rPr>
        <w:t>c</w:t>
      </w:r>
      <w:r w:rsidR="00E144A2" w:rsidRPr="00E144A2">
        <w:rPr>
          <w:rFonts w:ascii="Arial" w:hAnsi="Arial" w:cs="Arial"/>
          <w:b/>
          <w:bCs/>
          <w:sz w:val="22"/>
          <w:szCs w:val="22"/>
        </w:rPr>
        <w:t>)</w:t>
      </w:r>
      <w:r w:rsidR="00E144A2" w:rsidRPr="00E144A2">
        <w:rPr>
          <w:rFonts w:ascii="Arial" w:hAnsi="Arial" w:cs="Arial"/>
          <w:sz w:val="22"/>
          <w:szCs w:val="22"/>
        </w:rPr>
        <w:t xml:space="preserve"> Representa os valores a pagar a fornecedores de bens e serviços.</w:t>
      </w:r>
    </w:p>
    <w:p w14:paraId="22134487" w14:textId="77777777" w:rsidR="00E144A2" w:rsidRPr="00E144A2" w:rsidRDefault="00E144A2" w:rsidP="00E144A2">
      <w:pPr>
        <w:spacing w:line="276" w:lineRule="auto"/>
        <w:jc w:val="both"/>
        <w:rPr>
          <w:rFonts w:ascii="Arial" w:hAnsi="Arial" w:cs="Arial"/>
          <w:sz w:val="22"/>
          <w:szCs w:val="22"/>
        </w:rPr>
      </w:pPr>
    </w:p>
    <w:p w14:paraId="76AC0461" w14:textId="5FE1F436" w:rsidR="00E144A2" w:rsidRDefault="002E40E9" w:rsidP="00E144A2">
      <w:pPr>
        <w:spacing w:line="276" w:lineRule="auto"/>
        <w:jc w:val="both"/>
        <w:rPr>
          <w:rFonts w:ascii="Arial" w:hAnsi="Arial" w:cs="Arial"/>
          <w:sz w:val="22"/>
          <w:szCs w:val="22"/>
        </w:rPr>
      </w:pPr>
      <w:r>
        <w:rPr>
          <w:rFonts w:ascii="Arial" w:hAnsi="Arial" w:cs="Arial"/>
          <w:b/>
          <w:bCs/>
          <w:sz w:val="22"/>
          <w:szCs w:val="22"/>
        </w:rPr>
        <w:t>d</w:t>
      </w:r>
      <w:r w:rsidR="00E144A2" w:rsidRPr="00E144A2">
        <w:rPr>
          <w:rFonts w:ascii="Arial" w:hAnsi="Arial" w:cs="Arial"/>
          <w:b/>
          <w:bCs/>
          <w:sz w:val="22"/>
          <w:szCs w:val="22"/>
        </w:rPr>
        <w:t>)</w:t>
      </w:r>
      <w:r w:rsidR="00E144A2" w:rsidRPr="00E144A2">
        <w:rPr>
          <w:rFonts w:ascii="Arial" w:hAnsi="Arial" w:cs="Arial"/>
          <w:sz w:val="22"/>
          <w:szCs w:val="22"/>
        </w:rPr>
        <w:t xml:space="preserve"> Representa receitas recebidas antecipadamente de órgãos governamentais (Ministério da Defesa e Ministério das Comunicações) por serviços a serem prestados pela Telebras, conforme os acordos contratuais.</w:t>
      </w:r>
    </w:p>
    <w:p w14:paraId="0828CF16" w14:textId="77777777" w:rsidR="00E144A2" w:rsidRPr="00E144A2" w:rsidRDefault="00E144A2" w:rsidP="00E144A2">
      <w:pPr>
        <w:spacing w:line="276" w:lineRule="auto"/>
        <w:jc w:val="both"/>
        <w:rPr>
          <w:rFonts w:ascii="Arial" w:hAnsi="Arial" w:cs="Arial"/>
          <w:sz w:val="22"/>
          <w:szCs w:val="22"/>
        </w:rPr>
      </w:pPr>
    </w:p>
    <w:p w14:paraId="4030F26D" w14:textId="7617E6F5" w:rsidR="00E144A2" w:rsidRPr="00E144A2" w:rsidRDefault="002E40E9" w:rsidP="00E144A2">
      <w:pPr>
        <w:spacing w:line="276" w:lineRule="auto"/>
        <w:jc w:val="both"/>
        <w:rPr>
          <w:rFonts w:ascii="Arial" w:hAnsi="Arial" w:cs="Arial"/>
          <w:sz w:val="22"/>
          <w:szCs w:val="22"/>
        </w:rPr>
      </w:pPr>
      <w:r>
        <w:rPr>
          <w:rFonts w:ascii="Arial" w:hAnsi="Arial" w:cs="Arial"/>
          <w:b/>
          <w:bCs/>
          <w:sz w:val="22"/>
          <w:szCs w:val="22"/>
        </w:rPr>
        <w:t>e</w:t>
      </w:r>
      <w:r w:rsidR="00E144A2" w:rsidRPr="00E144A2">
        <w:rPr>
          <w:rFonts w:ascii="Arial" w:hAnsi="Arial" w:cs="Arial"/>
          <w:b/>
          <w:bCs/>
          <w:sz w:val="22"/>
          <w:szCs w:val="22"/>
        </w:rPr>
        <w:t>)</w:t>
      </w:r>
      <w:r w:rsidR="00E144A2" w:rsidRPr="00E144A2">
        <w:rPr>
          <w:rFonts w:ascii="Arial" w:hAnsi="Arial" w:cs="Arial"/>
          <w:sz w:val="22"/>
          <w:szCs w:val="22"/>
        </w:rPr>
        <w:t xml:space="preserve"> Refere-se aos recursos repassados pela União Federal sob a forma de Adiantamento para Futuro Aumento de Capital (AFAC) da Companhia. Esses recursos são aplicados na expansão e melhoria da Rede Terrestre e da Rede Satelital.</w:t>
      </w:r>
    </w:p>
    <w:p w14:paraId="47A36E6A" w14:textId="77777777" w:rsidR="00E144A2" w:rsidRPr="00E144A2" w:rsidRDefault="00E144A2" w:rsidP="00E144A2">
      <w:pPr>
        <w:spacing w:line="276" w:lineRule="auto"/>
        <w:jc w:val="both"/>
        <w:rPr>
          <w:rFonts w:ascii="Arial" w:hAnsi="Arial" w:cs="Arial"/>
          <w:sz w:val="22"/>
          <w:szCs w:val="22"/>
        </w:rPr>
      </w:pPr>
    </w:p>
    <w:p w14:paraId="30D11CBC" w14:textId="51703B93" w:rsidR="00E144A2" w:rsidRDefault="002E40E9" w:rsidP="00E144A2">
      <w:pPr>
        <w:spacing w:line="276" w:lineRule="auto"/>
        <w:jc w:val="both"/>
        <w:rPr>
          <w:rFonts w:ascii="Arial" w:hAnsi="Arial" w:cs="Arial"/>
          <w:sz w:val="22"/>
          <w:szCs w:val="22"/>
        </w:rPr>
      </w:pPr>
      <w:r>
        <w:rPr>
          <w:rFonts w:ascii="Arial" w:hAnsi="Arial" w:cs="Arial"/>
          <w:b/>
          <w:bCs/>
          <w:sz w:val="22"/>
          <w:szCs w:val="22"/>
        </w:rPr>
        <w:t>f</w:t>
      </w:r>
      <w:r w:rsidR="00E144A2" w:rsidRPr="00E144A2">
        <w:rPr>
          <w:rFonts w:ascii="Arial" w:hAnsi="Arial" w:cs="Arial"/>
          <w:b/>
          <w:bCs/>
          <w:sz w:val="22"/>
          <w:szCs w:val="22"/>
        </w:rPr>
        <w:t>)</w:t>
      </w:r>
      <w:r w:rsidR="00E144A2" w:rsidRPr="00E144A2">
        <w:rPr>
          <w:rFonts w:ascii="Arial" w:hAnsi="Arial" w:cs="Arial"/>
          <w:sz w:val="22"/>
          <w:szCs w:val="22"/>
        </w:rPr>
        <w:t xml:space="preserve"> Representa os custos com o compartilhamento de instalações. Esses custos incluem cessão de fibras, postes e espaços físicos vinculados à prestação dos serviços.</w:t>
      </w:r>
    </w:p>
    <w:p w14:paraId="3338E3A6" w14:textId="77777777" w:rsidR="00E144A2" w:rsidRPr="00E144A2" w:rsidRDefault="00E144A2" w:rsidP="00E144A2">
      <w:pPr>
        <w:spacing w:line="276" w:lineRule="auto"/>
        <w:jc w:val="both"/>
        <w:rPr>
          <w:rFonts w:ascii="Arial" w:hAnsi="Arial" w:cs="Arial"/>
          <w:sz w:val="22"/>
          <w:szCs w:val="22"/>
        </w:rPr>
      </w:pPr>
    </w:p>
    <w:p w14:paraId="614829AB" w14:textId="7611897A" w:rsidR="00E144A2" w:rsidRDefault="002E40E9" w:rsidP="00E144A2">
      <w:pPr>
        <w:spacing w:line="276" w:lineRule="auto"/>
        <w:jc w:val="both"/>
        <w:rPr>
          <w:rFonts w:ascii="Arial" w:hAnsi="Arial" w:cs="Arial"/>
          <w:sz w:val="22"/>
          <w:szCs w:val="22"/>
        </w:rPr>
      </w:pPr>
      <w:r>
        <w:rPr>
          <w:rFonts w:ascii="Arial" w:hAnsi="Arial" w:cs="Arial"/>
          <w:b/>
          <w:bCs/>
          <w:sz w:val="22"/>
          <w:szCs w:val="22"/>
        </w:rPr>
        <w:t>g</w:t>
      </w:r>
      <w:r w:rsidR="00E144A2" w:rsidRPr="00E144A2">
        <w:rPr>
          <w:rFonts w:ascii="Arial" w:hAnsi="Arial" w:cs="Arial"/>
          <w:b/>
          <w:bCs/>
          <w:sz w:val="22"/>
          <w:szCs w:val="22"/>
        </w:rPr>
        <w:t>)</w:t>
      </w:r>
      <w:r w:rsidR="00E144A2" w:rsidRPr="00E144A2">
        <w:rPr>
          <w:rFonts w:ascii="Arial" w:hAnsi="Arial" w:cs="Arial"/>
          <w:sz w:val="22"/>
          <w:szCs w:val="22"/>
        </w:rPr>
        <w:t xml:space="preserve"> Refere-se aos custos com meios de conexão e transmissão necessários à prestação dos serviços. Incluem Exploração Industrial de Linha Dedicada (EILD), locação de postes, locação de dutos e condutos e backbone.</w:t>
      </w:r>
    </w:p>
    <w:p w14:paraId="4CE991BE" w14:textId="77777777" w:rsidR="00E144A2" w:rsidRPr="00E144A2" w:rsidRDefault="00E144A2" w:rsidP="00E144A2">
      <w:pPr>
        <w:spacing w:line="276" w:lineRule="auto"/>
        <w:jc w:val="both"/>
        <w:rPr>
          <w:rFonts w:ascii="Arial" w:hAnsi="Arial" w:cs="Arial"/>
          <w:sz w:val="22"/>
          <w:szCs w:val="22"/>
        </w:rPr>
      </w:pPr>
    </w:p>
    <w:p w14:paraId="28736901" w14:textId="758DD137" w:rsidR="00E144A2" w:rsidRDefault="002E40E9" w:rsidP="00E144A2">
      <w:pPr>
        <w:spacing w:line="276" w:lineRule="auto"/>
        <w:jc w:val="both"/>
        <w:rPr>
          <w:rFonts w:ascii="Arial" w:hAnsi="Arial" w:cs="Arial"/>
          <w:sz w:val="22"/>
          <w:szCs w:val="22"/>
        </w:rPr>
      </w:pPr>
      <w:r>
        <w:rPr>
          <w:rFonts w:ascii="Arial" w:hAnsi="Arial" w:cs="Arial"/>
          <w:b/>
          <w:bCs/>
          <w:sz w:val="22"/>
          <w:szCs w:val="22"/>
        </w:rPr>
        <w:t>h</w:t>
      </w:r>
      <w:r w:rsidR="00E144A2" w:rsidRPr="00E144A2">
        <w:rPr>
          <w:rFonts w:ascii="Arial" w:hAnsi="Arial" w:cs="Arial"/>
          <w:b/>
          <w:bCs/>
          <w:sz w:val="22"/>
          <w:szCs w:val="22"/>
        </w:rPr>
        <w:t>)</w:t>
      </w:r>
      <w:r w:rsidR="00E144A2" w:rsidRPr="00E144A2">
        <w:rPr>
          <w:rFonts w:ascii="Arial" w:hAnsi="Arial" w:cs="Arial"/>
          <w:sz w:val="22"/>
          <w:szCs w:val="22"/>
        </w:rPr>
        <w:t xml:space="preserve"> Representa a apropriação mensal dos custos incorridos com a contratação da garantia estendida para cobertura dos equipamentos do projeto SGDC, conforme item “d”.</w:t>
      </w:r>
    </w:p>
    <w:p w14:paraId="1E3F8DC9" w14:textId="77777777" w:rsidR="00E144A2" w:rsidRPr="00E144A2" w:rsidRDefault="00E144A2" w:rsidP="00E144A2">
      <w:pPr>
        <w:spacing w:line="276" w:lineRule="auto"/>
        <w:jc w:val="both"/>
        <w:rPr>
          <w:rFonts w:ascii="Arial" w:hAnsi="Arial" w:cs="Arial"/>
          <w:sz w:val="22"/>
          <w:szCs w:val="22"/>
        </w:rPr>
      </w:pPr>
    </w:p>
    <w:p w14:paraId="6E9003B5" w14:textId="080A1760" w:rsidR="00E144A2" w:rsidRPr="00E144A2" w:rsidRDefault="002E40E9" w:rsidP="00E144A2">
      <w:pPr>
        <w:spacing w:line="276" w:lineRule="auto"/>
        <w:jc w:val="both"/>
        <w:rPr>
          <w:rFonts w:ascii="Arial" w:hAnsi="Arial" w:cs="Arial"/>
          <w:sz w:val="22"/>
          <w:szCs w:val="22"/>
        </w:rPr>
      </w:pPr>
      <w:r>
        <w:rPr>
          <w:rFonts w:ascii="Arial" w:hAnsi="Arial" w:cs="Arial"/>
          <w:b/>
          <w:bCs/>
          <w:sz w:val="22"/>
          <w:szCs w:val="22"/>
        </w:rPr>
        <w:t>i</w:t>
      </w:r>
      <w:r w:rsidR="00E144A2" w:rsidRPr="00E144A2">
        <w:rPr>
          <w:rFonts w:ascii="Arial" w:hAnsi="Arial" w:cs="Arial"/>
          <w:b/>
          <w:bCs/>
          <w:sz w:val="22"/>
          <w:szCs w:val="22"/>
        </w:rPr>
        <w:t>)</w:t>
      </w:r>
      <w:r w:rsidR="00E144A2" w:rsidRPr="00E144A2">
        <w:rPr>
          <w:rFonts w:ascii="Arial" w:hAnsi="Arial" w:cs="Arial"/>
          <w:sz w:val="22"/>
          <w:szCs w:val="22"/>
        </w:rPr>
        <w:t xml:space="preserve"> Refere-se às despesas financeiras incidentes sobre as parcelas dos recursos repassados pela União Federal sob a forma de AFAC e sobre os empréstimos e financiamentos obtidos junto à FINEP, destinados ao projeto SGDC. Sobre o financiamento da FINEP incidem encargos financeiros calculados com base na Taxa Referencial (TR) </w:t>
      </w:r>
      <w:r w:rsidR="00E144A2" w:rsidRPr="00E144A2">
        <w:rPr>
          <w:rFonts w:ascii="Arial" w:hAnsi="Arial" w:cs="Arial"/>
          <w:i/>
          <w:iCs/>
          <w:sz w:val="22"/>
          <w:szCs w:val="22"/>
        </w:rPr>
        <w:t>pro rata tempore</w:t>
      </w:r>
      <w:r w:rsidR="00E144A2" w:rsidRPr="00E144A2">
        <w:rPr>
          <w:rFonts w:ascii="Arial" w:hAnsi="Arial" w:cs="Arial"/>
          <w:sz w:val="22"/>
          <w:szCs w:val="22"/>
        </w:rPr>
        <w:t xml:space="preserve">, acrescida de </w:t>
      </w:r>
      <w:r w:rsidR="00E144A2" w:rsidRPr="00E144A2">
        <w:rPr>
          <w:rFonts w:ascii="Arial" w:hAnsi="Arial" w:cs="Arial"/>
          <w:b/>
          <w:bCs/>
          <w:sz w:val="22"/>
          <w:szCs w:val="22"/>
        </w:rPr>
        <w:t>spread</w:t>
      </w:r>
      <w:r w:rsidR="00E144A2" w:rsidRPr="00E144A2">
        <w:rPr>
          <w:rFonts w:ascii="Arial" w:hAnsi="Arial" w:cs="Arial"/>
          <w:sz w:val="22"/>
          <w:szCs w:val="22"/>
        </w:rPr>
        <w:t xml:space="preserve"> de 5% ao ano, com possibilidade de redução de até 2% ao ano em caso de inexistência de inadimplência. Os recursos de AFAC são atualizados pela taxa SELIC.</w:t>
      </w:r>
    </w:p>
    <w:p w14:paraId="36D26B07" w14:textId="77777777" w:rsidR="00E144A2" w:rsidRPr="00E144A2" w:rsidRDefault="00E144A2" w:rsidP="00E144A2">
      <w:pPr>
        <w:spacing w:line="276" w:lineRule="auto"/>
        <w:jc w:val="both"/>
        <w:rPr>
          <w:rFonts w:ascii="Arial" w:hAnsi="Arial" w:cs="Arial"/>
          <w:sz w:val="22"/>
          <w:szCs w:val="22"/>
        </w:rPr>
      </w:pPr>
    </w:p>
    <w:p w14:paraId="25EB2760" w14:textId="62C39665" w:rsidR="00E144A2" w:rsidRDefault="002E40E9" w:rsidP="00E144A2">
      <w:pPr>
        <w:spacing w:line="276" w:lineRule="auto"/>
        <w:jc w:val="both"/>
        <w:rPr>
          <w:rFonts w:ascii="Arial" w:hAnsi="Arial" w:cs="Arial"/>
          <w:sz w:val="22"/>
          <w:szCs w:val="22"/>
        </w:rPr>
      </w:pPr>
      <w:r>
        <w:rPr>
          <w:rFonts w:ascii="Arial" w:hAnsi="Arial" w:cs="Arial"/>
          <w:b/>
          <w:bCs/>
          <w:sz w:val="22"/>
          <w:szCs w:val="22"/>
        </w:rPr>
        <w:t>j</w:t>
      </w:r>
      <w:r w:rsidR="00E144A2" w:rsidRPr="00E144A2">
        <w:rPr>
          <w:rFonts w:ascii="Arial" w:hAnsi="Arial" w:cs="Arial"/>
          <w:b/>
          <w:bCs/>
          <w:sz w:val="22"/>
          <w:szCs w:val="22"/>
        </w:rPr>
        <w:t>)</w:t>
      </w:r>
      <w:r w:rsidR="00E144A2" w:rsidRPr="00E144A2">
        <w:rPr>
          <w:rFonts w:ascii="Arial" w:hAnsi="Arial" w:cs="Arial"/>
          <w:sz w:val="22"/>
          <w:szCs w:val="22"/>
        </w:rPr>
        <w:t xml:space="preserve"> Representa a receita obtida com a prestação dos Serviços de Comunicação Multimídia (Internet). Os preços praticados são equivalentes aos de mercado.</w:t>
      </w:r>
    </w:p>
    <w:p w14:paraId="384794DC" w14:textId="77777777" w:rsidR="00E144A2" w:rsidRPr="00E144A2" w:rsidRDefault="00E144A2" w:rsidP="00E144A2">
      <w:pPr>
        <w:spacing w:line="276" w:lineRule="auto"/>
        <w:jc w:val="both"/>
        <w:rPr>
          <w:rFonts w:ascii="Arial" w:hAnsi="Arial" w:cs="Arial"/>
          <w:sz w:val="22"/>
          <w:szCs w:val="22"/>
        </w:rPr>
      </w:pPr>
    </w:p>
    <w:p w14:paraId="495241A6" w14:textId="798947FA" w:rsidR="00E144A2" w:rsidRDefault="002E40E9" w:rsidP="00E144A2">
      <w:pPr>
        <w:spacing w:line="276" w:lineRule="auto"/>
        <w:jc w:val="both"/>
        <w:rPr>
          <w:rFonts w:ascii="Arial" w:hAnsi="Arial" w:cs="Arial"/>
          <w:sz w:val="22"/>
          <w:szCs w:val="22"/>
        </w:rPr>
      </w:pPr>
      <w:r>
        <w:rPr>
          <w:rFonts w:ascii="Arial" w:hAnsi="Arial" w:cs="Arial"/>
          <w:b/>
          <w:bCs/>
          <w:sz w:val="22"/>
          <w:szCs w:val="22"/>
        </w:rPr>
        <w:t>k</w:t>
      </w:r>
      <w:r w:rsidR="00E144A2" w:rsidRPr="00E144A2">
        <w:rPr>
          <w:rFonts w:ascii="Arial" w:hAnsi="Arial" w:cs="Arial"/>
          <w:b/>
          <w:bCs/>
          <w:sz w:val="22"/>
          <w:szCs w:val="22"/>
        </w:rPr>
        <w:t>)</w:t>
      </w:r>
      <w:r w:rsidR="00E144A2" w:rsidRPr="00E144A2">
        <w:rPr>
          <w:rFonts w:ascii="Arial" w:hAnsi="Arial" w:cs="Arial"/>
          <w:sz w:val="22"/>
          <w:szCs w:val="22"/>
        </w:rPr>
        <w:t xml:space="preserve"> Refere-se à receita obtida com a prestação dos serviços de aluguéis e locações de equipamentos e de capacidade satelital. Os preços cobrados são equivalentes aos praticados no mercado.</w:t>
      </w:r>
    </w:p>
    <w:p w14:paraId="3D156276" w14:textId="77777777" w:rsidR="00E144A2" w:rsidRPr="00E144A2" w:rsidRDefault="00E144A2" w:rsidP="00E144A2">
      <w:pPr>
        <w:spacing w:line="276" w:lineRule="auto"/>
        <w:jc w:val="both"/>
        <w:rPr>
          <w:rFonts w:ascii="Arial" w:hAnsi="Arial" w:cs="Arial"/>
          <w:sz w:val="22"/>
          <w:szCs w:val="22"/>
        </w:rPr>
      </w:pPr>
    </w:p>
    <w:p w14:paraId="73AD6AD9" w14:textId="38355E08" w:rsidR="00E144A2" w:rsidRPr="00E144A2" w:rsidRDefault="002E40E9" w:rsidP="00E144A2">
      <w:pPr>
        <w:spacing w:line="276" w:lineRule="auto"/>
        <w:jc w:val="both"/>
        <w:rPr>
          <w:rFonts w:ascii="Arial" w:hAnsi="Arial" w:cs="Arial"/>
          <w:sz w:val="22"/>
          <w:szCs w:val="22"/>
        </w:rPr>
      </w:pPr>
      <w:r>
        <w:rPr>
          <w:rFonts w:ascii="Arial" w:hAnsi="Arial" w:cs="Arial"/>
          <w:b/>
          <w:bCs/>
          <w:sz w:val="22"/>
          <w:szCs w:val="22"/>
        </w:rPr>
        <w:t>l</w:t>
      </w:r>
      <w:r w:rsidR="00E144A2" w:rsidRPr="00E144A2">
        <w:rPr>
          <w:rFonts w:ascii="Arial" w:hAnsi="Arial" w:cs="Arial"/>
          <w:b/>
          <w:bCs/>
          <w:sz w:val="22"/>
          <w:szCs w:val="22"/>
        </w:rPr>
        <w:t>)</w:t>
      </w:r>
      <w:r w:rsidR="00E144A2" w:rsidRPr="00E144A2">
        <w:rPr>
          <w:rFonts w:ascii="Arial" w:hAnsi="Arial" w:cs="Arial"/>
          <w:sz w:val="22"/>
          <w:szCs w:val="22"/>
        </w:rPr>
        <w:t xml:space="preserve"> Refere-se à receita dos serviços prestados ao Ministério das Comunicações relacionados ao programa Wi</w:t>
      </w:r>
      <w:r w:rsidR="00E144A2" w:rsidRPr="00E144A2">
        <w:rPr>
          <w:rFonts w:ascii="Arial" w:hAnsi="Arial" w:cs="Arial"/>
          <w:sz w:val="22"/>
          <w:szCs w:val="22"/>
        </w:rPr>
        <w:noBreakHyphen/>
        <w:t>Fi Brasil.</w:t>
      </w:r>
    </w:p>
    <w:p w14:paraId="3EA42EFE" w14:textId="77777777" w:rsidR="008E7BAD" w:rsidRDefault="008E7BAD" w:rsidP="004318F0">
      <w:pPr>
        <w:jc w:val="both"/>
        <w:rPr>
          <w:rFonts w:ascii="Arial" w:hAnsi="Arial" w:cs="Arial"/>
          <w:sz w:val="14"/>
          <w:szCs w:val="14"/>
        </w:rPr>
      </w:pPr>
    </w:p>
    <w:p w14:paraId="698E4145" w14:textId="77777777" w:rsidR="00F042E4" w:rsidRPr="00A83F92" w:rsidRDefault="00F042E4" w:rsidP="004318F0">
      <w:pPr>
        <w:jc w:val="both"/>
        <w:rPr>
          <w:rFonts w:ascii="Arial" w:hAnsi="Arial" w:cs="Arial"/>
          <w:sz w:val="14"/>
          <w:szCs w:val="14"/>
        </w:rPr>
      </w:pPr>
    </w:p>
    <w:p w14:paraId="71202E1D" w14:textId="64CDB2EC" w:rsidR="004318F0" w:rsidRPr="002A36CE" w:rsidRDefault="004318F0" w:rsidP="009541E1">
      <w:pPr>
        <w:pStyle w:val="Ttulo2"/>
        <w:numPr>
          <w:ilvl w:val="1"/>
          <w:numId w:val="7"/>
        </w:numPr>
        <w:tabs>
          <w:tab w:val="clear" w:pos="284"/>
          <w:tab w:val="clear" w:pos="340"/>
        </w:tabs>
        <w:spacing w:before="0" w:after="0"/>
        <w:ind w:left="993" w:hanging="993"/>
        <w:jc w:val="both"/>
        <w:rPr>
          <w:rFonts w:ascii="Arial" w:hAnsi="Arial" w:cs="Arial"/>
        </w:rPr>
      </w:pPr>
      <w:r>
        <w:rPr>
          <w:rFonts w:ascii="Arial" w:hAnsi="Arial" w:cs="Arial"/>
        </w:rPr>
        <w:t>Remuneração de dirigentes e empregados</w:t>
      </w:r>
    </w:p>
    <w:p w14:paraId="7A960345" w14:textId="77777777" w:rsidR="004318F0" w:rsidRPr="008C14C0" w:rsidRDefault="004318F0" w:rsidP="004318F0">
      <w:pPr>
        <w:rPr>
          <w:sz w:val="14"/>
          <w:szCs w:val="14"/>
        </w:rPr>
      </w:pPr>
    </w:p>
    <w:p w14:paraId="0C10C3B3" w14:textId="698C25D4" w:rsidR="004B1CF8" w:rsidRPr="00BB0C54" w:rsidRDefault="004B1CF8" w:rsidP="004B1CF8">
      <w:pPr>
        <w:spacing w:line="276" w:lineRule="auto"/>
        <w:jc w:val="both"/>
        <w:rPr>
          <w:rFonts w:ascii="Arial" w:hAnsi="Arial" w:cs="Arial"/>
          <w:sz w:val="22"/>
          <w:szCs w:val="22"/>
        </w:rPr>
      </w:pPr>
      <w:r w:rsidRPr="00BB0C54">
        <w:rPr>
          <w:rFonts w:ascii="Arial" w:hAnsi="Arial" w:cs="Arial"/>
          <w:sz w:val="22"/>
          <w:szCs w:val="22"/>
        </w:rPr>
        <w:t xml:space="preserve">A remuneração paga a dirigentes e empregados </w:t>
      </w:r>
      <w:r w:rsidR="001D1099" w:rsidRPr="00BB0C54">
        <w:rPr>
          <w:rFonts w:ascii="Arial" w:hAnsi="Arial" w:cs="Arial"/>
          <w:sz w:val="22"/>
          <w:szCs w:val="22"/>
        </w:rPr>
        <w:t>segue</w:t>
      </w:r>
      <w:r w:rsidRPr="00BB0C54">
        <w:rPr>
          <w:rFonts w:ascii="Arial" w:hAnsi="Arial" w:cs="Arial"/>
          <w:sz w:val="22"/>
          <w:szCs w:val="22"/>
        </w:rPr>
        <w:t xml:space="preserve"> os critérios estabelecidos na legislação vigente e no Plano de Salários e Benefícios, aprovado pela T</w:t>
      </w:r>
      <w:r w:rsidR="000052CE" w:rsidRPr="00BB0C54">
        <w:rPr>
          <w:rFonts w:ascii="Arial" w:hAnsi="Arial" w:cs="Arial"/>
          <w:sz w:val="22"/>
          <w:szCs w:val="22"/>
        </w:rPr>
        <w:t>elebras</w:t>
      </w:r>
      <w:r w:rsidRPr="00BB0C54">
        <w:rPr>
          <w:rFonts w:ascii="Arial" w:hAnsi="Arial" w:cs="Arial"/>
          <w:sz w:val="22"/>
          <w:szCs w:val="22"/>
        </w:rPr>
        <w:t>, em rigorosa observância ao que determina</w:t>
      </w:r>
      <w:r w:rsidR="00023529" w:rsidRPr="00BB0C54">
        <w:rPr>
          <w:rFonts w:ascii="Arial" w:hAnsi="Arial" w:cs="Arial"/>
          <w:sz w:val="22"/>
          <w:szCs w:val="22"/>
        </w:rPr>
        <w:t xml:space="preserve"> a Resolução nº</w:t>
      </w:r>
      <w:r w:rsidR="00271177" w:rsidRPr="00BB0C54">
        <w:rPr>
          <w:rFonts w:ascii="Arial" w:hAnsi="Arial" w:cs="Arial"/>
          <w:sz w:val="22"/>
          <w:szCs w:val="22"/>
        </w:rPr>
        <w:t xml:space="preserve"> </w:t>
      </w:r>
      <w:r w:rsidR="00023529" w:rsidRPr="00BB0C54">
        <w:rPr>
          <w:rFonts w:ascii="Arial" w:hAnsi="Arial" w:cs="Arial"/>
          <w:sz w:val="22"/>
          <w:szCs w:val="22"/>
        </w:rPr>
        <w:t>3</w:t>
      </w:r>
      <w:r w:rsidR="00271177" w:rsidRPr="00BB0C54">
        <w:rPr>
          <w:rFonts w:ascii="Arial" w:hAnsi="Arial" w:cs="Arial"/>
          <w:sz w:val="22"/>
          <w:szCs w:val="22"/>
        </w:rPr>
        <w:t>,</w:t>
      </w:r>
      <w:r w:rsidR="00023529" w:rsidRPr="00BB0C54">
        <w:rPr>
          <w:rFonts w:ascii="Arial" w:hAnsi="Arial" w:cs="Arial"/>
          <w:sz w:val="22"/>
          <w:szCs w:val="22"/>
        </w:rPr>
        <w:t xml:space="preserve"> de 31 de dezembro de 2010</w:t>
      </w:r>
      <w:r w:rsidR="00271177" w:rsidRPr="00BB0C54">
        <w:rPr>
          <w:rFonts w:ascii="Arial" w:hAnsi="Arial" w:cs="Arial"/>
          <w:sz w:val="22"/>
          <w:szCs w:val="22"/>
        </w:rPr>
        <w:t>,</w:t>
      </w:r>
      <w:r w:rsidR="00023529" w:rsidRPr="00BB0C54">
        <w:rPr>
          <w:rFonts w:ascii="Arial" w:hAnsi="Arial" w:cs="Arial"/>
          <w:sz w:val="22"/>
          <w:szCs w:val="22"/>
        </w:rPr>
        <w:t xml:space="preserve"> da C</w:t>
      </w:r>
      <w:r w:rsidR="004F0A3B" w:rsidRPr="00BB0C54">
        <w:rPr>
          <w:rFonts w:ascii="Arial" w:hAnsi="Arial" w:cs="Arial"/>
          <w:sz w:val="22"/>
          <w:szCs w:val="22"/>
        </w:rPr>
        <w:t>omissão Interministerial de Governança Corporativa e de Administração de Participações Societárias da União</w:t>
      </w:r>
      <w:r w:rsidRPr="00BB0C54">
        <w:rPr>
          <w:rFonts w:ascii="Arial" w:hAnsi="Arial" w:cs="Arial"/>
          <w:sz w:val="22"/>
          <w:szCs w:val="22"/>
        </w:rPr>
        <w:t xml:space="preserve"> – </w:t>
      </w:r>
      <w:r w:rsidR="00023529" w:rsidRPr="00BB0C54">
        <w:rPr>
          <w:rFonts w:ascii="Arial" w:hAnsi="Arial" w:cs="Arial"/>
          <w:sz w:val="22"/>
          <w:szCs w:val="22"/>
        </w:rPr>
        <w:t>CGPAR</w:t>
      </w:r>
      <w:r w:rsidRPr="00BB0C54">
        <w:rPr>
          <w:rFonts w:ascii="Arial" w:hAnsi="Arial" w:cs="Arial"/>
          <w:sz w:val="22"/>
          <w:szCs w:val="22"/>
        </w:rPr>
        <w:t>.</w:t>
      </w:r>
    </w:p>
    <w:p w14:paraId="353F369D" w14:textId="238AC452" w:rsidR="007E7D26" w:rsidRDefault="002A6BD1" w:rsidP="004B1CF8">
      <w:pPr>
        <w:pStyle w:val="Corpodetexto"/>
        <w:spacing w:before="0" w:after="0" w:line="276" w:lineRule="auto"/>
        <w:rPr>
          <w:rFonts w:ascii="Arial" w:hAnsi="Arial" w:cs="Arial"/>
        </w:rPr>
      </w:pPr>
      <w:r>
        <w:rPr>
          <w:rFonts w:ascii="Arial" w:hAnsi="Arial" w:cs="Arial"/>
        </w:rPr>
        <w:lastRenderedPageBreak/>
        <w:t xml:space="preserve">A remuneração paga aos </w:t>
      </w:r>
      <w:r w:rsidR="00712964">
        <w:rPr>
          <w:rFonts w:ascii="Arial" w:hAnsi="Arial" w:cs="Arial"/>
        </w:rPr>
        <w:t>Colaboradores, Dirigentes</w:t>
      </w:r>
      <w:r>
        <w:rPr>
          <w:rFonts w:ascii="Arial" w:hAnsi="Arial" w:cs="Arial"/>
        </w:rPr>
        <w:t xml:space="preserve"> e Conselheiros em </w:t>
      </w:r>
      <w:r w:rsidR="004416EA">
        <w:rPr>
          <w:rFonts w:ascii="Arial" w:hAnsi="Arial" w:cs="Arial"/>
        </w:rPr>
        <w:t>3</w:t>
      </w:r>
      <w:r w:rsidR="0074090F">
        <w:rPr>
          <w:rFonts w:ascii="Arial" w:hAnsi="Arial" w:cs="Arial"/>
        </w:rPr>
        <w:t>1</w:t>
      </w:r>
      <w:r w:rsidR="004416EA">
        <w:rPr>
          <w:rFonts w:ascii="Arial" w:hAnsi="Arial" w:cs="Arial"/>
        </w:rPr>
        <w:t xml:space="preserve"> de </w:t>
      </w:r>
      <w:r w:rsidR="00394EF9">
        <w:rPr>
          <w:rFonts w:ascii="Arial" w:hAnsi="Arial" w:cs="Arial"/>
        </w:rPr>
        <w:t>março</w:t>
      </w:r>
      <w:r>
        <w:rPr>
          <w:rFonts w:ascii="Arial" w:hAnsi="Arial" w:cs="Arial"/>
        </w:rPr>
        <w:t xml:space="preserve"> de 202</w:t>
      </w:r>
      <w:r w:rsidR="00394EF9">
        <w:rPr>
          <w:rFonts w:ascii="Arial" w:hAnsi="Arial" w:cs="Arial"/>
        </w:rPr>
        <w:t>6</w:t>
      </w:r>
      <w:r>
        <w:rPr>
          <w:rFonts w:ascii="Arial" w:hAnsi="Arial" w:cs="Arial"/>
        </w:rPr>
        <w:t xml:space="preserve"> foi </w:t>
      </w:r>
      <w:r w:rsidR="00712964">
        <w:rPr>
          <w:rFonts w:ascii="Arial" w:hAnsi="Arial" w:cs="Arial"/>
        </w:rPr>
        <w:t>a seguinte</w:t>
      </w:r>
      <w:r>
        <w:rPr>
          <w:rFonts w:ascii="Arial" w:hAnsi="Arial" w:cs="Arial"/>
        </w:rPr>
        <w:t>:</w:t>
      </w:r>
    </w:p>
    <w:p w14:paraId="7A6A7FCF" w14:textId="6718C11B" w:rsidR="00ED201F" w:rsidRPr="000935A0" w:rsidRDefault="00ED201F" w:rsidP="004B1CF8">
      <w:pPr>
        <w:pStyle w:val="Corpodetexto"/>
        <w:spacing w:before="0" w:after="0" w:line="276" w:lineRule="auto"/>
        <w:rPr>
          <w:rFonts w:ascii="Arial" w:hAnsi="Arial" w:cs="Arial"/>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8"/>
        <w:gridCol w:w="1812"/>
        <w:gridCol w:w="1591"/>
      </w:tblGrid>
      <w:tr w:rsidR="007C5B94" w:rsidRPr="006973BB" w14:paraId="63F0128B" w14:textId="77777777" w:rsidTr="00E614A9">
        <w:trPr>
          <w:trHeight w:val="232"/>
          <w:tblHeader/>
        </w:trPr>
        <w:tc>
          <w:tcPr>
            <w:tcW w:w="3260" w:type="pct"/>
            <w:shd w:val="clear" w:color="000000" w:fill="BFBFBF"/>
            <w:noWrap/>
            <w:vAlign w:val="center"/>
            <w:hideMark/>
          </w:tcPr>
          <w:p w14:paraId="64B10027" w14:textId="77777777" w:rsidR="007C5B94" w:rsidRPr="006973BB" w:rsidRDefault="007C5B94">
            <w:pPr>
              <w:rPr>
                <w:rFonts w:ascii="Arial" w:hAnsi="Arial" w:cs="Arial"/>
                <w:b/>
                <w:bCs/>
                <w:color w:val="000000"/>
                <w:sz w:val="18"/>
                <w:szCs w:val="18"/>
              </w:rPr>
            </w:pPr>
            <w:r>
              <w:rPr>
                <w:rFonts w:ascii="Arial" w:hAnsi="Arial" w:cs="Arial"/>
                <w:b/>
                <w:bCs/>
                <w:color w:val="000000"/>
                <w:sz w:val="18"/>
                <w:szCs w:val="18"/>
              </w:rPr>
              <w:t> </w:t>
            </w:r>
            <w:r w:rsidRPr="006973BB">
              <w:rPr>
                <w:rFonts w:ascii="Arial" w:hAnsi="Arial" w:cs="Arial"/>
                <w:b/>
                <w:bCs/>
                <w:color w:val="000000"/>
                <w:sz w:val="18"/>
                <w:szCs w:val="18"/>
              </w:rPr>
              <w:t>Remuneração:</w:t>
            </w:r>
          </w:p>
        </w:tc>
        <w:tc>
          <w:tcPr>
            <w:tcW w:w="929" w:type="pct"/>
            <w:shd w:val="clear" w:color="000000" w:fill="FDFDFC"/>
            <w:noWrap/>
            <w:vAlign w:val="center"/>
            <w:hideMark/>
          </w:tcPr>
          <w:p w14:paraId="755FBFA4" w14:textId="7F5831FF" w:rsidR="007C5B94" w:rsidRPr="006973BB" w:rsidRDefault="00202494">
            <w:pPr>
              <w:jc w:val="center"/>
              <w:rPr>
                <w:rFonts w:ascii="Arial" w:hAnsi="Arial" w:cs="Arial"/>
                <w:b/>
                <w:bCs/>
                <w:color w:val="000000"/>
                <w:sz w:val="18"/>
                <w:szCs w:val="18"/>
              </w:rPr>
            </w:pPr>
            <w:r w:rsidRPr="006973BB">
              <w:rPr>
                <w:rFonts w:ascii="Arial" w:hAnsi="Arial" w:cs="Arial"/>
                <w:b/>
                <w:bCs/>
                <w:color w:val="000000"/>
                <w:sz w:val="18"/>
                <w:szCs w:val="18"/>
              </w:rPr>
              <w:t>31/03/2026</w:t>
            </w:r>
          </w:p>
        </w:tc>
        <w:tc>
          <w:tcPr>
            <w:tcW w:w="811" w:type="pct"/>
            <w:shd w:val="clear" w:color="000000" w:fill="FDFDFC"/>
            <w:noWrap/>
            <w:vAlign w:val="center"/>
            <w:hideMark/>
          </w:tcPr>
          <w:p w14:paraId="7547F0DC" w14:textId="7FE3D7B6" w:rsidR="007C5B94" w:rsidRPr="006973BB" w:rsidRDefault="007C5B94">
            <w:pPr>
              <w:jc w:val="center"/>
              <w:rPr>
                <w:rFonts w:ascii="Arial" w:hAnsi="Arial" w:cs="Arial"/>
                <w:b/>
                <w:bCs/>
                <w:color w:val="000000"/>
                <w:sz w:val="18"/>
                <w:szCs w:val="18"/>
              </w:rPr>
            </w:pPr>
            <w:r w:rsidRPr="006973BB">
              <w:rPr>
                <w:rFonts w:ascii="Arial" w:hAnsi="Arial" w:cs="Arial"/>
                <w:b/>
                <w:bCs/>
                <w:color w:val="000000"/>
                <w:sz w:val="18"/>
                <w:szCs w:val="18"/>
              </w:rPr>
              <w:t>31/12/202</w:t>
            </w:r>
            <w:r w:rsidR="00202494" w:rsidRPr="006973BB">
              <w:rPr>
                <w:rFonts w:ascii="Arial" w:hAnsi="Arial" w:cs="Arial"/>
                <w:b/>
                <w:bCs/>
                <w:color w:val="000000"/>
                <w:sz w:val="18"/>
                <w:szCs w:val="18"/>
              </w:rPr>
              <w:t>5</w:t>
            </w:r>
          </w:p>
        </w:tc>
      </w:tr>
      <w:tr w:rsidR="00202494" w:rsidRPr="006973BB" w14:paraId="79E3F6C0" w14:textId="77777777" w:rsidTr="00AE3DFC">
        <w:trPr>
          <w:trHeight w:val="232"/>
        </w:trPr>
        <w:tc>
          <w:tcPr>
            <w:tcW w:w="3260" w:type="pct"/>
            <w:shd w:val="clear" w:color="000000" w:fill="FDFDFC"/>
            <w:noWrap/>
            <w:vAlign w:val="center"/>
            <w:hideMark/>
          </w:tcPr>
          <w:p w14:paraId="0C044A9F"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Colaboradores - Maior Remuneração</w:t>
            </w:r>
          </w:p>
        </w:tc>
        <w:tc>
          <w:tcPr>
            <w:tcW w:w="929" w:type="pct"/>
            <w:shd w:val="clear" w:color="000000" w:fill="FDFDFC"/>
            <w:noWrap/>
            <w:vAlign w:val="center"/>
            <w:hideMark/>
          </w:tcPr>
          <w:p w14:paraId="1BAF6D5C" w14:textId="73BB4E4D"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33.207,79</w:t>
            </w:r>
          </w:p>
        </w:tc>
        <w:tc>
          <w:tcPr>
            <w:tcW w:w="811" w:type="pct"/>
            <w:shd w:val="clear" w:color="000000" w:fill="FDFDFC"/>
            <w:noWrap/>
            <w:vAlign w:val="center"/>
            <w:hideMark/>
          </w:tcPr>
          <w:p w14:paraId="340333B8" w14:textId="3E8BCE49"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33.207,79 </w:t>
            </w:r>
          </w:p>
        </w:tc>
      </w:tr>
      <w:tr w:rsidR="00202494" w:rsidRPr="006973BB" w14:paraId="0DE29197" w14:textId="77777777" w:rsidTr="00AE3DFC">
        <w:trPr>
          <w:trHeight w:val="232"/>
        </w:trPr>
        <w:tc>
          <w:tcPr>
            <w:tcW w:w="3260" w:type="pct"/>
            <w:shd w:val="clear" w:color="000000" w:fill="FDFDFC"/>
            <w:noWrap/>
            <w:vAlign w:val="center"/>
            <w:hideMark/>
          </w:tcPr>
          <w:p w14:paraId="397E2CF2"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Colaboradores - Menor Remuneração</w:t>
            </w:r>
          </w:p>
        </w:tc>
        <w:tc>
          <w:tcPr>
            <w:tcW w:w="929" w:type="pct"/>
            <w:shd w:val="clear" w:color="000000" w:fill="FDFDFC"/>
            <w:noWrap/>
            <w:vAlign w:val="center"/>
            <w:hideMark/>
          </w:tcPr>
          <w:p w14:paraId="388F09DE" w14:textId="6E094826"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3.135,64</w:t>
            </w:r>
          </w:p>
        </w:tc>
        <w:tc>
          <w:tcPr>
            <w:tcW w:w="811" w:type="pct"/>
            <w:shd w:val="clear" w:color="000000" w:fill="FDFDFC"/>
            <w:noWrap/>
            <w:vAlign w:val="center"/>
            <w:hideMark/>
          </w:tcPr>
          <w:p w14:paraId="627A6E33" w14:textId="00C66D64"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4.403,96 </w:t>
            </w:r>
          </w:p>
        </w:tc>
      </w:tr>
      <w:tr w:rsidR="00202494" w:rsidRPr="006973BB" w14:paraId="36CF3B59" w14:textId="77777777" w:rsidTr="00AE3DFC">
        <w:trPr>
          <w:trHeight w:val="232"/>
        </w:trPr>
        <w:tc>
          <w:tcPr>
            <w:tcW w:w="3260" w:type="pct"/>
            <w:shd w:val="clear" w:color="000000" w:fill="FDFDFC"/>
            <w:noWrap/>
            <w:vAlign w:val="center"/>
            <w:hideMark/>
          </w:tcPr>
          <w:p w14:paraId="47F81962"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Colaboradores - Remuneração Média</w:t>
            </w:r>
          </w:p>
        </w:tc>
        <w:tc>
          <w:tcPr>
            <w:tcW w:w="929" w:type="pct"/>
            <w:shd w:val="clear" w:color="000000" w:fill="FDFDFC"/>
            <w:noWrap/>
            <w:vAlign w:val="center"/>
            <w:hideMark/>
          </w:tcPr>
          <w:p w14:paraId="13F2A20A" w14:textId="29D5C89A"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15.596,57</w:t>
            </w:r>
          </w:p>
        </w:tc>
        <w:tc>
          <w:tcPr>
            <w:tcW w:w="811" w:type="pct"/>
            <w:shd w:val="clear" w:color="000000" w:fill="FDFDFC"/>
            <w:noWrap/>
            <w:vAlign w:val="center"/>
            <w:hideMark/>
          </w:tcPr>
          <w:p w14:paraId="5E3F2083" w14:textId="7B2E72E3"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15.669,22 </w:t>
            </w:r>
          </w:p>
        </w:tc>
      </w:tr>
      <w:tr w:rsidR="00202494" w:rsidRPr="006973BB" w14:paraId="2FD958B2" w14:textId="77777777" w:rsidTr="00AE3DFC">
        <w:trPr>
          <w:trHeight w:val="232"/>
        </w:trPr>
        <w:tc>
          <w:tcPr>
            <w:tcW w:w="3260" w:type="pct"/>
            <w:shd w:val="clear" w:color="000000" w:fill="FDFDFC"/>
            <w:noWrap/>
            <w:vAlign w:val="center"/>
            <w:hideMark/>
          </w:tcPr>
          <w:p w14:paraId="4724A58A"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Dirigentes - Maior Remuneração</w:t>
            </w:r>
          </w:p>
        </w:tc>
        <w:tc>
          <w:tcPr>
            <w:tcW w:w="929" w:type="pct"/>
            <w:shd w:val="clear" w:color="000000" w:fill="FDFDFC"/>
            <w:noWrap/>
            <w:vAlign w:val="center"/>
            <w:hideMark/>
          </w:tcPr>
          <w:p w14:paraId="63EF81A9" w14:textId="30B75F67"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44.276,18</w:t>
            </w:r>
          </w:p>
        </w:tc>
        <w:tc>
          <w:tcPr>
            <w:tcW w:w="811" w:type="pct"/>
            <w:shd w:val="clear" w:color="000000" w:fill="FDFDFC"/>
            <w:noWrap/>
            <w:vAlign w:val="center"/>
            <w:hideMark/>
          </w:tcPr>
          <w:p w14:paraId="764E2B20" w14:textId="069C7AA0"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44.276,18 </w:t>
            </w:r>
          </w:p>
        </w:tc>
      </w:tr>
      <w:tr w:rsidR="00202494" w:rsidRPr="006973BB" w14:paraId="0E908AAF" w14:textId="77777777" w:rsidTr="00AE3DFC">
        <w:trPr>
          <w:trHeight w:val="232"/>
        </w:trPr>
        <w:tc>
          <w:tcPr>
            <w:tcW w:w="3260" w:type="pct"/>
            <w:shd w:val="clear" w:color="000000" w:fill="FDFDFC"/>
            <w:noWrap/>
            <w:vAlign w:val="center"/>
            <w:hideMark/>
          </w:tcPr>
          <w:p w14:paraId="402C780F"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Dirigentes - Menor Remuneração</w:t>
            </w:r>
          </w:p>
        </w:tc>
        <w:tc>
          <w:tcPr>
            <w:tcW w:w="929" w:type="pct"/>
            <w:shd w:val="clear" w:color="000000" w:fill="FDFDFC"/>
            <w:noWrap/>
            <w:vAlign w:val="center"/>
            <w:hideMark/>
          </w:tcPr>
          <w:p w14:paraId="0506B7A9" w14:textId="25B7FB09"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40.251,06</w:t>
            </w:r>
          </w:p>
        </w:tc>
        <w:tc>
          <w:tcPr>
            <w:tcW w:w="811" w:type="pct"/>
            <w:shd w:val="clear" w:color="000000" w:fill="FDFDFC"/>
            <w:noWrap/>
            <w:vAlign w:val="center"/>
            <w:hideMark/>
          </w:tcPr>
          <w:p w14:paraId="6DC08A8F" w14:textId="27B9159C"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40.251,06 </w:t>
            </w:r>
          </w:p>
        </w:tc>
      </w:tr>
      <w:tr w:rsidR="00202494" w:rsidRPr="006973BB" w14:paraId="1174E602" w14:textId="77777777" w:rsidTr="00AE3DFC">
        <w:trPr>
          <w:trHeight w:val="232"/>
        </w:trPr>
        <w:tc>
          <w:tcPr>
            <w:tcW w:w="3260" w:type="pct"/>
            <w:shd w:val="clear" w:color="000000" w:fill="FDFDFC"/>
            <w:noWrap/>
            <w:vAlign w:val="center"/>
            <w:hideMark/>
          </w:tcPr>
          <w:p w14:paraId="5A25236E"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Dirigentes - Remuneração Média</w:t>
            </w:r>
          </w:p>
        </w:tc>
        <w:tc>
          <w:tcPr>
            <w:tcW w:w="929" w:type="pct"/>
            <w:shd w:val="clear" w:color="000000" w:fill="FDFDFC"/>
            <w:noWrap/>
            <w:vAlign w:val="center"/>
            <w:hideMark/>
          </w:tcPr>
          <w:p w14:paraId="5DCD1437" w14:textId="3DE58801"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41.257,34</w:t>
            </w:r>
          </w:p>
        </w:tc>
        <w:tc>
          <w:tcPr>
            <w:tcW w:w="811" w:type="pct"/>
            <w:shd w:val="clear" w:color="000000" w:fill="FDFDFC"/>
            <w:noWrap/>
            <w:vAlign w:val="center"/>
            <w:hideMark/>
          </w:tcPr>
          <w:p w14:paraId="1F8D7958" w14:textId="531A976A"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41.257,34 </w:t>
            </w:r>
          </w:p>
        </w:tc>
      </w:tr>
      <w:tr w:rsidR="00202494" w:rsidRPr="006973BB" w14:paraId="0AC727A3" w14:textId="77777777" w:rsidTr="00F11013">
        <w:trPr>
          <w:trHeight w:val="232"/>
        </w:trPr>
        <w:tc>
          <w:tcPr>
            <w:tcW w:w="3260" w:type="pct"/>
            <w:shd w:val="clear" w:color="000000" w:fill="FDFDFC"/>
            <w:noWrap/>
            <w:vAlign w:val="center"/>
            <w:hideMark/>
          </w:tcPr>
          <w:p w14:paraId="4CA8A7AD"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Conselho de Administração - Maior Remuneração</w:t>
            </w:r>
          </w:p>
        </w:tc>
        <w:tc>
          <w:tcPr>
            <w:tcW w:w="929" w:type="pct"/>
            <w:shd w:val="clear" w:color="000000" w:fill="FDFDFC"/>
            <w:noWrap/>
            <w:vAlign w:val="center"/>
            <w:hideMark/>
          </w:tcPr>
          <w:p w14:paraId="7D358697" w14:textId="6378E40B"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09793A88" w14:textId="439A30D3"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 </w:t>
            </w:r>
          </w:p>
        </w:tc>
      </w:tr>
      <w:tr w:rsidR="00202494" w:rsidRPr="006973BB" w14:paraId="4D1864E5" w14:textId="77777777" w:rsidTr="00F11013">
        <w:trPr>
          <w:trHeight w:val="232"/>
        </w:trPr>
        <w:tc>
          <w:tcPr>
            <w:tcW w:w="3260" w:type="pct"/>
            <w:shd w:val="clear" w:color="000000" w:fill="FDFDFC"/>
            <w:noWrap/>
            <w:vAlign w:val="center"/>
            <w:hideMark/>
          </w:tcPr>
          <w:p w14:paraId="15483C7C"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Conselho de Administração - Menor Remuneração</w:t>
            </w:r>
          </w:p>
        </w:tc>
        <w:tc>
          <w:tcPr>
            <w:tcW w:w="929" w:type="pct"/>
            <w:shd w:val="clear" w:color="000000" w:fill="FDFDFC"/>
            <w:noWrap/>
            <w:vAlign w:val="center"/>
            <w:hideMark/>
          </w:tcPr>
          <w:p w14:paraId="0F45113B" w14:textId="0FC0256E"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67B2B00A" w14:textId="4E4EF32B"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 </w:t>
            </w:r>
          </w:p>
        </w:tc>
      </w:tr>
      <w:tr w:rsidR="00202494" w:rsidRPr="006973BB" w14:paraId="144BE28A" w14:textId="77777777" w:rsidTr="00F11013">
        <w:trPr>
          <w:trHeight w:val="232"/>
        </w:trPr>
        <w:tc>
          <w:tcPr>
            <w:tcW w:w="3260" w:type="pct"/>
            <w:shd w:val="clear" w:color="000000" w:fill="FDFDFC"/>
            <w:noWrap/>
            <w:vAlign w:val="center"/>
            <w:hideMark/>
          </w:tcPr>
          <w:p w14:paraId="3BE3894C"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Conselho de Administração - Remuneração Média</w:t>
            </w:r>
          </w:p>
        </w:tc>
        <w:tc>
          <w:tcPr>
            <w:tcW w:w="929" w:type="pct"/>
            <w:shd w:val="clear" w:color="000000" w:fill="FDFDFC"/>
            <w:noWrap/>
            <w:vAlign w:val="center"/>
            <w:hideMark/>
          </w:tcPr>
          <w:p w14:paraId="2316F5DD" w14:textId="1F66A8C6"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42E2DD2D" w14:textId="614D4309"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 </w:t>
            </w:r>
          </w:p>
        </w:tc>
      </w:tr>
      <w:tr w:rsidR="00202494" w:rsidRPr="006973BB" w14:paraId="6F309BAD" w14:textId="77777777" w:rsidTr="00F11013">
        <w:trPr>
          <w:trHeight w:val="232"/>
        </w:trPr>
        <w:tc>
          <w:tcPr>
            <w:tcW w:w="3260" w:type="pct"/>
            <w:shd w:val="clear" w:color="000000" w:fill="FDFDFC"/>
            <w:noWrap/>
            <w:vAlign w:val="center"/>
            <w:hideMark/>
          </w:tcPr>
          <w:p w14:paraId="3E3E7DC8"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Conselho Fiscal - Maior Remuneração</w:t>
            </w:r>
          </w:p>
        </w:tc>
        <w:tc>
          <w:tcPr>
            <w:tcW w:w="929" w:type="pct"/>
            <w:shd w:val="clear" w:color="000000" w:fill="FDFDFC"/>
            <w:noWrap/>
            <w:vAlign w:val="center"/>
            <w:hideMark/>
          </w:tcPr>
          <w:p w14:paraId="7E6C3D97" w14:textId="0F6A795E"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1983C531" w14:textId="7C4773A9"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 </w:t>
            </w:r>
          </w:p>
        </w:tc>
      </w:tr>
      <w:tr w:rsidR="00202494" w:rsidRPr="006973BB" w14:paraId="71CA8E7D" w14:textId="77777777" w:rsidTr="00F11013">
        <w:trPr>
          <w:trHeight w:val="232"/>
        </w:trPr>
        <w:tc>
          <w:tcPr>
            <w:tcW w:w="3260" w:type="pct"/>
            <w:shd w:val="clear" w:color="000000" w:fill="FDFDFC"/>
            <w:noWrap/>
            <w:vAlign w:val="center"/>
            <w:hideMark/>
          </w:tcPr>
          <w:p w14:paraId="36D12280"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Conselho Fiscal - Menor Remuneração</w:t>
            </w:r>
          </w:p>
        </w:tc>
        <w:tc>
          <w:tcPr>
            <w:tcW w:w="929" w:type="pct"/>
            <w:shd w:val="clear" w:color="000000" w:fill="FDFDFC"/>
            <w:noWrap/>
            <w:vAlign w:val="center"/>
            <w:hideMark/>
          </w:tcPr>
          <w:p w14:paraId="10255CA6" w14:textId="6B7E47F7"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045FFF1C" w14:textId="4B2E1CA3"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 </w:t>
            </w:r>
          </w:p>
        </w:tc>
      </w:tr>
      <w:tr w:rsidR="00202494" w:rsidRPr="006973BB" w14:paraId="006A5E01" w14:textId="77777777" w:rsidTr="00F11013">
        <w:trPr>
          <w:trHeight w:val="232"/>
        </w:trPr>
        <w:tc>
          <w:tcPr>
            <w:tcW w:w="3260" w:type="pct"/>
            <w:shd w:val="clear" w:color="000000" w:fill="FDFDFC"/>
            <w:noWrap/>
            <w:vAlign w:val="center"/>
            <w:hideMark/>
          </w:tcPr>
          <w:p w14:paraId="02C94FE5"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Conselho Fiscal - Remuneração Média</w:t>
            </w:r>
          </w:p>
        </w:tc>
        <w:tc>
          <w:tcPr>
            <w:tcW w:w="929" w:type="pct"/>
            <w:shd w:val="clear" w:color="000000" w:fill="FDFDFC"/>
            <w:noWrap/>
            <w:vAlign w:val="center"/>
            <w:hideMark/>
          </w:tcPr>
          <w:p w14:paraId="000AA8B0" w14:textId="015BDB24"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33F606A9" w14:textId="75E9D2EB"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 </w:t>
            </w:r>
          </w:p>
        </w:tc>
      </w:tr>
      <w:tr w:rsidR="00202494" w:rsidRPr="006973BB" w14:paraId="1AB0EDBE" w14:textId="77777777" w:rsidTr="00F11013">
        <w:trPr>
          <w:trHeight w:val="232"/>
        </w:trPr>
        <w:tc>
          <w:tcPr>
            <w:tcW w:w="3260" w:type="pct"/>
            <w:shd w:val="clear" w:color="000000" w:fill="FDFDFC"/>
            <w:noWrap/>
            <w:vAlign w:val="center"/>
            <w:hideMark/>
          </w:tcPr>
          <w:p w14:paraId="0BA5025A"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Comitê de Auditoria - Maior Remuneração</w:t>
            </w:r>
          </w:p>
        </w:tc>
        <w:tc>
          <w:tcPr>
            <w:tcW w:w="929" w:type="pct"/>
            <w:shd w:val="clear" w:color="000000" w:fill="FDFDFC"/>
            <w:noWrap/>
            <w:vAlign w:val="center"/>
            <w:hideMark/>
          </w:tcPr>
          <w:p w14:paraId="5457F872" w14:textId="697CC874"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4DE30E85" w14:textId="062E990D"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 </w:t>
            </w:r>
          </w:p>
        </w:tc>
      </w:tr>
      <w:tr w:rsidR="00202494" w:rsidRPr="006973BB" w14:paraId="0FCAC21C" w14:textId="77777777" w:rsidTr="00F11013">
        <w:trPr>
          <w:trHeight w:val="232"/>
        </w:trPr>
        <w:tc>
          <w:tcPr>
            <w:tcW w:w="3260" w:type="pct"/>
            <w:shd w:val="clear" w:color="000000" w:fill="FDFDFC"/>
            <w:noWrap/>
            <w:vAlign w:val="center"/>
            <w:hideMark/>
          </w:tcPr>
          <w:p w14:paraId="109D5B4E"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Comitê de Auditoria - Menor Remuneração</w:t>
            </w:r>
          </w:p>
        </w:tc>
        <w:tc>
          <w:tcPr>
            <w:tcW w:w="929" w:type="pct"/>
            <w:shd w:val="clear" w:color="000000" w:fill="FDFDFC"/>
            <w:noWrap/>
            <w:vAlign w:val="center"/>
            <w:hideMark/>
          </w:tcPr>
          <w:p w14:paraId="7FC48B89" w14:textId="1DAA992F"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3229FC8F" w14:textId="073966D0"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 </w:t>
            </w:r>
          </w:p>
        </w:tc>
      </w:tr>
      <w:tr w:rsidR="00202494" w14:paraId="521DD166" w14:textId="77777777" w:rsidTr="00F11013">
        <w:trPr>
          <w:trHeight w:val="232"/>
        </w:trPr>
        <w:tc>
          <w:tcPr>
            <w:tcW w:w="3260" w:type="pct"/>
            <w:shd w:val="clear" w:color="000000" w:fill="FDFDFC"/>
            <w:noWrap/>
            <w:vAlign w:val="center"/>
            <w:hideMark/>
          </w:tcPr>
          <w:p w14:paraId="70855C93" w14:textId="77777777" w:rsidR="00202494" w:rsidRPr="006973BB" w:rsidRDefault="00202494" w:rsidP="00202494">
            <w:pPr>
              <w:rPr>
                <w:rFonts w:ascii="Arial" w:hAnsi="Arial" w:cs="Arial"/>
                <w:color w:val="000000"/>
                <w:sz w:val="18"/>
                <w:szCs w:val="18"/>
              </w:rPr>
            </w:pPr>
            <w:r w:rsidRPr="006973BB">
              <w:rPr>
                <w:rFonts w:ascii="Arial" w:hAnsi="Arial" w:cs="Arial"/>
                <w:color w:val="000000"/>
                <w:sz w:val="18"/>
                <w:szCs w:val="18"/>
              </w:rPr>
              <w:t>Comitê de Auditoria - Remuneração Média</w:t>
            </w:r>
          </w:p>
        </w:tc>
        <w:tc>
          <w:tcPr>
            <w:tcW w:w="929" w:type="pct"/>
            <w:shd w:val="clear" w:color="000000" w:fill="FDFDFC"/>
            <w:noWrap/>
            <w:vAlign w:val="center"/>
            <w:hideMark/>
          </w:tcPr>
          <w:p w14:paraId="473D5A47" w14:textId="470F7B60" w:rsidR="00202494" w:rsidRPr="006973BB" w:rsidRDefault="00202494" w:rsidP="00202494">
            <w:pPr>
              <w:jc w:val="right"/>
              <w:rPr>
                <w:rFonts w:ascii="Arial" w:hAnsi="Arial" w:cs="Arial"/>
                <w:color w:val="000000"/>
                <w:sz w:val="18"/>
                <w:szCs w:val="18"/>
              </w:rPr>
            </w:pPr>
            <w:r w:rsidRPr="006973BB">
              <w:rPr>
                <w:rFonts w:ascii="Arial" w:hAnsi="Arial" w:cs="Arial"/>
                <w:color w:val="000000"/>
                <w:sz w:val="18"/>
                <w:szCs w:val="18"/>
              </w:rPr>
              <w:t>      4.447,74</w:t>
            </w:r>
          </w:p>
        </w:tc>
        <w:tc>
          <w:tcPr>
            <w:tcW w:w="811" w:type="pct"/>
            <w:shd w:val="clear" w:color="000000" w:fill="FDFDFC"/>
            <w:noWrap/>
            <w:vAlign w:val="center"/>
            <w:hideMark/>
          </w:tcPr>
          <w:p w14:paraId="17BD3EC5" w14:textId="21FEDB40" w:rsidR="00202494" w:rsidRDefault="00202494" w:rsidP="00202494">
            <w:pPr>
              <w:jc w:val="right"/>
              <w:rPr>
                <w:rFonts w:ascii="Arial" w:hAnsi="Arial" w:cs="Arial"/>
                <w:color w:val="000000"/>
                <w:sz w:val="18"/>
                <w:szCs w:val="18"/>
              </w:rPr>
            </w:pPr>
            <w:r w:rsidRPr="006973BB">
              <w:rPr>
                <w:rFonts w:ascii="Arial" w:hAnsi="Arial" w:cs="Arial"/>
                <w:color w:val="000000"/>
                <w:sz w:val="18"/>
                <w:szCs w:val="18"/>
              </w:rPr>
              <w:t xml:space="preserve">       4.447,74</w:t>
            </w:r>
            <w:r>
              <w:rPr>
                <w:rFonts w:ascii="Arial" w:hAnsi="Arial" w:cs="Arial"/>
                <w:color w:val="000000"/>
                <w:sz w:val="18"/>
                <w:szCs w:val="18"/>
              </w:rPr>
              <w:t xml:space="preserve"> </w:t>
            </w:r>
          </w:p>
        </w:tc>
      </w:tr>
    </w:tbl>
    <w:p w14:paraId="510D9BEE" w14:textId="77777777" w:rsidR="007C5B94" w:rsidRDefault="007C5B94" w:rsidP="004B1CF8">
      <w:pPr>
        <w:pStyle w:val="Corpodetexto"/>
        <w:spacing w:before="0" w:after="0" w:line="276" w:lineRule="auto"/>
        <w:rPr>
          <w:rFonts w:ascii="Arial" w:hAnsi="Arial" w:cs="Arial"/>
          <w:sz w:val="16"/>
          <w:szCs w:val="16"/>
        </w:rPr>
      </w:pPr>
    </w:p>
    <w:p w14:paraId="03C97E2B" w14:textId="63A36EFD" w:rsidR="000052CE" w:rsidRDefault="000052CE" w:rsidP="000052CE">
      <w:pPr>
        <w:pStyle w:val="Corpodetexto"/>
        <w:spacing w:before="0" w:after="0" w:line="276" w:lineRule="auto"/>
        <w:rPr>
          <w:rFonts w:ascii="Arial" w:hAnsi="Arial" w:cs="Arial"/>
        </w:rPr>
      </w:pPr>
      <w:r w:rsidRPr="00BB0C54">
        <w:rPr>
          <w:rFonts w:ascii="Arial" w:hAnsi="Arial" w:cs="Arial"/>
        </w:rPr>
        <w:t xml:space="preserve">Devido à caracterização como estatal dependente do Orçamento Fiscal e da Seguridade Social e em atendimento à Lei Complementar </w:t>
      </w:r>
      <w:r w:rsidR="001B78A0" w:rsidRPr="00BB0C54">
        <w:rPr>
          <w:rFonts w:ascii="Arial" w:hAnsi="Arial" w:cs="Arial"/>
        </w:rPr>
        <w:t xml:space="preserve">nº </w:t>
      </w:r>
      <w:r w:rsidRPr="00BB0C54">
        <w:rPr>
          <w:rFonts w:ascii="Arial" w:hAnsi="Arial" w:cs="Arial"/>
        </w:rPr>
        <w:t>101/2000 (Lei de Responsabilidade Fiscal), a Telebras aplica a seus empregados e dirigentes o teto remuneratório constitucional previsto no art. 37, inciso XI e § 9º, da Constituição Federal.</w:t>
      </w:r>
    </w:p>
    <w:p w14:paraId="544004AA" w14:textId="48E70EF1" w:rsidR="00F94888" w:rsidRDefault="00F94888" w:rsidP="004F5C33">
      <w:pPr>
        <w:spacing w:line="276" w:lineRule="auto"/>
        <w:jc w:val="both"/>
        <w:rPr>
          <w:rFonts w:ascii="Arial" w:hAnsi="Arial" w:cs="Arial"/>
          <w:sz w:val="10"/>
          <w:szCs w:val="10"/>
        </w:rPr>
      </w:pPr>
    </w:p>
    <w:p w14:paraId="63350406" w14:textId="77777777" w:rsidR="007F2BC0" w:rsidRPr="00BB0C54" w:rsidRDefault="007F2BC0" w:rsidP="004F5C33">
      <w:pPr>
        <w:spacing w:line="276" w:lineRule="auto"/>
        <w:jc w:val="both"/>
        <w:rPr>
          <w:rFonts w:ascii="Arial" w:hAnsi="Arial" w:cs="Arial"/>
          <w:sz w:val="10"/>
          <w:szCs w:val="10"/>
        </w:rPr>
      </w:pPr>
    </w:p>
    <w:p w14:paraId="6A26C35D" w14:textId="77777777" w:rsidR="00530727" w:rsidRPr="002A36CE" w:rsidRDefault="00530727" w:rsidP="009541E1">
      <w:pPr>
        <w:pStyle w:val="Ttulo2"/>
        <w:numPr>
          <w:ilvl w:val="0"/>
          <w:numId w:val="7"/>
        </w:numPr>
        <w:tabs>
          <w:tab w:val="clear" w:pos="284"/>
          <w:tab w:val="clear" w:pos="340"/>
        </w:tabs>
        <w:spacing w:before="0" w:after="0"/>
        <w:ind w:left="851" w:hanging="851"/>
        <w:jc w:val="both"/>
        <w:rPr>
          <w:rFonts w:ascii="Arial" w:hAnsi="Arial" w:cs="Arial"/>
        </w:rPr>
      </w:pPr>
      <w:r w:rsidRPr="002A36CE">
        <w:rPr>
          <w:rFonts w:ascii="Arial" w:hAnsi="Arial" w:cs="Arial"/>
        </w:rPr>
        <w:t>TRANSAÇÕES NÃO ENVOLVENDO CAIXA</w:t>
      </w:r>
    </w:p>
    <w:p w14:paraId="6C21C0FE" w14:textId="77777777" w:rsidR="00530727" w:rsidRPr="008C14C0" w:rsidRDefault="00530727" w:rsidP="00530727">
      <w:pPr>
        <w:rPr>
          <w:sz w:val="16"/>
          <w:szCs w:val="16"/>
        </w:rPr>
      </w:pPr>
    </w:p>
    <w:p w14:paraId="0739E6DC" w14:textId="681DEA88" w:rsidR="00F37FC6" w:rsidRDefault="000F0C88" w:rsidP="00955E68">
      <w:pPr>
        <w:keepLines/>
        <w:tabs>
          <w:tab w:val="left" w:pos="851"/>
        </w:tabs>
        <w:spacing w:line="276" w:lineRule="auto"/>
        <w:jc w:val="both"/>
        <w:rPr>
          <w:rFonts w:ascii="Arial" w:hAnsi="Arial" w:cs="Arial"/>
          <w:sz w:val="22"/>
          <w:szCs w:val="22"/>
        </w:rPr>
      </w:pPr>
      <w:r>
        <w:rPr>
          <w:rFonts w:ascii="Arial" w:hAnsi="Arial" w:cs="Arial"/>
          <w:sz w:val="22"/>
          <w:szCs w:val="22"/>
        </w:rPr>
        <w:t>No</w:t>
      </w:r>
      <w:r w:rsidR="00D96EEB">
        <w:rPr>
          <w:rFonts w:ascii="Arial" w:hAnsi="Arial" w:cs="Arial"/>
          <w:sz w:val="22"/>
          <w:szCs w:val="22"/>
        </w:rPr>
        <w:t xml:space="preserve">s </w:t>
      </w:r>
      <w:r w:rsidR="0074090F">
        <w:rPr>
          <w:rFonts w:ascii="Arial" w:hAnsi="Arial" w:cs="Arial"/>
          <w:sz w:val="22"/>
          <w:szCs w:val="22"/>
        </w:rPr>
        <w:t>exercícios</w:t>
      </w:r>
      <w:r w:rsidR="00551CA4">
        <w:rPr>
          <w:rFonts w:ascii="Arial" w:hAnsi="Arial" w:cs="Arial"/>
          <w:sz w:val="22"/>
          <w:szCs w:val="22"/>
        </w:rPr>
        <w:t xml:space="preserve"> </w:t>
      </w:r>
      <w:r w:rsidR="00600AAF">
        <w:rPr>
          <w:rFonts w:ascii="Arial" w:hAnsi="Arial" w:cs="Arial"/>
          <w:sz w:val="22"/>
          <w:szCs w:val="22"/>
        </w:rPr>
        <w:t xml:space="preserve">de </w:t>
      </w:r>
      <w:r w:rsidR="00FA489C" w:rsidRPr="002A36CE">
        <w:rPr>
          <w:rFonts w:ascii="Arial" w:hAnsi="Arial" w:cs="Arial"/>
          <w:sz w:val="22"/>
          <w:szCs w:val="22"/>
        </w:rPr>
        <w:t>202</w:t>
      </w:r>
      <w:r w:rsidR="00600AAF">
        <w:rPr>
          <w:rFonts w:ascii="Arial" w:hAnsi="Arial" w:cs="Arial"/>
          <w:sz w:val="22"/>
          <w:szCs w:val="22"/>
        </w:rPr>
        <w:t>5</w:t>
      </w:r>
      <w:r w:rsidR="00FA489C" w:rsidRPr="002A36CE">
        <w:rPr>
          <w:rFonts w:ascii="Arial" w:hAnsi="Arial" w:cs="Arial"/>
          <w:sz w:val="22"/>
          <w:szCs w:val="22"/>
        </w:rPr>
        <w:t xml:space="preserve"> </w:t>
      </w:r>
      <w:r w:rsidR="002E30B2" w:rsidRPr="002A36CE">
        <w:rPr>
          <w:rFonts w:ascii="Arial" w:hAnsi="Arial" w:cs="Arial"/>
          <w:sz w:val="22"/>
          <w:szCs w:val="22"/>
        </w:rPr>
        <w:t>e 20</w:t>
      </w:r>
      <w:r w:rsidR="00E62181">
        <w:rPr>
          <w:rFonts w:ascii="Arial" w:hAnsi="Arial" w:cs="Arial"/>
          <w:sz w:val="22"/>
          <w:szCs w:val="22"/>
        </w:rPr>
        <w:t>2</w:t>
      </w:r>
      <w:r w:rsidR="00600AAF">
        <w:rPr>
          <w:rFonts w:ascii="Arial" w:hAnsi="Arial" w:cs="Arial"/>
          <w:sz w:val="22"/>
          <w:szCs w:val="22"/>
        </w:rPr>
        <w:t>4</w:t>
      </w:r>
      <w:r w:rsidR="00530727" w:rsidRPr="002A36CE">
        <w:rPr>
          <w:rFonts w:ascii="Arial" w:hAnsi="Arial" w:cs="Arial"/>
          <w:sz w:val="22"/>
          <w:szCs w:val="22"/>
        </w:rPr>
        <w:t>, a Companhia realiz</w:t>
      </w:r>
      <w:r w:rsidR="001B0304" w:rsidRPr="002A36CE">
        <w:rPr>
          <w:rFonts w:ascii="Arial" w:hAnsi="Arial" w:cs="Arial"/>
          <w:sz w:val="22"/>
          <w:szCs w:val="22"/>
        </w:rPr>
        <w:t>ou</w:t>
      </w:r>
      <w:r w:rsidR="00530727" w:rsidRPr="002A36CE">
        <w:rPr>
          <w:rFonts w:ascii="Arial" w:hAnsi="Arial" w:cs="Arial"/>
          <w:sz w:val="22"/>
          <w:szCs w:val="22"/>
        </w:rPr>
        <w:t xml:space="preserve"> as seguintes operações não envolvendo caixa</w:t>
      </w:r>
      <w:r w:rsidR="00231969">
        <w:rPr>
          <w:rFonts w:ascii="Arial" w:hAnsi="Arial" w:cs="Arial"/>
          <w:sz w:val="22"/>
          <w:szCs w:val="22"/>
        </w:rPr>
        <w:t>;</w:t>
      </w:r>
      <w:r w:rsidR="00530727" w:rsidRPr="002A36CE">
        <w:rPr>
          <w:rFonts w:ascii="Arial" w:hAnsi="Arial" w:cs="Arial"/>
          <w:sz w:val="22"/>
          <w:szCs w:val="22"/>
        </w:rPr>
        <w:t xml:space="preserve"> portanto, es</w:t>
      </w:r>
      <w:r w:rsidR="005665AA">
        <w:rPr>
          <w:rFonts w:ascii="Arial" w:hAnsi="Arial" w:cs="Arial"/>
          <w:sz w:val="22"/>
          <w:szCs w:val="22"/>
        </w:rPr>
        <w:t>t</w:t>
      </w:r>
      <w:r w:rsidR="00530727" w:rsidRPr="002A36CE">
        <w:rPr>
          <w:rFonts w:ascii="Arial" w:hAnsi="Arial" w:cs="Arial"/>
          <w:sz w:val="22"/>
          <w:szCs w:val="22"/>
        </w:rPr>
        <w:t>as não estão refletidas na demonstração dos fluxos de caixa:</w:t>
      </w:r>
    </w:p>
    <w:p w14:paraId="19D719A8" w14:textId="77777777" w:rsidR="006C3724" w:rsidRPr="000935A0" w:rsidRDefault="006C3724" w:rsidP="00955E68">
      <w:pPr>
        <w:keepLines/>
        <w:tabs>
          <w:tab w:val="left" w:pos="851"/>
        </w:tabs>
        <w:spacing w:line="276" w:lineRule="auto"/>
        <w:jc w:val="both"/>
        <w:rPr>
          <w:rFonts w:ascii="Arial" w:hAnsi="Arial" w:cs="Arial"/>
          <w:sz w:val="10"/>
          <w:szCs w:val="10"/>
        </w:rPr>
      </w:pPr>
    </w:p>
    <w:tbl>
      <w:tblPr>
        <w:tblW w:w="5000" w:type="pct"/>
        <w:tblCellMar>
          <w:left w:w="70" w:type="dxa"/>
          <w:right w:w="70" w:type="dxa"/>
        </w:tblCellMar>
        <w:tblLook w:val="04A0" w:firstRow="1" w:lastRow="0" w:firstColumn="1" w:lastColumn="0" w:noHBand="0" w:noVBand="1"/>
      </w:tblPr>
      <w:tblGrid>
        <w:gridCol w:w="7725"/>
        <w:gridCol w:w="1024"/>
        <w:gridCol w:w="1022"/>
      </w:tblGrid>
      <w:tr w:rsidR="00A841C7" w:rsidRPr="00394EF9" w14:paraId="1BA2621D" w14:textId="77777777" w:rsidTr="00A841C7">
        <w:trPr>
          <w:trHeight w:val="232"/>
        </w:trPr>
        <w:tc>
          <w:tcPr>
            <w:tcW w:w="395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DE53A1" w14:textId="77777777" w:rsidR="00A841C7" w:rsidRPr="00394EF9" w:rsidRDefault="00A841C7">
            <w:pPr>
              <w:rPr>
                <w:rFonts w:ascii="Arial" w:hAnsi="Arial" w:cs="Arial"/>
                <w:b/>
                <w:bCs/>
                <w:color w:val="000000"/>
                <w:sz w:val="16"/>
                <w:szCs w:val="16"/>
              </w:rPr>
            </w:pPr>
            <w:r w:rsidRPr="00A841C7">
              <w:rPr>
                <w:rFonts w:ascii="Arial" w:hAnsi="Arial" w:cs="Arial"/>
                <w:b/>
                <w:bCs/>
                <w:color w:val="000000"/>
                <w:sz w:val="16"/>
                <w:szCs w:val="16"/>
              </w:rPr>
              <w:t> </w:t>
            </w:r>
            <w:r w:rsidRPr="00394EF9">
              <w:rPr>
                <w:rFonts w:ascii="Arial" w:hAnsi="Arial" w:cs="Arial"/>
                <w:b/>
                <w:bCs/>
                <w:color w:val="000000"/>
                <w:sz w:val="16"/>
                <w:szCs w:val="16"/>
              </w:rPr>
              <w:t>Transações:</w:t>
            </w:r>
          </w:p>
        </w:tc>
        <w:tc>
          <w:tcPr>
            <w:tcW w:w="524" w:type="pct"/>
            <w:tcBorders>
              <w:top w:val="single" w:sz="4" w:space="0" w:color="auto"/>
              <w:left w:val="nil"/>
              <w:bottom w:val="single" w:sz="4" w:space="0" w:color="auto"/>
              <w:right w:val="single" w:sz="4" w:space="0" w:color="auto"/>
            </w:tcBorders>
            <w:noWrap/>
            <w:vAlign w:val="center"/>
            <w:hideMark/>
          </w:tcPr>
          <w:p w14:paraId="3E3B44C5" w14:textId="77777777" w:rsidR="00A841C7" w:rsidRPr="00394EF9" w:rsidRDefault="00A841C7">
            <w:pPr>
              <w:jc w:val="right"/>
              <w:rPr>
                <w:rFonts w:ascii="Arial" w:hAnsi="Arial" w:cs="Arial"/>
                <w:b/>
                <w:bCs/>
                <w:color w:val="000000"/>
                <w:sz w:val="16"/>
                <w:szCs w:val="16"/>
              </w:rPr>
            </w:pPr>
            <w:r w:rsidRPr="00394EF9">
              <w:rPr>
                <w:rFonts w:ascii="Arial" w:hAnsi="Arial" w:cs="Arial"/>
                <w:b/>
                <w:bCs/>
                <w:color w:val="000000"/>
                <w:sz w:val="16"/>
                <w:szCs w:val="16"/>
              </w:rPr>
              <w:t>31/03/2026</w:t>
            </w:r>
          </w:p>
        </w:tc>
        <w:tc>
          <w:tcPr>
            <w:tcW w:w="524" w:type="pct"/>
            <w:tcBorders>
              <w:top w:val="single" w:sz="4" w:space="0" w:color="auto"/>
              <w:left w:val="nil"/>
              <w:bottom w:val="single" w:sz="4" w:space="0" w:color="auto"/>
              <w:right w:val="single" w:sz="4" w:space="0" w:color="auto"/>
            </w:tcBorders>
            <w:noWrap/>
            <w:vAlign w:val="center"/>
            <w:hideMark/>
          </w:tcPr>
          <w:p w14:paraId="02CA0805" w14:textId="77777777" w:rsidR="00A841C7" w:rsidRPr="00394EF9" w:rsidRDefault="00A841C7">
            <w:pPr>
              <w:jc w:val="right"/>
              <w:rPr>
                <w:rFonts w:ascii="Arial" w:hAnsi="Arial" w:cs="Arial"/>
                <w:b/>
                <w:bCs/>
                <w:color w:val="000000"/>
                <w:sz w:val="16"/>
                <w:szCs w:val="16"/>
              </w:rPr>
            </w:pPr>
            <w:r w:rsidRPr="00394EF9">
              <w:rPr>
                <w:rFonts w:ascii="Arial" w:hAnsi="Arial" w:cs="Arial"/>
                <w:b/>
                <w:bCs/>
                <w:color w:val="000000"/>
                <w:sz w:val="16"/>
                <w:szCs w:val="16"/>
              </w:rPr>
              <w:t>31/03/2025</w:t>
            </w:r>
          </w:p>
        </w:tc>
      </w:tr>
      <w:tr w:rsidR="00A841C7" w:rsidRPr="00394EF9" w14:paraId="33198EF1" w14:textId="77777777" w:rsidTr="00A841C7">
        <w:trPr>
          <w:trHeight w:val="232"/>
        </w:trPr>
        <w:tc>
          <w:tcPr>
            <w:tcW w:w="3953" w:type="pct"/>
            <w:tcBorders>
              <w:top w:val="nil"/>
              <w:left w:val="single" w:sz="4" w:space="0" w:color="auto"/>
              <w:bottom w:val="single" w:sz="4" w:space="0" w:color="auto"/>
              <w:right w:val="single" w:sz="4" w:space="0" w:color="auto"/>
            </w:tcBorders>
            <w:noWrap/>
            <w:vAlign w:val="center"/>
            <w:hideMark/>
          </w:tcPr>
          <w:p w14:paraId="3F9AB227" w14:textId="273205FC" w:rsidR="00A841C7" w:rsidRPr="00394EF9" w:rsidRDefault="00A841C7">
            <w:pPr>
              <w:rPr>
                <w:rFonts w:ascii="Arial" w:hAnsi="Arial" w:cs="Arial"/>
                <w:color w:val="000000"/>
                <w:sz w:val="16"/>
                <w:szCs w:val="16"/>
              </w:rPr>
            </w:pPr>
            <w:r w:rsidRPr="00394EF9">
              <w:rPr>
                <w:rFonts w:ascii="Arial" w:hAnsi="Arial" w:cs="Arial"/>
                <w:color w:val="000000"/>
                <w:sz w:val="16"/>
                <w:szCs w:val="16"/>
              </w:rPr>
              <w:t>Pagamento de Tributos Federais, Estaduais e Municipais através de Compensação de Créditos</w:t>
            </w:r>
          </w:p>
        </w:tc>
        <w:tc>
          <w:tcPr>
            <w:tcW w:w="524" w:type="pct"/>
            <w:tcBorders>
              <w:top w:val="nil"/>
              <w:left w:val="nil"/>
              <w:bottom w:val="single" w:sz="4" w:space="0" w:color="auto"/>
              <w:right w:val="single" w:sz="4" w:space="0" w:color="auto"/>
            </w:tcBorders>
            <w:noWrap/>
            <w:vAlign w:val="center"/>
            <w:hideMark/>
          </w:tcPr>
          <w:p w14:paraId="2CB154D1" w14:textId="77777777" w:rsidR="00A841C7" w:rsidRPr="00394EF9" w:rsidRDefault="00A841C7">
            <w:pPr>
              <w:jc w:val="right"/>
              <w:rPr>
                <w:rFonts w:ascii="Arial" w:hAnsi="Arial" w:cs="Arial"/>
                <w:color w:val="000000"/>
                <w:sz w:val="16"/>
                <w:szCs w:val="16"/>
              </w:rPr>
            </w:pPr>
            <w:r w:rsidRPr="00394EF9">
              <w:rPr>
                <w:rFonts w:ascii="Arial" w:hAnsi="Arial" w:cs="Arial"/>
                <w:color w:val="000000"/>
                <w:sz w:val="16"/>
                <w:szCs w:val="16"/>
              </w:rPr>
              <w:t>62.420</w:t>
            </w:r>
          </w:p>
        </w:tc>
        <w:tc>
          <w:tcPr>
            <w:tcW w:w="524" w:type="pct"/>
            <w:tcBorders>
              <w:top w:val="nil"/>
              <w:left w:val="nil"/>
              <w:bottom w:val="single" w:sz="4" w:space="0" w:color="auto"/>
              <w:right w:val="single" w:sz="4" w:space="0" w:color="auto"/>
            </w:tcBorders>
            <w:noWrap/>
            <w:vAlign w:val="bottom"/>
            <w:hideMark/>
          </w:tcPr>
          <w:p w14:paraId="2A0F96D1" w14:textId="77777777" w:rsidR="00A841C7" w:rsidRPr="00394EF9" w:rsidRDefault="00A841C7">
            <w:pPr>
              <w:jc w:val="right"/>
              <w:rPr>
                <w:rFonts w:ascii="Arial" w:hAnsi="Arial" w:cs="Arial"/>
                <w:color w:val="000000"/>
                <w:sz w:val="16"/>
                <w:szCs w:val="16"/>
              </w:rPr>
            </w:pPr>
            <w:r w:rsidRPr="00394EF9">
              <w:rPr>
                <w:rFonts w:ascii="Arial" w:hAnsi="Arial" w:cs="Arial"/>
                <w:color w:val="000000"/>
                <w:sz w:val="16"/>
                <w:szCs w:val="16"/>
              </w:rPr>
              <w:t>30.659</w:t>
            </w:r>
          </w:p>
        </w:tc>
      </w:tr>
      <w:tr w:rsidR="00A841C7" w:rsidRPr="00A841C7" w14:paraId="612B757B" w14:textId="77777777" w:rsidTr="00A841C7">
        <w:trPr>
          <w:trHeight w:val="232"/>
        </w:trPr>
        <w:tc>
          <w:tcPr>
            <w:tcW w:w="3953" w:type="pct"/>
            <w:tcBorders>
              <w:top w:val="nil"/>
              <w:left w:val="single" w:sz="4" w:space="0" w:color="auto"/>
              <w:bottom w:val="single" w:sz="4" w:space="0" w:color="auto"/>
              <w:right w:val="single" w:sz="4" w:space="0" w:color="auto"/>
            </w:tcBorders>
            <w:noWrap/>
            <w:vAlign w:val="center"/>
            <w:hideMark/>
          </w:tcPr>
          <w:p w14:paraId="768D842C" w14:textId="77777777" w:rsidR="00A841C7" w:rsidRPr="00394EF9" w:rsidRDefault="00A841C7">
            <w:pPr>
              <w:rPr>
                <w:rFonts w:ascii="Arial" w:hAnsi="Arial" w:cs="Arial"/>
                <w:color w:val="000000"/>
                <w:sz w:val="16"/>
                <w:szCs w:val="16"/>
              </w:rPr>
            </w:pPr>
            <w:r w:rsidRPr="00394EF9">
              <w:rPr>
                <w:rFonts w:ascii="Arial" w:hAnsi="Arial" w:cs="Arial"/>
                <w:color w:val="000000"/>
                <w:sz w:val="16"/>
                <w:szCs w:val="16"/>
              </w:rPr>
              <w:t>Permutas não monetárias entre a Telebras e Empresas Parceiras</w:t>
            </w:r>
          </w:p>
        </w:tc>
        <w:tc>
          <w:tcPr>
            <w:tcW w:w="524" w:type="pct"/>
            <w:tcBorders>
              <w:top w:val="nil"/>
              <w:left w:val="nil"/>
              <w:bottom w:val="single" w:sz="4" w:space="0" w:color="auto"/>
              <w:right w:val="single" w:sz="4" w:space="0" w:color="auto"/>
            </w:tcBorders>
            <w:noWrap/>
            <w:vAlign w:val="center"/>
            <w:hideMark/>
          </w:tcPr>
          <w:p w14:paraId="2E1476E9" w14:textId="77777777" w:rsidR="00A841C7" w:rsidRPr="00394EF9" w:rsidRDefault="00A841C7">
            <w:pPr>
              <w:jc w:val="right"/>
              <w:rPr>
                <w:rFonts w:ascii="Arial" w:hAnsi="Arial" w:cs="Arial"/>
                <w:color w:val="000000"/>
                <w:sz w:val="16"/>
                <w:szCs w:val="16"/>
              </w:rPr>
            </w:pPr>
            <w:r w:rsidRPr="00394EF9">
              <w:rPr>
                <w:rFonts w:ascii="Arial" w:hAnsi="Arial" w:cs="Arial"/>
                <w:color w:val="000000"/>
                <w:sz w:val="16"/>
                <w:szCs w:val="16"/>
              </w:rPr>
              <w:t>3.815</w:t>
            </w:r>
          </w:p>
        </w:tc>
        <w:tc>
          <w:tcPr>
            <w:tcW w:w="524" w:type="pct"/>
            <w:tcBorders>
              <w:top w:val="nil"/>
              <w:left w:val="nil"/>
              <w:bottom w:val="single" w:sz="4" w:space="0" w:color="auto"/>
              <w:right w:val="single" w:sz="4" w:space="0" w:color="auto"/>
            </w:tcBorders>
            <w:noWrap/>
            <w:vAlign w:val="center"/>
            <w:hideMark/>
          </w:tcPr>
          <w:p w14:paraId="622283E9" w14:textId="77777777" w:rsidR="00A841C7" w:rsidRPr="00A841C7" w:rsidRDefault="00A841C7">
            <w:pPr>
              <w:jc w:val="right"/>
              <w:rPr>
                <w:rFonts w:ascii="Arial" w:hAnsi="Arial" w:cs="Arial"/>
                <w:color w:val="000000"/>
                <w:sz w:val="16"/>
                <w:szCs w:val="16"/>
              </w:rPr>
            </w:pPr>
            <w:r w:rsidRPr="00394EF9">
              <w:rPr>
                <w:rFonts w:ascii="Arial" w:hAnsi="Arial" w:cs="Arial"/>
                <w:color w:val="000000"/>
                <w:sz w:val="16"/>
                <w:szCs w:val="16"/>
              </w:rPr>
              <w:t>6.265</w:t>
            </w:r>
          </w:p>
        </w:tc>
      </w:tr>
    </w:tbl>
    <w:p w14:paraId="580C885B" w14:textId="77777777" w:rsidR="0039407F" w:rsidRPr="000935A0" w:rsidRDefault="0039407F" w:rsidP="00F502A7">
      <w:pPr>
        <w:jc w:val="both"/>
        <w:rPr>
          <w:rFonts w:ascii="Arial" w:hAnsi="Arial" w:cs="Arial"/>
          <w:sz w:val="2"/>
          <w:szCs w:val="2"/>
        </w:rPr>
      </w:pPr>
    </w:p>
    <w:p w14:paraId="4E6AB88F" w14:textId="77777777" w:rsidR="00A417B7" w:rsidRPr="000935A0" w:rsidRDefault="00A417B7" w:rsidP="00F502A7">
      <w:pPr>
        <w:jc w:val="both"/>
        <w:rPr>
          <w:rFonts w:ascii="Arial" w:hAnsi="Arial" w:cs="Arial"/>
          <w:sz w:val="16"/>
          <w:szCs w:val="16"/>
        </w:rPr>
      </w:pPr>
    </w:p>
    <w:p w14:paraId="01BCE7C0" w14:textId="77777777" w:rsidR="00C66D24" w:rsidRPr="00F042E4" w:rsidRDefault="00C66D24" w:rsidP="00D10819">
      <w:pPr>
        <w:keepLines/>
        <w:tabs>
          <w:tab w:val="left" w:pos="851"/>
        </w:tabs>
        <w:rPr>
          <w:rFonts w:ascii="Arial" w:hAnsi="Arial" w:cs="Arial"/>
          <w:b/>
          <w:sz w:val="2"/>
          <w:szCs w:val="2"/>
        </w:rPr>
      </w:pPr>
    </w:p>
    <w:p w14:paraId="1626B7D4" w14:textId="2F621EF9" w:rsidR="005E67D9" w:rsidRPr="005D6121" w:rsidRDefault="005E67D9" w:rsidP="005E67D9">
      <w:pPr>
        <w:keepLines/>
        <w:tabs>
          <w:tab w:val="left" w:pos="851"/>
        </w:tabs>
        <w:jc w:val="center"/>
        <w:rPr>
          <w:rFonts w:ascii="Arial" w:hAnsi="Arial" w:cs="Arial"/>
          <w:b/>
          <w:sz w:val="22"/>
          <w:szCs w:val="22"/>
        </w:rPr>
      </w:pPr>
      <w:r w:rsidRPr="009F0A90">
        <w:rPr>
          <w:rFonts w:ascii="Arial" w:hAnsi="Arial" w:cs="Arial"/>
          <w:b/>
          <w:sz w:val="22"/>
          <w:szCs w:val="22"/>
        </w:rPr>
        <w:t>Brasília</w:t>
      </w:r>
      <w:r w:rsidR="00581DB0" w:rsidRPr="009F0A90">
        <w:rPr>
          <w:rFonts w:ascii="Arial" w:hAnsi="Arial" w:cs="Arial"/>
          <w:b/>
          <w:sz w:val="22"/>
          <w:szCs w:val="22"/>
        </w:rPr>
        <w:t>,</w:t>
      </w:r>
      <w:r w:rsidRPr="009F0A90">
        <w:rPr>
          <w:rFonts w:ascii="Arial" w:hAnsi="Arial" w:cs="Arial"/>
          <w:b/>
          <w:sz w:val="22"/>
          <w:szCs w:val="22"/>
        </w:rPr>
        <w:t xml:space="preserve"> DF,</w:t>
      </w:r>
      <w:r w:rsidR="00613DE6" w:rsidRPr="009F0A90">
        <w:rPr>
          <w:rFonts w:ascii="Arial" w:hAnsi="Arial" w:cs="Arial"/>
          <w:b/>
          <w:sz w:val="22"/>
          <w:szCs w:val="22"/>
        </w:rPr>
        <w:t xml:space="preserve"> </w:t>
      </w:r>
      <w:r w:rsidR="00F80470">
        <w:rPr>
          <w:rFonts w:ascii="Arial" w:hAnsi="Arial" w:cs="Arial"/>
          <w:b/>
          <w:sz w:val="22"/>
          <w:szCs w:val="22"/>
        </w:rPr>
        <w:t>12</w:t>
      </w:r>
      <w:r w:rsidR="002A1F22" w:rsidRPr="009F0A90">
        <w:rPr>
          <w:rFonts w:ascii="Arial" w:hAnsi="Arial" w:cs="Arial"/>
          <w:b/>
          <w:sz w:val="22"/>
          <w:szCs w:val="22"/>
        </w:rPr>
        <w:t xml:space="preserve"> </w:t>
      </w:r>
      <w:r w:rsidR="007514AA">
        <w:rPr>
          <w:rFonts w:ascii="Arial" w:hAnsi="Arial" w:cs="Arial"/>
          <w:b/>
          <w:sz w:val="22"/>
          <w:szCs w:val="22"/>
        </w:rPr>
        <w:t>maio</w:t>
      </w:r>
      <w:r w:rsidR="0061057B" w:rsidRPr="009F0A90">
        <w:rPr>
          <w:rFonts w:ascii="Arial" w:hAnsi="Arial" w:cs="Arial"/>
          <w:b/>
          <w:sz w:val="22"/>
          <w:szCs w:val="22"/>
        </w:rPr>
        <w:t xml:space="preserve"> de </w:t>
      </w:r>
      <w:r w:rsidR="009560F8" w:rsidRPr="009F0A90">
        <w:rPr>
          <w:rFonts w:ascii="Arial" w:hAnsi="Arial" w:cs="Arial"/>
          <w:b/>
          <w:sz w:val="22"/>
          <w:szCs w:val="22"/>
        </w:rPr>
        <w:t>202</w:t>
      </w:r>
      <w:r w:rsidR="009573B5" w:rsidRPr="009F0A90">
        <w:rPr>
          <w:rFonts w:ascii="Arial" w:hAnsi="Arial" w:cs="Arial"/>
          <w:b/>
          <w:sz w:val="22"/>
          <w:szCs w:val="22"/>
        </w:rPr>
        <w:t>6</w:t>
      </w:r>
    </w:p>
    <w:p w14:paraId="5B3BEBFB" w14:textId="62B19364" w:rsidR="002251D4" w:rsidRPr="000935A0" w:rsidRDefault="002251D4" w:rsidP="005E67D9">
      <w:pPr>
        <w:keepLines/>
        <w:tabs>
          <w:tab w:val="left" w:pos="851"/>
        </w:tabs>
        <w:jc w:val="both"/>
        <w:rPr>
          <w:rFonts w:ascii="Arial" w:hAnsi="Arial" w:cs="Arial"/>
          <w:sz w:val="2"/>
          <w:szCs w:val="2"/>
        </w:rPr>
      </w:pPr>
    </w:p>
    <w:p w14:paraId="39DA552C" w14:textId="77777777" w:rsidR="00D8396F" w:rsidRPr="000935A0" w:rsidRDefault="00D8396F" w:rsidP="005E67D9">
      <w:pPr>
        <w:keepLines/>
        <w:tabs>
          <w:tab w:val="left" w:pos="851"/>
        </w:tabs>
        <w:jc w:val="both"/>
        <w:rPr>
          <w:rFonts w:ascii="Arial" w:hAnsi="Arial" w:cs="Arial"/>
          <w:sz w:val="32"/>
          <w:szCs w:val="32"/>
        </w:rPr>
      </w:pPr>
    </w:p>
    <w:p w14:paraId="1AD4C850" w14:textId="77777777" w:rsidR="0028572B" w:rsidRPr="000935A0" w:rsidRDefault="0028572B" w:rsidP="005E67D9">
      <w:pPr>
        <w:keepLines/>
        <w:tabs>
          <w:tab w:val="left" w:pos="851"/>
        </w:tabs>
        <w:jc w:val="both"/>
        <w:rPr>
          <w:rFonts w:ascii="Arial" w:hAnsi="Arial" w:cs="Arial"/>
          <w:sz w:val="8"/>
          <w:szCs w:val="8"/>
        </w:rPr>
      </w:pPr>
    </w:p>
    <w:p w14:paraId="4B98BC43" w14:textId="06A6F9E4" w:rsidR="00835DF6" w:rsidRPr="007E7D26" w:rsidRDefault="00835DF6" w:rsidP="005E67D9">
      <w:pPr>
        <w:keepLines/>
        <w:tabs>
          <w:tab w:val="left" w:pos="851"/>
        </w:tabs>
        <w:jc w:val="both"/>
        <w:rPr>
          <w:rFonts w:ascii="Arial" w:hAnsi="Arial" w:cs="Arial"/>
          <w:sz w:val="2"/>
          <w:szCs w:val="2"/>
        </w:rPr>
      </w:pPr>
    </w:p>
    <w:p w14:paraId="78AFBF4C" w14:textId="77777777" w:rsidR="009573B5" w:rsidRDefault="009573B5" w:rsidP="005E67D9">
      <w:pPr>
        <w:keepLines/>
        <w:tabs>
          <w:tab w:val="left" w:pos="851"/>
        </w:tabs>
        <w:jc w:val="center"/>
        <w:rPr>
          <w:rFonts w:ascii="Arial" w:hAnsi="Arial" w:cs="Arial"/>
          <w:b/>
          <w:sz w:val="22"/>
          <w:szCs w:val="22"/>
        </w:rPr>
      </w:pPr>
      <w:r w:rsidRPr="009573B5">
        <w:rPr>
          <w:rFonts w:ascii="Arial" w:hAnsi="Arial" w:cs="Arial"/>
          <w:b/>
          <w:sz w:val="22"/>
          <w:szCs w:val="22"/>
        </w:rPr>
        <w:t>HERMANO STUDART LINS DE ALBUQUERQUE</w:t>
      </w:r>
    </w:p>
    <w:p w14:paraId="10728F2B" w14:textId="682BF054" w:rsidR="005E67D9" w:rsidRDefault="005E67D9" w:rsidP="005E67D9">
      <w:pPr>
        <w:keepLines/>
        <w:tabs>
          <w:tab w:val="left" w:pos="851"/>
        </w:tabs>
        <w:jc w:val="center"/>
        <w:rPr>
          <w:rFonts w:ascii="Arial" w:hAnsi="Arial" w:cs="Arial"/>
          <w:sz w:val="22"/>
          <w:szCs w:val="22"/>
        </w:rPr>
      </w:pPr>
      <w:r>
        <w:rPr>
          <w:rFonts w:ascii="Arial" w:hAnsi="Arial" w:cs="Arial"/>
          <w:sz w:val="22"/>
          <w:szCs w:val="22"/>
        </w:rPr>
        <w:t>Presidente</w:t>
      </w:r>
    </w:p>
    <w:p w14:paraId="75591C26" w14:textId="320E5109" w:rsidR="005E67D9" w:rsidRDefault="005E67D9" w:rsidP="005E67D9">
      <w:pPr>
        <w:keepLines/>
        <w:tabs>
          <w:tab w:val="left" w:pos="851"/>
        </w:tabs>
        <w:jc w:val="both"/>
        <w:rPr>
          <w:rFonts w:ascii="Arial" w:hAnsi="Arial" w:cs="Arial"/>
          <w:sz w:val="12"/>
          <w:szCs w:val="12"/>
        </w:rPr>
      </w:pPr>
    </w:p>
    <w:p w14:paraId="6A479577" w14:textId="77777777" w:rsidR="003012BC" w:rsidRDefault="003012BC" w:rsidP="005E67D9">
      <w:pPr>
        <w:keepLines/>
        <w:tabs>
          <w:tab w:val="left" w:pos="851"/>
        </w:tabs>
        <w:jc w:val="both"/>
        <w:rPr>
          <w:rFonts w:ascii="Arial" w:hAnsi="Arial" w:cs="Arial"/>
          <w:sz w:val="12"/>
          <w:szCs w:val="12"/>
        </w:rPr>
      </w:pPr>
    </w:p>
    <w:p w14:paraId="578EB22E" w14:textId="18567883" w:rsidR="003012BC" w:rsidRDefault="003012BC" w:rsidP="005E67D9">
      <w:pPr>
        <w:keepLines/>
        <w:tabs>
          <w:tab w:val="left" w:pos="851"/>
        </w:tabs>
        <w:jc w:val="both"/>
        <w:rPr>
          <w:rFonts w:ascii="Arial" w:hAnsi="Arial" w:cs="Arial"/>
          <w:sz w:val="12"/>
          <w:szCs w:val="12"/>
        </w:rPr>
      </w:pPr>
    </w:p>
    <w:p w14:paraId="76E9E239" w14:textId="0598A942" w:rsidR="00EE4818" w:rsidRDefault="00EE4818" w:rsidP="005E67D9">
      <w:pPr>
        <w:keepLines/>
        <w:tabs>
          <w:tab w:val="left" w:pos="851"/>
        </w:tabs>
        <w:jc w:val="both"/>
        <w:rPr>
          <w:rFonts w:ascii="Arial" w:hAnsi="Arial" w:cs="Arial"/>
          <w:sz w:val="12"/>
          <w:szCs w:val="12"/>
        </w:rPr>
      </w:pPr>
    </w:p>
    <w:p w14:paraId="51F49C86" w14:textId="77777777" w:rsidR="00EE4818" w:rsidRPr="007E7D26" w:rsidRDefault="00EE4818" w:rsidP="005E67D9">
      <w:pPr>
        <w:keepLines/>
        <w:tabs>
          <w:tab w:val="left" w:pos="851"/>
        </w:tabs>
        <w:jc w:val="both"/>
        <w:rPr>
          <w:rFonts w:ascii="Arial" w:hAnsi="Arial" w:cs="Arial"/>
          <w:sz w:val="12"/>
          <w:szCs w:val="12"/>
        </w:rPr>
      </w:pPr>
    </w:p>
    <w:p w14:paraId="573A0DFE" w14:textId="77777777" w:rsidR="00091F07" w:rsidRPr="00EB00BD" w:rsidRDefault="00091F07" w:rsidP="005E67D9">
      <w:pPr>
        <w:keepLines/>
        <w:tabs>
          <w:tab w:val="left" w:pos="851"/>
        </w:tabs>
        <w:jc w:val="both"/>
        <w:rPr>
          <w:rFonts w:ascii="Arial" w:hAnsi="Arial" w:cs="Arial"/>
          <w:sz w:val="2"/>
          <w:szCs w:val="2"/>
        </w:rPr>
      </w:pPr>
    </w:p>
    <w:tbl>
      <w:tblPr>
        <w:tblStyle w:val="Tabelacomgrade"/>
        <w:tblW w:w="9923" w:type="dxa"/>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176086" w:rsidRPr="00142DBE" w14:paraId="2159B8B5" w14:textId="77777777" w:rsidTr="00E74380">
        <w:tc>
          <w:tcPr>
            <w:tcW w:w="4962" w:type="dxa"/>
          </w:tcPr>
          <w:p w14:paraId="7699E1E6" w14:textId="1B030E25" w:rsidR="00176086" w:rsidRPr="00520A45" w:rsidRDefault="009625D7" w:rsidP="00C66D24">
            <w:pPr>
              <w:rPr>
                <w:rFonts w:ascii="Arial" w:hAnsi="Arial" w:cs="Arial"/>
                <w:b/>
                <w:sz w:val="22"/>
                <w:szCs w:val="22"/>
              </w:rPr>
            </w:pPr>
            <w:r>
              <w:rPr>
                <w:rFonts w:ascii="Arial" w:hAnsi="Arial" w:cs="Arial"/>
                <w:b/>
                <w:sz w:val="22"/>
                <w:szCs w:val="22"/>
              </w:rPr>
              <w:t xml:space="preserve">      </w:t>
            </w:r>
            <w:r w:rsidR="00031BE1" w:rsidRPr="00031BE1">
              <w:rPr>
                <w:rFonts w:ascii="Arial" w:hAnsi="Arial" w:cs="Arial"/>
                <w:b/>
                <w:sz w:val="22"/>
                <w:szCs w:val="22"/>
              </w:rPr>
              <w:t>ANDR</w:t>
            </w:r>
            <w:r w:rsidR="00B552A8">
              <w:rPr>
                <w:rFonts w:ascii="Arial" w:hAnsi="Arial" w:cs="Arial"/>
                <w:b/>
                <w:sz w:val="22"/>
                <w:szCs w:val="22"/>
              </w:rPr>
              <w:t>E</w:t>
            </w:r>
            <w:r w:rsidR="00031BE1" w:rsidRPr="00031BE1">
              <w:rPr>
                <w:rFonts w:ascii="Arial" w:hAnsi="Arial" w:cs="Arial"/>
                <w:b/>
                <w:sz w:val="22"/>
                <w:szCs w:val="22"/>
              </w:rPr>
              <w:t xml:space="preserve"> CHAGAS LEITE DA FONSECA</w:t>
            </w:r>
          </w:p>
        </w:tc>
        <w:tc>
          <w:tcPr>
            <w:tcW w:w="4961" w:type="dxa"/>
          </w:tcPr>
          <w:p w14:paraId="087C3DC1" w14:textId="38FBEDE1" w:rsidR="00176086" w:rsidRPr="00520A45" w:rsidRDefault="00C66D24" w:rsidP="00046889">
            <w:pPr>
              <w:keepLines/>
              <w:tabs>
                <w:tab w:val="left" w:pos="851"/>
              </w:tabs>
              <w:jc w:val="center"/>
              <w:rPr>
                <w:rFonts w:ascii="Arial" w:hAnsi="Arial" w:cs="Arial"/>
                <w:b/>
                <w:sz w:val="22"/>
                <w:szCs w:val="22"/>
              </w:rPr>
            </w:pPr>
            <w:r>
              <w:t xml:space="preserve">     </w:t>
            </w:r>
            <w:r w:rsidR="00291197" w:rsidRPr="00291197">
              <w:rPr>
                <w:rFonts w:ascii="Arial" w:hAnsi="Arial" w:cs="Arial"/>
                <w:b/>
                <w:sz w:val="22"/>
                <w:szCs w:val="22"/>
              </w:rPr>
              <w:t>TATIANA R</w:t>
            </w:r>
            <w:r w:rsidR="00046889">
              <w:rPr>
                <w:rFonts w:ascii="Arial" w:hAnsi="Arial" w:cs="Arial"/>
                <w:b/>
                <w:sz w:val="22"/>
                <w:szCs w:val="22"/>
              </w:rPr>
              <w:t>Ú</w:t>
            </w:r>
            <w:r w:rsidR="00291197" w:rsidRPr="00291197">
              <w:rPr>
                <w:rFonts w:ascii="Arial" w:hAnsi="Arial" w:cs="Arial"/>
                <w:b/>
                <w:sz w:val="22"/>
                <w:szCs w:val="22"/>
              </w:rPr>
              <w:t>BIA MELO MIRANDA</w:t>
            </w:r>
          </w:p>
        </w:tc>
      </w:tr>
      <w:tr w:rsidR="00176086" w14:paraId="4EE6B390" w14:textId="77777777" w:rsidTr="00E74380">
        <w:tc>
          <w:tcPr>
            <w:tcW w:w="4962" w:type="dxa"/>
          </w:tcPr>
          <w:p w14:paraId="0A0FB5F3" w14:textId="76E0955D" w:rsidR="00176086" w:rsidRPr="00142DBE" w:rsidRDefault="00176086" w:rsidP="00176086">
            <w:pPr>
              <w:keepLines/>
              <w:tabs>
                <w:tab w:val="left" w:pos="851"/>
              </w:tabs>
              <w:jc w:val="center"/>
              <w:rPr>
                <w:rFonts w:ascii="Arial" w:hAnsi="Arial" w:cs="Arial"/>
                <w:sz w:val="22"/>
                <w:szCs w:val="22"/>
              </w:rPr>
            </w:pPr>
            <w:r w:rsidRPr="00142DBE">
              <w:rPr>
                <w:rFonts w:ascii="Arial" w:hAnsi="Arial" w:cs="Arial"/>
                <w:sz w:val="22"/>
                <w:szCs w:val="22"/>
              </w:rPr>
              <w:t>Diretoria Técnico-Operacional</w:t>
            </w:r>
          </w:p>
        </w:tc>
        <w:tc>
          <w:tcPr>
            <w:tcW w:w="4961" w:type="dxa"/>
          </w:tcPr>
          <w:p w14:paraId="17C3D59D" w14:textId="44066A1E" w:rsidR="00176086" w:rsidRPr="00142DBE" w:rsidRDefault="00291197" w:rsidP="00291197">
            <w:pPr>
              <w:keepLines/>
              <w:tabs>
                <w:tab w:val="left" w:pos="851"/>
              </w:tabs>
              <w:jc w:val="center"/>
              <w:rPr>
                <w:rFonts w:ascii="Arial" w:hAnsi="Arial" w:cs="Arial"/>
                <w:sz w:val="22"/>
                <w:szCs w:val="22"/>
              </w:rPr>
            </w:pPr>
            <w:r>
              <w:rPr>
                <w:rFonts w:ascii="Arial" w:hAnsi="Arial" w:cs="Arial"/>
                <w:sz w:val="22"/>
                <w:szCs w:val="22"/>
              </w:rPr>
              <w:t xml:space="preserve">       </w:t>
            </w:r>
            <w:r w:rsidR="006824B3" w:rsidRPr="00142DBE">
              <w:rPr>
                <w:rFonts w:ascii="Arial" w:hAnsi="Arial" w:cs="Arial"/>
                <w:sz w:val="22"/>
                <w:szCs w:val="22"/>
              </w:rPr>
              <w:t>Diretoria Administrativo-Financeira</w:t>
            </w:r>
            <w:r w:rsidR="006824B3">
              <w:rPr>
                <w:rFonts w:ascii="Arial" w:hAnsi="Arial" w:cs="Arial"/>
                <w:sz w:val="22"/>
                <w:szCs w:val="22"/>
              </w:rPr>
              <w:t xml:space="preserve"> e de Relações com Investidores</w:t>
            </w:r>
          </w:p>
        </w:tc>
      </w:tr>
    </w:tbl>
    <w:p w14:paraId="233B0456" w14:textId="6937C0B5" w:rsidR="00C46955" w:rsidRDefault="00C46955" w:rsidP="005E67D9">
      <w:pPr>
        <w:keepLines/>
        <w:tabs>
          <w:tab w:val="left" w:pos="851"/>
        </w:tabs>
        <w:jc w:val="both"/>
        <w:rPr>
          <w:rFonts w:ascii="Arial" w:hAnsi="Arial" w:cs="Arial"/>
          <w:sz w:val="14"/>
          <w:szCs w:val="14"/>
        </w:rPr>
      </w:pPr>
    </w:p>
    <w:p w14:paraId="38D72E0C" w14:textId="77777777" w:rsidR="003012BC" w:rsidRDefault="003012BC" w:rsidP="005E67D9">
      <w:pPr>
        <w:keepLines/>
        <w:tabs>
          <w:tab w:val="left" w:pos="851"/>
        </w:tabs>
        <w:jc w:val="both"/>
        <w:rPr>
          <w:rFonts w:ascii="Arial" w:hAnsi="Arial" w:cs="Arial"/>
          <w:sz w:val="14"/>
          <w:szCs w:val="14"/>
        </w:rPr>
      </w:pPr>
    </w:p>
    <w:p w14:paraId="3E25265E" w14:textId="77777777" w:rsidR="00D8396F" w:rsidRPr="000935A0" w:rsidRDefault="00D8396F" w:rsidP="005E67D9">
      <w:pPr>
        <w:keepLines/>
        <w:tabs>
          <w:tab w:val="left" w:pos="851"/>
        </w:tabs>
        <w:jc w:val="both"/>
        <w:rPr>
          <w:rFonts w:ascii="Arial" w:hAnsi="Arial" w:cs="Arial"/>
          <w:sz w:val="4"/>
          <w:szCs w:val="4"/>
        </w:rPr>
      </w:pPr>
    </w:p>
    <w:tbl>
      <w:tblPr>
        <w:tblStyle w:val="Tabelacomgrade"/>
        <w:tblpPr w:leftFromText="141" w:rightFromText="141"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1"/>
      </w:tblGrid>
      <w:tr w:rsidR="00DA16CD" w14:paraId="5D1972DE" w14:textId="77777777" w:rsidTr="00DA16CD">
        <w:trPr>
          <w:trHeight w:val="183"/>
        </w:trPr>
        <w:tc>
          <w:tcPr>
            <w:tcW w:w="4720" w:type="dxa"/>
          </w:tcPr>
          <w:p w14:paraId="7A820409" w14:textId="1C18E04B" w:rsidR="00DA16CD" w:rsidRPr="00520A45" w:rsidRDefault="009625D7" w:rsidP="007E18D7">
            <w:pPr>
              <w:jc w:val="center"/>
              <w:rPr>
                <w:rFonts w:ascii="Arial" w:hAnsi="Arial" w:cs="Arial"/>
                <w:b/>
                <w:sz w:val="22"/>
                <w:szCs w:val="22"/>
              </w:rPr>
            </w:pPr>
            <w:r w:rsidRPr="009625D7">
              <w:rPr>
                <w:rFonts w:ascii="Arial" w:hAnsi="Arial" w:cs="Arial"/>
                <w:b/>
                <w:sz w:val="22"/>
                <w:szCs w:val="22"/>
              </w:rPr>
              <w:t>LEVI PEREIRA FIGUEIREDO NETO</w:t>
            </w:r>
            <w:r w:rsidR="00DA16CD">
              <w:rPr>
                <w:rFonts w:ascii="Arial" w:hAnsi="Arial" w:cs="Arial"/>
                <w:sz w:val="22"/>
                <w:szCs w:val="22"/>
              </w:rPr>
              <w:t xml:space="preserve">  </w:t>
            </w:r>
            <w:r>
              <w:rPr>
                <w:rFonts w:ascii="Arial" w:hAnsi="Arial" w:cs="Arial"/>
                <w:sz w:val="22"/>
                <w:szCs w:val="22"/>
              </w:rPr>
              <w:t xml:space="preserve">                                                                                                                                                                                     D</w:t>
            </w:r>
            <w:r w:rsidR="00DA16CD">
              <w:rPr>
                <w:rFonts w:ascii="Arial" w:hAnsi="Arial" w:cs="Arial"/>
                <w:sz w:val="22"/>
                <w:szCs w:val="22"/>
              </w:rPr>
              <w:t>iretoria</w:t>
            </w:r>
            <w:r>
              <w:rPr>
                <w:rFonts w:ascii="Arial" w:hAnsi="Arial" w:cs="Arial"/>
                <w:sz w:val="22"/>
                <w:szCs w:val="22"/>
              </w:rPr>
              <w:t xml:space="preserve"> </w:t>
            </w:r>
            <w:r w:rsidR="00DA16CD">
              <w:rPr>
                <w:rFonts w:ascii="Arial" w:hAnsi="Arial" w:cs="Arial"/>
                <w:sz w:val="22"/>
                <w:szCs w:val="22"/>
              </w:rPr>
              <w:t>Comercial</w:t>
            </w:r>
          </w:p>
        </w:tc>
        <w:tc>
          <w:tcPr>
            <w:tcW w:w="4721" w:type="dxa"/>
          </w:tcPr>
          <w:p w14:paraId="0AB7374F" w14:textId="4177C8A7" w:rsidR="007E097A" w:rsidRDefault="007E097A" w:rsidP="00DA16CD">
            <w:pPr>
              <w:keepLines/>
              <w:tabs>
                <w:tab w:val="left" w:pos="851"/>
              </w:tabs>
              <w:jc w:val="center"/>
              <w:rPr>
                <w:rFonts w:ascii="Arial" w:hAnsi="Arial" w:cs="Arial"/>
                <w:b/>
                <w:sz w:val="22"/>
                <w:szCs w:val="22"/>
              </w:rPr>
            </w:pPr>
            <w:r w:rsidRPr="007E097A">
              <w:rPr>
                <w:rFonts w:ascii="Arial" w:hAnsi="Arial" w:cs="Arial"/>
                <w:b/>
                <w:sz w:val="22"/>
                <w:szCs w:val="22"/>
              </w:rPr>
              <w:t>A</w:t>
            </w:r>
            <w:r w:rsidR="00D67DF7">
              <w:rPr>
                <w:rFonts w:ascii="Arial" w:hAnsi="Arial" w:cs="Arial"/>
                <w:b/>
                <w:sz w:val="22"/>
                <w:szCs w:val="22"/>
              </w:rPr>
              <w:t>É</w:t>
            </w:r>
            <w:r w:rsidRPr="007E097A">
              <w:rPr>
                <w:rFonts w:ascii="Arial" w:hAnsi="Arial" w:cs="Arial"/>
                <w:b/>
                <w:sz w:val="22"/>
                <w:szCs w:val="22"/>
              </w:rPr>
              <w:t>CIO PRADO DANTAS JUNIOR</w:t>
            </w:r>
          </w:p>
          <w:p w14:paraId="383B7C39" w14:textId="29C8782E" w:rsidR="00DA16CD" w:rsidRPr="00DC3E90" w:rsidRDefault="006824B3" w:rsidP="00DA16CD">
            <w:pPr>
              <w:keepLines/>
              <w:tabs>
                <w:tab w:val="left" w:pos="851"/>
              </w:tabs>
              <w:jc w:val="center"/>
              <w:rPr>
                <w:rFonts w:ascii="Arial" w:hAnsi="Arial" w:cs="Arial"/>
                <w:b/>
                <w:sz w:val="22"/>
                <w:szCs w:val="22"/>
              </w:rPr>
            </w:pPr>
            <w:r>
              <w:rPr>
                <w:rFonts w:ascii="Arial" w:hAnsi="Arial" w:cs="Arial"/>
                <w:sz w:val="22"/>
                <w:szCs w:val="22"/>
              </w:rPr>
              <w:t>Diretoria de Governança</w:t>
            </w:r>
          </w:p>
        </w:tc>
      </w:tr>
      <w:tr w:rsidR="00DA16CD" w14:paraId="413B849F" w14:textId="77777777" w:rsidTr="00DA16CD">
        <w:trPr>
          <w:trHeight w:val="366"/>
        </w:trPr>
        <w:tc>
          <w:tcPr>
            <w:tcW w:w="4720" w:type="dxa"/>
          </w:tcPr>
          <w:p w14:paraId="34589886" w14:textId="77777777" w:rsidR="00DA16CD" w:rsidRDefault="00DA16CD" w:rsidP="00DA16CD">
            <w:pPr>
              <w:keepLines/>
              <w:tabs>
                <w:tab w:val="left" w:pos="851"/>
              </w:tabs>
              <w:rPr>
                <w:rFonts w:ascii="Arial" w:hAnsi="Arial" w:cs="Arial"/>
                <w:sz w:val="22"/>
                <w:szCs w:val="22"/>
              </w:rPr>
            </w:pPr>
            <w:r>
              <w:rPr>
                <w:rFonts w:ascii="Arial" w:hAnsi="Arial" w:cs="Arial"/>
                <w:sz w:val="22"/>
                <w:szCs w:val="22"/>
              </w:rPr>
              <w:t xml:space="preserve">         </w:t>
            </w:r>
          </w:p>
        </w:tc>
        <w:tc>
          <w:tcPr>
            <w:tcW w:w="4721" w:type="dxa"/>
          </w:tcPr>
          <w:p w14:paraId="45E01968" w14:textId="77777777" w:rsidR="00DA16CD" w:rsidRDefault="00DA16CD" w:rsidP="00DA16CD">
            <w:pPr>
              <w:keepLines/>
              <w:tabs>
                <w:tab w:val="left" w:pos="851"/>
              </w:tabs>
              <w:jc w:val="center"/>
              <w:rPr>
                <w:rFonts w:ascii="Arial" w:hAnsi="Arial" w:cs="Arial"/>
                <w:sz w:val="22"/>
                <w:szCs w:val="22"/>
              </w:rPr>
            </w:pPr>
          </w:p>
        </w:tc>
      </w:tr>
    </w:tbl>
    <w:p w14:paraId="49F8C4DB" w14:textId="77777777" w:rsidR="00E74380" w:rsidRPr="000935A0" w:rsidRDefault="00E74380" w:rsidP="005E67D9">
      <w:pPr>
        <w:keepLines/>
        <w:tabs>
          <w:tab w:val="left" w:pos="851"/>
        </w:tabs>
        <w:jc w:val="both"/>
        <w:rPr>
          <w:rFonts w:ascii="Arial" w:hAnsi="Arial" w:cs="Arial"/>
          <w:sz w:val="6"/>
          <w:szCs w:val="6"/>
        </w:rPr>
      </w:pPr>
    </w:p>
    <w:p w14:paraId="012384DE" w14:textId="77777777" w:rsidR="00C46955" w:rsidRPr="007E7D26" w:rsidRDefault="00C46955" w:rsidP="005E67D9">
      <w:pPr>
        <w:keepLines/>
        <w:tabs>
          <w:tab w:val="left" w:pos="851"/>
        </w:tabs>
        <w:jc w:val="both"/>
        <w:rPr>
          <w:rFonts w:ascii="Arial" w:hAnsi="Arial" w:cs="Arial"/>
          <w:sz w:val="2"/>
          <w:szCs w:val="2"/>
        </w:rPr>
      </w:pPr>
    </w:p>
    <w:p w14:paraId="117FDD07" w14:textId="0811E109" w:rsidR="00D218AB" w:rsidRPr="005B66F8" w:rsidRDefault="00C66D24" w:rsidP="005E67D9">
      <w:pPr>
        <w:keepLines/>
        <w:tabs>
          <w:tab w:val="left" w:pos="851"/>
        </w:tabs>
        <w:jc w:val="center"/>
        <w:rPr>
          <w:rFonts w:ascii="Arial" w:hAnsi="Arial" w:cs="Arial"/>
          <w:b/>
          <w:sz w:val="22"/>
          <w:szCs w:val="22"/>
        </w:rPr>
      </w:pPr>
      <w:r w:rsidRPr="005B66F8">
        <w:rPr>
          <w:rFonts w:ascii="Arial" w:hAnsi="Arial" w:cs="Arial"/>
          <w:b/>
          <w:sz w:val="22"/>
          <w:szCs w:val="22"/>
        </w:rPr>
        <w:t>ARTUR JOSÉ SIMÃO PEDREIRA</w:t>
      </w:r>
    </w:p>
    <w:p w14:paraId="5C39C48F" w14:textId="2BC92099" w:rsidR="00FC46B8" w:rsidRDefault="005E67D9" w:rsidP="00807BD0">
      <w:pPr>
        <w:keepLines/>
        <w:tabs>
          <w:tab w:val="left" w:pos="851"/>
        </w:tabs>
        <w:jc w:val="center"/>
        <w:rPr>
          <w:rFonts w:ascii="Arial" w:hAnsi="Arial" w:cs="Arial"/>
          <w:sz w:val="22"/>
          <w:szCs w:val="22"/>
        </w:rPr>
      </w:pPr>
      <w:r w:rsidRPr="00EE4818">
        <w:rPr>
          <w:rFonts w:ascii="Arial" w:hAnsi="Arial" w:cs="Arial"/>
          <w:sz w:val="22"/>
          <w:szCs w:val="22"/>
        </w:rPr>
        <w:t xml:space="preserve">Contador CRC/DF </w:t>
      </w:r>
      <w:r w:rsidR="00EE4818" w:rsidRPr="00EE4818">
        <w:rPr>
          <w:rFonts w:ascii="Arial" w:hAnsi="Arial" w:cs="Arial"/>
          <w:sz w:val="22"/>
          <w:szCs w:val="22"/>
        </w:rPr>
        <w:t>008412</w:t>
      </w:r>
      <w:r w:rsidR="00051011" w:rsidRPr="00EE4818">
        <w:rPr>
          <w:rFonts w:ascii="Arial" w:hAnsi="Arial" w:cs="Arial"/>
          <w:sz w:val="22"/>
          <w:szCs w:val="22"/>
        </w:rPr>
        <w:t>/</w:t>
      </w:r>
      <w:r w:rsidR="00EE4818" w:rsidRPr="00EE4818">
        <w:rPr>
          <w:rFonts w:ascii="Arial" w:hAnsi="Arial" w:cs="Arial"/>
          <w:sz w:val="22"/>
          <w:szCs w:val="22"/>
        </w:rPr>
        <w:t>0</w:t>
      </w:r>
      <w:bookmarkEnd w:id="2"/>
      <w:r w:rsidR="00EE4818" w:rsidRPr="00EE4818">
        <w:rPr>
          <w:rFonts w:ascii="Arial" w:hAnsi="Arial" w:cs="Arial"/>
          <w:sz w:val="22"/>
          <w:szCs w:val="22"/>
        </w:rPr>
        <w:t>-9</w:t>
      </w:r>
    </w:p>
    <w:sectPr w:rsidR="00FC46B8" w:rsidSect="001158FB">
      <w:footerReference w:type="default" r:id="rId42"/>
      <w:type w:val="continuous"/>
      <w:pgSz w:w="11906" w:h="16838" w:code="9"/>
      <w:pgMar w:top="848" w:right="849" w:bottom="993" w:left="1276" w:header="107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E91E" w14:textId="77777777" w:rsidR="008C1923" w:rsidRDefault="008C1923" w:rsidP="005953F3">
      <w:r>
        <w:separator/>
      </w:r>
    </w:p>
  </w:endnote>
  <w:endnote w:type="continuationSeparator" w:id="0">
    <w:p w14:paraId="1E17ED26" w14:textId="77777777" w:rsidR="008C1923" w:rsidRDefault="008C1923" w:rsidP="005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M Sans">
    <w:charset w:val="00"/>
    <w:family w:val="auto"/>
    <w:pitch w:val="variable"/>
    <w:sig w:usb0="8000002F" w:usb1="5000205B" w:usb2="00000000" w:usb3="00000000" w:csb0="00000093" w:csb1="00000000"/>
  </w:font>
  <w:font w:name="Stone 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31E" w14:textId="7740C436" w:rsidR="00525891" w:rsidRPr="00D75703" w:rsidRDefault="00525891">
    <w:pPr>
      <w:pStyle w:val="Rodap"/>
      <w:jc w:val="right"/>
      <w:rPr>
        <w:rFonts w:ascii="Arial" w:hAnsi="Arial" w:cs="Arial"/>
        <w:sz w:val="18"/>
        <w:szCs w:val="18"/>
      </w:rPr>
    </w:pPr>
  </w:p>
  <w:p w14:paraId="6FEFF89C" w14:textId="77777777" w:rsidR="00525891" w:rsidRDefault="00525891">
    <w:pPr>
      <w:pStyle w:val="Rodap"/>
    </w:pPr>
  </w:p>
  <w:p w14:paraId="64217C78" w14:textId="77777777" w:rsidR="00525891" w:rsidRDefault="0052589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245231"/>
      <w:docPartObj>
        <w:docPartGallery w:val="Page Numbers (Bottom of Page)"/>
        <w:docPartUnique/>
      </w:docPartObj>
    </w:sdtPr>
    <w:sdtEndPr/>
    <w:sdtContent>
      <w:p w14:paraId="0C142E32" w14:textId="6F08DAC2" w:rsidR="00525891" w:rsidRPr="007A5D5D" w:rsidRDefault="00E82BC9" w:rsidP="007A5D5D">
        <w:pPr>
          <w:pStyle w:val="Rodap"/>
          <w:jc w:val="right"/>
          <w:rPr>
            <w:color w:val="000044"/>
            <w:sz w:val="16"/>
            <w:szCs w:val="16"/>
          </w:rPr>
        </w:pPr>
        <w:r>
          <w:t>7</w:t>
        </w:r>
      </w:p>
      <w:p w14:paraId="7D3CEC22" w14:textId="77777777" w:rsidR="00525891" w:rsidRDefault="00243534">
        <w:pPr>
          <w:pStyle w:val="Rodap"/>
          <w:jc w:val="right"/>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75414"/>
      <w:docPartObj>
        <w:docPartGallery w:val="Page Numbers (Bottom of Page)"/>
        <w:docPartUnique/>
      </w:docPartObj>
    </w:sdtPr>
    <w:sdtEndPr/>
    <w:sdtContent>
      <w:p w14:paraId="67F8114F" w14:textId="46AFA169" w:rsidR="00525891" w:rsidRDefault="00525891" w:rsidP="00E32379">
        <w:pPr>
          <w:pStyle w:val="Rodap"/>
          <w:ind w:right="-144"/>
          <w:jc w:val="right"/>
        </w:pPr>
        <w:r>
          <w:fldChar w:fldCharType="begin"/>
        </w:r>
        <w:r>
          <w:instrText>PAGE   \* MERGEFORMAT</w:instrText>
        </w:r>
        <w:r>
          <w:fldChar w:fldCharType="separate"/>
        </w:r>
        <w:r>
          <w:rPr>
            <w:noProof/>
          </w:rPr>
          <w:t>7</w:t>
        </w:r>
        <w:r>
          <w:fldChar w:fldCharType="end"/>
        </w:r>
      </w:p>
    </w:sdtContent>
  </w:sdt>
  <w:p w14:paraId="56E716DF" w14:textId="59E2AC47"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50508"/>
      <w:docPartObj>
        <w:docPartGallery w:val="Page Numbers (Bottom of Page)"/>
        <w:docPartUnique/>
      </w:docPartObj>
    </w:sdtPr>
    <w:sdtEndPr>
      <w:rPr>
        <w:sz w:val="18"/>
        <w:szCs w:val="18"/>
      </w:rPr>
    </w:sdtEndPr>
    <w:sdtContent>
      <w:p w14:paraId="0CB23643" w14:textId="26F3854B" w:rsidR="00525891" w:rsidRPr="00F54F45" w:rsidRDefault="00525891">
        <w:pPr>
          <w:pStyle w:val="Rodap"/>
          <w:jc w:val="right"/>
          <w:rPr>
            <w:sz w:val="18"/>
            <w:szCs w:val="18"/>
          </w:rPr>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0C0008">
          <w:rPr>
            <w:noProof/>
            <w:sz w:val="18"/>
            <w:szCs w:val="18"/>
          </w:rPr>
          <w:t>9</w:t>
        </w:r>
        <w:r w:rsidRPr="00F54F45">
          <w:rPr>
            <w:sz w:val="18"/>
            <w:szCs w:val="18"/>
          </w:rPr>
          <w:fldChar w:fldCharType="end"/>
        </w:r>
      </w:p>
    </w:sdtContent>
  </w:sdt>
  <w:p w14:paraId="3D18FE19" w14:textId="2423CE68"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55981"/>
      <w:docPartObj>
        <w:docPartGallery w:val="Page Numbers (Bottom of Page)"/>
        <w:docPartUnique/>
      </w:docPartObj>
    </w:sdtPr>
    <w:sdtEndPr/>
    <w:sdtContent>
      <w:p w14:paraId="0D15F869" w14:textId="528377A4" w:rsidR="00525891" w:rsidRPr="007A5D5D" w:rsidRDefault="00525891" w:rsidP="007A5D5D">
        <w:pPr>
          <w:pStyle w:val="Rodap"/>
          <w:jc w:val="right"/>
          <w:rPr>
            <w:color w:val="000044"/>
            <w:sz w:val="16"/>
            <w:szCs w:val="16"/>
          </w:rPr>
        </w:pPr>
        <w:r>
          <w:rPr>
            <w:rStyle w:val="Nmerodepgina"/>
            <w:snapToGrid w:val="0"/>
            <w:sz w:val="18"/>
            <w:szCs w:val="18"/>
          </w:rPr>
          <w:t>10</w:t>
        </w:r>
      </w:p>
      <w:p w14:paraId="1EE795B6" w14:textId="77777777" w:rsidR="00525891" w:rsidRDefault="00243534">
        <w:pPr>
          <w:pStyle w:val="Rodap"/>
          <w:jc w:val="right"/>
        </w:pPr>
      </w:p>
    </w:sdtContent>
  </w:sdt>
  <w:p w14:paraId="3567181F"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21184"/>
      <w:docPartObj>
        <w:docPartGallery w:val="Page Numbers (Bottom of Page)"/>
        <w:docPartUnique/>
      </w:docPartObj>
    </w:sdtPr>
    <w:sdtEndPr/>
    <w:sdtContent>
      <w:p w14:paraId="2AF736F0" w14:textId="06A4477E" w:rsidR="00525891" w:rsidRDefault="00525891" w:rsidP="00E32379">
        <w:pPr>
          <w:pStyle w:val="Rodap"/>
          <w:ind w:right="282"/>
          <w:jc w:val="right"/>
        </w:pPr>
        <w:r w:rsidRPr="00F54F45">
          <w:rPr>
            <w:sz w:val="18"/>
            <w:szCs w:val="18"/>
          </w:rPr>
          <w:fldChar w:fldCharType="begin"/>
        </w:r>
        <w:r w:rsidRPr="00F54F45">
          <w:rPr>
            <w:sz w:val="18"/>
            <w:szCs w:val="18"/>
          </w:rPr>
          <w:instrText>PAGE   \* MERGEFORMAT</w:instrText>
        </w:r>
        <w:r w:rsidRPr="00F54F45">
          <w:rPr>
            <w:sz w:val="18"/>
            <w:szCs w:val="18"/>
          </w:rPr>
          <w:fldChar w:fldCharType="separate"/>
        </w:r>
        <w:r w:rsidR="000C0008">
          <w:rPr>
            <w:noProof/>
            <w:sz w:val="18"/>
            <w:szCs w:val="18"/>
          </w:rPr>
          <w:t>11</w:t>
        </w:r>
        <w:r w:rsidRPr="00F54F45">
          <w:rPr>
            <w:sz w:val="18"/>
            <w:szCs w:val="18"/>
          </w:rPr>
          <w:fldChar w:fldCharType="end"/>
        </w:r>
      </w:p>
    </w:sdtContent>
  </w:sdt>
  <w:p w14:paraId="323312ED" w14:textId="1ECC9EDD"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077474"/>
      <w:docPartObj>
        <w:docPartGallery w:val="Page Numbers (Bottom of Page)"/>
        <w:docPartUnique/>
      </w:docPartObj>
    </w:sdtPr>
    <w:sdtEndPr/>
    <w:sdtContent>
      <w:p w14:paraId="3268C985" w14:textId="63B4AA0A" w:rsidR="00525891" w:rsidRDefault="00525891">
        <w:pPr>
          <w:pStyle w:val="Rodap"/>
          <w:jc w:val="right"/>
        </w:pPr>
        <w:r>
          <w:fldChar w:fldCharType="begin"/>
        </w:r>
        <w:r>
          <w:instrText>PAGE   \* MERGEFORMAT</w:instrText>
        </w:r>
        <w:r>
          <w:fldChar w:fldCharType="separate"/>
        </w:r>
        <w:r w:rsidR="000C0008">
          <w:rPr>
            <w:noProof/>
          </w:rPr>
          <w:t>14</w:t>
        </w:r>
        <w:r>
          <w:fldChar w:fldCharType="end"/>
        </w:r>
      </w:p>
    </w:sdtContent>
  </w:sdt>
  <w:p w14:paraId="61CDF33A" w14:textId="40F92E0F" w:rsidR="00525891" w:rsidRDefault="00525891" w:rsidP="00873160">
    <w:pPr>
      <w:pStyle w:val="Rodap"/>
      <w:tabs>
        <w:tab w:val="clear" w:pos="8640"/>
        <w:tab w:val="left" w:pos="2715"/>
        <w:tab w:val="left" w:pos="3915"/>
        <w:tab w:val="right" w:pos="9781"/>
      </w:tabs>
      <w:ind w:firstLine="142"/>
      <w:rPr>
        <w:rStyle w:val="Nmerodepgina"/>
        <w:snapToGrid w:val="0"/>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85613"/>
      <w:docPartObj>
        <w:docPartGallery w:val="Page Numbers (Bottom of Page)"/>
        <w:docPartUnique/>
      </w:docPartObj>
    </w:sdtPr>
    <w:sdtEndPr/>
    <w:sdtContent>
      <w:p w14:paraId="5232CD54" w14:textId="6DB695AC" w:rsidR="00525891" w:rsidRDefault="00525891">
        <w:pPr>
          <w:pStyle w:val="Rodap"/>
          <w:jc w:val="right"/>
        </w:pPr>
        <w:r>
          <w:fldChar w:fldCharType="begin"/>
        </w:r>
        <w:r>
          <w:instrText>PAGE   \* MERGEFORMAT</w:instrText>
        </w:r>
        <w:r>
          <w:fldChar w:fldCharType="separate"/>
        </w:r>
        <w:r w:rsidR="000C0008">
          <w:rPr>
            <w:noProof/>
          </w:rPr>
          <w:t>18</w:t>
        </w:r>
        <w:r>
          <w:fldChar w:fldCharType="end"/>
        </w:r>
      </w:p>
    </w:sdtContent>
  </w:sdt>
  <w:p w14:paraId="01FBFDF7" w14:textId="77777777"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096779"/>
      <w:docPartObj>
        <w:docPartGallery w:val="Page Numbers (Bottom of Page)"/>
        <w:docPartUnique/>
      </w:docPartObj>
    </w:sdtPr>
    <w:sdtEndPr/>
    <w:sdtContent>
      <w:p w14:paraId="2E2F1C72" w14:textId="77777777" w:rsidR="00832984" w:rsidRDefault="00832984">
        <w:pPr>
          <w:pStyle w:val="Rodap"/>
          <w:jc w:val="right"/>
        </w:pPr>
        <w:r>
          <w:fldChar w:fldCharType="begin"/>
        </w:r>
        <w:r>
          <w:instrText>PAGE   \* MERGEFORMAT</w:instrText>
        </w:r>
        <w:r>
          <w:fldChar w:fldCharType="separate"/>
        </w:r>
        <w:r>
          <w:rPr>
            <w:noProof/>
          </w:rPr>
          <w:t>11</w:t>
        </w:r>
        <w:r>
          <w:fldChar w:fldCharType="end"/>
        </w:r>
      </w:p>
    </w:sdtContent>
  </w:sdt>
  <w:p w14:paraId="606301DA" w14:textId="77777777" w:rsidR="00832984" w:rsidRPr="0027091B" w:rsidRDefault="00832984"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47244"/>
      <w:docPartObj>
        <w:docPartGallery w:val="Page Numbers (Bottom of Page)"/>
        <w:docPartUnique/>
      </w:docPartObj>
    </w:sdtPr>
    <w:sdtEndPr/>
    <w:sdtContent>
      <w:p w14:paraId="6DB5B234" w14:textId="63BFF7D1" w:rsidR="00525891" w:rsidRDefault="00525891">
        <w:pPr>
          <w:pStyle w:val="Rodap"/>
          <w:jc w:val="right"/>
        </w:pPr>
        <w:r>
          <w:fldChar w:fldCharType="begin"/>
        </w:r>
        <w:r>
          <w:instrText>PAGE   \* MERGEFORMAT</w:instrText>
        </w:r>
        <w:r>
          <w:fldChar w:fldCharType="separate"/>
        </w:r>
        <w:r w:rsidR="000C0008">
          <w:rPr>
            <w:noProof/>
          </w:rPr>
          <w:t>26</w:t>
        </w:r>
        <w:r>
          <w:fldChar w:fldCharType="end"/>
        </w:r>
      </w:p>
    </w:sdtContent>
  </w:sdt>
  <w:p w14:paraId="189EC0C0" w14:textId="3E1CB0C1"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44718"/>
      <w:docPartObj>
        <w:docPartGallery w:val="Page Numbers (Bottom of Page)"/>
        <w:docPartUnique/>
      </w:docPartObj>
    </w:sdtPr>
    <w:sdtEndPr/>
    <w:sdtContent>
      <w:p w14:paraId="4A045AA2" w14:textId="096C94C3" w:rsidR="00525891" w:rsidRDefault="00525891">
        <w:pPr>
          <w:pStyle w:val="Rodap"/>
          <w:jc w:val="right"/>
        </w:pPr>
        <w:r>
          <w:fldChar w:fldCharType="begin"/>
        </w:r>
        <w:r>
          <w:instrText>PAGE   \* MERGEFORMAT</w:instrText>
        </w:r>
        <w:r>
          <w:fldChar w:fldCharType="separate"/>
        </w:r>
        <w:r w:rsidR="000C0008">
          <w:rPr>
            <w:noProof/>
          </w:rPr>
          <w:t>33</w:t>
        </w:r>
        <w:r>
          <w:fldChar w:fldCharType="end"/>
        </w:r>
      </w:p>
    </w:sdtContent>
  </w:sdt>
  <w:p w14:paraId="3CE11F3E" w14:textId="13B9627F"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8F3B" w14:textId="50334894" w:rsidR="00525891" w:rsidRPr="00C90917" w:rsidRDefault="00525891">
    <w:pPr>
      <w:pStyle w:val="Rodap"/>
      <w:jc w:val="right"/>
      <w:rPr>
        <w:rFonts w:ascii="Arial" w:hAnsi="Arial" w:cs="Arial"/>
      </w:rPr>
    </w:pPr>
  </w:p>
  <w:p w14:paraId="0C95FA94" w14:textId="77777777" w:rsidR="00525891" w:rsidRPr="008A1499" w:rsidRDefault="00525891" w:rsidP="007B4CFF">
    <w:pPr>
      <w:pStyle w:val="Rodap"/>
      <w:tabs>
        <w:tab w:val="left" w:pos="2715"/>
        <w:tab w:val="left" w:pos="3915"/>
      </w:tabs>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Reo 1-11/20 OS N</w:t>
    </w:r>
    <w:r w:rsidRPr="008A1499">
      <w:rPr>
        <w:rStyle w:val="Nmerodepgina"/>
        <w:rFonts w:ascii="Century Gothic" w:hAnsi="Century Gothic"/>
        <w:snapToGrid w:val="0"/>
        <w:sz w:val="16"/>
        <w:szCs w:val="16"/>
        <w:u w:val="single"/>
        <w:vertAlign w:val="superscript"/>
        <w:lang w:val="pt-BR"/>
      </w:rPr>
      <w:t>:</w:t>
    </w:r>
    <w:r w:rsidRPr="008A1499">
      <w:rPr>
        <w:rStyle w:val="Nmerodepgina"/>
        <w:rFonts w:ascii="Century Gothic" w:hAnsi="Century Gothic"/>
        <w:snapToGrid w:val="0"/>
        <w:sz w:val="16"/>
        <w:szCs w:val="16"/>
        <w:lang w:val="pt-BR"/>
      </w:rPr>
      <w:t xml:space="preserve"> 4928</w:t>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r w:rsidRPr="008A1499">
      <w:rPr>
        <w:rStyle w:val="Nmerodepgina"/>
        <w:rFonts w:ascii="Century Gothic" w:hAnsi="Century Gothic"/>
        <w:snapToGrid w:val="0"/>
        <w:sz w:val="16"/>
        <w:szCs w:val="16"/>
        <w:lang w:val="pt-BR"/>
      </w:rPr>
      <w:tab/>
    </w:r>
  </w:p>
  <w:p w14:paraId="70BAB70F" w14:textId="77777777" w:rsidR="00525891" w:rsidRPr="008A1499" w:rsidRDefault="00525891" w:rsidP="007B4CFF">
    <w:pPr>
      <w:pStyle w:val="Rodap"/>
      <w:rPr>
        <w:rStyle w:val="Nmerodepgina"/>
        <w:rFonts w:ascii="Century Gothic" w:hAnsi="Century Gothic"/>
        <w:snapToGrid w:val="0"/>
        <w:sz w:val="16"/>
        <w:szCs w:val="16"/>
        <w:lang w:val="pt-BR"/>
      </w:rPr>
    </w:pPr>
    <w:r w:rsidRPr="008A1499">
      <w:rPr>
        <w:rStyle w:val="Nmerodepgina"/>
        <w:rFonts w:ascii="Century Gothic" w:hAnsi="Century Gothic"/>
        <w:snapToGrid w:val="0"/>
        <w:sz w:val="16"/>
        <w:szCs w:val="16"/>
        <w:lang w:val="pt-BR"/>
      </w:rPr>
      <w:t>Formulário CAR 03</w:t>
    </w:r>
  </w:p>
  <w:p w14:paraId="460DBC9A" w14:textId="77777777" w:rsidR="00525891" w:rsidRPr="008A1499" w:rsidRDefault="00525891" w:rsidP="007B4CFF">
    <w:pPr>
      <w:pStyle w:val="Rodap"/>
      <w:ind w:firstLine="142"/>
      <w:rPr>
        <w:rStyle w:val="Nmerodepgina"/>
        <w:rFonts w:ascii="Century Gothic" w:hAnsi="Century Gothic"/>
        <w:snapToGrid w:val="0"/>
        <w:sz w:val="16"/>
        <w:szCs w:val="16"/>
        <w:lang w:val="pt-BR"/>
      </w:rPr>
    </w:pPr>
  </w:p>
  <w:p w14:paraId="1809270E" w14:textId="77777777" w:rsidR="00525891" w:rsidRPr="008D05D3" w:rsidRDefault="00525891" w:rsidP="007B4CFF">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322C0606" w14:textId="77777777" w:rsidR="00525891" w:rsidRPr="00146F66" w:rsidRDefault="00525891" w:rsidP="007B4CFF">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DEFE806" w14:textId="77777777" w:rsidR="00525891" w:rsidRDefault="00525891" w:rsidP="007B4CFF">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7A511D5" w14:textId="77777777" w:rsidR="00525891" w:rsidRDefault="00525891" w:rsidP="007B4CFF">
    <w:pPr>
      <w:spacing w:line="140" w:lineRule="exact"/>
      <w:ind w:left="-115"/>
      <w:jc w:val="both"/>
      <w:rPr>
        <w:rFonts w:cs="Arial"/>
        <w:color w:val="000044"/>
        <w:sz w:val="14"/>
        <w:szCs w:val="14"/>
      </w:rPr>
    </w:pPr>
    <w:r>
      <w:rPr>
        <w:rFonts w:cs="Arial"/>
        <w:color w:val="000044"/>
        <w:sz w:val="14"/>
        <w:szCs w:val="14"/>
      </w:rPr>
      <w:t>www.consultauditores.com.br</w:t>
    </w:r>
  </w:p>
  <w:p w14:paraId="72AA088B" w14:textId="77777777" w:rsidR="00525891" w:rsidRPr="008A1499" w:rsidRDefault="00525891" w:rsidP="007B4CFF">
    <w:pPr>
      <w:pStyle w:val="Rodap"/>
      <w:rPr>
        <w:rStyle w:val="Nmerodepgina"/>
        <w:snapToGrid w:val="0"/>
        <w:sz w:val="16"/>
        <w:lang w:val="pt-BR"/>
      </w:rPr>
    </w:pPr>
  </w:p>
  <w:p w14:paraId="23B7930B" w14:textId="77777777" w:rsidR="00525891" w:rsidRDefault="00525891">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85740"/>
      <w:docPartObj>
        <w:docPartGallery w:val="Page Numbers (Bottom of Page)"/>
        <w:docPartUnique/>
      </w:docPartObj>
    </w:sdtPr>
    <w:sdtEndPr/>
    <w:sdtContent>
      <w:p w14:paraId="5580DB66" w14:textId="47F3F6F0" w:rsidR="00525891" w:rsidRDefault="00525891">
        <w:pPr>
          <w:pStyle w:val="Rodap"/>
          <w:jc w:val="right"/>
        </w:pPr>
        <w:r>
          <w:fldChar w:fldCharType="begin"/>
        </w:r>
        <w:r>
          <w:instrText>PAGE   \* MERGEFORMAT</w:instrText>
        </w:r>
        <w:r>
          <w:fldChar w:fldCharType="separate"/>
        </w:r>
        <w:r w:rsidR="000C0008">
          <w:rPr>
            <w:noProof/>
          </w:rPr>
          <w:t>36</w:t>
        </w:r>
        <w:r>
          <w:fldChar w:fldCharType="end"/>
        </w:r>
      </w:p>
    </w:sdtContent>
  </w:sdt>
  <w:p w14:paraId="5E1E40E2" w14:textId="51C6DFB4"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65578"/>
      <w:docPartObj>
        <w:docPartGallery w:val="Page Numbers (Bottom of Page)"/>
        <w:docPartUnique/>
      </w:docPartObj>
    </w:sdtPr>
    <w:sdtEndPr/>
    <w:sdtContent>
      <w:p w14:paraId="09EB74AB" w14:textId="0543D946" w:rsidR="00525891" w:rsidRDefault="00525891">
        <w:pPr>
          <w:pStyle w:val="Rodap"/>
          <w:jc w:val="right"/>
        </w:pPr>
        <w:r>
          <w:fldChar w:fldCharType="begin"/>
        </w:r>
        <w:r>
          <w:instrText>PAGE   \* MERGEFORMAT</w:instrText>
        </w:r>
        <w:r>
          <w:fldChar w:fldCharType="separate"/>
        </w:r>
        <w:r w:rsidR="000C0008">
          <w:rPr>
            <w:noProof/>
          </w:rPr>
          <w:t>49</w:t>
        </w:r>
        <w:r>
          <w:fldChar w:fldCharType="end"/>
        </w:r>
      </w:p>
    </w:sdtContent>
  </w:sdt>
  <w:p w14:paraId="614A6193" w14:textId="29785F44"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24354"/>
      <w:docPartObj>
        <w:docPartGallery w:val="Page Numbers (Bottom of Page)"/>
        <w:docPartUnique/>
      </w:docPartObj>
    </w:sdtPr>
    <w:sdtEndPr/>
    <w:sdtContent>
      <w:p w14:paraId="5544FB69" w14:textId="77777777" w:rsidR="00150C32" w:rsidRDefault="00150C32">
        <w:pPr>
          <w:pStyle w:val="Rodap"/>
          <w:jc w:val="right"/>
        </w:pPr>
        <w:r>
          <w:fldChar w:fldCharType="begin"/>
        </w:r>
        <w:r>
          <w:instrText>PAGE   \* MERGEFORMAT</w:instrText>
        </w:r>
        <w:r>
          <w:fldChar w:fldCharType="separate"/>
        </w:r>
        <w:r>
          <w:rPr>
            <w:noProof/>
          </w:rPr>
          <w:t>44</w:t>
        </w:r>
        <w:r>
          <w:fldChar w:fldCharType="end"/>
        </w:r>
      </w:p>
    </w:sdtContent>
  </w:sdt>
  <w:p w14:paraId="526DBFAA" w14:textId="77777777" w:rsidR="00150C32" w:rsidRPr="0027091B" w:rsidRDefault="00150C32"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34594"/>
      <w:docPartObj>
        <w:docPartGallery w:val="Page Numbers (Bottom of Page)"/>
        <w:docPartUnique/>
      </w:docPartObj>
    </w:sdtPr>
    <w:sdtEndPr/>
    <w:sdtContent>
      <w:p w14:paraId="5C7F0F12" w14:textId="0AF4341E" w:rsidR="00525891" w:rsidRDefault="00525891">
        <w:pPr>
          <w:pStyle w:val="Rodap"/>
          <w:jc w:val="right"/>
        </w:pPr>
        <w:r>
          <w:fldChar w:fldCharType="begin"/>
        </w:r>
        <w:r>
          <w:instrText>PAGE   \* MERGEFORMAT</w:instrText>
        </w:r>
        <w:r>
          <w:fldChar w:fldCharType="separate"/>
        </w:r>
        <w:r w:rsidR="000C0008">
          <w:rPr>
            <w:noProof/>
          </w:rPr>
          <w:t>63</w:t>
        </w:r>
        <w:r>
          <w:fldChar w:fldCharType="end"/>
        </w:r>
      </w:p>
    </w:sdtContent>
  </w:sdt>
  <w:p w14:paraId="18F968E1" w14:textId="04D43843" w:rsidR="00525891" w:rsidRPr="0027091B" w:rsidRDefault="00525891" w:rsidP="003857B4">
    <w:pPr>
      <w:pStyle w:val="Rodap"/>
      <w:tabs>
        <w:tab w:val="left" w:pos="2715"/>
        <w:tab w:val="left" w:pos="3915"/>
      </w:tabs>
      <w:ind w:firstLine="142"/>
      <w:rPr>
        <w:rStyle w:val="Nmerodepgina"/>
        <w:rFonts w:ascii="Century Gothic" w:hAnsi="Century Gothic"/>
        <w:snapToGrid w:val="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48128"/>
      <w:docPartObj>
        <w:docPartGallery w:val="Page Numbers (Bottom of Page)"/>
        <w:docPartUnique/>
      </w:docPartObj>
    </w:sdtPr>
    <w:sdtEndPr>
      <w:rPr>
        <w:rFonts w:ascii="Arial" w:hAnsi="Arial" w:cs="Arial"/>
        <w:sz w:val="18"/>
        <w:szCs w:val="18"/>
      </w:rPr>
    </w:sdtEndPr>
    <w:sdtContent>
      <w:sdt>
        <w:sdtPr>
          <w:id w:val="359169165"/>
          <w:docPartObj>
            <w:docPartGallery w:val="Page Numbers (Bottom of Page)"/>
            <w:docPartUnique/>
          </w:docPartObj>
        </w:sdtPr>
        <w:sdtEndPr/>
        <w:sdtContent>
          <w:p w14:paraId="42B11CF6" w14:textId="73249A5B" w:rsidR="00525891" w:rsidRDefault="0052589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w:t>
            </w:r>
            <w:r w:rsidR="00F06819">
              <w:rPr>
                <w:rStyle w:val="Nmerodepgina"/>
                <w:rFonts w:ascii="Century Gothic" w:hAnsi="Century Gothic"/>
                <w:snapToGrid w:val="0"/>
                <w:sz w:val="16"/>
                <w:szCs w:val="16"/>
              </w:rPr>
              <w:t>AI</w:t>
            </w:r>
            <w:r>
              <w:rPr>
                <w:rStyle w:val="Nmerodepgina"/>
                <w:rFonts w:ascii="Century Gothic" w:hAnsi="Century Gothic"/>
                <w:snapToGrid w:val="0"/>
                <w:sz w:val="16"/>
                <w:szCs w:val="16"/>
              </w:rPr>
              <w:t xml:space="preserve"> 1-</w:t>
            </w:r>
            <w:r w:rsidR="0085618A">
              <w:rPr>
                <w:rStyle w:val="Nmerodepgina"/>
                <w:rFonts w:ascii="Century Gothic" w:hAnsi="Century Gothic"/>
                <w:snapToGrid w:val="0"/>
                <w:sz w:val="16"/>
                <w:szCs w:val="16"/>
              </w:rPr>
              <w:t>05/</w:t>
            </w:r>
            <w:r>
              <w:rPr>
                <w:rStyle w:val="Nmerodepgina"/>
                <w:rFonts w:ascii="Century Gothic" w:hAnsi="Century Gothic"/>
                <w:snapToGrid w:val="0"/>
                <w:sz w:val="16"/>
                <w:szCs w:val="16"/>
              </w:rPr>
              <w:t>2</w:t>
            </w:r>
            <w:r w:rsidR="00517D8F">
              <w:rPr>
                <w:rStyle w:val="Nmerodepgina"/>
                <w:rFonts w:ascii="Century Gothic" w:hAnsi="Century Gothic"/>
                <w:snapToGrid w:val="0"/>
                <w:sz w:val="16"/>
                <w:szCs w:val="16"/>
              </w:rPr>
              <w:t>6</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sidR="00517D8F">
              <w:rPr>
                <w:rStyle w:val="Nmerodepgina"/>
                <w:rFonts w:ascii="Century Gothic" w:hAnsi="Century Gothic"/>
                <w:snapToGrid w:val="0"/>
                <w:sz w:val="18"/>
                <w:szCs w:val="16"/>
              </w:rPr>
              <w:t>1</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4215A229" w14:textId="77777777" w:rsidTr="005D052B">
              <w:tc>
                <w:tcPr>
                  <w:tcW w:w="3516" w:type="dxa"/>
                </w:tcPr>
                <w:p w14:paraId="1FB0D0ED" w14:textId="77777777" w:rsidR="00525891" w:rsidRPr="00146F66" w:rsidRDefault="00525891" w:rsidP="00213232">
                  <w:pPr>
                    <w:pStyle w:val="Rodap"/>
                    <w:rPr>
                      <w:rFonts w:cs="Arial"/>
                      <w:color w:val="4A442A" w:themeColor="background2" w:themeShade="40"/>
                      <w:sz w:val="14"/>
                      <w:szCs w:val="14"/>
                    </w:rPr>
                  </w:pPr>
                </w:p>
              </w:tc>
              <w:tc>
                <w:tcPr>
                  <w:tcW w:w="1407" w:type="dxa"/>
                </w:tcPr>
                <w:p w14:paraId="5D4BD97B" w14:textId="77777777" w:rsidR="00525891" w:rsidRPr="00146F66" w:rsidRDefault="00525891" w:rsidP="00213232">
                  <w:pPr>
                    <w:pStyle w:val="Rodap"/>
                    <w:jc w:val="right"/>
                    <w:rPr>
                      <w:rFonts w:cs="Arial"/>
                      <w:sz w:val="14"/>
                      <w:szCs w:val="14"/>
                    </w:rPr>
                  </w:pPr>
                </w:p>
              </w:tc>
              <w:tc>
                <w:tcPr>
                  <w:tcW w:w="4853" w:type="dxa"/>
                  <w:gridSpan w:val="2"/>
                </w:tcPr>
                <w:p w14:paraId="41E3252A"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67362350" w14:textId="77777777" w:rsidTr="005D052B">
              <w:tc>
                <w:tcPr>
                  <w:tcW w:w="9067" w:type="dxa"/>
                  <w:gridSpan w:val="3"/>
                </w:tcPr>
                <w:p w14:paraId="52FAD9EE" w14:textId="77777777" w:rsidR="00525891" w:rsidRPr="008D05D3" w:rsidRDefault="0052589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7C8773E5"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37622BB"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61F5A98"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BE33A08" w14:textId="77777777" w:rsidR="00525891" w:rsidRPr="00146F66" w:rsidRDefault="00525891" w:rsidP="00213232">
                  <w:pPr>
                    <w:pStyle w:val="Rodap"/>
                    <w:spacing w:before="120"/>
                    <w:jc w:val="right"/>
                    <w:rPr>
                      <w:rFonts w:cs="Arial"/>
                      <w:sz w:val="18"/>
                      <w:szCs w:val="18"/>
                    </w:rPr>
                  </w:pPr>
                </w:p>
              </w:tc>
            </w:tr>
          </w:tbl>
          <w:p w14:paraId="1B49DFA8" w14:textId="2964F228" w:rsidR="00525891" w:rsidRPr="00213232" w:rsidRDefault="00243534" w:rsidP="00213232">
            <w:pPr>
              <w:pStyle w:val="Rodap"/>
            </w:pPr>
          </w:p>
        </w:sdtContent>
      </w:sdt>
    </w:sdtContent>
  </w:sdt>
  <w:p w14:paraId="7C15F03E" w14:textId="77777777" w:rsidR="00525891" w:rsidRDefault="0052589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6977"/>
      <w:docPartObj>
        <w:docPartGallery w:val="Page Numbers (Bottom of Page)"/>
        <w:docPartUnique/>
      </w:docPartObj>
    </w:sdtPr>
    <w:sdtEndPr>
      <w:rPr>
        <w:rFonts w:ascii="Arial" w:hAnsi="Arial" w:cs="Arial"/>
        <w:sz w:val="18"/>
        <w:szCs w:val="18"/>
      </w:rPr>
    </w:sdtEndPr>
    <w:sdtContent>
      <w:sdt>
        <w:sdtPr>
          <w:id w:val="1469014241"/>
          <w:docPartObj>
            <w:docPartGallery w:val="Page Numbers (Bottom of Page)"/>
            <w:docPartUnique/>
          </w:docPartObj>
        </w:sdtPr>
        <w:sdtEndPr/>
        <w:sdtContent>
          <w:p w14:paraId="504A8468" w14:textId="4A2D601C" w:rsidR="00025B48" w:rsidRDefault="00025B48"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w:t>
            </w:r>
            <w:r w:rsidR="0085618A">
              <w:rPr>
                <w:rStyle w:val="Nmerodepgina"/>
                <w:rFonts w:ascii="Century Gothic" w:hAnsi="Century Gothic"/>
                <w:snapToGrid w:val="0"/>
                <w:sz w:val="16"/>
                <w:szCs w:val="16"/>
              </w:rPr>
              <w:t>05/26</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2</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025B48" w:rsidRPr="00146F66" w14:paraId="52DB9506" w14:textId="77777777" w:rsidTr="005D052B">
              <w:tc>
                <w:tcPr>
                  <w:tcW w:w="3516" w:type="dxa"/>
                </w:tcPr>
                <w:p w14:paraId="55C65A08" w14:textId="77777777" w:rsidR="00025B48" w:rsidRPr="00146F66" w:rsidRDefault="00025B48" w:rsidP="00213232">
                  <w:pPr>
                    <w:pStyle w:val="Rodap"/>
                    <w:rPr>
                      <w:rFonts w:cs="Arial"/>
                      <w:color w:val="4A442A" w:themeColor="background2" w:themeShade="40"/>
                      <w:sz w:val="14"/>
                      <w:szCs w:val="14"/>
                    </w:rPr>
                  </w:pPr>
                </w:p>
              </w:tc>
              <w:tc>
                <w:tcPr>
                  <w:tcW w:w="1407" w:type="dxa"/>
                </w:tcPr>
                <w:p w14:paraId="3578B874" w14:textId="77777777" w:rsidR="00025B48" w:rsidRPr="00146F66" w:rsidRDefault="00025B48" w:rsidP="00213232">
                  <w:pPr>
                    <w:pStyle w:val="Rodap"/>
                    <w:jc w:val="right"/>
                    <w:rPr>
                      <w:rFonts w:cs="Arial"/>
                      <w:sz w:val="14"/>
                      <w:szCs w:val="14"/>
                    </w:rPr>
                  </w:pPr>
                </w:p>
              </w:tc>
              <w:tc>
                <w:tcPr>
                  <w:tcW w:w="4853" w:type="dxa"/>
                  <w:gridSpan w:val="2"/>
                </w:tcPr>
                <w:p w14:paraId="734901EB" w14:textId="77777777" w:rsidR="00025B48" w:rsidRPr="00146F66" w:rsidRDefault="00025B48" w:rsidP="00213232">
                  <w:pPr>
                    <w:pStyle w:val="Rodap"/>
                    <w:jc w:val="right"/>
                    <w:rPr>
                      <w:rFonts w:cs="Arial"/>
                      <w:color w:val="4A442A" w:themeColor="background2" w:themeShade="40"/>
                      <w:sz w:val="14"/>
                      <w:szCs w:val="14"/>
                    </w:rPr>
                  </w:pPr>
                </w:p>
              </w:tc>
            </w:tr>
            <w:tr w:rsidR="00025B48" w:rsidRPr="00146F66" w14:paraId="2B3DBE83" w14:textId="77777777" w:rsidTr="005D052B">
              <w:tc>
                <w:tcPr>
                  <w:tcW w:w="9067" w:type="dxa"/>
                  <w:gridSpan w:val="3"/>
                </w:tcPr>
                <w:p w14:paraId="4CF0DC5F" w14:textId="77777777" w:rsidR="00025B48" w:rsidRPr="008D05D3" w:rsidRDefault="00025B48"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4F431681" w14:textId="77777777" w:rsidR="00025B48" w:rsidRPr="00146F66" w:rsidRDefault="00025B48"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BC34594" w14:textId="77777777" w:rsidR="00025B48" w:rsidRDefault="00025B48"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6D511C20" w14:textId="77777777" w:rsidR="00025B48" w:rsidRPr="00960185" w:rsidRDefault="00025B48"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5BB0DDE7" w14:textId="77777777" w:rsidR="00025B48" w:rsidRPr="00146F66" w:rsidRDefault="00025B48" w:rsidP="00213232">
                  <w:pPr>
                    <w:pStyle w:val="Rodap"/>
                    <w:spacing w:before="120"/>
                    <w:jc w:val="right"/>
                    <w:rPr>
                      <w:rFonts w:cs="Arial"/>
                      <w:sz w:val="18"/>
                      <w:szCs w:val="18"/>
                    </w:rPr>
                  </w:pPr>
                </w:p>
              </w:tc>
            </w:tr>
          </w:tbl>
          <w:p w14:paraId="7AC26806" w14:textId="77777777" w:rsidR="00025B48" w:rsidRPr="00213232" w:rsidRDefault="00243534" w:rsidP="00213232">
            <w:pPr>
              <w:pStyle w:val="Rodap"/>
            </w:pPr>
          </w:p>
        </w:sdtContent>
      </w:sdt>
    </w:sdtContent>
  </w:sdt>
  <w:p w14:paraId="0F1DB67A" w14:textId="77777777" w:rsidR="00025B48" w:rsidRDefault="00025B48">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023866"/>
      <w:docPartObj>
        <w:docPartGallery w:val="Page Numbers (Bottom of Page)"/>
        <w:docPartUnique/>
      </w:docPartObj>
    </w:sdtPr>
    <w:sdtEndPr>
      <w:rPr>
        <w:rFonts w:ascii="Arial" w:hAnsi="Arial" w:cs="Arial"/>
        <w:sz w:val="18"/>
        <w:szCs w:val="18"/>
      </w:rPr>
    </w:sdtEndPr>
    <w:sdtContent>
      <w:sdt>
        <w:sdtPr>
          <w:id w:val="853155920"/>
          <w:docPartObj>
            <w:docPartGallery w:val="Page Numbers (Bottom of Page)"/>
            <w:docPartUnique/>
          </w:docPartObj>
        </w:sdtPr>
        <w:sdtEndPr/>
        <w:sdtContent>
          <w:p w14:paraId="72FFE305" w14:textId="668CFC75" w:rsidR="00025B48" w:rsidRDefault="00025B48"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w:t>
            </w:r>
            <w:r w:rsidR="0085618A">
              <w:rPr>
                <w:rStyle w:val="Nmerodepgina"/>
                <w:rFonts w:ascii="Century Gothic" w:hAnsi="Century Gothic"/>
                <w:snapToGrid w:val="0"/>
                <w:sz w:val="16"/>
                <w:szCs w:val="16"/>
              </w:rPr>
              <w:t>05/26</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sidR="0085618A">
              <w:rPr>
                <w:rStyle w:val="Nmerodepgina"/>
                <w:rFonts w:ascii="Century Gothic" w:hAnsi="Century Gothic"/>
                <w:snapToGrid w:val="0"/>
                <w:sz w:val="18"/>
                <w:szCs w:val="16"/>
              </w:rPr>
              <w:t>3</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025B48" w:rsidRPr="00146F66" w14:paraId="71ECB100" w14:textId="77777777" w:rsidTr="005D052B">
              <w:tc>
                <w:tcPr>
                  <w:tcW w:w="3516" w:type="dxa"/>
                </w:tcPr>
                <w:p w14:paraId="5DB52F00" w14:textId="77777777" w:rsidR="00025B48" w:rsidRPr="00146F66" w:rsidRDefault="00025B48" w:rsidP="00213232">
                  <w:pPr>
                    <w:pStyle w:val="Rodap"/>
                    <w:rPr>
                      <w:rFonts w:cs="Arial"/>
                      <w:color w:val="4A442A" w:themeColor="background2" w:themeShade="40"/>
                      <w:sz w:val="14"/>
                      <w:szCs w:val="14"/>
                    </w:rPr>
                  </w:pPr>
                </w:p>
              </w:tc>
              <w:tc>
                <w:tcPr>
                  <w:tcW w:w="1407" w:type="dxa"/>
                </w:tcPr>
                <w:p w14:paraId="0AD8FA54" w14:textId="77777777" w:rsidR="00025B48" w:rsidRPr="00146F66" w:rsidRDefault="00025B48" w:rsidP="00213232">
                  <w:pPr>
                    <w:pStyle w:val="Rodap"/>
                    <w:jc w:val="right"/>
                    <w:rPr>
                      <w:rFonts w:cs="Arial"/>
                      <w:sz w:val="14"/>
                      <w:szCs w:val="14"/>
                    </w:rPr>
                  </w:pPr>
                </w:p>
              </w:tc>
              <w:tc>
                <w:tcPr>
                  <w:tcW w:w="4853" w:type="dxa"/>
                  <w:gridSpan w:val="2"/>
                </w:tcPr>
                <w:p w14:paraId="41082E80" w14:textId="77777777" w:rsidR="00025B48" w:rsidRPr="00146F66" w:rsidRDefault="00025B48" w:rsidP="00213232">
                  <w:pPr>
                    <w:pStyle w:val="Rodap"/>
                    <w:jc w:val="right"/>
                    <w:rPr>
                      <w:rFonts w:cs="Arial"/>
                      <w:color w:val="4A442A" w:themeColor="background2" w:themeShade="40"/>
                      <w:sz w:val="14"/>
                      <w:szCs w:val="14"/>
                    </w:rPr>
                  </w:pPr>
                </w:p>
              </w:tc>
            </w:tr>
            <w:tr w:rsidR="00025B48" w:rsidRPr="00146F66" w14:paraId="495DB340" w14:textId="77777777" w:rsidTr="005D052B">
              <w:tc>
                <w:tcPr>
                  <w:tcW w:w="9067" w:type="dxa"/>
                  <w:gridSpan w:val="3"/>
                </w:tcPr>
                <w:p w14:paraId="204F384D" w14:textId="77777777" w:rsidR="00025B48" w:rsidRPr="008D05D3" w:rsidRDefault="00025B48"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1A2F99A6" w14:textId="77777777" w:rsidR="00025B48" w:rsidRPr="00146F66" w:rsidRDefault="00025B48"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2F262735" w14:textId="77777777" w:rsidR="00025B48" w:rsidRDefault="00025B48"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65BAF50B" w14:textId="77777777" w:rsidR="00025B48" w:rsidRPr="00960185" w:rsidRDefault="00025B48"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50578A33" w14:textId="77777777" w:rsidR="00025B48" w:rsidRPr="00146F66" w:rsidRDefault="00025B48" w:rsidP="00213232">
                  <w:pPr>
                    <w:pStyle w:val="Rodap"/>
                    <w:spacing w:before="120"/>
                    <w:jc w:val="right"/>
                    <w:rPr>
                      <w:rFonts w:cs="Arial"/>
                      <w:sz w:val="18"/>
                      <w:szCs w:val="18"/>
                    </w:rPr>
                  </w:pPr>
                </w:p>
              </w:tc>
            </w:tr>
          </w:tbl>
          <w:p w14:paraId="2AB2673B" w14:textId="77777777" w:rsidR="00025B48" w:rsidRPr="00213232" w:rsidRDefault="00243534" w:rsidP="00213232">
            <w:pPr>
              <w:pStyle w:val="Rodap"/>
            </w:pPr>
          </w:p>
        </w:sdtContent>
      </w:sdt>
    </w:sdtContent>
  </w:sdt>
  <w:p w14:paraId="192F1921" w14:textId="77777777" w:rsidR="00025B48" w:rsidRDefault="00025B48">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170655"/>
      <w:docPartObj>
        <w:docPartGallery w:val="Page Numbers (Bottom of Page)"/>
        <w:docPartUnique/>
      </w:docPartObj>
    </w:sdtPr>
    <w:sdtEndPr>
      <w:rPr>
        <w:rFonts w:ascii="Arial" w:hAnsi="Arial" w:cs="Arial"/>
        <w:sz w:val="18"/>
        <w:szCs w:val="18"/>
      </w:rPr>
    </w:sdtEndPr>
    <w:sdtContent>
      <w:sdt>
        <w:sdtPr>
          <w:id w:val="-1905980240"/>
          <w:docPartObj>
            <w:docPartGallery w:val="Page Numbers (Bottom of Page)"/>
            <w:docPartUnique/>
          </w:docPartObj>
        </w:sdtPr>
        <w:sdtEndPr/>
        <w:sdtContent>
          <w:p w14:paraId="0942BC74" w14:textId="593A4F6B" w:rsidR="0085618A" w:rsidRDefault="0085618A"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1-05/26</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85618A" w:rsidRPr="00146F66" w14:paraId="708302AB" w14:textId="77777777" w:rsidTr="005D052B">
              <w:tc>
                <w:tcPr>
                  <w:tcW w:w="3516" w:type="dxa"/>
                </w:tcPr>
                <w:p w14:paraId="6044613D" w14:textId="77777777" w:rsidR="0085618A" w:rsidRPr="00146F66" w:rsidRDefault="0085618A" w:rsidP="00213232">
                  <w:pPr>
                    <w:pStyle w:val="Rodap"/>
                    <w:rPr>
                      <w:rFonts w:cs="Arial"/>
                      <w:color w:val="4A442A" w:themeColor="background2" w:themeShade="40"/>
                      <w:sz w:val="14"/>
                      <w:szCs w:val="14"/>
                    </w:rPr>
                  </w:pPr>
                </w:p>
              </w:tc>
              <w:tc>
                <w:tcPr>
                  <w:tcW w:w="1407" w:type="dxa"/>
                </w:tcPr>
                <w:p w14:paraId="3A535CB8" w14:textId="77777777" w:rsidR="0085618A" w:rsidRPr="00146F66" w:rsidRDefault="0085618A" w:rsidP="00213232">
                  <w:pPr>
                    <w:pStyle w:val="Rodap"/>
                    <w:jc w:val="right"/>
                    <w:rPr>
                      <w:rFonts w:cs="Arial"/>
                      <w:sz w:val="14"/>
                      <w:szCs w:val="14"/>
                    </w:rPr>
                  </w:pPr>
                </w:p>
              </w:tc>
              <w:tc>
                <w:tcPr>
                  <w:tcW w:w="4853" w:type="dxa"/>
                  <w:gridSpan w:val="2"/>
                </w:tcPr>
                <w:p w14:paraId="2B18C67A" w14:textId="77777777" w:rsidR="0085618A" w:rsidRPr="00146F66" w:rsidRDefault="0085618A" w:rsidP="00213232">
                  <w:pPr>
                    <w:pStyle w:val="Rodap"/>
                    <w:jc w:val="right"/>
                    <w:rPr>
                      <w:rFonts w:cs="Arial"/>
                      <w:color w:val="4A442A" w:themeColor="background2" w:themeShade="40"/>
                      <w:sz w:val="14"/>
                      <w:szCs w:val="14"/>
                    </w:rPr>
                  </w:pPr>
                </w:p>
              </w:tc>
            </w:tr>
            <w:tr w:rsidR="0085618A" w:rsidRPr="00146F66" w14:paraId="3D04CF63" w14:textId="77777777" w:rsidTr="005D052B">
              <w:tc>
                <w:tcPr>
                  <w:tcW w:w="9067" w:type="dxa"/>
                  <w:gridSpan w:val="3"/>
                </w:tcPr>
                <w:p w14:paraId="6D0A5DD8" w14:textId="77777777" w:rsidR="0085618A" w:rsidRPr="008D05D3" w:rsidRDefault="0085618A"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41BF0DE5" w14:textId="77777777" w:rsidR="0085618A" w:rsidRPr="00146F66" w:rsidRDefault="0085618A"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5984EFB8" w14:textId="77777777" w:rsidR="0085618A" w:rsidRDefault="0085618A"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5BED4467" w14:textId="77777777" w:rsidR="0085618A" w:rsidRPr="00960185" w:rsidRDefault="0085618A"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38660619" w14:textId="77777777" w:rsidR="0085618A" w:rsidRPr="00146F66" w:rsidRDefault="0085618A" w:rsidP="00213232">
                  <w:pPr>
                    <w:pStyle w:val="Rodap"/>
                    <w:spacing w:before="120"/>
                    <w:jc w:val="right"/>
                    <w:rPr>
                      <w:rFonts w:cs="Arial"/>
                      <w:sz w:val="18"/>
                      <w:szCs w:val="18"/>
                    </w:rPr>
                  </w:pPr>
                </w:p>
              </w:tc>
            </w:tr>
          </w:tbl>
          <w:p w14:paraId="7C94EECA" w14:textId="77777777" w:rsidR="0085618A" w:rsidRPr="00213232" w:rsidRDefault="00243534" w:rsidP="00213232">
            <w:pPr>
              <w:pStyle w:val="Rodap"/>
            </w:pPr>
          </w:p>
        </w:sdtContent>
      </w:sdt>
    </w:sdtContent>
  </w:sdt>
  <w:p w14:paraId="7899B5D0" w14:textId="77777777" w:rsidR="0085618A" w:rsidRDefault="0085618A">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94337"/>
      <w:docPartObj>
        <w:docPartGallery w:val="Page Numbers (Bottom of Page)"/>
        <w:docPartUnique/>
      </w:docPartObj>
    </w:sdtPr>
    <w:sdtEndPr>
      <w:rPr>
        <w:rFonts w:ascii="Arial" w:hAnsi="Arial" w:cs="Arial"/>
        <w:sz w:val="18"/>
        <w:szCs w:val="18"/>
      </w:rPr>
    </w:sdtEndPr>
    <w:sdtContent>
      <w:sdt>
        <w:sdtPr>
          <w:id w:val="-1779640798"/>
          <w:docPartObj>
            <w:docPartGallery w:val="Page Numbers (Bottom of Page)"/>
            <w:docPartUnique/>
          </w:docPartObj>
        </w:sdtPr>
        <w:sdtEndPr/>
        <w:sdtContent>
          <w:p w14:paraId="1BAF149C" w14:textId="50835116" w:rsidR="00525891" w:rsidRDefault="00525891" w:rsidP="00213232">
            <w:pPr>
              <w:pStyle w:val="Rodap"/>
              <w:tabs>
                <w:tab w:val="left" w:pos="2715"/>
                <w:tab w:val="left" w:pos="3915"/>
              </w:tabs>
              <w:rPr>
                <w:rStyle w:val="Nmerodepgina"/>
                <w:rFonts w:ascii="Century Gothic" w:hAnsi="Century Gothic"/>
                <w:snapToGrid w:val="0"/>
                <w:sz w:val="18"/>
                <w:szCs w:val="16"/>
              </w:rPr>
            </w:pPr>
            <w:r>
              <w:rPr>
                <w:rStyle w:val="Nmerodepgina"/>
                <w:rFonts w:ascii="Century Gothic" w:hAnsi="Century Gothic"/>
                <w:snapToGrid w:val="0"/>
                <w:sz w:val="16"/>
                <w:szCs w:val="16"/>
              </w:rPr>
              <w:t>REO 1-05</w:t>
            </w:r>
            <w:r w:rsidRPr="009E7854">
              <w:rPr>
                <w:rStyle w:val="Nmerodepgina"/>
                <w:rFonts w:ascii="Century Gothic" w:hAnsi="Century Gothic"/>
                <w:snapToGrid w:val="0"/>
                <w:sz w:val="16"/>
                <w:szCs w:val="16"/>
              </w:rPr>
              <w:t>/</w:t>
            </w:r>
            <w:r>
              <w:rPr>
                <w:rStyle w:val="Nmerodepgina"/>
                <w:rFonts w:ascii="Century Gothic" w:hAnsi="Century Gothic"/>
                <w:snapToGrid w:val="0"/>
                <w:sz w:val="16"/>
                <w:szCs w:val="16"/>
              </w:rPr>
              <w:t>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4</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71677BD3" w14:textId="77777777" w:rsidTr="005D052B">
              <w:tc>
                <w:tcPr>
                  <w:tcW w:w="3516" w:type="dxa"/>
                </w:tcPr>
                <w:p w14:paraId="26B65501" w14:textId="77777777" w:rsidR="00525891" w:rsidRPr="00146F66" w:rsidRDefault="00525891" w:rsidP="00213232">
                  <w:pPr>
                    <w:pStyle w:val="Rodap"/>
                    <w:rPr>
                      <w:rFonts w:cs="Arial"/>
                      <w:color w:val="4A442A" w:themeColor="background2" w:themeShade="40"/>
                      <w:sz w:val="14"/>
                      <w:szCs w:val="14"/>
                    </w:rPr>
                  </w:pPr>
                </w:p>
              </w:tc>
              <w:tc>
                <w:tcPr>
                  <w:tcW w:w="1407" w:type="dxa"/>
                </w:tcPr>
                <w:p w14:paraId="3BE7C0E9" w14:textId="77777777" w:rsidR="00525891" w:rsidRPr="00146F66" w:rsidRDefault="00525891" w:rsidP="00213232">
                  <w:pPr>
                    <w:pStyle w:val="Rodap"/>
                    <w:jc w:val="right"/>
                    <w:rPr>
                      <w:rFonts w:cs="Arial"/>
                      <w:sz w:val="14"/>
                      <w:szCs w:val="14"/>
                    </w:rPr>
                  </w:pPr>
                </w:p>
              </w:tc>
              <w:tc>
                <w:tcPr>
                  <w:tcW w:w="4853" w:type="dxa"/>
                  <w:gridSpan w:val="2"/>
                </w:tcPr>
                <w:p w14:paraId="44E0714D"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5A341A80" w14:textId="77777777" w:rsidTr="005D052B">
              <w:tc>
                <w:tcPr>
                  <w:tcW w:w="9067" w:type="dxa"/>
                  <w:gridSpan w:val="3"/>
                </w:tcPr>
                <w:p w14:paraId="2A063A3A" w14:textId="77777777" w:rsidR="00525891" w:rsidRPr="008D05D3" w:rsidRDefault="0052589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4BF47E30"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7D99DD56"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2CD2DA5"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645CE117" w14:textId="77777777" w:rsidR="00525891" w:rsidRPr="00146F66" w:rsidRDefault="00525891" w:rsidP="00213232">
                  <w:pPr>
                    <w:pStyle w:val="Rodap"/>
                    <w:spacing w:before="120"/>
                    <w:jc w:val="right"/>
                    <w:rPr>
                      <w:rFonts w:cs="Arial"/>
                      <w:sz w:val="18"/>
                      <w:szCs w:val="18"/>
                    </w:rPr>
                  </w:pPr>
                </w:p>
              </w:tc>
            </w:tr>
          </w:tbl>
          <w:p w14:paraId="1BE996F7" w14:textId="77777777" w:rsidR="00525891" w:rsidRPr="00213232" w:rsidRDefault="00243534" w:rsidP="00213232">
            <w:pPr>
              <w:pStyle w:val="Rodap"/>
            </w:pPr>
          </w:p>
        </w:sdtContent>
      </w:sdt>
    </w:sdtContent>
  </w:sdt>
  <w:p w14:paraId="6B513BDF" w14:textId="77777777" w:rsidR="00525891" w:rsidRDefault="00525891">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393402"/>
      <w:docPartObj>
        <w:docPartGallery w:val="Page Numbers (Bottom of Page)"/>
        <w:docPartUnique/>
      </w:docPartObj>
    </w:sdtPr>
    <w:sdtEndPr>
      <w:rPr>
        <w:rFonts w:ascii="Arial" w:hAnsi="Arial" w:cs="Arial"/>
        <w:sz w:val="18"/>
        <w:szCs w:val="18"/>
      </w:rPr>
    </w:sdtEndPr>
    <w:sdtContent>
      <w:sdt>
        <w:sdtPr>
          <w:id w:val="2050570530"/>
          <w:docPartObj>
            <w:docPartGallery w:val="Page Numbers (Bottom of Page)"/>
            <w:docPartUnique/>
          </w:docPartObj>
        </w:sdtPr>
        <w:sdtEndPr/>
        <w:sdtContent>
          <w:p w14:paraId="597F6103" w14:textId="72FE2C2C" w:rsidR="00525891" w:rsidRDefault="00525891" w:rsidP="00213232">
            <w:pPr>
              <w:pStyle w:val="Rodap"/>
              <w:tabs>
                <w:tab w:val="left" w:pos="2715"/>
                <w:tab w:val="left" w:pos="3915"/>
              </w:tabs>
              <w:rPr>
                <w:rStyle w:val="Nmerodepgina"/>
                <w:rFonts w:ascii="Century Gothic" w:hAnsi="Century Gothic"/>
                <w:snapToGrid w:val="0"/>
                <w:sz w:val="18"/>
                <w:szCs w:val="16"/>
              </w:rPr>
            </w:pPr>
            <w:r w:rsidRPr="00045060">
              <w:rPr>
                <w:rFonts w:ascii="Century Gothic" w:hAnsi="Century Gothic"/>
                <w:sz w:val="16"/>
                <w:szCs w:val="16"/>
              </w:rPr>
              <w:t>REO 1-</w:t>
            </w:r>
            <w:r>
              <w:rPr>
                <w:rFonts w:ascii="Century Gothic" w:hAnsi="Century Gothic"/>
                <w:sz w:val="16"/>
                <w:szCs w:val="16"/>
              </w:rPr>
              <w:t>02/25</w:t>
            </w:r>
            <w:r>
              <w:rPr>
                <w:rStyle w:val="Nmerodepgina"/>
                <w:rFonts w:ascii="Century Gothic" w:hAnsi="Century Gothic"/>
                <w:snapToGrid w:val="0"/>
                <w:sz w:val="16"/>
                <w:szCs w:val="16"/>
              </w:rPr>
              <w:tab/>
            </w:r>
            <w:r>
              <w:rPr>
                <w:rStyle w:val="Nmerodepgina"/>
                <w:rFonts w:ascii="Century Gothic" w:hAnsi="Century Gothic"/>
                <w:snapToGrid w:val="0"/>
                <w:sz w:val="16"/>
                <w:szCs w:val="16"/>
              </w:rPr>
              <w:tab/>
              <w:t xml:space="preserve">      </w:t>
            </w:r>
            <w:r>
              <w:rPr>
                <w:rStyle w:val="Nmerodepgina"/>
                <w:rFonts w:ascii="Century Gothic" w:hAnsi="Century Gothic"/>
                <w:snapToGrid w:val="0"/>
                <w:sz w:val="18"/>
                <w:szCs w:val="16"/>
              </w:rPr>
              <w:t>7</w:t>
            </w: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407"/>
              <w:gridCol w:w="4144"/>
              <w:gridCol w:w="709"/>
            </w:tblGrid>
            <w:tr w:rsidR="00525891" w:rsidRPr="00146F66" w14:paraId="7CD61114" w14:textId="77777777" w:rsidTr="005D052B">
              <w:tc>
                <w:tcPr>
                  <w:tcW w:w="3516" w:type="dxa"/>
                </w:tcPr>
                <w:p w14:paraId="06B98570" w14:textId="77777777" w:rsidR="00525891" w:rsidRPr="00146F66" w:rsidRDefault="00525891" w:rsidP="00213232">
                  <w:pPr>
                    <w:pStyle w:val="Rodap"/>
                    <w:rPr>
                      <w:rFonts w:cs="Arial"/>
                      <w:color w:val="4A442A" w:themeColor="background2" w:themeShade="40"/>
                      <w:sz w:val="14"/>
                      <w:szCs w:val="14"/>
                    </w:rPr>
                  </w:pPr>
                </w:p>
              </w:tc>
              <w:tc>
                <w:tcPr>
                  <w:tcW w:w="1407" w:type="dxa"/>
                </w:tcPr>
                <w:p w14:paraId="1640C8E5" w14:textId="77777777" w:rsidR="00525891" w:rsidRPr="00146F66" w:rsidRDefault="00525891" w:rsidP="00213232">
                  <w:pPr>
                    <w:pStyle w:val="Rodap"/>
                    <w:jc w:val="right"/>
                    <w:rPr>
                      <w:rFonts w:cs="Arial"/>
                      <w:sz w:val="14"/>
                      <w:szCs w:val="14"/>
                    </w:rPr>
                  </w:pPr>
                </w:p>
              </w:tc>
              <w:tc>
                <w:tcPr>
                  <w:tcW w:w="4853" w:type="dxa"/>
                  <w:gridSpan w:val="2"/>
                </w:tcPr>
                <w:p w14:paraId="4E67BD4D" w14:textId="77777777" w:rsidR="00525891" w:rsidRPr="00146F66" w:rsidRDefault="00525891" w:rsidP="00213232">
                  <w:pPr>
                    <w:pStyle w:val="Rodap"/>
                    <w:jc w:val="right"/>
                    <w:rPr>
                      <w:rFonts w:cs="Arial"/>
                      <w:color w:val="4A442A" w:themeColor="background2" w:themeShade="40"/>
                      <w:sz w:val="14"/>
                      <w:szCs w:val="14"/>
                    </w:rPr>
                  </w:pPr>
                </w:p>
              </w:tc>
            </w:tr>
            <w:tr w:rsidR="00525891" w:rsidRPr="00146F66" w14:paraId="1D72E8BC" w14:textId="77777777" w:rsidTr="005D052B">
              <w:tc>
                <w:tcPr>
                  <w:tcW w:w="9067" w:type="dxa"/>
                  <w:gridSpan w:val="3"/>
                </w:tcPr>
                <w:p w14:paraId="3B5A31DD" w14:textId="77777777" w:rsidR="00525891" w:rsidRPr="008D05D3" w:rsidRDefault="00525891" w:rsidP="00213232">
                  <w:pPr>
                    <w:spacing w:line="180" w:lineRule="exact"/>
                    <w:ind w:left="-108"/>
                    <w:jc w:val="both"/>
                    <w:rPr>
                      <w:rFonts w:cs="Arial"/>
                      <w:b/>
                      <w:bCs/>
                      <w:color w:val="000044"/>
                      <w:sz w:val="16"/>
                      <w:szCs w:val="16"/>
                    </w:rPr>
                  </w:pPr>
                  <w:r w:rsidRPr="008D05D3">
                    <w:rPr>
                      <w:rFonts w:cs="Arial"/>
                      <w:b/>
                      <w:bCs/>
                      <w:color w:val="000044"/>
                      <w:sz w:val="16"/>
                      <w:szCs w:val="16"/>
                    </w:rPr>
                    <w:t>Consult Auditores Independentes</w:t>
                  </w:r>
                </w:p>
                <w:p w14:paraId="0E37C008" w14:textId="77777777" w:rsidR="00525891" w:rsidRPr="00146F66" w:rsidRDefault="00525891" w:rsidP="00213232">
                  <w:pPr>
                    <w:spacing w:line="140" w:lineRule="exact"/>
                    <w:ind w:left="-115"/>
                    <w:jc w:val="both"/>
                    <w:rPr>
                      <w:rFonts w:cs="Arial"/>
                      <w:color w:val="000044"/>
                      <w:sz w:val="14"/>
                      <w:szCs w:val="14"/>
                    </w:rPr>
                  </w:pPr>
                  <w:r w:rsidRPr="00146F66">
                    <w:rPr>
                      <w:rFonts w:cs="Arial"/>
                      <w:color w:val="000044"/>
                      <w:sz w:val="14"/>
                      <w:szCs w:val="14"/>
                    </w:rPr>
                    <w:t>Rua Mateus Leme, 2004, Centro Cívico, Curitiba</w:t>
                  </w:r>
                </w:p>
                <w:p w14:paraId="0BCEB718" w14:textId="77777777" w:rsidR="00525891" w:rsidRDefault="00525891" w:rsidP="00213232">
                  <w:pPr>
                    <w:spacing w:line="140" w:lineRule="exact"/>
                    <w:ind w:left="-115"/>
                    <w:jc w:val="both"/>
                    <w:rPr>
                      <w:rFonts w:cs="Arial"/>
                      <w:color w:val="000044"/>
                      <w:sz w:val="14"/>
                      <w:szCs w:val="14"/>
                    </w:rPr>
                  </w:pPr>
                  <w:r w:rsidRPr="00146F66">
                    <w:rPr>
                      <w:rFonts w:cs="Arial"/>
                      <w:color w:val="000044"/>
                      <w:sz w:val="14"/>
                      <w:szCs w:val="14"/>
                    </w:rPr>
                    <w:t>Estado do Paraná – Brasil | + 55 41 3350 60</w:t>
                  </w:r>
                  <w:r>
                    <w:rPr>
                      <w:rFonts w:cs="Arial"/>
                      <w:color w:val="000044"/>
                      <w:sz w:val="14"/>
                      <w:szCs w:val="14"/>
                    </w:rPr>
                    <w:t>00</w:t>
                  </w:r>
                </w:p>
                <w:p w14:paraId="1452D270" w14:textId="77777777" w:rsidR="00525891" w:rsidRPr="00960185" w:rsidRDefault="00525891" w:rsidP="00213232">
                  <w:pPr>
                    <w:spacing w:line="140" w:lineRule="exact"/>
                    <w:ind w:left="-115"/>
                    <w:jc w:val="both"/>
                    <w:rPr>
                      <w:rFonts w:cs="Arial"/>
                      <w:color w:val="000044"/>
                      <w:sz w:val="14"/>
                      <w:szCs w:val="14"/>
                    </w:rPr>
                  </w:pPr>
                  <w:r>
                    <w:rPr>
                      <w:rFonts w:cs="Arial"/>
                      <w:color w:val="000044"/>
                      <w:sz w:val="14"/>
                      <w:szCs w:val="14"/>
                    </w:rPr>
                    <w:t>www.consultauditores.com.br</w:t>
                  </w:r>
                </w:p>
              </w:tc>
              <w:tc>
                <w:tcPr>
                  <w:tcW w:w="709" w:type="dxa"/>
                </w:tcPr>
                <w:p w14:paraId="485FC770" w14:textId="77777777" w:rsidR="00525891" w:rsidRPr="00146F66" w:rsidRDefault="00525891" w:rsidP="00213232">
                  <w:pPr>
                    <w:pStyle w:val="Rodap"/>
                    <w:spacing w:before="120"/>
                    <w:jc w:val="right"/>
                    <w:rPr>
                      <w:rFonts w:cs="Arial"/>
                      <w:sz w:val="18"/>
                      <w:szCs w:val="18"/>
                    </w:rPr>
                  </w:pPr>
                </w:p>
              </w:tc>
            </w:tr>
          </w:tbl>
          <w:p w14:paraId="5C572DFE" w14:textId="77777777" w:rsidR="00525891" w:rsidRPr="00213232" w:rsidRDefault="00243534" w:rsidP="00213232">
            <w:pPr>
              <w:pStyle w:val="Rodap"/>
            </w:pPr>
          </w:p>
        </w:sdtContent>
      </w:sdt>
    </w:sdtContent>
  </w:sdt>
  <w:p w14:paraId="178C3DDF" w14:textId="77777777" w:rsidR="00525891" w:rsidRDefault="00525891">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277523"/>
      <w:docPartObj>
        <w:docPartGallery w:val="Page Numbers (Bottom of Page)"/>
        <w:docPartUnique/>
      </w:docPartObj>
    </w:sdtPr>
    <w:sdtEndPr/>
    <w:sdtContent>
      <w:p w14:paraId="2935A5E5" w14:textId="506546FD" w:rsidR="00525891" w:rsidRDefault="00525891" w:rsidP="00A61BBA">
        <w:pPr>
          <w:pStyle w:val="Rodap"/>
          <w:ind w:right="991"/>
          <w:jc w:val="right"/>
        </w:pPr>
        <w:r w:rsidRPr="007A5D5D">
          <w:rPr>
            <w:sz w:val="18"/>
            <w:szCs w:val="18"/>
          </w:rPr>
          <w:fldChar w:fldCharType="begin"/>
        </w:r>
        <w:r w:rsidRPr="007A5D5D">
          <w:rPr>
            <w:sz w:val="18"/>
            <w:szCs w:val="18"/>
          </w:rPr>
          <w:instrText>PAGE   \* MERGEFORMAT</w:instrText>
        </w:r>
        <w:r w:rsidRPr="007A5D5D">
          <w:rPr>
            <w:sz w:val="18"/>
            <w:szCs w:val="18"/>
          </w:rPr>
          <w:fldChar w:fldCharType="separate"/>
        </w:r>
        <w:r w:rsidR="000C0008">
          <w:rPr>
            <w:noProof/>
            <w:sz w:val="18"/>
            <w:szCs w:val="18"/>
          </w:rPr>
          <w:t>5</w:t>
        </w:r>
        <w:r w:rsidRPr="007A5D5D">
          <w:rPr>
            <w:sz w:val="18"/>
            <w:szCs w:val="18"/>
          </w:rPr>
          <w:fldChar w:fldCharType="end"/>
        </w:r>
      </w:p>
    </w:sdtContent>
  </w:sdt>
  <w:p w14:paraId="2A3AF4BE" w14:textId="1F5F61BF" w:rsidR="00525891" w:rsidRPr="0027091B" w:rsidRDefault="00525891" w:rsidP="002808FC">
    <w:pPr>
      <w:pStyle w:val="Rodap"/>
      <w:tabs>
        <w:tab w:val="left" w:pos="2715"/>
        <w:tab w:val="left" w:pos="3915"/>
      </w:tabs>
      <w:ind w:firstLine="284"/>
      <w:rPr>
        <w:rStyle w:val="Nmerodepgina"/>
        <w:rFonts w:ascii="Century Gothic" w:hAnsi="Century Gothic"/>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844F" w14:textId="77777777" w:rsidR="008C1923" w:rsidRDefault="008C1923" w:rsidP="005953F3">
      <w:r>
        <w:separator/>
      </w:r>
    </w:p>
  </w:footnote>
  <w:footnote w:type="continuationSeparator" w:id="0">
    <w:p w14:paraId="08327847" w14:textId="77777777" w:rsidR="008C1923" w:rsidRDefault="008C1923" w:rsidP="0059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5" w:type="dxa"/>
      <w:tblInd w:w="108" w:type="dxa"/>
      <w:tblLook w:val="0000" w:firstRow="0" w:lastRow="0" w:firstColumn="0" w:lastColumn="0" w:noHBand="0" w:noVBand="0"/>
    </w:tblPr>
    <w:tblGrid>
      <w:gridCol w:w="3143"/>
      <w:gridCol w:w="1777"/>
      <w:gridCol w:w="1635"/>
      <w:gridCol w:w="3260"/>
    </w:tblGrid>
    <w:tr w:rsidR="00525891" w:rsidRPr="007F3C90" w14:paraId="18E5659D" w14:textId="77777777" w:rsidTr="00A04386">
      <w:tc>
        <w:tcPr>
          <w:tcW w:w="3143" w:type="dxa"/>
        </w:tcPr>
        <w:p w14:paraId="31CB07A2" w14:textId="77777777" w:rsidR="00525891" w:rsidRPr="007F3C90" w:rsidRDefault="00525891" w:rsidP="00600EAF">
          <w:pPr>
            <w:ind w:left="-108"/>
            <w:rPr>
              <w:rFonts w:ascii="Arial" w:hAnsi="Arial"/>
              <w:lang w:val="en-US" w:eastAsia="en-US"/>
            </w:rPr>
          </w:pPr>
          <w:r>
            <w:rPr>
              <w:rFonts w:ascii="Arial" w:hAnsi="Arial"/>
              <w:noProof/>
            </w:rPr>
            <w:drawing>
              <wp:anchor distT="0" distB="0" distL="114300" distR="114300" simplePos="0" relativeHeight="251661312" behindDoc="0" locked="0" layoutInCell="1" allowOverlap="1" wp14:anchorId="3377F3C1" wp14:editId="1BCF040A">
                <wp:simplePos x="0" y="0"/>
                <wp:positionH relativeFrom="column">
                  <wp:posOffset>-3175</wp:posOffset>
                </wp:positionH>
                <wp:positionV relativeFrom="paragraph">
                  <wp:posOffset>5080</wp:posOffset>
                </wp:positionV>
                <wp:extent cx="1171575" cy="32506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e Logo PMS130+282 for Microsoft Office - SM.png"/>
                        <pic:cNvPicPr/>
                      </pic:nvPicPr>
                      <pic:blipFill>
                        <a:blip r:embed="rId1">
                          <a:extLst>
                            <a:ext uri="{28A0092B-C50C-407E-A947-70E740481C1C}">
                              <a14:useLocalDpi xmlns:a14="http://schemas.microsoft.com/office/drawing/2010/main" val="0"/>
                            </a:ext>
                          </a:extLst>
                        </a:blip>
                        <a:stretch>
                          <a:fillRect/>
                        </a:stretch>
                      </pic:blipFill>
                      <pic:spPr>
                        <a:xfrm>
                          <a:off x="0" y="0"/>
                          <a:ext cx="1207901" cy="335140"/>
                        </a:xfrm>
                        <a:prstGeom prst="rect">
                          <a:avLst/>
                        </a:prstGeom>
                      </pic:spPr>
                    </pic:pic>
                  </a:graphicData>
                </a:graphic>
                <wp14:sizeRelH relativeFrom="margin">
                  <wp14:pctWidth>0</wp14:pctWidth>
                </wp14:sizeRelH>
                <wp14:sizeRelV relativeFrom="margin">
                  <wp14:pctHeight>0</wp14:pctHeight>
                </wp14:sizeRelV>
              </wp:anchor>
            </w:drawing>
          </w:r>
        </w:p>
      </w:tc>
      <w:tc>
        <w:tcPr>
          <w:tcW w:w="1777" w:type="dxa"/>
        </w:tcPr>
        <w:p w14:paraId="54F0968F" w14:textId="77777777" w:rsidR="00525891" w:rsidRPr="007F3C90" w:rsidRDefault="00525891" w:rsidP="00600EAF">
          <w:pPr>
            <w:rPr>
              <w:rFonts w:ascii="Arial" w:hAnsi="Arial"/>
              <w:sz w:val="48"/>
              <w:szCs w:val="48"/>
              <w:lang w:val="en-US" w:eastAsia="en-US"/>
            </w:rPr>
          </w:pPr>
        </w:p>
      </w:tc>
      <w:tc>
        <w:tcPr>
          <w:tcW w:w="1635" w:type="dxa"/>
        </w:tcPr>
        <w:p w14:paraId="2CCCDB72" w14:textId="77777777" w:rsidR="00525891" w:rsidRPr="007F3C90" w:rsidRDefault="00525891" w:rsidP="00600EAF">
          <w:pPr>
            <w:rPr>
              <w:rFonts w:ascii="Arial" w:hAnsi="Arial"/>
              <w:lang w:val="en-US" w:eastAsia="en-US"/>
            </w:rPr>
          </w:pPr>
        </w:p>
      </w:tc>
      <w:tc>
        <w:tcPr>
          <w:tcW w:w="3260" w:type="dxa"/>
        </w:tcPr>
        <w:p w14:paraId="4A0B62AE" w14:textId="77777777" w:rsidR="00525891" w:rsidRPr="00316545" w:rsidRDefault="00525891" w:rsidP="00600EAF">
          <w:pPr>
            <w:spacing w:line="180" w:lineRule="exact"/>
            <w:ind w:left="-108"/>
            <w:jc w:val="both"/>
            <w:rPr>
              <w:rFonts w:ascii="Arial" w:hAnsi="Arial" w:cs="Arial"/>
              <w:b/>
              <w:bCs/>
              <w:color w:val="000044"/>
              <w:sz w:val="16"/>
              <w:szCs w:val="16"/>
              <w:lang w:val="en-US" w:eastAsia="en-US"/>
            </w:rPr>
          </w:pPr>
          <w:r w:rsidRPr="00316545">
            <w:rPr>
              <w:rFonts w:ascii="Arial" w:hAnsi="Arial" w:cs="Arial"/>
              <w:b/>
              <w:bCs/>
              <w:color w:val="000044"/>
              <w:sz w:val="16"/>
              <w:szCs w:val="16"/>
              <w:lang w:val="en-US" w:eastAsia="en-US"/>
            </w:rPr>
            <w:t xml:space="preserve">Crowe Consult Auditores </w:t>
          </w:r>
          <w:proofErr w:type="spellStart"/>
          <w:r w:rsidRPr="00316545">
            <w:rPr>
              <w:rFonts w:ascii="Arial" w:hAnsi="Arial" w:cs="Arial"/>
              <w:b/>
              <w:bCs/>
              <w:color w:val="000044"/>
              <w:sz w:val="16"/>
              <w:szCs w:val="16"/>
              <w:lang w:val="en-US" w:eastAsia="en-US"/>
            </w:rPr>
            <w:t>Independentes</w:t>
          </w:r>
          <w:proofErr w:type="spellEnd"/>
        </w:p>
        <w:p w14:paraId="31D584E1" w14:textId="77777777" w:rsidR="00525891" w:rsidRPr="00316545" w:rsidRDefault="00525891" w:rsidP="00600EAF">
          <w:pPr>
            <w:spacing w:after="120" w:line="180" w:lineRule="exact"/>
            <w:ind w:left="-108"/>
            <w:jc w:val="both"/>
            <w:rPr>
              <w:rFonts w:ascii="Arial" w:hAnsi="Arial" w:cs="Arial"/>
              <w:b/>
              <w:bCs/>
              <w:color w:val="000044"/>
              <w:sz w:val="15"/>
              <w:szCs w:val="15"/>
              <w:lang w:val="en-US" w:eastAsia="en-US"/>
            </w:rPr>
          </w:pPr>
          <w:r w:rsidRPr="00316545">
            <w:rPr>
              <w:rFonts w:ascii="Arial" w:hAnsi="Arial" w:cs="Arial"/>
              <w:b/>
              <w:bCs/>
              <w:color w:val="000044"/>
              <w:sz w:val="15"/>
              <w:szCs w:val="15"/>
              <w:lang w:val="en-US" w:eastAsia="en-US"/>
            </w:rPr>
            <w:t>Member Crowe Global</w:t>
          </w:r>
        </w:p>
        <w:p w14:paraId="67577325" w14:textId="77777777" w:rsidR="00525891" w:rsidRPr="00146F66" w:rsidRDefault="00525891"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Rua Mateus Leme, 2004, Centro Cívico, Curitiba</w:t>
          </w:r>
        </w:p>
        <w:p w14:paraId="20E93041" w14:textId="77777777" w:rsidR="00525891" w:rsidRPr="00146F66" w:rsidRDefault="00525891" w:rsidP="00600EAF">
          <w:pPr>
            <w:spacing w:line="140" w:lineRule="exact"/>
            <w:ind w:left="-115"/>
            <w:jc w:val="both"/>
            <w:rPr>
              <w:rFonts w:ascii="Arial" w:hAnsi="Arial" w:cs="Arial"/>
              <w:color w:val="000044"/>
              <w:sz w:val="14"/>
              <w:szCs w:val="14"/>
              <w:lang w:eastAsia="en-US"/>
            </w:rPr>
          </w:pPr>
          <w:r w:rsidRPr="00146F66">
            <w:rPr>
              <w:rFonts w:ascii="Arial" w:hAnsi="Arial" w:cs="Arial"/>
              <w:color w:val="000044"/>
              <w:sz w:val="14"/>
              <w:szCs w:val="14"/>
              <w:lang w:eastAsia="en-US"/>
            </w:rPr>
            <w:t>Estado do Paraná – Brasil | + 55 41 3350 601</w:t>
          </w:r>
          <w:r>
            <w:rPr>
              <w:rFonts w:ascii="Arial" w:hAnsi="Arial" w:cs="Arial"/>
              <w:color w:val="000044"/>
              <w:sz w:val="14"/>
              <w:szCs w:val="14"/>
              <w:lang w:eastAsia="en-US"/>
            </w:rPr>
            <w:t>3</w:t>
          </w:r>
        </w:p>
        <w:p w14:paraId="2CECF0FA" w14:textId="77777777" w:rsidR="00525891" w:rsidRPr="007F3C90" w:rsidRDefault="00525891" w:rsidP="00600EAF">
          <w:pPr>
            <w:spacing w:line="140" w:lineRule="exact"/>
            <w:ind w:left="-115"/>
            <w:jc w:val="both"/>
            <w:rPr>
              <w:rFonts w:ascii="Stone Sans" w:hAnsi="Stone Sans"/>
              <w:color w:val="000044"/>
              <w:sz w:val="14"/>
              <w:szCs w:val="14"/>
              <w:lang w:eastAsia="en-US"/>
            </w:rPr>
          </w:pPr>
          <w:r w:rsidRPr="00146F66">
            <w:rPr>
              <w:rFonts w:ascii="Arial" w:hAnsi="Arial" w:cs="Arial"/>
              <w:color w:val="000044"/>
              <w:sz w:val="14"/>
              <w:szCs w:val="14"/>
              <w:lang w:eastAsia="en-US"/>
            </w:rPr>
            <w:t>www.consult.com.br | www.crowe.com/br</w:t>
          </w:r>
        </w:p>
      </w:tc>
    </w:tr>
  </w:tbl>
  <w:p w14:paraId="029177B1" w14:textId="77777777" w:rsidR="00525891" w:rsidRDefault="005258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C90F" w14:textId="77777777" w:rsidR="00525891" w:rsidRDefault="00525891">
    <w:pPr>
      <w:pStyle w:val="Cabealho"/>
    </w:pPr>
    <w:r>
      <w:tab/>
    </w:r>
  </w:p>
  <w:tbl>
    <w:tblPr>
      <w:tblW w:w="9815" w:type="dxa"/>
      <w:tblInd w:w="108" w:type="dxa"/>
      <w:tblLook w:val="0000" w:firstRow="0" w:lastRow="0" w:firstColumn="0" w:lastColumn="0" w:noHBand="0" w:noVBand="0"/>
    </w:tblPr>
    <w:tblGrid>
      <w:gridCol w:w="3143"/>
      <w:gridCol w:w="1777"/>
      <w:gridCol w:w="1635"/>
      <w:gridCol w:w="3260"/>
    </w:tblGrid>
    <w:tr w:rsidR="00525891" w:rsidRPr="007F3C90" w14:paraId="5E564F31" w14:textId="77777777" w:rsidTr="00047615">
      <w:trPr>
        <w:trHeight w:val="1425"/>
      </w:trPr>
      <w:tc>
        <w:tcPr>
          <w:tcW w:w="3143" w:type="dxa"/>
        </w:tcPr>
        <w:p w14:paraId="724AA88E" w14:textId="6BF5AF88" w:rsidR="00525891" w:rsidRPr="007F3C90" w:rsidRDefault="00525891" w:rsidP="00984D94">
          <w:pPr>
            <w:ind w:left="-108"/>
            <w:rPr>
              <w:lang w:val="en-US"/>
            </w:rPr>
          </w:pPr>
        </w:p>
      </w:tc>
      <w:tc>
        <w:tcPr>
          <w:tcW w:w="1777" w:type="dxa"/>
        </w:tcPr>
        <w:p w14:paraId="353135CA" w14:textId="77777777" w:rsidR="00525891" w:rsidRPr="007F3C90" w:rsidRDefault="00525891" w:rsidP="00984D94">
          <w:pPr>
            <w:rPr>
              <w:sz w:val="48"/>
              <w:szCs w:val="48"/>
              <w:lang w:val="en-US"/>
            </w:rPr>
          </w:pPr>
        </w:p>
      </w:tc>
      <w:tc>
        <w:tcPr>
          <w:tcW w:w="1635" w:type="dxa"/>
        </w:tcPr>
        <w:p w14:paraId="3BE96551" w14:textId="77777777" w:rsidR="00525891" w:rsidRPr="007F3C90" w:rsidRDefault="00525891" w:rsidP="00984D94">
          <w:pPr>
            <w:rPr>
              <w:lang w:val="en-US"/>
            </w:rPr>
          </w:pPr>
        </w:p>
      </w:tc>
      <w:tc>
        <w:tcPr>
          <w:tcW w:w="3260" w:type="dxa"/>
        </w:tcPr>
        <w:p w14:paraId="03E0B397" w14:textId="77777777" w:rsidR="00525891" w:rsidRPr="007F3C90" w:rsidRDefault="00525891" w:rsidP="00984D94">
          <w:pPr>
            <w:spacing w:line="140" w:lineRule="exact"/>
            <w:ind w:left="-115"/>
            <w:jc w:val="both"/>
            <w:rPr>
              <w:rFonts w:ascii="Stone Sans" w:hAnsi="Stone Sans"/>
              <w:color w:val="000044"/>
              <w:sz w:val="14"/>
              <w:szCs w:val="14"/>
            </w:rPr>
          </w:pPr>
        </w:p>
      </w:tc>
    </w:tr>
  </w:tbl>
  <w:p w14:paraId="66B08F5F" w14:textId="139C73F9" w:rsidR="00525891" w:rsidRDefault="00525891" w:rsidP="007B4CF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0089" w14:textId="7101CD37" w:rsidR="00525891" w:rsidRDefault="00525891">
    <w:pPr>
      <w:pStyle w:val="Cabealho"/>
    </w:pPr>
    <w:r>
      <w:rPr>
        <w:noProof/>
        <w:sz w:val="24"/>
        <w:szCs w:val="24"/>
      </w:rPr>
      <w:drawing>
        <wp:anchor distT="0" distB="0" distL="114300" distR="114300" simplePos="0" relativeHeight="251673600" behindDoc="0" locked="0" layoutInCell="1" allowOverlap="1" wp14:anchorId="6D2ABD2D" wp14:editId="043C4C7F">
          <wp:simplePos x="0" y="0"/>
          <wp:positionH relativeFrom="column">
            <wp:posOffset>0</wp:posOffset>
          </wp:positionH>
          <wp:positionV relativeFrom="paragraph">
            <wp:posOffset>-124460</wp:posOffset>
          </wp:positionV>
          <wp:extent cx="1785620" cy="704850"/>
          <wp:effectExtent l="0" t="0" r="5080" b="0"/>
          <wp:wrapSquare wrapText="bothSides"/>
          <wp:docPr id="1522513727" name="Imagem 152251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98EF" w14:textId="0F838B22" w:rsidR="00525891" w:rsidRDefault="00525891">
    <w:pPr>
      <w:pStyle w:val="Cabealho"/>
    </w:pPr>
  </w:p>
  <w:p w14:paraId="447D3EEA" w14:textId="77777777" w:rsidR="00525891" w:rsidRDefault="00525891">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D5E4" w14:textId="2B20C8AE" w:rsidR="00525891" w:rsidRDefault="00525891" w:rsidP="007E39E5">
    <w:pPr>
      <w:pStyle w:val="Cabealho"/>
    </w:pPr>
  </w:p>
  <w:p w14:paraId="23BF8A1D" w14:textId="77777777" w:rsidR="00525891" w:rsidRDefault="00525891" w:rsidP="007E39E5">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A889" w14:textId="77777777" w:rsidR="00525891" w:rsidRDefault="00525891">
    <w:pPr>
      <w:pStyle w:val="Cabealho"/>
    </w:pPr>
  </w:p>
  <w:p w14:paraId="03255083" w14:textId="77777777" w:rsidR="00525891" w:rsidRDefault="00525891">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F829" w14:textId="77356996" w:rsidR="00AC7F4B" w:rsidRPr="00AC7F4B" w:rsidRDefault="00AC7F4B" w:rsidP="00AC7F4B">
    <w:pPr>
      <w:pStyle w:val="Cabealho"/>
      <w:tabs>
        <w:tab w:val="clear" w:pos="4320"/>
        <w:tab w:val="clear" w:pos="8640"/>
        <w:tab w:val="left" w:pos="9090"/>
      </w:tabs>
      <w:rPr>
        <w:rFonts w:ascii="Arial" w:hAnsi="Arial" w:cs="Arial"/>
        <w:b/>
        <w:bCs/>
        <w:sz w:val="22"/>
        <w:szCs w:val="22"/>
      </w:rPr>
    </w:pPr>
    <w:r>
      <w:rPr>
        <w:rFonts w:ascii="Arial" w:hAnsi="Arial" w:cs="Arial"/>
        <w:b/>
        <w:bCs/>
        <w:sz w:val="22"/>
        <w:szCs w:val="22"/>
      </w:rPr>
      <w:t xml:space="preserve">      </w:t>
    </w:r>
    <w:r w:rsidRPr="00AC7F4B">
      <w:rPr>
        <w:rFonts w:ascii="Arial" w:hAnsi="Arial" w:cs="Arial"/>
        <w:b/>
        <w:bCs/>
        <w:sz w:val="22"/>
        <w:szCs w:val="22"/>
      </w:rPr>
      <w:t>TELECOMUNICAÇÕES BRASILEIRAS S.A - TELEBRAS</w:t>
    </w:r>
  </w:p>
  <w:p w14:paraId="623E1861" w14:textId="321E5401" w:rsidR="00AC7F4B" w:rsidRPr="00AC7F4B" w:rsidRDefault="00AC7F4B" w:rsidP="00AC7F4B">
    <w:pPr>
      <w:pStyle w:val="Cabealho"/>
      <w:ind w:right="-154"/>
      <w:jc w:val="both"/>
      <w:rPr>
        <w:rFonts w:ascii="Arial" w:hAnsi="Arial" w:cs="Arial"/>
        <w:sz w:val="22"/>
        <w:szCs w:val="22"/>
      </w:rPr>
    </w:pPr>
    <w:r>
      <w:rPr>
        <w:rFonts w:ascii="Arial" w:hAnsi="Arial" w:cs="Arial"/>
        <w:sz w:val="22"/>
        <w:szCs w:val="22"/>
      </w:rPr>
      <w:t xml:space="preserve">      </w:t>
    </w:r>
    <w:r w:rsidRPr="00AC7F4B">
      <w:rPr>
        <w:rFonts w:ascii="Arial" w:hAnsi="Arial" w:cs="Arial"/>
        <w:sz w:val="22"/>
        <w:szCs w:val="22"/>
      </w:rPr>
      <w:t>Notas Explicativas às Demonstrações Contábeis</w:t>
    </w:r>
    <w:r>
      <w:rPr>
        <w:rFonts w:ascii="Arial" w:hAnsi="Arial" w:cs="Arial"/>
        <w:sz w:val="22"/>
        <w:szCs w:val="22"/>
      </w:rPr>
      <w:t xml:space="preserve"> </w:t>
    </w:r>
    <w:r w:rsidRPr="00AC7F4B">
      <w:rPr>
        <w:rFonts w:ascii="Arial" w:hAnsi="Arial" w:cs="Arial"/>
        <w:sz w:val="22"/>
        <w:szCs w:val="22"/>
      </w:rPr>
      <w:t>em 31 de dezembro de 2025 e 2024</w:t>
    </w:r>
  </w:p>
  <w:p w14:paraId="033A3921" w14:textId="20239B68" w:rsidR="00AC7F4B" w:rsidRPr="00AC7F4B" w:rsidRDefault="00AC7F4B" w:rsidP="00AC7F4B">
    <w:pPr>
      <w:pStyle w:val="Cabealho"/>
      <w:tabs>
        <w:tab w:val="clear" w:pos="4320"/>
        <w:tab w:val="clear" w:pos="8640"/>
        <w:tab w:val="left" w:pos="9090"/>
      </w:tabs>
      <w:rPr>
        <w:rFonts w:ascii="Arial" w:hAnsi="Arial" w:cs="Arial"/>
        <w:sz w:val="22"/>
        <w:szCs w:val="22"/>
      </w:rPr>
    </w:pPr>
    <w:r>
      <w:rPr>
        <w:rFonts w:ascii="Arial" w:hAnsi="Arial" w:cs="Arial"/>
        <w:sz w:val="22"/>
        <w:szCs w:val="22"/>
      </w:rPr>
      <w:t xml:space="preserve">      </w:t>
    </w:r>
    <w:r w:rsidRPr="00AC7F4B">
      <w:rPr>
        <w:rFonts w:ascii="Arial" w:hAnsi="Arial" w:cs="Arial"/>
        <w:sz w:val="22"/>
        <w:szCs w:val="22"/>
      </w:rPr>
      <w:t>Em milhares de reais, exceto quando indicado de outra forma.</w:t>
    </w:r>
  </w:p>
  <w:p w14:paraId="650A3F97" w14:textId="110DA90B" w:rsidR="00525891" w:rsidRDefault="00911D9F">
    <w:pPr>
      <w:pStyle w:val="Cabealho"/>
    </w:pPr>
    <w:r>
      <w:rPr>
        <w:rFonts w:ascii="Arial" w:hAnsi="Arial" w:cs="Arial"/>
        <w:noProof/>
        <w:sz w:val="22"/>
        <w:szCs w:val="22"/>
      </w:rPr>
      <mc:AlternateContent>
        <mc:Choice Requires="wps">
          <w:drawing>
            <wp:anchor distT="0" distB="0" distL="114300" distR="114300" simplePos="0" relativeHeight="251676672" behindDoc="0" locked="0" layoutInCell="1" allowOverlap="1" wp14:anchorId="2E3FFE7C" wp14:editId="710817C0">
              <wp:simplePos x="0" y="0"/>
              <wp:positionH relativeFrom="column">
                <wp:posOffset>243205</wp:posOffset>
              </wp:positionH>
              <wp:positionV relativeFrom="paragraph">
                <wp:posOffset>23495</wp:posOffset>
              </wp:positionV>
              <wp:extent cx="6388100" cy="0"/>
              <wp:effectExtent l="0" t="0" r="0" b="0"/>
              <wp:wrapNone/>
              <wp:docPr id="785387384" name="Conector reto 5"/>
              <wp:cNvGraphicFramePr/>
              <a:graphic xmlns:a="http://schemas.openxmlformats.org/drawingml/2006/main">
                <a:graphicData uri="http://schemas.microsoft.com/office/word/2010/wordprocessingShape">
                  <wps:wsp>
                    <wps:cNvCnPr/>
                    <wps:spPr>
                      <a:xfrm>
                        <a:off x="0" y="0"/>
                        <a:ext cx="6388100" cy="0"/>
                      </a:xfrm>
                      <a:prstGeom prst="line">
                        <a:avLst/>
                      </a:prstGeom>
                      <a:ln>
                        <a:solidFill>
                          <a:srgbClr val="2D12F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416D89" id="Conector reto 5"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5pt,1.85pt" to="52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NMtwEAANUDAAAOAAAAZHJzL2Uyb0RvYy54bWysU8GO2yAQvVfaf0DcG9tptYqsOHvYKL1U&#10;7WrbfgDBQ4wEDAI2dv5+B5I4q7ZS1aoXzMC8N28e4/XDZA07QogaXcebRc0ZOIm9doeO//i+e7/i&#10;LCbhemHQQcdPEPnD5u7devQtLHFA00NgROJiO/qODyn5tqqiHMCKuEAPji4VBisSheFQ9UGMxG5N&#10;tazr+2rE0PuAEmKk0+35km8Kv1Ig01elIiRmOk7aUllDWfd5rTZr0R6C8IOWFxniH1RYoR0Vnam2&#10;Ign2EvQvVFbLgBFVWki0FSqlJZQeqJum/qmbb4PwUHohc6KfbYr/j1Z+OT66p0A2jD620T+F3MWk&#10;gs1f0semYtZpNgumxCQd3n9YrZqaPJXXu+oG9CGmT4CW5U3HjXa5D9GK4+eYqBilXlPysXF5jWh0&#10;v9PGlCAc9o8msKOgl1tum+XuY34sAr5JoyhDq5v2sksnA2faZ1BM96S2KeXLWMFMK6QEl5oLr3GU&#10;nWGKJMzA+s/AS36GQhm5vwHPiFIZXZrBVjsMv6uepqtkdc6/OnDuO1uwx/5UXrVYQ7NTnLvMeR7O&#10;t3GB3/7GzSsAAAD//wMAUEsDBBQABgAIAAAAIQBEIdpj3AAAAAcBAAAPAAAAZHJzL2Rvd25yZXYu&#10;eG1sTI49T8MwEIZ3JP6DdZXYqFNaSkjjVBUSDCyIFoTYnPgaR8TnEDtt+u+5ssB0ej/03pOvR9eK&#10;A/ah8aRgNk1AIFXeNFQreNs9XqcgQtRkdOsJFZwwwLq4vMh1ZvyRXvGwjbXgEQqZVmBj7DIpQ2XR&#10;6TD1HRJne987HVn2tTS9PvK4a+VNkiyl0w3xB6s7fLBYfW0Hp+Db+NvPD/u+L++fohtm6enledMo&#10;dTUZNysQEcf4V4YzPqNDwUylH8gE0SqYp3Nu8r0DcY6TxYKN8teQRS7/8xc/AAAA//8DAFBLAQIt&#10;ABQABgAIAAAAIQC2gziS/gAAAOEBAAATAAAAAAAAAAAAAAAAAAAAAABbQ29udGVudF9UeXBlc10u&#10;eG1sUEsBAi0AFAAGAAgAAAAhADj9If/WAAAAlAEAAAsAAAAAAAAAAAAAAAAALwEAAF9yZWxzLy5y&#10;ZWxzUEsBAi0AFAAGAAgAAAAhAIMR80y3AQAA1QMAAA4AAAAAAAAAAAAAAAAALgIAAGRycy9lMm9E&#10;b2MueG1sUEsBAi0AFAAGAAgAAAAhAEQh2mPcAAAABwEAAA8AAAAAAAAAAAAAAAAAEQQAAGRycy9k&#10;b3ducmV2LnhtbFBLBQYAAAAABAAEAPMAAAAaBQAAAAA=&#10;" strokecolor="#2d12f4"/>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158A" w14:textId="77777777" w:rsidR="00E2798A" w:rsidRPr="00E63AB1" w:rsidRDefault="00E2798A" w:rsidP="00E2798A">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60041C9B" w14:textId="77777777" w:rsidR="00E2798A" w:rsidRDefault="00E2798A" w:rsidP="00E2798A">
    <w:pPr>
      <w:pStyle w:val="Cabealho"/>
      <w:rPr>
        <w:rFonts w:ascii="Arial" w:hAnsi="Arial" w:cs="Arial"/>
      </w:rPr>
    </w:pPr>
    <w:r>
      <w:rPr>
        <w:rFonts w:ascii="Arial" w:hAnsi="Arial" w:cs="Arial"/>
      </w:rPr>
      <w:t>Notas Explicativas às Informações Contábeis Intermediarias Individuais</w:t>
    </w:r>
  </w:p>
  <w:p w14:paraId="18CA5F78" w14:textId="602FB27C" w:rsidR="00E2798A" w:rsidRDefault="00E2798A" w:rsidP="00E2798A">
    <w:pPr>
      <w:pStyle w:val="Cabealho"/>
      <w:rPr>
        <w:rFonts w:ascii="Arial" w:hAnsi="Arial" w:cs="Arial"/>
      </w:rPr>
    </w:pPr>
    <w:r>
      <w:rPr>
        <w:rFonts w:ascii="Arial" w:hAnsi="Arial" w:cs="Arial"/>
      </w:rPr>
      <w:t>Períodos findos em 31 de março de 2026 e 2025</w:t>
    </w:r>
  </w:p>
  <w:p w14:paraId="1C40ADB1" w14:textId="7C36E6B4" w:rsidR="001158FB" w:rsidRDefault="00E2798A" w:rsidP="00E2798A">
    <w:pPr>
      <w:pStyle w:val="Cabealho"/>
      <w:tabs>
        <w:tab w:val="clear" w:pos="4320"/>
        <w:tab w:val="clear" w:pos="8640"/>
        <w:tab w:val="left" w:pos="9090"/>
      </w:tabs>
      <w:rPr>
        <w:rFonts w:ascii="Arial" w:hAnsi="Arial" w:cs="Arial"/>
        <w:sz w:val="22"/>
        <w:szCs w:val="22"/>
      </w:rPr>
    </w:pPr>
    <w:r>
      <w:rPr>
        <w:rFonts w:ascii="Arial" w:hAnsi="Arial" w:cs="Arial"/>
      </w:rPr>
      <w:t>Em milhares de reais, exceto quando indicado de outra forma.</w:t>
    </w:r>
  </w:p>
  <w:p w14:paraId="1AED5BB4" w14:textId="613D81AC" w:rsidR="00E2798A" w:rsidRPr="00AC7F4B" w:rsidRDefault="00E2798A" w:rsidP="00AC7F4B">
    <w:pPr>
      <w:pStyle w:val="Cabealho"/>
      <w:tabs>
        <w:tab w:val="clear" w:pos="4320"/>
        <w:tab w:val="clear" w:pos="8640"/>
        <w:tab w:val="left" w:pos="909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8720" behindDoc="0" locked="0" layoutInCell="1" allowOverlap="1" wp14:anchorId="480E2014" wp14:editId="6C5D88C5">
              <wp:simplePos x="0" y="0"/>
              <wp:positionH relativeFrom="column">
                <wp:posOffset>0</wp:posOffset>
              </wp:positionH>
              <wp:positionV relativeFrom="paragraph">
                <wp:posOffset>83820</wp:posOffset>
              </wp:positionV>
              <wp:extent cx="6096000" cy="0"/>
              <wp:effectExtent l="0" t="0" r="0" b="0"/>
              <wp:wrapNone/>
              <wp:docPr id="402866334" name="Conector reto 6"/>
              <wp:cNvGraphicFramePr/>
              <a:graphic xmlns:a="http://schemas.openxmlformats.org/drawingml/2006/main">
                <a:graphicData uri="http://schemas.microsoft.com/office/word/2010/wordprocessingShape">
                  <wps:wsp>
                    <wps:cNvCnPr/>
                    <wps:spPr>
                      <a:xfrm>
                        <a:off x="0" y="0"/>
                        <a:ext cx="6096000" cy="0"/>
                      </a:xfrm>
                      <a:prstGeom prst="line">
                        <a:avLst/>
                      </a:prstGeom>
                      <a:ln>
                        <a:solidFill>
                          <a:srgbClr val="2313F3"/>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13070B1" id="Conector reto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6.6pt" to="480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8EuAEAANUDAAAOAAAAZHJzL2Uyb0RvYy54bWysU8tu2zAQvAfoPxC815Rs1EgEyzkkcC9F&#10;G6TNB9DU0iLAF0jWkv++S1qWg7ZA0SAXikvuzM4OV5v70WhyhBCVsy2tFxUlYIXrlD209OXH7uMt&#10;JTFx23HtLLT0BJHebz/cbAbfwNL1TncQCJLY2Ay+pX1KvmEsih4MjwvnweKldMHwhGE4sC7wAdmN&#10;ZsuqWrPBhc4HJyBGPH08X9Jt4ZcSRPomZYREdEtRWyprKOs+r2y74c0hcN8rMcngb1BhuLJYdKZ6&#10;5ImTn0H9QWWUCC46mRbCGeakVAJKD9hNXf3Wzfeeeyi9oDnRzzbF96MVX48P9imgDYOPTfRPIXcx&#10;ymDyF/WRsZh1ms2CMRGBh+vqbl1V6Km43LEr0IeYPoMzJG9aqpXNffCGH7/EhMUw9ZKSj7XNa3Ra&#10;dTuldQnCYf+gAzlyfLnlql7tVvmxEPgqDaMMZVftZZdOGs60zyCJ6lBtXcqXsYKZlgsBNn2aeLXF&#10;7AyTKGEGVv8GTvkZCmXk/gc8I0plZ9MMNsq68LfqaawnyfKcf3Hg3He2YO+6U3nVYg3OTnFumvM8&#10;nK/jAr/+jdtfAAAA//8DAFBLAwQUAAYACAAAACEARgal19kAAAAGAQAADwAAAGRycy9kb3ducmV2&#10;LnhtbEyPwU7DMAyG70i8Q2QkbiyhE1PXNZ2mwiQuIDF4gCwxbUXjVE26dW+PEQc4+vut35/L7ex7&#10;ccIxdoE03C8UCCQbXEeNho/3/V0OIiZDzvSBUMMFI2yr66vSFC6c6Q1Ph9QILqFYGA1tSkMhZbQt&#10;ehMXYUDi7DOM3iQex0a60Zy53PcyU2olvemIL7RmwLpF+3WYvIZnq7Kln54e9o0d893r46V+yWut&#10;b2/m3QZEwjn9LcOPPqtDxU7HMJGLotfAjySmywwEp+uVYnD8BbIq5X/96hsAAP//AwBQSwECLQAU&#10;AAYACAAAACEAtoM4kv4AAADhAQAAEwAAAAAAAAAAAAAAAAAAAAAAW0NvbnRlbnRfVHlwZXNdLnht&#10;bFBLAQItABQABgAIAAAAIQA4/SH/1gAAAJQBAAALAAAAAAAAAAAAAAAAAC8BAABfcmVscy8ucmVs&#10;c1BLAQItABQABgAIAAAAIQCaHB8EuAEAANUDAAAOAAAAAAAAAAAAAAAAAC4CAABkcnMvZTJvRG9j&#10;LnhtbFBLAQItABQABgAIAAAAIQBGBqXX2QAAAAYBAAAPAAAAAAAAAAAAAAAAABIEAABkcnMvZG93&#10;bnJldi54bWxQSwUGAAAAAAQABADzAAAAGAUAAAAA&#10;" strokecolor="#2313f3"/>
          </w:pict>
        </mc:Fallback>
      </mc:AlternateContent>
    </w:r>
  </w:p>
  <w:p w14:paraId="1C2996BB" w14:textId="027B1328" w:rsidR="001E35EB" w:rsidRDefault="001E35EB" w:rsidP="007E39E5">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4FCF" w14:textId="77777777" w:rsidR="000935A0" w:rsidRPr="00E63AB1" w:rsidRDefault="000935A0" w:rsidP="00E2798A">
    <w:pPr>
      <w:snapToGrid w:val="0"/>
      <w:rPr>
        <w:rFonts w:ascii="Arial" w:hAnsi="Arial" w:cs="Arial"/>
        <w:b/>
        <w:sz w:val="22"/>
        <w:szCs w:val="22"/>
      </w:rPr>
    </w:pPr>
    <w:r w:rsidRPr="00E63AB1">
      <w:rPr>
        <w:rFonts w:ascii="Arial" w:hAnsi="Arial" w:cs="Arial"/>
        <w:b/>
        <w:sz w:val="22"/>
        <w:szCs w:val="22"/>
      </w:rPr>
      <w:t>TELECOMUNICAÇÕES BRASILEIRAS S.A. – T</w:t>
    </w:r>
    <w:r>
      <w:rPr>
        <w:rFonts w:ascii="Arial" w:hAnsi="Arial" w:cs="Arial"/>
        <w:b/>
        <w:sz w:val="22"/>
        <w:szCs w:val="22"/>
      </w:rPr>
      <w:t>elebras</w:t>
    </w:r>
  </w:p>
  <w:p w14:paraId="4D4774AA" w14:textId="77777777" w:rsidR="000935A0" w:rsidRDefault="000935A0" w:rsidP="00E2798A">
    <w:pPr>
      <w:pStyle w:val="Cabealho"/>
      <w:rPr>
        <w:rFonts w:ascii="Arial" w:hAnsi="Arial" w:cs="Arial"/>
      </w:rPr>
    </w:pPr>
    <w:r>
      <w:rPr>
        <w:rFonts w:ascii="Arial" w:hAnsi="Arial" w:cs="Arial"/>
      </w:rPr>
      <w:t>Notas Explicativas às Informações Contábeis Intermediarias Individuais</w:t>
    </w:r>
  </w:p>
  <w:p w14:paraId="49538E00" w14:textId="77777777" w:rsidR="000935A0" w:rsidRDefault="000935A0" w:rsidP="00E2798A">
    <w:pPr>
      <w:pStyle w:val="Cabealho"/>
      <w:rPr>
        <w:rFonts w:ascii="Arial" w:hAnsi="Arial" w:cs="Arial"/>
      </w:rPr>
    </w:pPr>
    <w:r>
      <w:rPr>
        <w:rFonts w:ascii="Arial" w:hAnsi="Arial" w:cs="Arial"/>
      </w:rPr>
      <w:t>Períodos findos em 31 de março de 2026 e 2025</w:t>
    </w:r>
  </w:p>
  <w:p w14:paraId="257B7396" w14:textId="77777777" w:rsidR="000935A0" w:rsidRDefault="000935A0" w:rsidP="00E2798A">
    <w:pPr>
      <w:pStyle w:val="Cabealho"/>
      <w:tabs>
        <w:tab w:val="clear" w:pos="4320"/>
        <w:tab w:val="clear" w:pos="8640"/>
        <w:tab w:val="left" w:pos="9090"/>
      </w:tabs>
      <w:rPr>
        <w:rFonts w:ascii="Arial" w:hAnsi="Arial" w:cs="Arial"/>
        <w:sz w:val="22"/>
        <w:szCs w:val="22"/>
      </w:rPr>
    </w:pPr>
    <w:r>
      <w:rPr>
        <w:rFonts w:ascii="Arial" w:hAnsi="Arial" w:cs="Arial"/>
      </w:rPr>
      <w:t>Em milhares de reais, exceto quando indicado de outra forma.</w:t>
    </w:r>
  </w:p>
  <w:p w14:paraId="0C0E1651" w14:textId="77777777" w:rsidR="000935A0" w:rsidRPr="00AC7F4B" w:rsidRDefault="000935A0" w:rsidP="00AC7F4B">
    <w:pPr>
      <w:pStyle w:val="Cabealho"/>
      <w:tabs>
        <w:tab w:val="clear" w:pos="4320"/>
        <w:tab w:val="clear" w:pos="8640"/>
        <w:tab w:val="left" w:pos="909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0768" behindDoc="0" locked="0" layoutInCell="1" allowOverlap="1" wp14:anchorId="68130CF0" wp14:editId="3DE42EAD">
              <wp:simplePos x="0" y="0"/>
              <wp:positionH relativeFrom="column">
                <wp:posOffset>0</wp:posOffset>
              </wp:positionH>
              <wp:positionV relativeFrom="paragraph">
                <wp:posOffset>83820</wp:posOffset>
              </wp:positionV>
              <wp:extent cx="6096000" cy="0"/>
              <wp:effectExtent l="0" t="0" r="0" b="0"/>
              <wp:wrapNone/>
              <wp:docPr id="1142357900" name="Conector reto 6"/>
              <wp:cNvGraphicFramePr/>
              <a:graphic xmlns:a="http://schemas.openxmlformats.org/drawingml/2006/main">
                <a:graphicData uri="http://schemas.microsoft.com/office/word/2010/wordprocessingShape">
                  <wps:wsp>
                    <wps:cNvCnPr/>
                    <wps:spPr>
                      <a:xfrm>
                        <a:off x="0" y="0"/>
                        <a:ext cx="6096000" cy="0"/>
                      </a:xfrm>
                      <a:prstGeom prst="line">
                        <a:avLst/>
                      </a:prstGeom>
                      <a:ln>
                        <a:solidFill>
                          <a:srgbClr val="2313F3"/>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4749CC5" id="Conector reto 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6pt" to="480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8EuAEAANUDAAAOAAAAZHJzL2Uyb0RvYy54bWysU8tu2zAQvAfoPxC815Rs1EgEyzkkcC9F&#10;G6TNB9DU0iLAF0jWkv++S1qWg7ZA0SAXikvuzM4OV5v70WhyhBCVsy2tFxUlYIXrlD209OXH7uMt&#10;JTFx23HtLLT0BJHebz/cbAbfwNL1TncQCJLY2Ay+pX1KvmEsih4MjwvnweKldMHwhGE4sC7wAdmN&#10;ZsuqWrPBhc4HJyBGPH08X9Jt4ZcSRPomZYREdEtRWyprKOs+r2y74c0hcN8rMcngb1BhuLJYdKZ6&#10;5ImTn0H9QWWUCC46mRbCGeakVAJKD9hNXf3Wzfeeeyi9oDnRzzbF96MVX48P9imgDYOPTfRPIXcx&#10;ymDyF/WRsZh1ms2CMRGBh+vqbl1V6Km43LEr0IeYPoMzJG9aqpXNffCGH7/EhMUw9ZKSj7XNa3Ra&#10;dTuldQnCYf+gAzlyfLnlql7tVvmxEPgqDaMMZVftZZdOGs60zyCJ6lBtXcqXsYKZlgsBNn2aeLXF&#10;7AyTKGEGVv8GTvkZCmXk/gc8I0plZ9MMNsq68LfqaawnyfKcf3Hg3He2YO+6U3nVYg3OTnFumvM8&#10;nK/jAr/+jdtfAAAA//8DAFBLAwQUAAYACAAAACEARgal19kAAAAGAQAADwAAAGRycy9kb3ducmV2&#10;LnhtbEyPwU7DMAyG70i8Q2QkbiyhE1PXNZ2mwiQuIDF4gCwxbUXjVE26dW+PEQc4+vut35/L7ex7&#10;ccIxdoE03C8UCCQbXEeNho/3/V0OIiZDzvSBUMMFI2yr66vSFC6c6Q1Ph9QILqFYGA1tSkMhZbQt&#10;ehMXYUDi7DOM3iQex0a60Zy53PcyU2olvemIL7RmwLpF+3WYvIZnq7Kln54e9o0d893r46V+yWut&#10;b2/m3QZEwjn9LcOPPqtDxU7HMJGLotfAjySmywwEp+uVYnD8BbIq5X/96hsAAP//AwBQSwECLQAU&#10;AAYACAAAACEAtoM4kv4AAADhAQAAEwAAAAAAAAAAAAAAAAAAAAAAW0NvbnRlbnRfVHlwZXNdLnht&#10;bFBLAQItABQABgAIAAAAIQA4/SH/1gAAAJQBAAALAAAAAAAAAAAAAAAAAC8BAABfcmVscy8ucmVs&#10;c1BLAQItABQABgAIAAAAIQCaHB8EuAEAANUDAAAOAAAAAAAAAAAAAAAAAC4CAABkcnMvZTJvRG9j&#10;LnhtbFBLAQItABQABgAIAAAAIQBGBqXX2QAAAAYBAAAPAAAAAAAAAAAAAAAAABIEAABkcnMvZG93&#10;bnJldi54bWxQSwUGAAAAAAQABADzAAAAGAUAAAAA&#10;" strokecolor="#2313f3"/>
          </w:pict>
        </mc:Fallback>
      </mc:AlternateContent>
    </w:r>
  </w:p>
  <w:p w14:paraId="137AC638" w14:textId="77777777" w:rsidR="000935A0" w:rsidRDefault="000935A0" w:rsidP="007E39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33"/>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0815F5"/>
    <w:multiLevelType w:val="hybridMultilevel"/>
    <w:tmpl w:val="D0D8647C"/>
    <w:lvl w:ilvl="0" w:tplc="660C2F2A">
      <w:start w:val="1"/>
      <w:numFmt w:val="lowerLetter"/>
      <w:lvlText w:val="%1)"/>
      <w:lvlJc w:val="left"/>
      <w:pPr>
        <w:ind w:left="1428" w:hanging="360"/>
      </w:pPr>
      <w:rPr>
        <w:rFonts w:ascii="Arial" w:eastAsia="Times New Roman"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B364873"/>
    <w:multiLevelType w:val="multilevel"/>
    <w:tmpl w:val="13B67D36"/>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A87A3B"/>
    <w:multiLevelType w:val="multilevel"/>
    <w:tmpl w:val="CFDCCC5A"/>
    <w:lvl w:ilvl="0">
      <w:start w:val="1"/>
      <w:numFmt w:val="decimal"/>
      <w:lvlText w:val="%1."/>
      <w:lvlJc w:val="left"/>
      <w:pPr>
        <w:ind w:left="367" w:hanging="360"/>
      </w:pPr>
    </w:lvl>
    <w:lvl w:ilvl="1">
      <w:start w:val="1"/>
      <w:numFmt w:val="decimal"/>
      <w:isLgl/>
      <w:lvlText w:val="%1.%2"/>
      <w:lvlJc w:val="left"/>
      <w:pPr>
        <w:ind w:left="1697" w:hanging="420"/>
      </w:pPr>
      <w:rPr>
        <w:rFonts w:ascii="Arial" w:hAnsi="Arial" w:cs="Arial" w:hint="default"/>
        <w:b/>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869" w:hanging="72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4" w15:restartNumberingAfterBreak="0">
    <w:nsid w:val="1ABA1591"/>
    <w:multiLevelType w:val="singleLevel"/>
    <w:tmpl w:val="0416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F0672A6"/>
    <w:multiLevelType w:val="hybridMultilevel"/>
    <w:tmpl w:val="B6C88D7C"/>
    <w:lvl w:ilvl="0" w:tplc="4D8C7D9E">
      <w:start w:val="1"/>
      <w:numFmt w:val="lowerRoman"/>
      <w:lvlText w:val="%1)"/>
      <w:lvlJc w:val="right"/>
      <w:pPr>
        <w:tabs>
          <w:tab w:val="num" w:pos="1429"/>
        </w:tabs>
        <w:ind w:left="1429" w:hanging="360"/>
      </w:pPr>
      <w:rPr>
        <w:rFonts w:ascii="Arial" w:eastAsia="Times New Roman" w:hAnsi="Arial" w:cs="Arial"/>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01166C2"/>
    <w:multiLevelType w:val="hybridMultilevel"/>
    <w:tmpl w:val="4B402A12"/>
    <w:lvl w:ilvl="0" w:tplc="9A88BF9C">
      <w:start w:val="1"/>
      <w:numFmt w:val="lowerRoman"/>
      <w:lvlText w:val="%1)"/>
      <w:lvlJc w:val="left"/>
      <w:pPr>
        <w:ind w:left="1003" w:hanging="72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7" w15:restartNumberingAfterBreak="0">
    <w:nsid w:val="22154B0D"/>
    <w:multiLevelType w:val="hybridMultilevel"/>
    <w:tmpl w:val="61F211D8"/>
    <w:lvl w:ilvl="0" w:tplc="1E0AE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9E1885"/>
    <w:multiLevelType w:val="multilevel"/>
    <w:tmpl w:val="57B41D64"/>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3E3DE0"/>
    <w:multiLevelType w:val="multilevel"/>
    <w:tmpl w:val="237A45D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524412"/>
    <w:multiLevelType w:val="multilevel"/>
    <w:tmpl w:val="C09E269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48614DB"/>
    <w:multiLevelType w:val="hybridMultilevel"/>
    <w:tmpl w:val="B772236E"/>
    <w:lvl w:ilvl="0" w:tplc="91E6A224">
      <w:start w:val="1"/>
      <w:numFmt w:val="lowerRoman"/>
      <w:lvlText w:val="%1)"/>
      <w:lvlJc w:val="right"/>
      <w:pPr>
        <w:tabs>
          <w:tab w:val="num" w:pos="1068"/>
        </w:tabs>
        <w:ind w:left="1068" w:hanging="360"/>
      </w:pPr>
      <w:rPr>
        <w:rFonts w:ascii="Arial" w:eastAsia="Times New Roman" w:hAnsi="Arial" w:cs="Arial"/>
        <w:sz w:val="22"/>
        <w:szCs w:val="22"/>
      </w:rPr>
    </w:lvl>
    <w:lvl w:ilvl="1" w:tplc="0CC424E0" w:tentative="1">
      <w:start w:val="1"/>
      <w:numFmt w:val="bullet"/>
      <w:lvlText w:val="o"/>
      <w:lvlJc w:val="left"/>
      <w:pPr>
        <w:tabs>
          <w:tab w:val="num" w:pos="2148"/>
        </w:tabs>
        <w:ind w:left="2148" w:hanging="360"/>
      </w:pPr>
      <w:rPr>
        <w:rFonts w:ascii="Courier New" w:hAnsi="Courier New" w:hint="default"/>
      </w:rPr>
    </w:lvl>
    <w:lvl w:ilvl="2" w:tplc="1E2A92E6" w:tentative="1">
      <w:start w:val="1"/>
      <w:numFmt w:val="bullet"/>
      <w:lvlText w:val=""/>
      <w:lvlJc w:val="left"/>
      <w:pPr>
        <w:tabs>
          <w:tab w:val="num" w:pos="2868"/>
        </w:tabs>
        <w:ind w:left="2868" w:hanging="360"/>
      </w:pPr>
      <w:rPr>
        <w:rFonts w:ascii="Wingdings" w:hAnsi="Wingdings" w:hint="default"/>
      </w:rPr>
    </w:lvl>
    <w:lvl w:ilvl="3" w:tplc="FDA42ADC" w:tentative="1">
      <w:start w:val="1"/>
      <w:numFmt w:val="bullet"/>
      <w:lvlText w:val=""/>
      <w:lvlJc w:val="left"/>
      <w:pPr>
        <w:tabs>
          <w:tab w:val="num" w:pos="3588"/>
        </w:tabs>
        <w:ind w:left="3588" w:hanging="360"/>
      </w:pPr>
      <w:rPr>
        <w:rFonts w:ascii="Symbol" w:hAnsi="Symbol" w:hint="default"/>
      </w:rPr>
    </w:lvl>
    <w:lvl w:ilvl="4" w:tplc="9B9E7746" w:tentative="1">
      <w:start w:val="1"/>
      <w:numFmt w:val="bullet"/>
      <w:lvlText w:val="o"/>
      <w:lvlJc w:val="left"/>
      <w:pPr>
        <w:tabs>
          <w:tab w:val="num" w:pos="4308"/>
        </w:tabs>
        <w:ind w:left="4308" w:hanging="360"/>
      </w:pPr>
      <w:rPr>
        <w:rFonts w:ascii="Courier New" w:hAnsi="Courier New" w:hint="default"/>
      </w:rPr>
    </w:lvl>
    <w:lvl w:ilvl="5" w:tplc="28FA6D68" w:tentative="1">
      <w:start w:val="1"/>
      <w:numFmt w:val="bullet"/>
      <w:lvlText w:val=""/>
      <w:lvlJc w:val="left"/>
      <w:pPr>
        <w:tabs>
          <w:tab w:val="num" w:pos="5028"/>
        </w:tabs>
        <w:ind w:left="5028" w:hanging="360"/>
      </w:pPr>
      <w:rPr>
        <w:rFonts w:ascii="Wingdings" w:hAnsi="Wingdings" w:hint="default"/>
      </w:rPr>
    </w:lvl>
    <w:lvl w:ilvl="6" w:tplc="98600190" w:tentative="1">
      <w:start w:val="1"/>
      <w:numFmt w:val="bullet"/>
      <w:lvlText w:val=""/>
      <w:lvlJc w:val="left"/>
      <w:pPr>
        <w:tabs>
          <w:tab w:val="num" w:pos="5748"/>
        </w:tabs>
        <w:ind w:left="5748" w:hanging="360"/>
      </w:pPr>
      <w:rPr>
        <w:rFonts w:ascii="Symbol" w:hAnsi="Symbol" w:hint="default"/>
      </w:rPr>
    </w:lvl>
    <w:lvl w:ilvl="7" w:tplc="5FC6C550" w:tentative="1">
      <w:start w:val="1"/>
      <w:numFmt w:val="bullet"/>
      <w:lvlText w:val="o"/>
      <w:lvlJc w:val="left"/>
      <w:pPr>
        <w:tabs>
          <w:tab w:val="num" w:pos="6468"/>
        </w:tabs>
        <w:ind w:left="6468" w:hanging="360"/>
      </w:pPr>
      <w:rPr>
        <w:rFonts w:ascii="Courier New" w:hAnsi="Courier New" w:hint="default"/>
      </w:rPr>
    </w:lvl>
    <w:lvl w:ilvl="8" w:tplc="19D66B5C"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8430345"/>
    <w:multiLevelType w:val="multilevel"/>
    <w:tmpl w:val="CC72DDDC"/>
    <w:lvl w:ilvl="0">
      <w:start w:val="8"/>
      <w:numFmt w:val="decimal"/>
      <w:lvlText w:val="%1."/>
      <w:lvlJc w:val="left"/>
      <w:pPr>
        <w:ind w:left="644"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997" w:hanging="720"/>
      </w:pPr>
      <w:rPr>
        <w:rFonts w:ascii="Arial"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2D763D"/>
    <w:multiLevelType w:val="hybridMultilevel"/>
    <w:tmpl w:val="9F3C3C84"/>
    <w:lvl w:ilvl="0" w:tplc="B6C65D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5F569D"/>
    <w:multiLevelType w:val="multilevel"/>
    <w:tmpl w:val="9C0E55D6"/>
    <w:lvl w:ilvl="0">
      <w:start w:val="3"/>
      <w:numFmt w:val="decimal"/>
      <w:lvlText w:val="%1."/>
      <w:lvlJc w:val="left"/>
      <w:pPr>
        <w:ind w:left="502"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10B3739"/>
    <w:multiLevelType w:val="hybridMultilevel"/>
    <w:tmpl w:val="8DBA7E16"/>
    <w:lvl w:ilvl="0" w:tplc="CF2429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D4C582A"/>
    <w:multiLevelType w:val="hybridMultilevel"/>
    <w:tmpl w:val="0BBC7468"/>
    <w:lvl w:ilvl="0" w:tplc="FD58CD4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060608">
    <w:abstractNumId w:val="3"/>
  </w:num>
  <w:num w:numId="2" w16cid:durableId="1645966991">
    <w:abstractNumId w:val="11"/>
  </w:num>
  <w:num w:numId="3" w16cid:durableId="783236201">
    <w:abstractNumId w:val="5"/>
  </w:num>
  <w:num w:numId="4" w16cid:durableId="817964300">
    <w:abstractNumId w:val="1"/>
  </w:num>
  <w:num w:numId="5" w16cid:durableId="748503040">
    <w:abstractNumId w:val="8"/>
  </w:num>
  <w:num w:numId="6" w16cid:durableId="118768636">
    <w:abstractNumId w:val="9"/>
  </w:num>
  <w:num w:numId="7" w16cid:durableId="1357346257">
    <w:abstractNumId w:val="12"/>
  </w:num>
  <w:num w:numId="8" w16cid:durableId="198711080">
    <w:abstractNumId w:val="7"/>
  </w:num>
  <w:num w:numId="9" w16cid:durableId="1064913741">
    <w:abstractNumId w:val="6"/>
  </w:num>
  <w:num w:numId="10" w16cid:durableId="1398095274">
    <w:abstractNumId w:val="16"/>
  </w:num>
  <w:num w:numId="11" w16cid:durableId="278728019">
    <w:abstractNumId w:val="13"/>
  </w:num>
  <w:num w:numId="12" w16cid:durableId="337774350">
    <w:abstractNumId w:val="2"/>
  </w:num>
  <w:num w:numId="13" w16cid:durableId="1364593759">
    <w:abstractNumId w:val="0"/>
  </w:num>
  <w:num w:numId="14" w16cid:durableId="1093548420">
    <w:abstractNumId w:val="4"/>
  </w:num>
  <w:num w:numId="15" w16cid:durableId="815143707">
    <w:abstractNumId w:val="10"/>
  </w:num>
  <w:num w:numId="16" w16cid:durableId="184755051">
    <w:abstractNumId w:val="15"/>
  </w:num>
  <w:num w:numId="17" w16cid:durableId="105219117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84"/>
    <w:rsid w:val="000003D6"/>
    <w:rsid w:val="00000406"/>
    <w:rsid w:val="00000914"/>
    <w:rsid w:val="00000A4F"/>
    <w:rsid w:val="00000A75"/>
    <w:rsid w:val="00000C1F"/>
    <w:rsid w:val="000010B9"/>
    <w:rsid w:val="000015B3"/>
    <w:rsid w:val="000016E2"/>
    <w:rsid w:val="00001785"/>
    <w:rsid w:val="00001EB7"/>
    <w:rsid w:val="00002221"/>
    <w:rsid w:val="0000255D"/>
    <w:rsid w:val="00002680"/>
    <w:rsid w:val="00002D7B"/>
    <w:rsid w:val="0000306B"/>
    <w:rsid w:val="000036C5"/>
    <w:rsid w:val="0000397D"/>
    <w:rsid w:val="00003A8F"/>
    <w:rsid w:val="00003C75"/>
    <w:rsid w:val="00004145"/>
    <w:rsid w:val="00004613"/>
    <w:rsid w:val="00004B6B"/>
    <w:rsid w:val="00004DCC"/>
    <w:rsid w:val="00004E13"/>
    <w:rsid w:val="000050D9"/>
    <w:rsid w:val="000052CE"/>
    <w:rsid w:val="000054E3"/>
    <w:rsid w:val="000055AE"/>
    <w:rsid w:val="0000587C"/>
    <w:rsid w:val="00005C6F"/>
    <w:rsid w:val="00005CEE"/>
    <w:rsid w:val="00005E9E"/>
    <w:rsid w:val="00005F7E"/>
    <w:rsid w:val="00006074"/>
    <w:rsid w:val="00006084"/>
    <w:rsid w:val="0000624B"/>
    <w:rsid w:val="00006396"/>
    <w:rsid w:val="000063E2"/>
    <w:rsid w:val="0000679A"/>
    <w:rsid w:val="00006931"/>
    <w:rsid w:val="00006A6D"/>
    <w:rsid w:val="00006AB0"/>
    <w:rsid w:val="00006B21"/>
    <w:rsid w:val="00006E76"/>
    <w:rsid w:val="00006ED5"/>
    <w:rsid w:val="000070B0"/>
    <w:rsid w:val="000070EB"/>
    <w:rsid w:val="00007201"/>
    <w:rsid w:val="000072BC"/>
    <w:rsid w:val="000073A5"/>
    <w:rsid w:val="000076E8"/>
    <w:rsid w:val="0000774C"/>
    <w:rsid w:val="000079F1"/>
    <w:rsid w:val="00007A39"/>
    <w:rsid w:val="00007EFB"/>
    <w:rsid w:val="00007FEF"/>
    <w:rsid w:val="00010091"/>
    <w:rsid w:val="000104CA"/>
    <w:rsid w:val="00010641"/>
    <w:rsid w:val="000108D9"/>
    <w:rsid w:val="000109F1"/>
    <w:rsid w:val="00010C8B"/>
    <w:rsid w:val="0001187D"/>
    <w:rsid w:val="000118D8"/>
    <w:rsid w:val="00011C66"/>
    <w:rsid w:val="0001211D"/>
    <w:rsid w:val="000122FA"/>
    <w:rsid w:val="00012404"/>
    <w:rsid w:val="00012409"/>
    <w:rsid w:val="0001288D"/>
    <w:rsid w:val="000128AE"/>
    <w:rsid w:val="000129E5"/>
    <w:rsid w:val="00012AC9"/>
    <w:rsid w:val="00012AF0"/>
    <w:rsid w:val="00012B60"/>
    <w:rsid w:val="00012BF6"/>
    <w:rsid w:val="00012CD8"/>
    <w:rsid w:val="00012D58"/>
    <w:rsid w:val="000132FA"/>
    <w:rsid w:val="0001347E"/>
    <w:rsid w:val="000134BF"/>
    <w:rsid w:val="0001361D"/>
    <w:rsid w:val="000136F8"/>
    <w:rsid w:val="00013751"/>
    <w:rsid w:val="00013820"/>
    <w:rsid w:val="000138E8"/>
    <w:rsid w:val="0001396D"/>
    <w:rsid w:val="00013C9F"/>
    <w:rsid w:val="00013CC7"/>
    <w:rsid w:val="00014358"/>
    <w:rsid w:val="00014621"/>
    <w:rsid w:val="00014630"/>
    <w:rsid w:val="00014747"/>
    <w:rsid w:val="00014AC2"/>
    <w:rsid w:val="00014D7A"/>
    <w:rsid w:val="00014EFA"/>
    <w:rsid w:val="000152BE"/>
    <w:rsid w:val="0001579F"/>
    <w:rsid w:val="00015835"/>
    <w:rsid w:val="0001592F"/>
    <w:rsid w:val="00015969"/>
    <w:rsid w:val="00015A0E"/>
    <w:rsid w:val="00015B9D"/>
    <w:rsid w:val="00015BD0"/>
    <w:rsid w:val="00015D20"/>
    <w:rsid w:val="000160A0"/>
    <w:rsid w:val="000161E4"/>
    <w:rsid w:val="00016372"/>
    <w:rsid w:val="00016423"/>
    <w:rsid w:val="0001659E"/>
    <w:rsid w:val="00016F99"/>
    <w:rsid w:val="000172C3"/>
    <w:rsid w:val="0001740A"/>
    <w:rsid w:val="0001745D"/>
    <w:rsid w:val="000175FC"/>
    <w:rsid w:val="0001795F"/>
    <w:rsid w:val="00017A9E"/>
    <w:rsid w:val="00017D4B"/>
    <w:rsid w:val="00017FB6"/>
    <w:rsid w:val="0002009A"/>
    <w:rsid w:val="000202A5"/>
    <w:rsid w:val="0002038F"/>
    <w:rsid w:val="00020457"/>
    <w:rsid w:val="00020758"/>
    <w:rsid w:val="000207D8"/>
    <w:rsid w:val="000208CA"/>
    <w:rsid w:val="000209AD"/>
    <w:rsid w:val="00020D9E"/>
    <w:rsid w:val="00020E87"/>
    <w:rsid w:val="00020F0A"/>
    <w:rsid w:val="000210BA"/>
    <w:rsid w:val="00021180"/>
    <w:rsid w:val="000213BD"/>
    <w:rsid w:val="000214FE"/>
    <w:rsid w:val="000215F0"/>
    <w:rsid w:val="00021683"/>
    <w:rsid w:val="00021792"/>
    <w:rsid w:val="00021A36"/>
    <w:rsid w:val="00021AA6"/>
    <w:rsid w:val="00021EBC"/>
    <w:rsid w:val="00022317"/>
    <w:rsid w:val="000223C6"/>
    <w:rsid w:val="00022456"/>
    <w:rsid w:val="00022ECF"/>
    <w:rsid w:val="00022F8F"/>
    <w:rsid w:val="0002308A"/>
    <w:rsid w:val="000234C2"/>
    <w:rsid w:val="00023529"/>
    <w:rsid w:val="00023632"/>
    <w:rsid w:val="0002374B"/>
    <w:rsid w:val="00023C4A"/>
    <w:rsid w:val="00023E59"/>
    <w:rsid w:val="00024353"/>
    <w:rsid w:val="00024870"/>
    <w:rsid w:val="00024920"/>
    <w:rsid w:val="000249D3"/>
    <w:rsid w:val="00024D30"/>
    <w:rsid w:val="00024D79"/>
    <w:rsid w:val="00024F15"/>
    <w:rsid w:val="00024FF6"/>
    <w:rsid w:val="000251B6"/>
    <w:rsid w:val="00025679"/>
    <w:rsid w:val="000257C6"/>
    <w:rsid w:val="000258DF"/>
    <w:rsid w:val="00025A8A"/>
    <w:rsid w:val="00025B48"/>
    <w:rsid w:val="00025D93"/>
    <w:rsid w:val="00026085"/>
    <w:rsid w:val="00026545"/>
    <w:rsid w:val="000265AD"/>
    <w:rsid w:val="0002678B"/>
    <w:rsid w:val="000268B3"/>
    <w:rsid w:val="00026A53"/>
    <w:rsid w:val="00026B18"/>
    <w:rsid w:val="00026D1E"/>
    <w:rsid w:val="00027171"/>
    <w:rsid w:val="000271F4"/>
    <w:rsid w:val="000273A2"/>
    <w:rsid w:val="00027593"/>
    <w:rsid w:val="00027B1D"/>
    <w:rsid w:val="00027C12"/>
    <w:rsid w:val="00027C46"/>
    <w:rsid w:val="00027D57"/>
    <w:rsid w:val="00027FCA"/>
    <w:rsid w:val="000301C7"/>
    <w:rsid w:val="000302BE"/>
    <w:rsid w:val="000302E9"/>
    <w:rsid w:val="00030421"/>
    <w:rsid w:val="00030458"/>
    <w:rsid w:val="0003061C"/>
    <w:rsid w:val="00030E42"/>
    <w:rsid w:val="00030E60"/>
    <w:rsid w:val="0003110C"/>
    <w:rsid w:val="00031296"/>
    <w:rsid w:val="000314C3"/>
    <w:rsid w:val="00031898"/>
    <w:rsid w:val="00031BE1"/>
    <w:rsid w:val="00031F9B"/>
    <w:rsid w:val="00032158"/>
    <w:rsid w:val="00032205"/>
    <w:rsid w:val="000322A0"/>
    <w:rsid w:val="000322DB"/>
    <w:rsid w:val="000323C5"/>
    <w:rsid w:val="00032629"/>
    <w:rsid w:val="000326DD"/>
    <w:rsid w:val="00032752"/>
    <w:rsid w:val="00032A17"/>
    <w:rsid w:val="00032AB9"/>
    <w:rsid w:val="00032B5B"/>
    <w:rsid w:val="00032C68"/>
    <w:rsid w:val="00032CA5"/>
    <w:rsid w:val="00032F17"/>
    <w:rsid w:val="000332C4"/>
    <w:rsid w:val="00033441"/>
    <w:rsid w:val="00033805"/>
    <w:rsid w:val="00033A47"/>
    <w:rsid w:val="00033AA3"/>
    <w:rsid w:val="00033EA5"/>
    <w:rsid w:val="00033FF5"/>
    <w:rsid w:val="00034088"/>
    <w:rsid w:val="000343E7"/>
    <w:rsid w:val="00034427"/>
    <w:rsid w:val="0003442E"/>
    <w:rsid w:val="0003468E"/>
    <w:rsid w:val="00034695"/>
    <w:rsid w:val="00034A18"/>
    <w:rsid w:val="00034E01"/>
    <w:rsid w:val="00034E91"/>
    <w:rsid w:val="0003506A"/>
    <w:rsid w:val="000351A0"/>
    <w:rsid w:val="000356AC"/>
    <w:rsid w:val="0003573A"/>
    <w:rsid w:val="000359E1"/>
    <w:rsid w:val="00035AEC"/>
    <w:rsid w:val="00035FD6"/>
    <w:rsid w:val="0003607D"/>
    <w:rsid w:val="0003626F"/>
    <w:rsid w:val="000366CF"/>
    <w:rsid w:val="0003682E"/>
    <w:rsid w:val="0003684D"/>
    <w:rsid w:val="0003687F"/>
    <w:rsid w:val="00036DC5"/>
    <w:rsid w:val="00036F55"/>
    <w:rsid w:val="00037477"/>
    <w:rsid w:val="0003797C"/>
    <w:rsid w:val="000379A0"/>
    <w:rsid w:val="00037E3E"/>
    <w:rsid w:val="0004053C"/>
    <w:rsid w:val="000406A8"/>
    <w:rsid w:val="000407DC"/>
    <w:rsid w:val="00040B27"/>
    <w:rsid w:val="00040B6C"/>
    <w:rsid w:val="00040C2A"/>
    <w:rsid w:val="00040F01"/>
    <w:rsid w:val="00040F0A"/>
    <w:rsid w:val="000414E3"/>
    <w:rsid w:val="000415C1"/>
    <w:rsid w:val="000416B7"/>
    <w:rsid w:val="000416D2"/>
    <w:rsid w:val="00041816"/>
    <w:rsid w:val="00042095"/>
    <w:rsid w:val="00042377"/>
    <w:rsid w:val="000424A3"/>
    <w:rsid w:val="000424B0"/>
    <w:rsid w:val="00042777"/>
    <w:rsid w:val="00042A40"/>
    <w:rsid w:val="00042D9E"/>
    <w:rsid w:val="00042DCC"/>
    <w:rsid w:val="000431DE"/>
    <w:rsid w:val="000433ED"/>
    <w:rsid w:val="000434B3"/>
    <w:rsid w:val="000435D2"/>
    <w:rsid w:val="000437E9"/>
    <w:rsid w:val="000438AB"/>
    <w:rsid w:val="00043962"/>
    <w:rsid w:val="00043B1A"/>
    <w:rsid w:val="00043C95"/>
    <w:rsid w:val="00043E93"/>
    <w:rsid w:val="00043EAD"/>
    <w:rsid w:val="00043FF6"/>
    <w:rsid w:val="000444CA"/>
    <w:rsid w:val="0004452C"/>
    <w:rsid w:val="00044616"/>
    <w:rsid w:val="00044810"/>
    <w:rsid w:val="00044931"/>
    <w:rsid w:val="00044B1A"/>
    <w:rsid w:val="00044E83"/>
    <w:rsid w:val="00044FAB"/>
    <w:rsid w:val="00044FD8"/>
    <w:rsid w:val="00045060"/>
    <w:rsid w:val="000450BA"/>
    <w:rsid w:val="000451DB"/>
    <w:rsid w:val="0004543D"/>
    <w:rsid w:val="0004592D"/>
    <w:rsid w:val="00046066"/>
    <w:rsid w:val="0004622D"/>
    <w:rsid w:val="0004629B"/>
    <w:rsid w:val="000462AD"/>
    <w:rsid w:val="00046356"/>
    <w:rsid w:val="0004657F"/>
    <w:rsid w:val="000467AF"/>
    <w:rsid w:val="00046889"/>
    <w:rsid w:val="00046974"/>
    <w:rsid w:val="00046BF5"/>
    <w:rsid w:val="00046E6A"/>
    <w:rsid w:val="0004709C"/>
    <w:rsid w:val="000471DF"/>
    <w:rsid w:val="0004738B"/>
    <w:rsid w:val="00047404"/>
    <w:rsid w:val="00047615"/>
    <w:rsid w:val="00047CB3"/>
    <w:rsid w:val="00047F0A"/>
    <w:rsid w:val="00047F78"/>
    <w:rsid w:val="00047F96"/>
    <w:rsid w:val="00047FC9"/>
    <w:rsid w:val="00050098"/>
    <w:rsid w:val="0005032E"/>
    <w:rsid w:val="000503A5"/>
    <w:rsid w:val="000508CB"/>
    <w:rsid w:val="00050907"/>
    <w:rsid w:val="00050A64"/>
    <w:rsid w:val="00050AAE"/>
    <w:rsid w:val="00050CF7"/>
    <w:rsid w:val="00051011"/>
    <w:rsid w:val="0005116B"/>
    <w:rsid w:val="0005186B"/>
    <w:rsid w:val="00051ADC"/>
    <w:rsid w:val="00051E3F"/>
    <w:rsid w:val="00052145"/>
    <w:rsid w:val="000521E3"/>
    <w:rsid w:val="0005258A"/>
    <w:rsid w:val="000525A7"/>
    <w:rsid w:val="000526ED"/>
    <w:rsid w:val="000528B3"/>
    <w:rsid w:val="00052B0B"/>
    <w:rsid w:val="00052C0E"/>
    <w:rsid w:val="00052C61"/>
    <w:rsid w:val="00052C87"/>
    <w:rsid w:val="00052CA9"/>
    <w:rsid w:val="00052DEF"/>
    <w:rsid w:val="00052F03"/>
    <w:rsid w:val="00053276"/>
    <w:rsid w:val="00053529"/>
    <w:rsid w:val="00053753"/>
    <w:rsid w:val="000539B1"/>
    <w:rsid w:val="00053B5F"/>
    <w:rsid w:val="00053D4E"/>
    <w:rsid w:val="00053E94"/>
    <w:rsid w:val="0005424E"/>
    <w:rsid w:val="00054289"/>
    <w:rsid w:val="000546A9"/>
    <w:rsid w:val="0005492E"/>
    <w:rsid w:val="000549A6"/>
    <w:rsid w:val="00054D49"/>
    <w:rsid w:val="000550A1"/>
    <w:rsid w:val="000551ED"/>
    <w:rsid w:val="0005548B"/>
    <w:rsid w:val="000555CC"/>
    <w:rsid w:val="00055707"/>
    <w:rsid w:val="0005587C"/>
    <w:rsid w:val="00055B43"/>
    <w:rsid w:val="00055C73"/>
    <w:rsid w:val="00055C91"/>
    <w:rsid w:val="00055DFD"/>
    <w:rsid w:val="00055F40"/>
    <w:rsid w:val="00056335"/>
    <w:rsid w:val="00056468"/>
    <w:rsid w:val="000567BA"/>
    <w:rsid w:val="00056AE1"/>
    <w:rsid w:val="00056BFC"/>
    <w:rsid w:val="00056DB2"/>
    <w:rsid w:val="00057248"/>
    <w:rsid w:val="000575F3"/>
    <w:rsid w:val="0005792C"/>
    <w:rsid w:val="000579AE"/>
    <w:rsid w:val="00057A59"/>
    <w:rsid w:val="00057AE0"/>
    <w:rsid w:val="00057B99"/>
    <w:rsid w:val="00057D05"/>
    <w:rsid w:val="00060172"/>
    <w:rsid w:val="0006056C"/>
    <w:rsid w:val="000605C6"/>
    <w:rsid w:val="00060670"/>
    <w:rsid w:val="00060864"/>
    <w:rsid w:val="00060927"/>
    <w:rsid w:val="000609F3"/>
    <w:rsid w:val="00060E1E"/>
    <w:rsid w:val="00060EB6"/>
    <w:rsid w:val="00060FFC"/>
    <w:rsid w:val="00061013"/>
    <w:rsid w:val="00061107"/>
    <w:rsid w:val="00061126"/>
    <w:rsid w:val="000617A2"/>
    <w:rsid w:val="00061858"/>
    <w:rsid w:val="000619B3"/>
    <w:rsid w:val="00061ABF"/>
    <w:rsid w:val="00061E4E"/>
    <w:rsid w:val="00062116"/>
    <w:rsid w:val="000621F4"/>
    <w:rsid w:val="00062310"/>
    <w:rsid w:val="00062528"/>
    <w:rsid w:val="000625C7"/>
    <w:rsid w:val="000626E7"/>
    <w:rsid w:val="0006286C"/>
    <w:rsid w:val="000629CD"/>
    <w:rsid w:val="00062A88"/>
    <w:rsid w:val="00062BAC"/>
    <w:rsid w:val="00062CD3"/>
    <w:rsid w:val="00062F22"/>
    <w:rsid w:val="00062FFD"/>
    <w:rsid w:val="00063078"/>
    <w:rsid w:val="0006308E"/>
    <w:rsid w:val="00063094"/>
    <w:rsid w:val="000635CA"/>
    <w:rsid w:val="00063902"/>
    <w:rsid w:val="00063A65"/>
    <w:rsid w:val="000641D4"/>
    <w:rsid w:val="000644AC"/>
    <w:rsid w:val="0006473D"/>
    <w:rsid w:val="00064E6C"/>
    <w:rsid w:val="00064ED6"/>
    <w:rsid w:val="00064F47"/>
    <w:rsid w:val="0006521E"/>
    <w:rsid w:val="000659A8"/>
    <w:rsid w:val="00065AAA"/>
    <w:rsid w:val="00065AC5"/>
    <w:rsid w:val="00065C84"/>
    <w:rsid w:val="00066393"/>
    <w:rsid w:val="00066621"/>
    <w:rsid w:val="00066815"/>
    <w:rsid w:val="00066A87"/>
    <w:rsid w:val="00066E1C"/>
    <w:rsid w:val="0006712B"/>
    <w:rsid w:val="00067184"/>
    <w:rsid w:val="000673DF"/>
    <w:rsid w:val="000674ED"/>
    <w:rsid w:val="0006761C"/>
    <w:rsid w:val="00067A8F"/>
    <w:rsid w:val="00067B1A"/>
    <w:rsid w:val="00067C37"/>
    <w:rsid w:val="00067D99"/>
    <w:rsid w:val="00070080"/>
    <w:rsid w:val="0007048F"/>
    <w:rsid w:val="00070590"/>
    <w:rsid w:val="00070623"/>
    <w:rsid w:val="00070725"/>
    <w:rsid w:val="00070772"/>
    <w:rsid w:val="000707E5"/>
    <w:rsid w:val="00070993"/>
    <w:rsid w:val="00070C32"/>
    <w:rsid w:val="00070CA4"/>
    <w:rsid w:val="00071205"/>
    <w:rsid w:val="000713A4"/>
    <w:rsid w:val="00071639"/>
    <w:rsid w:val="000717F0"/>
    <w:rsid w:val="00071AF9"/>
    <w:rsid w:val="00071B0E"/>
    <w:rsid w:val="00071BFE"/>
    <w:rsid w:val="00071F0D"/>
    <w:rsid w:val="0007216E"/>
    <w:rsid w:val="0007230C"/>
    <w:rsid w:val="0007249C"/>
    <w:rsid w:val="00072AB9"/>
    <w:rsid w:val="00073120"/>
    <w:rsid w:val="0007314F"/>
    <w:rsid w:val="00073245"/>
    <w:rsid w:val="000733CC"/>
    <w:rsid w:val="000739CC"/>
    <w:rsid w:val="00073AE2"/>
    <w:rsid w:val="00073B39"/>
    <w:rsid w:val="00073E1C"/>
    <w:rsid w:val="0007412C"/>
    <w:rsid w:val="000741B6"/>
    <w:rsid w:val="000743AA"/>
    <w:rsid w:val="00074A50"/>
    <w:rsid w:val="00074EFB"/>
    <w:rsid w:val="00074F18"/>
    <w:rsid w:val="00074FBC"/>
    <w:rsid w:val="00074FC9"/>
    <w:rsid w:val="00075044"/>
    <w:rsid w:val="00075537"/>
    <w:rsid w:val="000757CC"/>
    <w:rsid w:val="00075B4C"/>
    <w:rsid w:val="00075B84"/>
    <w:rsid w:val="00075E07"/>
    <w:rsid w:val="00076014"/>
    <w:rsid w:val="000760CB"/>
    <w:rsid w:val="00076361"/>
    <w:rsid w:val="00076925"/>
    <w:rsid w:val="00076B07"/>
    <w:rsid w:val="00076D14"/>
    <w:rsid w:val="00076ED9"/>
    <w:rsid w:val="00076FF8"/>
    <w:rsid w:val="00077047"/>
    <w:rsid w:val="00077086"/>
    <w:rsid w:val="0007716B"/>
    <w:rsid w:val="000771D7"/>
    <w:rsid w:val="00077669"/>
    <w:rsid w:val="00077777"/>
    <w:rsid w:val="000777BE"/>
    <w:rsid w:val="00077B97"/>
    <w:rsid w:val="00077CF5"/>
    <w:rsid w:val="00077FC1"/>
    <w:rsid w:val="0008019B"/>
    <w:rsid w:val="00080201"/>
    <w:rsid w:val="000804DD"/>
    <w:rsid w:val="00080529"/>
    <w:rsid w:val="00080647"/>
    <w:rsid w:val="000806DD"/>
    <w:rsid w:val="00080947"/>
    <w:rsid w:val="00080C00"/>
    <w:rsid w:val="00080F30"/>
    <w:rsid w:val="00080F39"/>
    <w:rsid w:val="00081131"/>
    <w:rsid w:val="0008134F"/>
    <w:rsid w:val="00081F45"/>
    <w:rsid w:val="000820CD"/>
    <w:rsid w:val="00082276"/>
    <w:rsid w:val="00082684"/>
    <w:rsid w:val="000826B8"/>
    <w:rsid w:val="00082855"/>
    <w:rsid w:val="00082872"/>
    <w:rsid w:val="00082B2D"/>
    <w:rsid w:val="00082DDA"/>
    <w:rsid w:val="00082DEB"/>
    <w:rsid w:val="000837A3"/>
    <w:rsid w:val="00083833"/>
    <w:rsid w:val="00083A6B"/>
    <w:rsid w:val="000843A0"/>
    <w:rsid w:val="0008496A"/>
    <w:rsid w:val="00084A05"/>
    <w:rsid w:val="00084BDD"/>
    <w:rsid w:val="00084C56"/>
    <w:rsid w:val="000850A1"/>
    <w:rsid w:val="00085428"/>
    <w:rsid w:val="000854F2"/>
    <w:rsid w:val="000858A2"/>
    <w:rsid w:val="000858D4"/>
    <w:rsid w:val="00085B10"/>
    <w:rsid w:val="00085E66"/>
    <w:rsid w:val="0008621C"/>
    <w:rsid w:val="00086296"/>
    <w:rsid w:val="0008632D"/>
    <w:rsid w:val="0008636C"/>
    <w:rsid w:val="0008654C"/>
    <w:rsid w:val="00086669"/>
    <w:rsid w:val="000867AA"/>
    <w:rsid w:val="000868B7"/>
    <w:rsid w:val="00086A27"/>
    <w:rsid w:val="00086DEB"/>
    <w:rsid w:val="000871CA"/>
    <w:rsid w:val="00087272"/>
    <w:rsid w:val="000872AB"/>
    <w:rsid w:val="00087808"/>
    <w:rsid w:val="00087B0D"/>
    <w:rsid w:val="00087E03"/>
    <w:rsid w:val="00087E04"/>
    <w:rsid w:val="00087F4D"/>
    <w:rsid w:val="00090013"/>
    <w:rsid w:val="0009036A"/>
    <w:rsid w:val="00090590"/>
    <w:rsid w:val="000905C6"/>
    <w:rsid w:val="0009066A"/>
    <w:rsid w:val="0009085F"/>
    <w:rsid w:val="00090C54"/>
    <w:rsid w:val="00090D96"/>
    <w:rsid w:val="0009111A"/>
    <w:rsid w:val="00091233"/>
    <w:rsid w:val="0009128D"/>
    <w:rsid w:val="0009170A"/>
    <w:rsid w:val="000919BC"/>
    <w:rsid w:val="00091A70"/>
    <w:rsid w:val="00091ACE"/>
    <w:rsid w:val="00091B40"/>
    <w:rsid w:val="00091C72"/>
    <w:rsid w:val="00091F07"/>
    <w:rsid w:val="0009226C"/>
    <w:rsid w:val="00092456"/>
    <w:rsid w:val="00092929"/>
    <w:rsid w:val="000929C3"/>
    <w:rsid w:val="00092BD2"/>
    <w:rsid w:val="00092C42"/>
    <w:rsid w:val="00093258"/>
    <w:rsid w:val="000933AB"/>
    <w:rsid w:val="000933CB"/>
    <w:rsid w:val="00093500"/>
    <w:rsid w:val="000935A0"/>
    <w:rsid w:val="000936DE"/>
    <w:rsid w:val="0009397D"/>
    <w:rsid w:val="00093DBA"/>
    <w:rsid w:val="00093F1B"/>
    <w:rsid w:val="000940C6"/>
    <w:rsid w:val="00094425"/>
    <w:rsid w:val="00094586"/>
    <w:rsid w:val="00094959"/>
    <w:rsid w:val="00094AC8"/>
    <w:rsid w:val="00094B7F"/>
    <w:rsid w:val="00094BA0"/>
    <w:rsid w:val="00094D61"/>
    <w:rsid w:val="00094E43"/>
    <w:rsid w:val="000953E8"/>
    <w:rsid w:val="000956FC"/>
    <w:rsid w:val="00095AF4"/>
    <w:rsid w:val="00096348"/>
    <w:rsid w:val="0009679F"/>
    <w:rsid w:val="0009687D"/>
    <w:rsid w:val="00096A42"/>
    <w:rsid w:val="00096AFE"/>
    <w:rsid w:val="00096C80"/>
    <w:rsid w:val="00096FF3"/>
    <w:rsid w:val="0009705B"/>
    <w:rsid w:val="00097230"/>
    <w:rsid w:val="0009740F"/>
    <w:rsid w:val="000975A5"/>
    <w:rsid w:val="0009762A"/>
    <w:rsid w:val="000977BC"/>
    <w:rsid w:val="00097941"/>
    <w:rsid w:val="00097A32"/>
    <w:rsid w:val="00097C82"/>
    <w:rsid w:val="00097D3F"/>
    <w:rsid w:val="000A0392"/>
    <w:rsid w:val="000A0408"/>
    <w:rsid w:val="000A0420"/>
    <w:rsid w:val="000A048B"/>
    <w:rsid w:val="000A0561"/>
    <w:rsid w:val="000A0619"/>
    <w:rsid w:val="000A07C9"/>
    <w:rsid w:val="000A090D"/>
    <w:rsid w:val="000A0B4C"/>
    <w:rsid w:val="000A0BC9"/>
    <w:rsid w:val="000A0D56"/>
    <w:rsid w:val="000A0DBB"/>
    <w:rsid w:val="000A10C0"/>
    <w:rsid w:val="000A130F"/>
    <w:rsid w:val="000A1445"/>
    <w:rsid w:val="000A1557"/>
    <w:rsid w:val="000A15A5"/>
    <w:rsid w:val="000A163D"/>
    <w:rsid w:val="000A1C86"/>
    <w:rsid w:val="000A1D7F"/>
    <w:rsid w:val="000A23FF"/>
    <w:rsid w:val="000A2692"/>
    <w:rsid w:val="000A27B1"/>
    <w:rsid w:val="000A282B"/>
    <w:rsid w:val="000A2DCF"/>
    <w:rsid w:val="000A308D"/>
    <w:rsid w:val="000A31BD"/>
    <w:rsid w:val="000A352B"/>
    <w:rsid w:val="000A3799"/>
    <w:rsid w:val="000A38FA"/>
    <w:rsid w:val="000A397D"/>
    <w:rsid w:val="000A3B34"/>
    <w:rsid w:val="000A3B72"/>
    <w:rsid w:val="000A3D3F"/>
    <w:rsid w:val="000A3F0A"/>
    <w:rsid w:val="000A43F1"/>
    <w:rsid w:val="000A4A4B"/>
    <w:rsid w:val="000A4C47"/>
    <w:rsid w:val="000A4CFD"/>
    <w:rsid w:val="000A4DA1"/>
    <w:rsid w:val="000A4E90"/>
    <w:rsid w:val="000A4ED4"/>
    <w:rsid w:val="000A4F12"/>
    <w:rsid w:val="000A5437"/>
    <w:rsid w:val="000A54EE"/>
    <w:rsid w:val="000A583E"/>
    <w:rsid w:val="000A595D"/>
    <w:rsid w:val="000A5D14"/>
    <w:rsid w:val="000A5D36"/>
    <w:rsid w:val="000A5EBC"/>
    <w:rsid w:val="000A5F5D"/>
    <w:rsid w:val="000A5FB0"/>
    <w:rsid w:val="000A5FB3"/>
    <w:rsid w:val="000A5FD7"/>
    <w:rsid w:val="000A6002"/>
    <w:rsid w:val="000A60D1"/>
    <w:rsid w:val="000A60DF"/>
    <w:rsid w:val="000A60F7"/>
    <w:rsid w:val="000A61D7"/>
    <w:rsid w:val="000A6487"/>
    <w:rsid w:val="000A656F"/>
    <w:rsid w:val="000A65B7"/>
    <w:rsid w:val="000A67D3"/>
    <w:rsid w:val="000A696E"/>
    <w:rsid w:val="000A6BE2"/>
    <w:rsid w:val="000A6D5F"/>
    <w:rsid w:val="000A6DD1"/>
    <w:rsid w:val="000A72A8"/>
    <w:rsid w:val="000A7352"/>
    <w:rsid w:val="000A7604"/>
    <w:rsid w:val="000A7622"/>
    <w:rsid w:val="000A7648"/>
    <w:rsid w:val="000A76BE"/>
    <w:rsid w:val="000A7779"/>
    <w:rsid w:val="000A79A3"/>
    <w:rsid w:val="000A7A60"/>
    <w:rsid w:val="000A7B8E"/>
    <w:rsid w:val="000A7CCE"/>
    <w:rsid w:val="000A7ECF"/>
    <w:rsid w:val="000B0177"/>
    <w:rsid w:val="000B0284"/>
    <w:rsid w:val="000B037C"/>
    <w:rsid w:val="000B093C"/>
    <w:rsid w:val="000B0A2E"/>
    <w:rsid w:val="000B0C9A"/>
    <w:rsid w:val="000B0CCB"/>
    <w:rsid w:val="000B0DF5"/>
    <w:rsid w:val="000B0DF7"/>
    <w:rsid w:val="000B0E87"/>
    <w:rsid w:val="000B1030"/>
    <w:rsid w:val="000B1130"/>
    <w:rsid w:val="000B126E"/>
    <w:rsid w:val="000B12E8"/>
    <w:rsid w:val="000B1673"/>
    <w:rsid w:val="000B1676"/>
    <w:rsid w:val="000B17E0"/>
    <w:rsid w:val="000B1D0A"/>
    <w:rsid w:val="000B1F82"/>
    <w:rsid w:val="000B220C"/>
    <w:rsid w:val="000B2257"/>
    <w:rsid w:val="000B22CB"/>
    <w:rsid w:val="000B230F"/>
    <w:rsid w:val="000B2390"/>
    <w:rsid w:val="000B256F"/>
    <w:rsid w:val="000B2694"/>
    <w:rsid w:val="000B2826"/>
    <w:rsid w:val="000B3015"/>
    <w:rsid w:val="000B316E"/>
    <w:rsid w:val="000B31B0"/>
    <w:rsid w:val="000B32F3"/>
    <w:rsid w:val="000B33B2"/>
    <w:rsid w:val="000B3412"/>
    <w:rsid w:val="000B3652"/>
    <w:rsid w:val="000B3805"/>
    <w:rsid w:val="000B38B6"/>
    <w:rsid w:val="000B3E24"/>
    <w:rsid w:val="000B3E8A"/>
    <w:rsid w:val="000B3EBC"/>
    <w:rsid w:val="000B3EE3"/>
    <w:rsid w:val="000B3F5F"/>
    <w:rsid w:val="000B41C6"/>
    <w:rsid w:val="000B431A"/>
    <w:rsid w:val="000B445F"/>
    <w:rsid w:val="000B466B"/>
    <w:rsid w:val="000B4B3A"/>
    <w:rsid w:val="000B50D6"/>
    <w:rsid w:val="000B5166"/>
    <w:rsid w:val="000B51AF"/>
    <w:rsid w:val="000B5203"/>
    <w:rsid w:val="000B52C5"/>
    <w:rsid w:val="000B5442"/>
    <w:rsid w:val="000B5525"/>
    <w:rsid w:val="000B55A4"/>
    <w:rsid w:val="000B5945"/>
    <w:rsid w:val="000B5B0D"/>
    <w:rsid w:val="000B5FC2"/>
    <w:rsid w:val="000B6076"/>
    <w:rsid w:val="000B6130"/>
    <w:rsid w:val="000B6210"/>
    <w:rsid w:val="000B6474"/>
    <w:rsid w:val="000B66CC"/>
    <w:rsid w:val="000B681C"/>
    <w:rsid w:val="000B6C2F"/>
    <w:rsid w:val="000B6C57"/>
    <w:rsid w:val="000B6DBC"/>
    <w:rsid w:val="000B6DD9"/>
    <w:rsid w:val="000B6F68"/>
    <w:rsid w:val="000B7380"/>
    <w:rsid w:val="000B74C6"/>
    <w:rsid w:val="000B758A"/>
    <w:rsid w:val="000B7612"/>
    <w:rsid w:val="000B7AD9"/>
    <w:rsid w:val="000B7BD4"/>
    <w:rsid w:val="000C0008"/>
    <w:rsid w:val="000C006B"/>
    <w:rsid w:val="000C00A1"/>
    <w:rsid w:val="000C00C8"/>
    <w:rsid w:val="000C0323"/>
    <w:rsid w:val="000C0443"/>
    <w:rsid w:val="000C05F1"/>
    <w:rsid w:val="000C0653"/>
    <w:rsid w:val="000C07C2"/>
    <w:rsid w:val="000C0842"/>
    <w:rsid w:val="000C0958"/>
    <w:rsid w:val="000C096A"/>
    <w:rsid w:val="000C09B8"/>
    <w:rsid w:val="000C0C6A"/>
    <w:rsid w:val="000C1185"/>
    <w:rsid w:val="000C1212"/>
    <w:rsid w:val="000C14D0"/>
    <w:rsid w:val="000C1541"/>
    <w:rsid w:val="000C17EF"/>
    <w:rsid w:val="000C187A"/>
    <w:rsid w:val="000C18E7"/>
    <w:rsid w:val="000C1DF5"/>
    <w:rsid w:val="000C1FB9"/>
    <w:rsid w:val="000C24E0"/>
    <w:rsid w:val="000C26E2"/>
    <w:rsid w:val="000C26EE"/>
    <w:rsid w:val="000C2C43"/>
    <w:rsid w:val="000C2DEC"/>
    <w:rsid w:val="000C2F08"/>
    <w:rsid w:val="000C2F7D"/>
    <w:rsid w:val="000C3080"/>
    <w:rsid w:val="000C3104"/>
    <w:rsid w:val="000C3461"/>
    <w:rsid w:val="000C3513"/>
    <w:rsid w:val="000C3655"/>
    <w:rsid w:val="000C380D"/>
    <w:rsid w:val="000C3A80"/>
    <w:rsid w:val="000C3A8F"/>
    <w:rsid w:val="000C3ACD"/>
    <w:rsid w:val="000C3EF4"/>
    <w:rsid w:val="000C4018"/>
    <w:rsid w:val="000C46EF"/>
    <w:rsid w:val="000C4C9A"/>
    <w:rsid w:val="000C4D31"/>
    <w:rsid w:val="000C4D73"/>
    <w:rsid w:val="000C4ED5"/>
    <w:rsid w:val="000C4F86"/>
    <w:rsid w:val="000C5088"/>
    <w:rsid w:val="000C52DF"/>
    <w:rsid w:val="000C5356"/>
    <w:rsid w:val="000C5472"/>
    <w:rsid w:val="000C54E3"/>
    <w:rsid w:val="000C5518"/>
    <w:rsid w:val="000C591C"/>
    <w:rsid w:val="000C5C47"/>
    <w:rsid w:val="000C5F4D"/>
    <w:rsid w:val="000C5FC8"/>
    <w:rsid w:val="000C6145"/>
    <w:rsid w:val="000C6709"/>
    <w:rsid w:val="000C6942"/>
    <w:rsid w:val="000C6AA4"/>
    <w:rsid w:val="000C6D50"/>
    <w:rsid w:val="000C6E87"/>
    <w:rsid w:val="000C6F26"/>
    <w:rsid w:val="000C7094"/>
    <w:rsid w:val="000C70E5"/>
    <w:rsid w:val="000C7304"/>
    <w:rsid w:val="000C7512"/>
    <w:rsid w:val="000C7866"/>
    <w:rsid w:val="000C7A1B"/>
    <w:rsid w:val="000C7AAD"/>
    <w:rsid w:val="000C7CED"/>
    <w:rsid w:val="000C7E1F"/>
    <w:rsid w:val="000D0049"/>
    <w:rsid w:val="000D02FF"/>
    <w:rsid w:val="000D06DC"/>
    <w:rsid w:val="000D0B4E"/>
    <w:rsid w:val="000D0D4E"/>
    <w:rsid w:val="000D0D51"/>
    <w:rsid w:val="000D0FFD"/>
    <w:rsid w:val="000D1196"/>
    <w:rsid w:val="000D11BE"/>
    <w:rsid w:val="000D135E"/>
    <w:rsid w:val="000D1784"/>
    <w:rsid w:val="000D1975"/>
    <w:rsid w:val="000D1AAD"/>
    <w:rsid w:val="000D1C49"/>
    <w:rsid w:val="000D2381"/>
    <w:rsid w:val="000D2395"/>
    <w:rsid w:val="000D26AD"/>
    <w:rsid w:val="000D2971"/>
    <w:rsid w:val="000D2AD8"/>
    <w:rsid w:val="000D2D1E"/>
    <w:rsid w:val="000D2E11"/>
    <w:rsid w:val="000D2FD2"/>
    <w:rsid w:val="000D30D1"/>
    <w:rsid w:val="000D324D"/>
    <w:rsid w:val="000D32F8"/>
    <w:rsid w:val="000D34F2"/>
    <w:rsid w:val="000D3626"/>
    <w:rsid w:val="000D36F4"/>
    <w:rsid w:val="000D3762"/>
    <w:rsid w:val="000D389E"/>
    <w:rsid w:val="000D3932"/>
    <w:rsid w:val="000D39B2"/>
    <w:rsid w:val="000D3A03"/>
    <w:rsid w:val="000D3D9D"/>
    <w:rsid w:val="000D4336"/>
    <w:rsid w:val="000D4794"/>
    <w:rsid w:val="000D47DE"/>
    <w:rsid w:val="000D4920"/>
    <w:rsid w:val="000D4A7C"/>
    <w:rsid w:val="000D4D0A"/>
    <w:rsid w:val="000D51DD"/>
    <w:rsid w:val="000D5382"/>
    <w:rsid w:val="000D53D0"/>
    <w:rsid w:val="000D55AD"/>
    <w:rsid w:val="000D55CC"/>
    <w:rsid w:val="000D56C7"/>
    <w:rsid w:val="000D5793"/>
    <w:rsid w:val="000D59D7"/>
    <w:rsid w:val="000D5AE3"/>
    <w:rsid w:val="000D5D13"/>
    <w:rsid w:val="000D5E24"/>
    <w:rsid w:val="000D5E69"/>
    <w:rsid w:val="000D5E6C"/>
    <w:rsid w:val="000D5E9D"/>
    <w:rsid w:val="000D5F67"/>
    <w:rsid w:val="000D6011"/>
    <w:rsid w:val="000D6052"/>
    <w:rsid w:val="000D60DF"/>
    <w:rsid w:val="000D6208"/>
    <w:rsid w:val="000D6440"/>
    <w:rsid w:val="000D6654"/>
    <w:rsid w:val="000D6661"/>
    <w:rsid w:val="000D681D"/>
    <w:rsid w:val="000D684A"/>
    <w:rsid w:val="000D6B88"/>
    <w:rsid w:val="000D6C3F"/>
    <w:rsid w:val="000D7138"/>
    <w:rsid w:val="000D7231"/>
    <w:rsid w:val="000D75FF"/>
    <w:rsid w:val="000D7753"/>
    <w:rsid w:val="000D7907"/>
    <w:rsid w:val="000D7B15"/>
    <w:rsid w:val="000D7DD3"/>
    <w:rsid w:val="000E0455"/>
    <w:rsid w:val="000E057C"/>
    <w:rsid w:val="000E05C5"/>
    <w:rsid w:val="000E0604"/>
    <w:rsid w:val="000E0869"/>
    <w:rsid w:val="000E0878"/>
    <w:rsid w:val="000E0948"/>
    <w:rsid w:val="000E1465"/>
    <w:rsid w:val="000E1535"/>
    <w:rsid w:val="000E176F"/>
    <w:rsid w:val="000E19A9"/>
    <w:rsid w:val="000E1BD5"/>
    <w:rsid w:val="000E1CF3"/>
    <w:rsid w:val="000E1F5F"/>
    <w:rsid w:val="000E215F"/>
    <w:rsid w:val="000E292A"/>
    <w:rsid w:val="000E2B08"/>
    <w:rsid w:val="000E31AA"/>
    <w:rsid w:val="000E3250"/>
    <w:rsid w:val="000E343F"/>
    <w:rsid w:val="000E348B"/>
    <w:rsid w:val="000E34A2"/>
    <w:rsid w:val="000E34EC"/>
    <w:rsid w:val="000E3558"/>
    <w:rsid w:val="000E39D3"/>
    <w:rsid w:val="000E3B3C"/>
    <w:rsid w:val="000E3BF2"/>
    <w:rsid w:val="000E3C31"/>
    <w:rsid w:val="000E3DEA"/>
    <w:rsid w:val="000E3FC8"/>
    <w:rsid w:val="000E402D"/>
    <w:rsid w:val="000E43D1"/>
    <w:rsid w:val="000E4403"/>
    <w:rsid w:val="000E46B1"/>
    <w:rsid w:val="000E46D1"/>
    <w:rsid w:val="000E4700"/>
    <w:rsid w:val="000E480B"/>
    <w:rsid w:val="000E486C"/>
    <w:rsid w:val="000E48BC"/>
    <w:rsid w:val="000E4947"/>
    <w:rsid w:val="000E4BFC"/>
    <w:rsid w:val="000E5193"/>
    <w:rsid w:val="000E52EF"/>
    <w:rsid w:val="000E538C"/>
    <w:rsid w:val="000E56AE"/>
    <w:rsid w:val="000E5B62"/>
    <w:rsid w:val="000E66A1"/>
    <w:rsid w:val="000E68A3"/>
    <w:rsid w:val="000E6CBB"/>
    <w:rsid w:val="000E6F7A"/>
    <w:rsid w:val="000E71BE"/>
    <w:rsid w:val="000E71C8"/>
    <w:rsid w:val="000E71FE"/>
    <w:rsid w:val="000E73B9"/>
    <w:rsid w:val="000E75C8"/>
    <w:rsid w:val="000E7832"/>
    <w:rsid w:val="000E79F6"/>
    <w:rsid w:val="000E7B7B"/>
    <w:rsid w:val="000E7B91"/>
    <w:rsid w:val="000E7F2F"/>
    <w:rsid w:val="000F0078"/>
    <w:rsid w:val="000F0365"/>
    <w:rsid w:val="000F05B2"/>
    <w:rsid w:val="000F0736"/>
    <w:rsid w:val="000F0747"/>
    <w:rsid w:val="000F0798"/>
    <w:rsid w:val="000F0C88"/>
    <w:rsid w:val="000F0D7F"/>
    <w:rsid w:val="000F0E53"/>
    <w:rsid w:val="000F13C4"/>
    <w:rsid w:val="000F18C8"/>
    <w:rsid w:val="000F1B55"/>
    <w:rsid w:val="000F1C39"/>
    <w:rsid w:val="000F1DE8"/>
    <w:rsid w:val="000F2264"/>
    <w:rsid w:val="000F257A"/>
    <w:rsid w:val="000F2586"/>
    <w:rsid w:val="000F25E1"/>
    <w:rsid w:val="000F28DF"/>
    <w:rsid w:val="000F298F"/>
    <w:rsid w:val="000F2C1A"/>
    <w:rsid w:val="000F2D68"/>
    <w:rsid w:val="000F3299"/>
    <w:rsid w:val="000F35AF"/>
    <w:rsid w:val="000F36E9"/>
    <w:rsid w:val="000F39D6"/>
    <w:rsid w:val="000F3A06"/>
    <w:rsid w:val="000F3BA0"/>
    <w:rsid w:val="000F3DB1"/>
    <w:rsid w:val="000F3E3D"/>
    <w:rsid w:val="000F3E3F"/>
    <w:rsid w:val="000F3F8C"/>
    <w:rsid w:val="000F414E"/>
    <w:rsid w:val="000F4388"/>
    <w:rsid w:val="000F4406"/>
    <w:rsid w:val="000F4769"/>
    <w:rsid w:val="000F4A47"/>
    <w:rsid w:val="000F4B4C"/>
    <w:rsid w:val="000F4E0F"/>
    <w:rsid w:val="000F4E77"/>
    <w:rsid w:val="000F5305"/>
    <w:rsid w:val="000F530D"/>
    <w:rsid w:val="000F541A"/>
    <w:rsid w:val="000F5502"/>
    <w:rsid w:val="000F5532"/>
    <w:rsid w:val="000F5926"/>
    <w:rsid w:val="000F5A7A"/>
    <w:rsid w:val="000F5B1F"/>
    <w:rsid w:val="000F5B83"/>
    <w:rsid w:val="000F5B9E"/>
    <w:rsid w:val="000F5C9A"/>
    <w:rsid w:val="000F60F3"/>
    <w:rsid w:val="000F6333"/>
    <w:rsid w:val="000F634D"/>
    <w:rsid w:val="000F63C0"/>
    <w:rsid w:val="000F6776"/>
    <w:rsid w:val="000F69FE"/>
    <w:rsid w:val="000F6B4E"/>
    <w:rsid w:val="000F6EAE"/>
    <w:rsid w:val="000F71F3"/>
    <w:rsid w:val="000F71FC"/>
    <w:rsid w:val="000F751C"/>
    <w:rsid w:val="000F79C0"/>
    <w:rsid w:val="000F7C19"/>
    <w:rsid w:val="000F7C1F"/>
    <w:rsid w:val="000F7E53"/>
    <w:rsid w:val="00100369"/>
    <w:rsid w:val="0010045E"/>
    <w:rsid w:val="00100583"/>
    <w:rsid w:val="00101649"/>
    <w:rsid w:val="001016D0"/>
    <w:rsid w:val="0010186C"/>
    <w:rsid w:val="001019BC"/>
    <w:rsid w:val="00101A01"/>
    <w:rsid w:val="00101AC1"/>
    <w:rsid w:val="00101BA0"/>
    <w:rsid w:val="00101C80"/>
    <w:rsid w:val="00101D7F"/>
    <w:rsid w:val="001021A8"/>
    <w:rsid w:val="001027BE"/>
    <w:rsid w:val="00102AED"/>
    <w:rsid w:val="00102FE7"/>
    <w:rsid w:val="0010330E"/>
    <w:rsid w:val="001036E0"/>
    <w:rsid w:val="001038B0"/>
    <w:rsid w:val="00103B70"/>
    <w:rsid w:val="00104194"/>
    <w:rsid w:val="0010431E"/>
    <w:rsid w:val="00104330"/>
    <w:rsid w:val="001043D0"/>
    <w:rsid w:val="001044F1"/>
    <w:rsid w:val="001045EA"/>
    <w:rsid w:val="0010484E"/>
    <w:rsid w:val="00104AD7"/>
    <w:rsid w:val="00104D78"/>
    <w:rsid w:val="00104DE7"/>
    <w:rsid w:val="00104F62"/>
    <w:rsid w:val="0010527D"/>
    <w:rsid w:val="00105377"/>
    <w:rsid w:val="0010537F"/>
    <w:rsid w:val="00105441"/>
    <w:rsid w:val="00105CB6"/>
    <w:rsid w:val="00105EBC"/>
    <w:rsid w:val="00106393"/>
    <w:rsid w:val="0010659A"/>
    <w:rsid w:val="001065FB"/>
    <w:rsid w:val="001066B5"/>
    <w:rsid w:val="0010678D"/>
    <w:rsid w:val="00106964"/>
    <w:rsid w:val="00106A55"/>
    <w:rsid w:val="00106B63"/>
    <w:rsid w:val="00107068"/>
    <w:rsid w:val="001070DE"/>
    <w:rsid w:val="001071DB"/>
    <w:rsid w:val="0010734E"/>
    <w:rsid w:val="001075CF"/>
    <w:rsid w:val="00107603"/>
    <w:rsid w:val="0010793C"/>
    <w:rsid w:val="001079FC"/>
    <w:rsid w:val="00107C95"/>
    <w:rsid w:val="00107D3E"/>
    <w:rsid w:val="00107E72"/>
    <w:rsid w:val="00110172"/>
    <w:rsid w:val="001101CD"/>
    <w:rsid w:val="00110354"/>
    <w:rsid w:val="001103B7"/>
    <w:rsid w:val="00110467"/>
    <w:rsid w:val="0011070F"/>
    <w:rsid w:val="001107A8"/>
    <w:rsid w:val="00110847"/>
    <w:rsid w:val="00110DF1"/>
    <w:rsid w:val="00111309"/>
    <w:rsid w:val="00111442"/>
    <w:rsid w:val="001115E4"/>
    <w:rsid w:val="00111B3A"/>
    <w:rsid w:val="00111D20"/>
    <w:rsid w:val="00111D84"/>
    <w:rsid w:val="00112270"/>
    <w:rsid w:val="00112458"/>
    <w:rsid w:val="0011247A"/>
    <w:rsid w:val="00112579"/>
    <w:rsid w:val="00112625"/>
    <w:rsid w:val="001127BB"/>
    <w:rsid w:val="00112849"/>
    <w:rsid w:val="00112C96"/>
    <w:rsid w:val="001136E2"/>
    <w:rsid w:val="00113A8B"/>
    <w:rsid w:val="00113E77"/>
    <w:rsid w:val="00113FF8"/>
    <w:rsid w:val="0011413E"/>
    <w:rsid w:val="001143B8"/>
    <w:rsid w:val="00114473"/>
    <w:rsid w:val="001148ED"/>
    <w:rsid w:val="00114C3B"/>
    <w:rsid w:val="00114C9A"/>
    <w:rsid w:val="00114D46"/>
    <w:rsid w:val="00114D74"/>
    <w:rsid w:val="00114E48"/>
    <w:rsid w:val="00114FF5"/>
    <w:rsid w:val="00115118"/>
    <w:rsid w:val="0011546A"/>
    <w:rsid w:val="00115553"/>
    <w:rsid w:val="00115571"/>
    <w:rsid w:val="00115699"/>
    <w:rsid w:val="001158FB"/>
    <w:rsid w:val="00115A46"/>
    <w:rsid w:val="00115AD6"/>
    <w:rsid w:val="00115F0E"/>
    <w:rsid w:val="00115F2F"/>
    <w:rsid w:val="00115F50"/>
    <w:rsid w:val="00116257"/>
    <w:rsid w:val="001162DC"/>
    <w:rsid w:val="00116369"/>
    <w:rsid w:val="001163D5"/>
    <w:rsid w:val="00116633"/>
    <w:rsid w:val="001169B0"/>
    <w:rsid w:val="00116A7B"/>
    <w:rsid w:val="00116DC6"/>
    <w:rsid w:val="00116E62"/>
    <w:rsid w:val="00116FBD"/>
    <w:rsid w:val="001170FC"/>
    <w:rsid w:val="0011738D"/>
    <w:rsid w:val="00117554"/>
    <w:rsid w:val="0011765B"/>
    <w:rsid w:val="00117718"/>
    <w:rsid w:val="00117932"/>
    <w:rsid w:val="00117C27"/>
    <w:rsid w:val="00117C76"/>
    <w:rsid w:val="00117F27"/>
    <w:rsid w:val="00120078"/>
    <w:rsid w:val="0012065E"/>
    <w:rsid w:val="00120897"/>
    <w:rsid w:val="00120DEF"/>
    <w:rsid w:val="00120F30"/>
    <w:rsid w:val="0012107B"/>
    <w:rsid w:val="00121BCB"/>
    <w:rsid w:val="00121DE5"/>
    <w:rsid w:val="00121E62"/>
    <w:rsid w:val="00122C4C"/>
    <w:rsid w:val="00122F51"/>
    <w:rsid w:val="00123365"/>
    <w:rsid w:val="0012378F"/>
    <w:rsid w:val="001237F5"/>
    <w:rsid w:val="001239F8"/>
    <w:rsid w:val="00123AED"/>
    <w:rsid w:val="00123CAF"/>
    <w:rsid w:val="00123DF9"/>
    <w:rsid w:val="001240D0"/>
    <w:rsid w:val="001241E4"/>
    <w:rsid w:val="001247D5"/>
    <w:rsid w:val="001249BD"/>
    <w:rsid w:val="00124A15"/>
    <w:rsid w:val="00124AFC"/>
    <w:rsid w:val="001251FA"/>
    <w:rsid w:val="0012539B"/>
    <w:rsid w:val="00125D6D"/>
    <w:rsid w:val="00125D9F"/>
    <w:rsid w:val="00125E7A"/>
    <w:rsid w:val="00126319"/>
    <w:rsid w:val="0012642C"/>
    <w:rsid w:val="001265A4"/>
    <w:rsid w:val="001265C0"/>
    <w:rsid w:val="00126623"/>
    <w:rsid w:val="00126671"/>
    <w:rsid w:val="001266B8"/>
    <w:rsid w:val="00126764"/>
    <w:rsid w:val="00126EBF"/>
    <w:rsid w:val="00127371"/>
    <w:rsid w:val="0012737C"/>
    <w:rsid w:val="00127565"/>
    <w:rsid w:val="0012786F"/>
    <w:rsid w:val="0012794E"/>
    <w:rsid w:val="00127BCC"/>
    <w:rsid w:val="00127BF7"/>
    <w:rsid w:val="0013015B"/>
    <w:rsid w:val="0013018D"/>
    <w:rsid w:val="001303B9"/>
    <w:rsid w:val="001304FF"/>
    <w:rsid w:val="00130510"/>
    <w:rsid w:val="0013053C"/>
    <w:rsid w:val="00130772"/>
    <w:rsid w:val="001307A4"/>
    <w:rsid w:val="001307F8"/>
    <w:rsid w:val="00130BCF"/>
    <w:rsid w:val="00130DAC"/>
    <w:rsid w:val="00130E61"/>
    <w:rsid w:val="00130E69"/>
    <w:rsid w:val="001314D2"/>
    <w:rsid w:val="00131604"/>
    <w:rsid w:val="001318E4"/>
    <w:rsid w:val="00131A56"/>
    <w:rsid w:val="00131A6D"/>
    <w:rsid w:val="00131A97"/>
    <w:rsid w:val="00131E9E"/>
    <w:rsid w:val="00131ED2"/>
    <w:rsid w:val="0013200D"/>
    <w:rsid w:val="0013215D"/>
    <w:rsid w:val="00132828"/>
    <w:rsid w:val="00132B39"/>
    <w:rsid w:val="00132C9C"/>
    <w:rsid w:val="00132D8F"/>
    <w:rsid w:val="001331A6"/>
    <w:rsid w:val="00133223"/>
    <w:rsid w:val="001336D3"/>
    <w:rsid w:val="00133831"/>
    <w:rsid w:val="001338E1"/>
    <w:rsid w:val="001338E2"/>
    <w:rsid w:val="00133A3C"/>
    <w:rsid w:val="00133A52"/>
    <w:rsid w:val="0013419C"/>
    <w:rsid w:val="00134323"/>
    <w:rsid w:val="0013446D"/>
    <w:rsid w:val="00134560"/>
    <w:rsid w:val="00134588"/>
    <w:rsid w:val="00134604"/>
    <w:rsid w:val="00134970"/>
    <w:rsid w:val="00134C63"/>
    <w:rsid w:val="00134E8E"/>
    <w:rsid w:val="00134EEE"/>
    <w:rsid w:val="00134F75"/>
    <w:rsid w:val="00135066"/>
    <w:rsid w:val="00135472"/>
    <w:rsid w:val="00135702"/>
    <w:rsid w:val="001359CE"/>
    <w:rsid w:val="00135C36"/>
    <w:rsid w:val="00135C8D"/>
    <w:rsid w:val="00135D47"/>
    <w:rsid w:val="00135DCC"/>
    <w:rsid w:val="00135ECF"/>
    <w:rsid w:val="00135F26"/>
    <w:rsid w:val="00135FF4"/>
    <w:rsid w:val="00136152"/>
    <w:rsid w:val="00136167"/>
    <w:rsid w:val="001366B2"/>
    <w:rsid w:val="00136742"/>
    <w:rsid w:val="0013696B"/>
    <w:rsid w:val="001369F0"/>
    <w:rsid w:val="00136B00"/>
    <w:rsid w:val="00136B88"/>
    <w:rsid w:val="001371EB"/>
    <w:rsid w:val="001372A9"/>
    <w:rsid w:val="001372EB"/>
    <w:rsid w:val="00137516"/>
    <w:rsid w:val="00137764"/>
    <w:rsid w:val="001377BB"/>
    <w:rsid w:val="001378C9"/>
    <w:rsid w:val="0013790E"/>
    <w:rsid w:val="00137A27"/>
    <w:rsid w:val="00137A8A"/>
    <w:rsid w:val="00137AE7"/>
    <w:rsid w:val="00137B6F"/>
    <w:rsid w:val="00137F58"/>
    <w:rsid w:val="0014004E"/>
    <w:rsid w:val="0014011D"/>
    <w:rsid w:val="00140238"/>
    <w:rsid w:val="001402A4"/>
    <w:rsid w:val="0014034C"/>
    <w:rsid w:val="001403F6"/>
    <w:rsid w:val="00140476"/>
    <w:rsid w:val="001406DE"/>
    <w:rsid w:val="00140A14"/>
    <w:rsid w:val="00140A4B"/>
    <w:rsid w:val="00140C74"/>
    <w:rsid w:val="00140CB8"/>
    <w:rsid w:val="00140CDA"/>
    <w:rsid w:val="00140D01"/>
    <w:rsid w:val="00140E40"/>
    <w:rsid w:val="00141026"/>
    <w:rsid w:val="0014142A"/>
    <w:rsid w:val="00141710"/>
    <w:rsid w:val="00141715"/>
    <w:rsid w:val="00141A2B"/>
    <w:rsid w:val="00141A34"/>
    <w:rsid w:val="00141A68"/>
    <w:rsid w:val="00142068"/>
    <w:rsid w:val="001422D6"/>
    <w:rsid w:val="00142630"/>
    <w:rsid w:val="00142A34"/>
    <w:rsid w:val="00142C28"/>
    <w:rsid w:val="00142DBE"/>
    <w:rsid w:val="00142F1F"/>
    <w:rsid w:val="001431A4"/>
    <w:rsid w:val="00143677"/>
    <w:rsid w:val="00143950"/>
    <w:rsid w:val="00143CC2"/>
    <w:rsid w:val="001440B0"/>
    <w:rsid w:val="00144570"/>
    <w:rsid w:val="00144E0E"/>
    <w:rsid w:val="00145111"/>
    <w:rsid w:val="0014554E"/>
    <w:rsid w:val="0014595A"/>
    <w:rsid w:val="00146032"/>
    <w:rsid w:val="0014607C"/>
    <w:rsid w:val="001460AF"/>
    <w:rsid w:val="001460F3"/>
    <w:rsid w:val="001461E6"/>
    <w:rsid w:val="00146241"/>
    <w:rsid w:val="001464A4"/>
    <w:rsid w:val="00146A2A"/>
    <w:rsid w:val="00146A5E"/>
    <w:rsid w:val="00146BE6"/>
    <w:rsid w:val="00146CE7"/>
    <w:rsid w:val="00146D22"/>
    <w:rsid w:val="00146D6B"/>
    <w:rsid w:val="00146FFB"/>
    <w:rsid w:val="00147145"/>
    <w:rsid w:val="0014717A"/>
    <w:rsid w:val="001471A4"/>
    <w:rsid w:val="001471AF"/>
    <w:rsid w:val="001471FA"/>
    <w:rsid w:val="00147669"/>
    <w:rsid w:val="0014777F"/>
    <w:rsid w:val="001477A8"/>
    <w:rsid w:val="0014786E"/>
    <w:rsid w:val="0014799F"/>
    <w:rsid w:val="00147E01"/>
    <w:rsid w:val="00147EAE"/>
    <w:rsid w:val="001504DF"/>
    <w:rsid w:val="0015062A"/>
    <w:rsid w:val="00150959"/>
    <w:rsid w:val="00150AA1"/>
    <w:rsid w:val="00150B17"/>
    <w:rsid w:val="00150C32"/>
    <w:rsid w:val="00150C9F"/>
    <w:rsid w:val="00151111"/>
    <w:rsid w:val="001511D6"/>
    <w:rsid w:val="001515EB"/>
    <w:rsid w:val="001516B9"/>
    <w:rsid w:val="001516BB"/>
    <w:rsid w:val="0015177B"/>
    <w:rsid w:val="001518BF"/>
    <w:rsid w:val="001518E9"/>
    <w:rsid w:val="00151D77"/>
    <w:rsid w:val="00151DC4"/>
    <w:rsid w:val="00151EF6"/>
    <w:rsid w:val="00151F25"/>
    <w:rsid w:val="00152007"/>
    <w:rsid w:val="00152813"/>
    <w:rsid w:val="00152846"/>
    <w:rsid w:val="00152975"/>
    <w:rsid w:val="00152AD9"/>
    <w:rsid w:val="00152CCB"/>
    <w:rsid w:val="00152D67"/>
    <w:rsid w:val="00152DB3"/>
    <w:rsid w:val="001531B9"/>
    <w:rsid w:val="00153247"/>
    <w:rsid w:val="00153485"/>
    <w:rsid w:val="00153601"/>
    <w:rsid w:val="00153690"/>
    <w:rsid w:val="00153786"/>
    <w:rsid w:val="00153913"/>
    <w:rsid w:val="00153D78"/>
    <w:rsid w:val="001540B0"/>
    <w:rsid w:val="00154480"/>
    <w:rsid w:val="001546EB"/>
    <w:rsid w:val="0015483E"/>
    <w:rsid w:val="001552C4"/>
    <w:rsid w:val="001552E4"/>
    <w:rsid w:val="00155423"/>
    <w:rsid w:val="001555DE"/>
    <w:rsid w:val="00155646"/>
    <w:rsid w:val="00155ED2"/>
    <w:rsid w:val="00156178"/>
    <w:rsid w:val="001561A5"/>
    <w:rsid w:val="001566F9"/>
    <w:rsid w:val="0015688E"/>
    <w:rsid w:val="00156C49"/>
    <w:rsid w:val="00156EC7"/>
    <w:rsid w:val="00156F90"/>
    <w:rsid w:val="00156FAF"/>
    <w:rsid w:val="00157019"/>
    <w:rsid w:val="00157021"/>
    <w:rsid w:val="00157027"/>
    <w:rsid w:val="00157121"/>
    <w:rsid w:val="0015719C"/>
    <w:rsid w:val="00157413"/>
    <w:rsid w:val="00157480"/>
    <w:rsid w:val="001578DE"/>
    <w:rsid w:val="00157D9B"/>
    <w:rsid w:val="00157E42"/>
    <w:rsid w:val="00157ED1"/>
    <w:rsid w:val="00157F86"/>
    <w:rsid w:val="00160058"/>
    <w:rsid w:val="00160309"/>
    <w:rsid w:val="00160603"/>
    <w:rsid w:val="0016068F"/>
    <w:rsid w:val="00160906"/>
    <w:rsid w:val="001609AD"/>
    <w:rsid w:val="00160C86"/>
    <w:rsid w:val="00160D21"/>
    <w:rsid w:val="00161078"/>
    <w:rsid w:val="001610F9"/>
    <w:rsid w:val="0016160E"/>
    <w:rsid w:val="00161BC3"/>
    <w:rsid w:val="001623D1"/>
    <w:rsid w:val="00162498"/>
    <w:rsid w:val="001624B3"/>
    <w:rsid w:val="001625FE"/>
    <w:rsid w:val="0016260D"/>
    <w:rsid w:val="0016279C"/>
    <w:rsid w:val="001627B9"/>
    <w:rsid w:val="00162803"/>
    <w:rsid w:val="0016297C"/>
    <w:rsid w:val="00162983"/>
    <w:rsid w:val="00162A71"/>
    <w:rsid w:val="00162DBB"/>
    <w:rsid w:val="00163041"/>
    <w:rsid w:val="00163067"/>
    <w:rsid w:val="001632A0"/>
    <w:rsid w:val="001632B2"/>
    <w:rsid w:val="001635C7"/>
    <w:rsid w:val="00163761"/>
    <w:rsid w:val="00163B44"/>
    <w:rsid w:val="00163C7C"/>
    <w:rsid w:val="00163F31"/>
    <w:rsid w:val="0016437F"/>
    <w:rsid w:val="00164475"/>
    <w:rsid w:val="0016487D"/>
    <w:rsid w:val="00164AAD"/>
    <w:rsid w:val="00164AE0"/>
    <w:rsid w:val="00164DB3"/>
    <w:rsid w:val="00164EE3"/>
    <w:rsid w:val="001650C0"/>
    <w:rsid w:val="0016514B"/>
    <w:rsid w:val="00165177"/>
    <w:rsid w:val="00165318"/>
    <w:rsid w:val="00165384"/>
    <w:rsid w:val="00165450"/>
    <w:rsid w:val="00165510"/>
    <w:rsid w:val="001657B1"/>
    <w:rsid w:val="00165987"/>
    <w:rsid w:val="00165A4E"/>
    <w:rsid w:val="00165CC8"/>
    <w:rsid w:val="001665B6"/>
    <w:rsid w:val="001665C6"/>
    <w:rsid w:val="00166607"/>
    <w:rsid w:val="00166774"/>
    <w:rsid w:val="00166B33"/>
    <w:rsid w:val="00166CA1"/>
    <w:rsid w:val="00166F7C"/>
    <w:rsid w:val="00167042"/>
    <w:rsid w:val="00167124"/>
    <w:rsid w:val="0016768F"/>
    <w:rsid w:val="00167695"/>
    <w:rsid w:val="001678AF"/>
    <w:rsid w:val="00167B63"/>
    <w:rsid w:val="00167D67"/>
    <w:rsid w:val="00167D72"/>
    <w:rsid w:val="0017003B"/>
    <w:rsid w:val="00170193"/>
    <w:rsid w:val="001701D1"/>
    <w:rsid w:val="0017025B"/>
    <w:rsid w:val="00170467"/>
    <w:rsid w:val="001704CB"/>
    <w:rsid w:val="0017067D"/>
    <w:rsid w:val="001706DA"/>
    <w:rsid w:val="0017075B"/>
    <w:rsid w:val="001707E8"/>
    <w:rsid w:val="001710F1"/>
    <w:rsid w:val="0017140F"/>
    <w:rsid w:val="00171CE7"/>
    <w:rsid w:val="00171D0D"/>
    <w:rsid w:val="0017213F"/>
    <w:rsid w:val="0017238C"/>
    <w:rsid w:val="0017292A"/>
    <w:rsid w:val="00172D31"/>
    <w:rsid w:val="0017313D"/>
    <w:rsid w:val="0017333B"/>
    <w:rsid w:val="001734AF"/>
    <w:rsid w:val="001735A2"/>
    <w:rsid w:val="0017398C"/>
    <w:rsid w:val="00174235"/>
    <w:rsid w:val="00174500"/>
    <w:rsid w:val="00174649"/>
    <w:rsid w:val="0017477E"/>
    <w:rsid w:val="001748DA"/>
    <w:rsid w:val="001749A6"/>
    <w:rsid w:val="001749AF"/>
    <w:rsid w:val="00174D2C"/>
    <w:rsid w:val="00174E19"/>
    <w:rsid w:val="00174E31"/>
    <w:rsid w:val="001751E4"/>
    <w:rsid w:val="0017525B"/>
    <w:rsid w:val="0017552B"/>
    <w:rsid w:val="0017559A"/>
    <w:rsid w:val="001757B6"/>
    <w:rsid w:val="00175988"/>
    <w:rsid w:val="001759F3"/>
    <w:rsid w:val="00175ACC"/>
    <w:rsid w:val="00175BC7"/>
    <w:rsid w:val="00175CCC"/>
    <w:rsid w:val="00175CFE"/>
    <w:rsid w:val="00175ED7"/>
    <w:rsid w:val="00176086"/>
    <w:rsid w:val="0017618B"/>
    <w:rsid w:val="001763F7"/>
    <w:rsid w:val="001765EB"/>
    <w:rsid w:val="0017677B"/>
    <w:rsid w:val="001768C2"/>
    <w:rsid w:val="00176973"/>
    <w:rsid w:val="00176B86"/>
    <w:rsid w:val="00176B9E"/>
    <w:rsid w:val="00176BD2"/>
    <w:rsid w:val="00176CF7"/>
    <w:rsid w:val="0017732F"/>
    <w:rsid w:val="001774A2"/>
    <w:rsid w:val="0017782E"/>
    <w:rsid w:val="0017786D"/>
    <w:rsid w:val="00177E28"/>
    <w:rsid w:val="00177FED"/>
    <w:rsid w:val="0018041F"/>
    <w:rsid w:val="001804CC"/>
    <w:rsid w:val="001804D9"/>
    <w:rsid w:val="0018064D"/>
    <w:rsid w:val="001806D8"/>
    <w:rsid w:val="00180AE0"/>
    <w:rsid w:val="00180B6E"/>
    <w:rsid w:val="00180E21"/>
    <w:rsid w:val="00181995"/>
    <w:rsid w:val="00181EB0"/>
    <w:rsid w:val="00181F2B"/>
    <w:rsid w:val="0018208B"/>
    <w:rsid w:val="00182104"/>
    <w:rsid w:val="00182396"/>
    <w:rsid w:val="00182428"/>
    <w:rsid w:val="0018272B"/>
    <w:rsid w:val="001827EC"/>
    <w:rsid w:val="001828F4"/>
    <w:rsid w:val="00182A0F"/>
    <w:rsid w:val="00182B0F"/>
    <w:rsid w:val="00182B9C"/>
    <w:rsid w:val="00182D4B"/>
    <w:rsid w:val="00182F62"/>
    <w:rsid w:val="00182FF4"/>
    <w:rsid w:val="0018320D"/>
    <w:rsid w:val="00183444"/>
    <w:rsid w:val="0018355E"/>
    <w:rsid w:val="00183627"/>
    <w:rsid w:val="00183645"/>
    <w:rsid w:val="00183A1F"/>
    <w:rsid w:val="00183B9D"/>
    <w:rsid w:val="00183B9E"/>
    <w:rsid w:val="00183E31"/>
    <w:rsid w:val="00183E89"/>
    <w:rsid w:val="0018415F"/>
    <w:rsid w:val="00184488"/>
    <w:rsid w:val="00184520"/>
    <w:rsid w:val="0018489B"/>
    <w:rsid w:val="001848BA"/>
    <w:rsid w:val="001848DE"/>
    <w:rsid w:val="00184E42"/>
    <w:rsid w:val="00184EF9"/>
    <w:rsid w:val="00184F2D"/>
    <w:rsid w:val="001850BB"/>
    <w:rsid w:val="00185454"/>
    <w:rsid w:val="00185582"/>
    <w:rsid w:val="00185C84"/>
    <w:rsid w:val="001861A9"/>
    <w:rsid w:val="001861E8"/>
    <w:rsid w:val="00186565"/>
    <w:rsid w:val="0018666A"/>
    <w:rsid w:val="0018673D"/>
    <w:rsid w:val="001867B5"/>
    <w:rsid w:val="001868D0"/>
    <w:rsid w:val="00186C6A"/>
    <w:rsid w:val="001872CD"/>
    <w:rsid w:val="00187550"/>
    <w:rsid w:val="001876EE"/>
    <w:rsid w:val="00187E20"/>
    <w:rsid w:val="001903C9"/>
    <w:rsid w:val="001905B1"/>
    <w:rsid w:val="001907A3"/>
    <w:rsid w:val="001908FD"/>
    <w:rsid w:val="00190B00"/>
    <w:rsid w:val="00190C5B"/>
    <w:rsid w:val="00190D0F"/>
    <w:rsid w:val="00190E1E"/>
    <w:rsid w:val="00190E76"/>
    <w:rsid w:val="00191057"/>
    <w:rsid w:val="001911DB"/>
    <w:rsid w:val="00191A37"/>
    <w:rsid w:val="00191B45"/>
    <w:rsid w:val="00192180"/>
    <w:rsid w:val="0019262B"/>
    <w:rsid w:val="0019279C"/>
    <w:rsid w:val="001929F2"/>
    <w:rsid w:val="00192B74"/>
    <w:rsid w:val="00192C99"/>
    <w:rsid w:val="00192CFB"/>
    <w:rsid w:val="00192F44"/>
    <w:rsid w:val="00193115"/>
    <w:rsid w:val="001933B6"/>
    <w:rsid w:val="00193A85"/>
    <w:rsid w:val="00193ADE"/>
    <w:rsid w:val="00193BB3"/>
    <w:rsid w:val="001943BE"/>
    <w:rsid w:val="00194AC9"/>
    <w:rsid w:val="00194BB5"/>
    <w:rsid w:val="00194D7A"/>
    <w:rsid w:val="00195277"/>
    <w:rsid w:val="001954F1"/>
    <w:rsid w:val="001957FB"/>
    <w:rsid w:val="00195983"/>
    <w:rsid w:val="00195AC1"/>
    <w:rsid w:val="00195B7C"/>
    <w:rsid w:val="00195BA9"/>
    <w:rsid w:val="00195CF6"/>
    <w:rsid w:val="00195F79"/>
    <w:rsid w:val="0019671D"/>
    <w:rsid w:val="001968B8"/>
    <w:rsid w:val="00196ABA"/>
    <w:rsid w:val="00196C6A"/>
    <w:rsid w:val="00196DD7"/>
    <w:rsid w:val="0019775C"/>
    <w:rsid w:val="001977B0"/>
    <w:rsid w:val="00197994"/>
    <w:rsid w:val="00197AAA"/>
    <w:rsid w:val="00197D3E"/>
    <w:rsid w:val="00197E2F"/>
    <w:rsid w:val="00197F5E"/>
    <w:rsid w:val="001A0035"/>
    <w:rsid w:val="001A00F5"/>
    <w:rsid w:val="001A0230"/>
    <w:rsid w:val="001A02B7"/>
    <w:rsid w:val="001A0830"/>
    <w:rsid w:val="001A0965"/>
    <w:rsid w:val="001A0A97"/>
    <w:rsid w:val="001A0BA9"/>
    <w:rsid w:val="001A0C9F"/>
    <w:rsid w:val="001A121D"/>
    <w:rsid w:val="001A1230"/>
    <w:rsid w:val="001A14FB"/>
    <w:rsid w:val="001A15C4"/>
    <w:rsid w:val="001A1697"/>
    <w:rsid w:val="001A1A50"/>
    <w:rsid w:val="001A1A68"/>
    <w:rsid w:val="001A1A81"/>
    <w:rsid w:val="001A1B1F"/>
    <w:rsid w:val="001A1BA6"/>
    <w:rsid w:val="001A1C6C"/>
    <w:rsid w:val="001A1CB3"/>
    <w:rsid w:val="001A1D8F"/>
    <w:rsid w:val="001A1F47"/>
    <w:rsid w:val="001A247D"/>
    <w:rsid w:val="001A25FE"/>
    <w:rsid w:val="001A2823"/>
    <w:rsid w:val="001A28E2"/>
    <w:rsid w:val="001A295C"/>
    <w:rsid w:val="001A2C05"/>
    <w:rsid w:val="001A2CBB"/>
    <w:rsid w:val="001A2EE0"/>
    <w:rsid w:val="001A303D"/>
    <w:rsid w:val="001A31A5"/>
    <w:rsid w:val="001A33CB"/>
    <w:rsid w:val="001A35BD"/>
    <w:rsid w:val="001A372C"/>
    <w:rsid w:val="001A37AF"/>
    <w:rsid w:val="001A393E"/>
    <w:rsid w:val="001A3993"/>
    <w:rsid w:val="001A3BB9"/>
    <w:rsid w:val="001A3BBB"/>
    <w:rsid w:val="001A3C0C"/>
    <w:rsid w:val="001A3EA8"/>
    <w:rsid w:val="001A3F57"/>
    <w:rsid w:val="001A3F66"/>
    <w:rsid w:val="001A4152"/>
    <w:rsid w:val="001A41EE"/>
    <w:rsid w:val="001A433E"/>
    <w:rsid w:val="001A43BC"/>
    <w:rsid w:val="001A4711"/>
    <w:rsid w:val="001A47EA"/>
    <w:rsid w:val="001A48DA"/>
    <w:rsid w:val="001A49B1"/>
    <w:rsid w:val="001A4F5E"/>
    <w:rsid w:val="001A5240"/>
    <w:rsid w:val="001A53E4"/>
    <w:rsid w:val="001A541F"/>
    <w:rsid w:val="001A55E7"/>
    <w:rsid w:val="001A569A"/>
    <w:rsid w:val="001A57DD"/>
    <w:rsid w:val="001A59A3"/>
    <w:rsid w:val="001A5BCA"/>
    <w:rsid w:val="001A5D1B"/>
    <w:rsid w:val="001A5D84"/>
    <w:rsid w:val="001A5E2B"/>
    <w:rsid w:val="001A5ED8"/>
    <w:rsid w:val="001A5EE1"/>
    <w:rsid w:val="001A63E9"/>
    <w:rsid w:val="001A64BE"/>
    <w:rsid w:val="001A653F"/>
    <w:rsid w:val="001A65BB"/>
    <w:rsid w:val="001A69F7"/>
    <w:rsid w:val="001A6B2C"/>
    <w:rsid w:val="001A6B9D"/>
    <w:rsid w:val="001A7206"/>
    <w:rsid w:val="001A72C8"/>
    <w:rsid w:val="001A730C"/>
    <w:rsid w:val="001A7469"/>
    <w:rsid w:val="001A746C"/>
    <w:rsid w:val="001A76B7"/>
    <w:rsid w:val="001A771E"/>
    <w:rsid w:val="001A782D"/>
    <w:rsid w:val="001A78C5"/>
    <w:rsid w:val="001A7981"/>
    <w:rsid w:val="001A7B4E"/>
    <w:rsid w:val="001A7B5D"/>
    <w:rsid w:val="001A7DFD"/>
    <w:rsid w:val="001B02AD"/>
    <w:rsid w:val="001B0304"/>
    <w:rsid w:val="001B033A"/>
    <w:rsid w:val="001B03AD"/>
    <w:rsid w:val="001B04C4"/>
    <w:rsid w:val="001B0508"/>
    <w:rsid w:val="001B0566"/>
    <w:rsid w:val="001B0C0F"/>
    <w:rsid w:val="001B1336"/>
    <w:rsid w:val="001B1347"/>
    <w:rsid w:val="001B150D"/>
    <w:rsid w:val="001B158A"/>
    <w:rsid w:val="001B1767"/>
    <w:rsid w:val="001B180F"/>
    <w:rsid w:val="001B183D"/>
    <w:rsid w:val="001B1D1B"/>
    <w:rsid w:val="001B1DE3"/>
    <w:rsid w:val="001B1FDE"/>
    <w:rsid w:val="001B202C"/>
    <w:rsid w:val="001B2182"/>
    <w:rsid w:val="001B31C7"/>
    <w:rsid w:val="001B32CC"/>
    <w:rsid w:val="001B366F"/>
    <w:rsid w:val="001B36DD"/>
    <w:rsid w:val="001B42AA"/>
    <w:rsid w:val="001B42EA"/>
    <w:rsid w:val="001B4924"/>
    <w:rsid w:val="001B49DA"/>
    <w:rsid w:val="001B4A06"/>
    <w:rsid w:val="001B4CF1"/>
    <w:rsid w:val="001B4DBA"/>
    <w:rsid w:val="001B4E06"/>
    <w:rsid w:val="001B504B"/>
    <w:rsid w:val="001B5583"/>
    <w:rsid w:val="001B560D"/>
    <w:rsid w:val="001B5889"/>
    <w:rsid w:val="001B58D6"/>
    <w:rsid w:val="001B5ABB"/>
    <w:rsid w:val="001B5BBD"/>
    <w:rsid w:val="001B5C9D"/>
    <w:rsid w:val="001B5D80"/>
    <w:rsid w:val="001B5F8B"/>
    <w:rsid w:val="001B6115"/>
    <w:rsid w:val="001B64DE"/>
    <w:rsid w:val="001B656F"/>
    <w:rsid w:val="001B678C"/>
    <w:rsid w:val="001B69BD"/>
    <w:rsid w:val="001B6B65"/>
    <w:rsid w:val="001B6B6A"/>
    <w:rsid w:val="001B6BC0"/>
    <w:rsid w:val="001B6DD5"/>
    <w:rsid w:val="001B6E6D"/>
    <w:rsid w:val="001B7296"/>
    <w:rsid w:val="001B734B"/>
    <w:rsid w:val="001B7474"/>
    <w:rsid w:val="001B75EE"/>
    <w:rsid w:val="001B766F"/>
    <w:rsid w:val="001B78A0"/>
    <w:rsid w:val="001B7B6E"/>
    <w:rsid w:val="001B7BC1"/>
    <w:rsid w:val="001B7BFC"/>
    <w:rsid w:val="001B7C99"/>
    <w:rsid w:val="001B7CD4"/>
    <w:rsid w:val="001B7FA5"/>
    <w:rsid w:val="001C00D8"/>
    <w:rsid w:val="001C0260"/>
    <w:rsid w:val="001C0261"/>
    <w:rsid w:val="001C0444"/>
    <w:rsid w:val="001C09C5"/>
    <w:rsid w:val="001C0BD3"/>
    <w:rsid w:val="001C10CC"/>
    <w:rsid w:val="001C1155"/>
    <w:rsid w:val="001C1525"/>
    <w:rsid w:val="001C185C"/>
    <w:rsid w:val="001C1889"/>
    <w:rsid w:val="001C1CD4"/>
    <w:rsid w:val="001C1D77"/>
    <w:rsid w:val="001C1D8D"/>
    <w:rsid w:val="001C1E6F"/>
    <w:rsid w:val="001C254D"/>
    <w:rsid w:val="001C284C"/>
    <w:rsid w:val="001C2D77"/>
    <w:rsid w:val="001C2DD3"/>
    <w:rsid w:val="001C2DEF"/>
    <w:rsid w:val="001C2FC7"/>
    <w:rsid w:val="001C308F"/>
    <w:rsid w:val="001C333F"/>
    <w:rsid w:val="001C3398"/>
    <w:rsid w:val="001C33DD"/>
    <w:rsid w:val="001C33E5"/>
    <w:rsid w:val="001C3538"/>
    <w:rsid w:val="001C3645"/>
    <w:rsid w:val="001C36D2"/>
    <w:rsid w:val="001C39EE"/>
    <w:rsid w:val="001C3A87"/>
    <w:rsid w:val="001C3CC4"/>
    <w:rsid w:val="001C3D7C"/>
    <w:rsid w:val="001C3FC0"/>
    <w:rsid w:val="001C421C"/>
    <w:rsid w:val="001C43DE"/>
    <w:rsid w:val="001C458F"/>
    <w:rsid w:val="001C4658"/>
    <w:rsid w:val="001C4772"/>
    <w:rsid w:val="001C4930"/>
    <w:rsid w:val="001C5244"/>
    <w:rsid w:val="001C5B1E"/>
    <w:rsid w:val="001C5BBE"/>
    <w:rsid w:val="001C5CCE"/>
    <w:rsid w:val="001C5CDF"/>
    <w:rsid w:val="001C5CEA"/>
    <w:rsid w:val="001C60E3"/>
    <w:rsid w:val="001C6189"/>
    <w:rsid w:val="001C6310"/>
    <w:rsid w:val="001C637D"/>
    <w:rsid w:val="001C63B2"/>
    <w:rsid w:val="001C64AC"/>
    <w:rsid w:val="001C6712"/>
    <w:rsid w:val="001C6940"/>
    <w:rsid w:val="001C69A4"/>
    <w:rsid w:val="001C6D2C"/>
    <w:rsid w:val="001C6D3C"/>
    <w:rsid w:val="001C70D2"/>
    <w:rsid w:val="001C7101"/>
    <w:rsid w:val="001C72C6"/>
    <w:rsid w:val="001C785B"/>
    <w:rsid w:val="001C7906"/>
    <w:rsid w:val="001C7949"/>
    <w:rsid w:val="001C7BE0"/>
    <w:rsid w:val="001D0067"/>
    <w:rsid w:val="001D0326"/>
    <w:rsid w:val="001D07B1"/>
    <w:rsid w:val="001D08F7"/>
    <w:rsid w:val="001D0988"/>
    <w:rsid w:val="001D09BD"/>
    <w:rsid w:val="001D0CB4"/>
    <w:rsid w:val="001D0E38"/>
    <w:rsid w:val="001D0EC6"/>
    <w:rsid w:val="001D1013"/>
    <w:rsid w:val="001D1021"/>
    <w:rsid w:val="001D1099"/>
    <w:rsid w:val="001D13B8"/>
    <w:rsid w:val="001D1447"/>
    <w:rsid w:val="001D1768"/>
    <w:rsid w:val="001D17BA"/>
    <w:rsid w:val="001D17EE"/>
    <w:rsid w:val="001D1987"/>
    <w:rsid w:val="001D1F1B"/>
    <w:rsid w:val="001D1FDF"/>
    <w:rsid w:val="001D20B9"/>
    <w:rsid w:val="001D21A9"/>
    <w:rsid w:val="001D2527"/>
    <w:rsid w:val="001D2657"/>
    <w:rsid w:val="001D2776"/>
    <w:rsid w:val="001D28C0"/>
    <w:rsid w:val="001D28F9"/>
    <w:rsid w:val="001D2921"/>
    <w:rsid w:val="001D2D48"/>
    <w:rsid w:val="001D2D9A"/>
    <w:rsid w:val="001D2EFE"/>
    <w:rsid w:val="001D339E"/>
    <w:rsid w:val="001D3407"/>
    <w:rsid w:val="001D3533"/>
    <w:rsid w:val="001D3866"/>
    <w:rsid w:val="001D3951"/>
    <w:rsid w:val="001D3BA2"/>
    <w:rsid w:val="001D3DCE"/>
    <w:rsid w:val="001D3EC0"/>
    <w:rsid w:val="001D3F5A"/>
    <w:rsid w:val="001D4232"/>
    <w:rsid w:val="001D4762"/>
    <w:rsid w:val="001D4772"/>
    <w:rsid w:val="001D4906"/>
    <w:rsid w:val="001D4B38"/>
    <w:rsid w:val="001D4C0D"/>
    <w:rsid w:val="001D4CE9"/>
    <w:rsid w:val="001D4D45"/>
    <w:rsid w:val="001D4E9C"/>
    <w:rsid w:val="001D5117"/>
    <w:rsid w:val="001D5279"/>
    <w:rsid w:val="001D5459"/>
    <w:rsid w:val="001D567A"/>
    <w:rsid w:val="001D57B1"/>
    <w:rsid w:val="001D5A6A"/>
    <w:rsid w:val="001D5EFC"/>
    <w:rsid w:val="001D607F"/>
    <w:rsid w:val="001D629C"/>
    <w:rsid w:val="001D6462"/>
    <w:rsid w:val="001D66B7"/>
    <w:rsid w:val="001D678D"/>
    <w:rsid w:val="001D6CC6"/>
    <w:rsid w:val="001D7188"/>
    <w:rsid w:val="001D748E"/>
    <w:rsid w:val="001D75C7"/>
    <w:rsid w:val="001D7695"/>
    <w:rsid w:val="001D769E"/>
    <w:rsid w:val="001D78C4"/>
    <w:rsid w:val="001D78D1"/>
    <w:rsid w:val="001D78FD"/>
    <w:rsid w:val="001D7B67"/>
    <w:rsid w:val="001D7BDE"/>
    <w:rsid w:val="001D7E54"/>
    <w:rsid w:val="001D7F35"/>
    <w:rsid w:val="001E021A"/>
    <w:rsid w:val="001E021F"/>
    <w:rsid w:val="001E0308"/>
    <w:rsid w:val="001E06F2"/>
    <w:rsid w:val="001E07E3"/>
    <w:rsid w:val="001E09FE"/>
    <w:rsid w:val="001E0C2D"/>
    <w:rsid w:val="001E0CC1"/>
    <w:rsid w:val="001E0E29"/>
    <w:rsid w:val="001E1014"/>
    <w:rsid w:val="001E1043"/>
    <w:rsid w:val="001E1344"/>
    <w:rsid w:val="001E14A7"/>
    <w:rsid w:val="001E15C9"/>
    <w:rsid w:val="001E1701"/>
    <w:rsid w:val="001E17C2"/>
    <w:rsid w:val="001E18D9"/>
    <w:rsid w:val="001E19D1"/>
    <w:rsid w:val="001E1BFA"/>
    <w:rsid w:val="001E1C51"/>
    <w:rsid w:val="001E200B"/>
    <w:rsid w:val="001E2033"/>
    <w:rsid w:val="001E2070"/>
    <w:rsid w:val="001E207A"/>
    <w:rsid w:val="001E25F8"/>
    <w:rsid w:val="001E26E5"/>
    <w:rsid w:val="001E297E"/>
    <w:rsid w:val="001E2D1B"/>
    <w:rsid w:val="001E2EC7"/>
    <w:rsid w:val="001E32A5"/>
    <w:rsid w:val="001E331F"/>
    <w:rsid w:val="001E35EB"/>
    <w:rsid w:val="001E3980"/>
    <w:rsid w:val="001E3A52"/>
    <w:rsid w:val="001E3C37"/>
    <w:rsid w:val="001E3CC4"/>
    <w:rsid w:val="001E3D85"/>
    <w:rsid w:val="001E3E09"/>
    <w:rsid w:val="001E40A6"/>
    <w:rsid w:val="001E4128"/>
    <w:rsid w:val="001E4174"/>
    <w:rsid w:val="001E43D4"/>
    <w:rsid w:val="001E4438"/>
    <w:rsid w:val="001E4BD9"/>
    <w:rsid w:val="001E4D43"/>
    <w:rsid w:val="001E4DAC"/>
    <w:rsid w:val="001E4FA6"/>
    <w:rsid w:val="001E530E"/>
    <w:rsid w:val="001E54CB"/>
    <w:rsid w:val="001E54D9"/>
    <w:rsid w:val="001E5893"/>
    <w:rsid w:val="001E58CE"/>
    <w:rsid w:val="001E5D6A"/>
    <w:rsid w:val="001E655E"/>
    <w:rsid w:val="001E67CB"/>
    <w:rsid w:val="001E6852"/>
    <w:rsid w:val="001E6EF3"/>
    <w:rsid w:val="001E6F2F"/>
    <w:rsid w:val="001E6F97"/>
    <w:rsid w:val="001E70F0"/>
    <w:rsid w:val="001E71B1"/>
    <w:rsid w:val="001E7239"/>
    <w:rsid w:val="001E727B"/>
    <w:rsid w:val="001E72B9"/>
    <w:rsid w:val="001E732A"/>
    <w:rsid w:val="001E76E6"/>
    <w:rsid w:val="001E79F7"/>
    <w:rsid w:val="001E7A81"/>
    <w:rsid w:val="001E7C28"/>
    <w:rsid w:val="001F08A0"/>
    <w:rsid w:val="001F094C"/>
    <w:rsid w:val="001F0C68"/>
    <w:rsid w:val="001F0C87"/>
    <w:rsid w:val="001F0CED"/>
    <w:rsid w:val="001F1200"/>
    <w:rsid w:val="001F1257"/>
    <w:rsid w:val="001F1405"/>
    <w:rsid w:val="001F14E9"/>
    <w:rsid w:val="001F1860"/>
    <w:rsid w:val="001F1C1E"/>
    <w:rsid w:val="001F1D32"/>
    <w:rsid w:val="001F1D4E"/>
    <w:rsid w:val="001F1F28"/>
    <w:rsid w:val="001F2084"/>
    <w:rsid w:val="001F254D"/>
    <w:rsid w:val="001F25D4"/>
    <w:rsid w:val="001F2706"/>
    <w:rsid w:val="001F2783"/>
    <w:rsid w:val="001F28F5"/>
    <w:rsid w:val="001F2B81"/>
    <w:rsid w:val="001F2B87"/>
    <w:rsid w:val="001F2D44"/>
    <w:rsid w:val="001F31A3"/>
    <w:rsid w:val="001F337A"/>
    <w:rsid w:val="001F3657"/>
    <w:rsid w:val="001F3679"/>
    <w:rsid w:val="001F36AD"/>
    <w:rsid w:val="001F3EB0"/>
    <w:rsid w:val="001F400B"/>
    <w:rsid w:val="001F4257"/>
    <w:rsid w:val="001F4293"/>
    <w:rsid w:val="001F452B"/>
    <w:rsid w:val="001F47D8"/>
    <w:rsid w:val="001F4821"/>
    <w:rsid w:val="001F4851"/>
    <w:rsid w:val="001F508B"/>
    <w:rsid w:val="001F533A"/>
    <w:rsid w:val="001F5345"/>
    <w:rsid w:val="001F5466"/>
    <w:rsid w:val="001F55BF"/>
    <w:rsid w:val="001F5626"/>
    <w:rsid w:val="001F5794"/>
    <w:rsid w:val="001F58E3"/>
    <w:rsid w:val="001F5915"/>
    <w:rsid w:val="001F5AAD"/>
    <w:rsid w:val="001F5CBF"/>
    <w:rsid w:val="001F5DFC"/>
    <w:rsid w:val="001F62AF"/>
    <w:rsid w:val="001F632A"/>
    <w:rsid w:val="001F66B2"/>
    <w:rsid w:val="001F6902"/>
    <w:rsid w:val="001F692B"/>
    <w:rsid w:val="001F69C2"/>
    <w:rsid w:val="001F7072"/>
    <w:rsid w:val="001F72A1"/>
    <w:rsid w:val="001F7326"/>
    <w:rsid w:val="001F7330"/>
    <w:rsid w:val="001F744E"/>
    <w:rsid w:val="001F7A8F"/>
    <w:rsid w:val="001F7BF8"/>
    <w:rsid w:val="001F7D5A"/>
    <w:rsid w:val="001F7EC6"/>
    <w:rsid w:val="002003FB"/>
    <w:rsid w:val="0020085D"/>
    <w:rsid w:val="0020086B"/>
    <w:rsid w:val="0020097B"/>
    <w:rsid w:val="00200A0D"/>
    <w:rsid w:val="00200B26"/>
    <w:rsid w:val="00200CE3"/>
    <w:rsid w:val="00200FAE"/>
    <w:rsid w:val="00201201"/>
    <w:rsid w:val="00201295"/>
    <w:rsid w:val="0020175B"/>
    <w:rsid w:val="0020188C"/>
    <w:rsid w:val="00201912"/>
    <w:rsid w:val="00201AF3"/>
    <w:rsid w:val="00201CF9"/>
    <w:rsid w:val="00201E23"/>
    <w:rsid w:val="00201E52"/>
    <w:rsid w:val="00201F89"/>
    <w:rsid w:val="00201F9B"/>
    <w:rsid w:val="00201FA4"/>
    <w:rsid w:val="00202468"/>
    <w:rsid w:val="00202494"/>
    <w:rsid w:val="002024D9"/>
    <w:rsid w:val="0020253A"/>
    <w:rsid w:val="002026D5"/>
    <w:rsid w:val="0020274B"/>
    <w:rsid w:val="0020284D"/>
    <w:rsid w:val="0020299E"/>
    <w:rsid w:val="00202DDF"/>
    <w:rsid w:val="00202DF4"/>
    <w:rsid w:val="0020301F"/>
    <w:rsid w:val="002032B5"/>
    <w:rsid w:val="002032FB"/>
    <w:rsid w:val="00203674"/>
    <w:rsid w:val="002036A6"/>
    <w:rsid w:val="002037E8"/>
    <w:rsid w:val="002039F2"/>
    <w:rsid w:val="00203AAD"/>
    <w:rsid w:val="00203AB3"/>
    <w:rsid w:val="00203AE3"/>
    <w:rsid w:val="00203B16"/>
    <w:rsid w:val="00203C01"/>
    <w:rsid w:val="00203C93"/>
    <w:rsid w:val="00203DD1"/>
    <w:rsid w:val="00203E12"/>
    <w:rsid w:val="00203FB3"/>
    <w:rsid w:val="002040B9"/>
    <w:rsid w:val="00204134"/>
    <w:rsid w:val="002041E9"/>
    <w:rsid w:val="00204267"/>
    <w:rsid w:val="0020428E"/>
    <w:rsid w:val="0020439B"/>
    <w:rsid w:val="00204636"/>
    <w:rsid w:val="00204884"/>
    <w:rsid w:val="00204A18"/>
    <w:rsid w:val="00204A28"/>
    <w:rsid w:val="00204B64"/>
    <w:rsid w:val="00204E5B"/>
    <w:rsid w:val="00204F4A"/>
    <w:rsid w:val="00204FB6"/>
    <w:rsid w:val="00205081"/>
    <w:rsid w:val="0020511C"/>
    <w:rsid w:val="00205250"/>
    <w:rsid w:val="00205287"/>
    <w:rsid w:val="002054AD"/>
    <w:rsid w:val="002054D2"/>
    <w:rsid w:val="0020552E"/>
    <w:rsid w:val="002055E9"/>
    <w:rsid w:val="00205649"/>
    <w:rsid w:val="002058DA"/>
    <w:rsid w:val="002059D2"/>
    <w:rsid w:val="00205A72"/>
    <w:rsid w:val="00205B7E"/>
    <w:rsid w:val="00206023"/>
    <w:rsid w:val="002060AA"/>
    <w:rsid w:val="00206193"/>
    <w:rsid w:val="0020621A"/>
    <w:rsid w:val="002065C9"/>
    <w:rsid w:val="00206AA2"/>
    <w:rsid w:val="00206DA7"/>
    <w:rsid w:val="00207052"/>
    <w:rsid w:val="002071B0"/>
    <w:rsid w:val="00207265"/>
    <w:rsid w:val="00207359"/>
    <w:rsid w:val="002078AE"/>
    <w:rsid w:val="002078E0"/>
    <w:rsid w:val="00207959"/>
    <w:rsid w:val="00207EDB"/>
    <w:rsid w:val="00210341"/>
    <w:rsid w:val="002104D0"/>
    <w:rsid w:val="002105FB"/>
    <w:rsid w:val="00210646"/>
    <w:rsid w:val="00210908"/>
    <w:rsid w:val="002109CA"/>
    <w:rsid w:val="00210BE8"/>
    <w:rsid w:val="00210C51"/>
    <w:rsid w:val="00210D27"/>
    <w:rsid w:val="00211079"/>
    <w:rsid w:val="002114E0"/>
    <w:rsid w:val="00211956"/>
    <w:rsid w:val="002119F1"/>
    <w:rsid w:val="00211E5F"/>
    <w:rsid w:val="00211E63"/>
    <w:rsid w:val="00211EDA"/>
    <w:rsid w:val="00211F57"/>
    <w:rsid w:val="002126D7"/>
    <w:rsid w:val="0021280B"/>
    <w:rsid w:val="00212D89"/>
    <w:rsid w:val="00212E9E"/>
    <w:rsid w:val="00212ED1"/>
    <w:rsid w:val="00212FF8"/>
    <w:rsid w:val="00213232"/>
    <w:rsid w:val="0021324F"/>
    <w:rsid w:val="00213294"/>
    <w:rsid w:val="0021382B"/>
    <w:rsid w:val="00213ADD"/>
    <w:rsid w:val="00213C8C"/>
    <w:rsid w:val="002141E7"/>
    <w:rsid w:val="00214217"/>
    <w:rsid w:val="002149C9"/>
    <w:rsid w:val="00214AA4"/>
    <w:rsid w:val="00214DD9"/>
    <w:rsid w:val="00214E9F"/>
    <w:rsid w:val="00215387"/>
    <w:rsid w:val="002153A6"/>
    <w:rsid w:val="00215525"/>
    <w:rsid w:val="00215810"/>
    <w:rsid w:val="00215825"/>
    <w:rsid w:val="00215846"/>
    <w:rsid w:val="0021590B"/>
    <w:rsid w:val="00215B16"/>
    <w:rsid w:val="00215E98"/>
    <w:rsid w:val="002160BB"/>
    <w:rsid w:val="002161C7"/>
    <w:rsid w:val="0021635A"/>
    <w:rsid w:val="002164B0"/>
    <w:rsid w:val="0021653E"/>
    <w:rsid w:val="00216683"/>
    <w:rsid w:val="0021683A"/>
    <w:rsid w:val="00216C27"/>
    <w:rsid w:val="00216FD1"/>
    <w:rsid w:val="00217141"/>
    <w:rsid w:val="00217458"/>
    <w:rsid w:val="002175A9"/>
    <w:rsid w:val="002176DB"/>
    <w:rsid w:val="00217807"/>
    <w:rsid w:val="00217860"/>
    <w:rsid w:val="00217A33"/>
    <w:rsid w:val="00217CEF"/>
    <w:rsid w:val="00217F80"/>
    <w:rsid w:val="002202C3"/>
    <w:rsid w:val="002202C5"/>
    <w:rsid w:val="002202FA"/>
    <w:rsid w:val="002208F4"/>
    <w:rsid w:val="00220963"/>
    <w:rsid w:val="00220BAC"/>
    <w:rsid w:val="00221345"/>
    <w:rsid w:val="00221C74"/>
    <w:rsid w:val="00222228"/>
    <w:rsid w:val="002222A2"/>
    <w:rsid w:val="002224F6"/>
    <w:rsid w:val="00222772"/>
    <w:rsid w:val="0022283D"/>
    <w:rsid w:val="0022294C"/>
    <w:rsid w:val="00222BD2"/>
    <w:rsid w:val="00222D1E"/>
    <w:rsid w:val="00222E0A"/>
    <w:rsid w:val="00223152"/>
    <w:rsid w:val="0022326B"/>
    <w:rsid w:val="00223460"/>
    <w:rsid w:val="0022377F"/>
    <w:rsid w:val="00223E6A"/>
    <w:rsid w:val="00223F4E"/>
    <w:rsid w:val="0022486D"/>
    <w:rsid w:val="00224CD8"/>
    <w:rsid w:val="00224E33"/>
    <w:rsid w:val="002251D4"/>
    <w:rsid w:val="002254EA"/>
    <w:rsid w:val="00225721"/>
    <w:rsid w:val="00225A79"/>
    <w:rsid w:val="00225B92"/>
    <w:rsid w:val="00225DFA"/>
    <w:rsid w:val="00226002"/>
    <w:rsid w:val="00226386"/>
    <w:rsid w:val="002263EB"/>
    <w:rsid w:val="0022661D"/>
    <w:rsid w:val="00226811"/>
    <w:rsid w:val="00226812"/>
    <w:rsid w:val="002269B8"/>
    <w:rsid w:val="00226F80"/>
    <w:rsid w:val="0022778B"/>
    <w:rsid w:val="002277BF"/>
    <w:rsid w:val="002278E8"/>
    <w:rsid w:val="002279ED"/>
    <w:rsid w:val="00227A02"/>
    <w:rsid w:val="00227E3E"/>
    <w:rsid w:val="00230817"/>
    <w:rsid w:val="0023082A"/>
    <w:rsid w:val="00230A6D"/>
    <w:rsid w:val="00230CFD"/>
    <w:rsid w:val="00230D03"/>
    <w:rsid w:val="00230D65"/>
    <w:rsid w:val="00231362"/>
    <w:rsid w:val="00231659"/>
    <w:rsid w:val="00231662"/>
    <w:rsid w:val="0023166C"/>
    <w:rsid w:val="0023169A"/>
    <w:rsid w:val="00231706"/>
    <w:rsid w:val="00231969"/>
    <w:rsid w:val="00231BF1"/>
    <w:rsid w:val="00231C20"/>
    <w:rsid w:val="00231CD8"/>
    <w:rsid w:val="002323D1"/>
    <w:rsid w:val="00232505"/>
    <w:rsid w:val="002325AD"/>
    <w:rsid w:val="002327BC"/>
    <w:rsid w:val="002329E6"/>
    <w:rsid w:val="00232A27"/>
    <w:rsid w:val="00232BCA"/>
    <w:rsid w:val="00232DCD"/>
    <w:rsid w:val="00232EB5"/>
    <w:rsid w:val="00232FE9"/>
    <w:rsid w:val="00233206"/>
    <w:rsid w:val="002332D1"/>
    <w:rsid w:val="0023352B"/>
    <w:rsid w:val="00233530"/>
    <w:rsid w:val="00233BAD"/>
    <w:rsid w:val="00233C61"/>
    <w:rsid w:val="002345E4"/>
    <w:rsid w:val="002347CB"/>
    <w:rsid w:val="002347DF"/>
    <w:rsid w:val="0023485E"/>
    <w:rsid w:val="00234972"/>
    <w:rsid w:val="00234B7A"/>
    <w:rsid w:val="00234D51"/>
    <w:rsid w:val="00235703"/>
    <w:rsid w:val="002359FC"/>
    <w:rsid w:val="00235BC7"/>
    <w:rsid w:val="00235BC8"/>
    <w:rsid w:val="00235EC7"/>
    <w:rsid w:val="00235FA8"/>
    <w:rsid w:val="0023618C"/>
    <w:rsid w:val="00236594"/>
    <w:rsid w:val="0023660B"/>
    <w:rsid w:val="002367BA"/>
    <w:rsid w:val="00236B3E"/>
    <w:rsid w:val="00236F8C"/>
    <w:rsid w:val="00237067"/>
    <w:rsid w:val="00237310"/>
    <w:rsid w:val="00237561"/>
    <w:rsid w:val="0023763D"/>
    <w:rsid w:val="00237682"/>
    <w:rsid w:val="002379B7"/>
    <w:rsid w:val="00237A07"/>
    <w:rsid w:val="00237FB9"/>
    <w:rsid w:val="002402EA"/>
    <w:rsid w:val="002402FC"/>
    <w:rsid w:val="0024030E"/>
    <w:rsid w:val="00240CD2"/>
    <w:rsid w:val="00240FA2"/>
    <w:rsid w:val="00241097"/>
    <w:rsid w:val="00241310"/>
    <w:rsid w:val="00241415"/>
    <w:rsid w:val="002414CB"/>
    <w:rsid w:val="002417AD"/>
    <w:rsid w:val="00241927"/>
    <w:rsid w:val="00241992"/>
    <w:rsid w:val="00241BA2"/>
    <w:rsid w:val="00241C28"/>
    <w:rsid w:val="00241CEE"/>
    <w:rsid w:val="00241D1F"/>
    <w:rsid w:val="00241E18"/>
    <w:rsid w:val="00241EC6"/>
    <w:rsid w:val="00242B5C"/>
    <w:rsid w:val="00242CCA"/>
    <w:rsid w:val="00242E13"/>
    <w:rsid w:val="00242E1F"/>
    <w:rsid w:val="00242E7A"/>
    <w:rsid w:val="0024313C"/>
    <w:rsid w:val="002431EB"/>
    <w:rsid w:val="00243534"/>
    <w:rsid w:val="002435AA"/>
    <w:rsid w:val="002436F2"/>
    <w:rsid w:val="00243B28"/>
    <w:rsid w:val="00243C36"/>
    <w:rsid w:val="00243F1C"/>
    <w:rsid w:val="00243F2F"/>
    <w:rsid w:val="0024452A"/>
    <w:rsid w:val="00244649"/>
    <w:rsid w:val="0024466D"/>
    <w:rsid w:val="002447B5"/>
    <w:rsid w:val="00244935"/>
    <w:rsid w:val="00244A67"/>
    <w:rsid w:val="00244BB3"/>
    <w:rsid w:val="00245086"/>
    <w:rsid w:val="00245258"/>
    <w:rsid w:val="002454D1"/>
    <w:rsid w:val="002455C3"/>
    <w:rsid w:val="00245641"/>
    <w:rsid w:val="002456EE"/>
    <w:rsid w:val="00245728"/>
    <w:rsid w:val="002457D9"/>
    <w:rsid w:val="002458D8"/>
    <w:rsid w:val="002458E5"/>
    <w:rsid w:val="00245A93"/>
    <w:rsid w:val="00245CAB"/>
    <w:rsid w:val="00245EEE"/>
    <w:rsid w:val="00246085"/>
    <w:rsid w:val="002461D5"/>
    <w:rsid w:val="00246311"/>
    <w:rsid w:val="00246478"/>
    <w:rsid w:val="002464E9"/>
    <w:rsid w:val="00246597"/>
    <w:rsid w:val="00246A21"/>
    <w:rsid w:val="00246A3F"/>
    <w:rsid w:val="00246BC7"/>
    <w:rsid w:val="00246EF5"/>
    <w:rsid w:val="0024710D"/>
    <w:rsid w:val="00247281"/>
    <w:rsid w:val="002472A2"/>
    <w:rsid w:val="002473E9"/>
    <w:rsid w:val="00247A6F"/>
    <w:rsid w:val="00247E05"/>
    <w:rsid w:val="00247E06"/>
    <w:rsid w:val="00250016"/>
    <w:rsid w:val="002503FB"/>
    <w:rsid w:val="00250737"/>
    <w:rsid w:val="00250BA8"/>
    <w:rsid w:val="00250E21"/>
    <w:rsid w:val="00250E39"/>
    <w:rsid w:val="00250EAA"/>
    <w:rsid w:val="0025100C"/>
    <w:rsid w:val="00251031"/>
    <w:rsid w:val="0025134B"/>
    <w:rsid w:val="002513D5"/>
    <w:rsid w:val="0025156F"/>
    <w:rsid w:val="002516E1"/>
    <w:rsid w:val="00251ACD"/>
    <w:rsid w:val="00251C94"/>
    <w:rsid w:val="00251D79"/>
    <w:rsid w:val="00251F68"/>
    <w:rsid w:val="00252100"/>
    <w:rsid w:val="00252152"/>
    <w:rsid w:val="00252439"/>
    <w:rsid w:val="0025243A"/>
    <w:rsid w:val="00252667"/>
    <w:rsid w:val="0025289E"/>
    <w:rsid w:val="00252B88"/>
    <w:rsid w:val="00252F77"/>
    <w:rsid w:val="00253114"/>
    <w:rsid w:val="002531D2"/>
    <w:rsid w:val="0025329A"/>
    <w:rsid w:val="002539E7"/>
    <w:rsid w:val="00253B9E"/>
    <w:rsid w:val="00253BE8"/>
    <w:rsid w:val="00253D9E"/>
    <w:rsid w:val="0025445B"/>
    <w:rsid w:val="002545A4"/>
    <w:rsid w:val="0025469A"/>
    <w:rsid w:val="00254AC1"/>
    <w:rsid w:val="00254D25"/>
    <w:rsid w:val="00254FB0"/>
    <w:rsid w:val="00255726"/>
    <w:rsid w:val="00255806"/>
    <w:rsid w:val="00255964"/>
    <w:rsid w:val="00255B20"/>
    <w:rsid w:val="00255B9F"/>
    <w:rsid w:val="00255C5B"/>
    <w:rsid w:val="00255C70"/>
    <w:rsid w:val="00255F1B"/>
    <w:rsid w:val="00256294"/>
    <w:rsid w:val="0025629B"/>
    <w:rsid w:val="0025656A"/>
    <w:rsid w:val="00256909"/>
    <w:rsid w:val="00256D9A"/>
    <w:rsid w:val="00256EAF"/>
    <w:rsid w:val="00256F0A"/>
    <w:rsid w:val="00256F9F"/>
    <w:rsid w:val="00256FA5"/>
    <w:rsid w:val="0025758B"/>
    <w:rsid w:val="002576A1"/>
    <w:rsid w:val="002576B3"/>
    <w:rsid w:val="00257941"/>
    <w:rsid w:val="00257D06"/>
    <w:rsid w:val="00257DC0"/>
    <w:rsid w:val="00257DE0"/>
    <w:rsid w:val="00257E1B"/>
    <w:rsid w:val="00257F97"/>
    <w:rsid w:val="00260058"/>
    <w:rsid w:val="002600EB"/>
    <w:rsid w:val="0026017C"/>
    <w:rsid w:val="002601B1"/>
    <w:rsid w:val="002602F3"/>
    <w:rsid w:val="00260412"/>
    <w:rsid w:val="002606C7"/>
    <w:rsid w:val="00260840"/>
    <w:rsid w:val="00260CBF"/>
    <w:rsid w:val="00260E68"/>
    <w:rsid w:val="00260F86"/>
    <w:rsid w:val="00260FAD"/>
    <w:rsid w:val="00261096"/>
    <w:rsid w:val="0026120E"/>
    <w:rsid w:val="0026171A"/>
    <w:rsid w:val="002617EC"/>
    <w:rsid w:val="00261D0C"/>
    <w:rsid w:val="00261DFD"/>
    <w:rsid w:val="00261E17"/>
    <w:rsid w:val="00261E79"/>
    <w:rsid w:val="00262046"/>
    <w:rsid w:val="002620A6"/>
    <w:rsid w:val="0026240D"/>
    <w:rsid w:val="0026252D"/>
    <w:rsid w:val="002628A5"/>
    <w:rsid w:val="002628D3"/>
    <w:rsid w:val="00262DBF"/>
    <w:rsid w:val="00263152"/>
    <w:rsid w:val="002632BF"/>
    <w:rsid w:val="00263343"/>
    <w:rsid w:val="002633C8"/>
    <w:rsid w:val="0026341A"/>
    <w:rsid w:val="002636DF"/>
    <w:rsid w:val="00263828"/>
    <w:rsid w:val="00263CC5"/>
    <w:rsid w:val="00263F7E"/>
    <w:rsid w:val="00264122"/>
    <w:rsid w:val="002642FF"/>
    <w:rsid w:val="00264304"/>
    <w:rsid w:val="0026499C"/>
    <w:rsid w:val="00264C2A"/>
    <w:rsid w:val="00265009"/>
    <w:rsid w:val="0026500E"/>
    <w:rsid w:val="00265390"/>
    <w:rsid w:val="00265407"/>
    <w:rsid w:val="00265653"/>
    <w:rsid w:val="00265AD9"/>
    <w:rsid w:val="00265C80"/>
    <w:rsid w:val="00265ED3"/>
    <w:rsid w:val="00265F8D"/>
    <w:rsid w:val="00266240"/>
    <w:rsid w:val="00266271"/>
    <w:rsid w:val="0026631F"/>
    <w:rsid w:val="00266529"/>
    <w:rsid w:val="0026662D"/>
    <w:rsid w:val="00266657"/>
    <w:rsid w:val="00266AB5"/>
    <w:rsid w:val="00266C63"/>
    <w:rsid w:val="00266E2A"/>
    <w:rsid w:val="00266F1B"/>
    <w:rsid w:val="00267349"/>
    <w:rsid w:val="0026740F"/>
    <w:rsid w:val="002674C7"/>
    <w:rsid w:val="00267533"/>
    <w:rsid w:val="0026776D"/>
    <w:rsid w:val="002677E3"/>
    <w:rsid w:val="002678E9"/>
    <w:rsid w:val="00267917"/>
    <w:rsid w:val="00267930"/>
    <w:rsid w:val="00267D9E"/>
    <w:rsid w:val="00267DDA"/>
    <w:rsid w:val="0027013D"/>
    <w:rsid w:val="00270218"/>
    <w:rsid w:val="00270222"/>
    <w:rsid w:val="00270813"/>
    <w:rsid w:val="00270ADE"/>
    <w:rsid w:val="00270D31"/>
    <w:rsid w:val="00270DAA"/>
    <w:rsid w:val="00270E8D"/>
    <w:rsid w:val="00270F47"/>
    <w:rsid w:val="00270FA3"/>
    <w:rsid w:val="00271177"/>
    <w:rsid w:val="00271515"/>
    <w:rsid w:val="00271BB1"/>
    <w:rsid w:val="00271DAA"/>
    <w:rsid w:val="002722A4"/>
    <w:rsid w:val="002723EB"/>
    <w:rsid w:val="002728F8"/>
    <w:rsid w:val="00272918"/>
    <w:rsid w:val="00272AEB"/>
    <w:rsid w:val="00272E2C"/>
    <w:rsid w:val="0027320D"/>
    <w:rsid w:val="00273401"/>
    <w:rsid w:val="002736ED"/>
    <w:rsid w:val="00273E01"/>
    <w:rsid w:val="0027435B"/>
    <w:rsid w:val="0027477D"/>
    <w:rsid w:val="0027495A"/>
    <w:rsid w:val="00274AF9"/>
    <w:rsid w:val="00274CDD"/>
    <w:rsid w:val="00275225"/>
    <w:rsid w:val="0027556A"/>
    <w:rsid w:val="00275689"/>
    <w:rsid w:val="00275BDE"/>
    <w:rsid w:val="00275C25"/>
    <w:rsid w:val="00275E86"/>
    <w:rsid w:val="00275EC5"/>
    <w:rsid w:val="00275FEB"/>
    <w:rsid w:val="002763F5"/>
    <w:rsid w:val="00276508"/>
    <w:rsid w:val="002765DF"/>
    <w:rsid w:val="00276694"/>
    <w:rsid w:val="00276D4C"/>
    <w:rsid w:val="00276F87"/>
    <w:rsid w:val="00276FA8"/>
    <w:rsid w:val="00277685"/>
    <w:rsid w:val="002776FE"/>
    <w:rsid w:val="0027774E"/>
    <w:rsid w:val="00277815"/>
    <w:rsid w:val="00277867"/>
    <w:rsid w:val="002779A7"/>
    <w:rsid w:val="00277AE1"/>
    <w:rsid w:val="00277DA8"/>
    <w:rsid w:val="00277E3F"/>
    <w:rsid w:val="00277F82"/>
    <w:rsid w:val="00277FD2"/>
    <w:rsid w:val="00280229"/>
    <w:rsid w:val="00280524"/>
    <w:rsid w:val="002806AA"/>
    <w:rsid w:val="002808FC"/>
    <w:rsid w:val="0028097B"/>
    <w:rsid w:val="00280EB4"/>
    <w:rsid w:val="00280F45"/>
    <w:rsid w:val="00281551"/>
    <w:rsid w:val="00281C4A"/>
    <w:rsid w:val="00281C6D"/>
    <w:rsid w:val="00281E6F"/>
    <w:rsid w:val="00281FEF"/>
    <w:rsid w:val="002822DF"/>
    <w:rsid w:val="002825FB"/>
    <w:rsid w:val="0028270E"/>
    <w:rsid w:val="002827C3"/>
    <w:rsid w:val="002828D1"/>
    <w:rsid w:val="002828EB"/>
    <w:rsid w:val="0028292C"/>
    <w:rsid w:val="0028316C"/>
    <w:rsid w:val="002831E9"/>
    <w:rsid w:val="00283304"/>
    <w:rsid w:val="0028388A"/>
    <w:rsid w:val="00283DC0"/>
    <w:rsid w:val="00283E54"/>
    <w:rsid w:val="002842AB"/>
    <w:rsid w:val="0028430A"/>
    <w:rsid w:val="002843FC"/>
    <w:rsid w:val="00284491"/>
    <w:rsid w:val="002844ED"/>
    <w:rsid w:val="00284565"/>
    <w:rsid w:val="002845F2"/>
    <w:rsid w:val="0028464C"/>
    <w:rsid w:val="00284922"/>
    <w:rsid w:val="002849CF"/>
    <w:rsid w:val="00284A51"/>
    <w:rsid w:val="00284F3F"/>
    <w:rsid w:val="002850A1"/>
    <w:rsid w:val="002853AF"/>
    <w:rsid w:val="00285481"/>
    <w:rsid w:val="00285504"/>
    <w:rsid w:val="0028572B"/>
    <w:rsid w:val="0028574B"/>
    <w:rsid w:val="00285918"/>
    <w:rsid w:val="00285C00"/>
    <w:rsid w:val="00285DF3"/>
    <w:rsid w:val="00285F0F"/>
    <w:rsid w:val="0028610E"/>
    <w:rsid w:val="002862DD"/>
    <w:rsid w:val="00286509"/>
    <w:rsid w:val="0028695B"/>
    <w:rsid w:val="002869A3"/>
    <w:rsid w:val="00286E8A"/>
    <w:rsid w:val="00286F9B"/>
    <w:rsid w:val="00286FF1"/>
    <w:rsid w:val="00287247"/>
    <w:rsid w:val="00287314"/>
    <w:rsid w:val="00287325"/>
    <w:rsid w:val="00287511"/>
    <w:rsid w:val="0028759D"/>
    <w:rsid w:val="00287A20"/>
    <w:rsid w:val="00287DAB"/>
    <w:rsid w:val="00287F1F"/>
    <w:rsid w:val="00287F78"/>
    <w:rsid w:val="002900F6"/>
    <w:rsid w:val="00290673"/>
    <w:rsid w:val="00290734"/>
    <w:rsid w:val="0029076F"/>
    <w:rsid w:val="00290950"/>
    <w:rsid w:val="00290B4A"/>
    <w:rsid w:val="0029102F"/>
    <w:rsid w:val="00291197"/>
    <w:rsid w:val="002911B9"/>
    <w:rsid w:val="002912F8"/>
    <w:rsid w:val="002919CF"/>
    <w:rsid w:val="00291D05"/>
    <w:rsid w:val="00291EBA"/>
    <w:rsid w:val="00291F35"/>
    <w:rsid w:val="0029228D"/>
    <w:rsid w:val="00292658"/>
    <w:rsid w:val="002927B5"/>
    <w:rsid w:val="00292C45"/>
    <w:rsid w:val="0029350F"/>
    <w:rsid w:val="00293655"/>
    <w:rsid w:val="0029375E"/>
    <w:rsid w:val="00293764"/>
    <w:rsid w:val="00293935"/>
    <w:rsid w:val="00294624"/>
    <w:rsid w:val="002947F8"/>
    <w:rsid w:val="00294AAF"/>
    <w:rsid w:val="00294BE0"/>
    <w:rsid w:val="00294FDD"/>
    <w:rsid w:val="002951A3"/>
    <w:rsid w:val="002951A5"/>
    <w:rsid w:val="00295244"/>
    <w:rsid w:val="00295758"/>
    <w:rsid w:val="002961C5"/>
    <w:rsid w:val="00296228"/>
    <w:rsid w:val="00296495"/>
    <w:rsid w:val="00296551"/>
    <w:rsid w:val="002965B4"/>
    <w:rsid w:val="00296607"/>
    <w:rsid w:val="00296746"/>
    <w:rsid w:val="00296774"/>
    <w:rsid w:val="00296AAF"/>
    <w:rsid w:val="00296CA3"/>
    <w:rsid w:val="00296DE8"/>
    <w:rsid w:val="00296F2D"/>
    <w:rsid w:val="0029719A"/>
    <w:rsid w:val="002972B1"/>
    <w:rsid w:val="002976F2"/>
    <w:rsid w:val="00297CED"/>
    <w:rsid w:val="00297D5C"/>
    <w:rsid w:val="00297E67"/>
    <w:rsid w:val="002A0372"/>
    <w:rsid w:val="002A0424"/>
    <w:rsid w:val="002A062A"/>
    <w:rsid w:val="002A099B"/>
    <w:rsid w:val="002A0B43"/>
    <w:rsid w:val="002A0BC4"/>
    <w:rsid w:val="002A0CB7"/>
    <w:rsid w:val="002A0F27"/>
    <w:rsid w:val="002A0F88"/>
    <w:rsid w:val="002A1159"/>
    <w:rsid w:val="002A12A7"/>
    <w:rsid w:val="002A1585"/>
    <w:rsid w:val="002A16AB"/>
    <w:rsid w:val="002A17A8"/>
    <w:rsid w:val="002A198B"/>
    <w:rsid w:val="002A19C5"/>
    <w:rsid w:val="002A1E01"/>
    <w:rsid w:val="002A1F22"/>
    <w:rsid w:val="002A1FC3"/>
    <w:rsid w:val="002A1FE3"/>
    <w:rsid w:val="002A22D1"/>
    <w:rsid w:val="002A270E"/>
    <w:rsid w:val="002A29E2"/>
    <w:rsid w:val="002A2A25"/>
    <w:rsid w:val="002A2C8D"/>
    <w:rsid w:val="002A3470"/>
    <w:rsid w:val="002A36CE"/>
    <w:rsid w:val="002A3780"/>
    <w:rsid w:val="002A39E5"/>
    <w:rsid w:val="002A3D9C"/>
    <w:rsid w:val="002A42B9"/>
    <w:rsid w:val="002A42C1"/>
    <w:rsid w:val="002A4597"/>
    <w:rsid w:val="002A4826"/>
    <w:rsid w:val="002A4A52"/>
    <w:rsid w:val="002A4E14"/>
    <w:rsid w:val="002A51BC"/>
    <w:rsid w:val="002A5291"/>
    <w:rsid w:val="002A555F"/>
    <w:rsid w:val="002A56D4"/>
    <w:rsid w:val="002A5E7D"/>
    <w:rsid w:val="002A5E8C"/>
    <w:rsid w:val="002A5F30"/>
    <w:rsid w:val="002A61D3"/>
    <w:rsid w:val="002A648D"/>
    <w:rsid w:val="002A6494"/>
    <w:rsid w:val="002A66BD"/>
    <w:rsid w:val="002A6BD1"/>
    <w:rsid w:val="002A6BE3"/>
    <w:rsid w:val="002A6FC2"/>
    <w:rsid w:val="002A7044"/>
    <w:rsid w:val="002A721F"/>
    <w:rsid w:val="002A7221"/>
    <w:rsid w:val="002A72C0"/>
    <w:rsid w:val="002A7A3D"/>
    <w:rsid w:val="002A7CF3"/>
    <w:rsid w:val="002A7E2A"/>
    <w:rsid w:val="002A7E48"/>
    <w:rsid w:val="002A7F7E"/>
    <w:rsid w:val="002B00FC"/>
    <w:rsid w:val="002B0282"/>
    <w:rsid w:val="002B047E"/>
    <w:rsid w:val="002B07BB"/>
    <w:rsid w:val="002B08CE"/>
    <w:rsid w:val="002B0904"/>
    <w:rsid w:val="002B0A0E"/>
    <w:rsid w:val="002B0D64"/>
    <w:rsid w:val="002B0F2A"/>
    <w:rsid w:val="002B0FF8"/>
    <w:rsid w:val="002B127E"/>
    <w:rsid w:val="002B12AC"/>
    <w:rsid w:val="002B1333"/>
    <w:rsid w:val="002B1625"/>
    <w:rsid w:val="002B1683"/>
    <w:rsid w:val="002B17B7"/>
    <w:rsid w:val="002B18A6"/>
    <w:rsid w:val="002B19F1"/>
    <w:rsid w:val="002B1A7F"/>
    <w:rsid w:val="002B1EA1"/>
    <w:rsid w:val="002B1EE2"/>
    <w:rsid w:val="002B21AD"/>
    <w:rsid w:val="002B223D"/>
    <w:rsid w:val="002B231E"/>
    <w:rsid w:val="002B233F"/>
    <w:rsid w:val="002B256A"/>
    <w:rsid w:val="002B2665"/>
    <w:rsid w:val="002B26DE"/>
    <w:rsid w:val="002B27A1"/>
    <w:rsid w:val="002B2A19"/>
    <w:rsid w:val="002B2D60"/>
    <w:rsid w:val="002B2FDC"/>
    <w:rsid w:val="002B3149"/>
    <w:rsid w:val="002B351D"/>
    <w:rsid w:val="002B3638"/>
    <w:rsid w:val="002B3A00"/>
    <w:rsid w:val="002B3B10"/>
    <w:rsid w:val="002B3B1A"/>
    <w:rsid w:val="002B3BB8"/>
    <w:rsid w:val="002B3D3F"/>
    <w:rsid w:val="002B414F"/>
    <w:rsid w:val="002B43A5"/>
    <w:rsid w:val="002B44E2"/>
    <w:rsid w:val="002B467D"/>
    <w:rsid w:val="002B4856"/>
    <w:rsid w:val="002B4B3F"/>
    <w:rsid w:val="002B4C65"/>
    <w:rsid w:val="002B531C"/>
    <w:rsid w:val="002B53E7"/>
    <w:rsid w:val="002B5571"/>
    <w:rsid w:val="002B5598"/>
    <w:rsid w:val="002B580F"/>
    <w:rsid w:val="002B593C"/>
    <w:rsid w:val="002B5B85"/>
    <w:rsid w:val="002B5B8D"/>
    <w:rsid w:val="002B6053"/>
    <w:rsid w:val="002B609F"/>
    <w:rsid w:val="002B60D6"/>
    <w:rsid w:val="002B638A"/>
    <w:rsid w:val="002B6642"/>
    <w:rsid w:val="002B69F2"/>
    <w:rsid w:val="002B6A9A"/>
    <w:rsid w:val="002B6AF2"/>
    <w:rsid w:val="002B6DCC"/>
    <w:rsid w:val="002B6EDA"/>
    <w:rsid w:val="002B6F56"/>
    <w:rsid w:val="002B70CA"/>
    <w:rsid w:val="002B71F5"/>
    <w:rsid w:val="002B77C7"/>
    <w:rsid w:val="002B7B46"/>
    <w:rsid w:val="002B7F8F"/>
    <w:rsid w:val="002C0041"/>
    <w:rsid w:val="002C018A"/>
    <w:rsid w:val="002C02B1"/>
    <w:rsid w:val="002C0313"/>
    <w:rsid w:val="002C08B8"/>
    <w:rsid w:val="002C0942"/>
    <w:rsid w:val="002C0ADD"/>
    <w:rsid w:val="002C0B4E"/>
    <w:rsid w:val="002C0BF0"/>
    <w:rsid w:val="002C102B"/>
    <w:rsid w:val="002C1049"/>
    <w:rsid w:val="002C11CB"/>
    <w:rsid w:val="002C11D6"/>
    <w:rsid w:val="002C130D"/>
    <w:rsid w:val="002C1CEF"/>
    <w:rsid w:val="002C1D17"/>
    <w:rsid w:val="002C1DFC"/>
    <w:rsid w:val="002C2183"/>
    <w:rsid w:val="002C21FC"/>
    <w:rsid w:val="002C2680"/>
    <w:rsid w:val="002C3094"/>
    <w:rsid w:val="002C317F"/>
    <w:rsid w:val="002C33E5"/>
    <w:rsid w:val="002C36F3"/>
    <w:rsid w:val="002C376B"/>
    <w:rsid w:val="002C3C6B"/>
    <w:rsid w:val="002C3D69"/>
    <w:rsid w:val="002C3E42"/>
    <w:rsid w:val="002C3F6E"/>
    <w:rsid w:val="002C3FF3"/>
    <w:rsid w:val="002C456C"/>
    <w:rsid w:val="002C45BA"/>
    <w:rsid w:val="002C4744"/>
    <w:rsid w:val="002C4791"/>
    <w:rsid w:val="002C496D"/>
    <w:rsid w:val="002C4996"/>
    <w:rsid w:val="002C4C61"/>
    <w:rsid w:val="002C4D2D"/>
    <w:rsid w:val="002C4DE7"/>
    <w:rsid w:val="002C4DF1"/>
    <w:rsid w:val="002C4F03"/>
    <w:rsid w:val="002C53F0"/>
    <w:rsid w:val="002C553D"/>
    <w:rsid w:val="002C5673"/>
    <w:rsid w:val="002C5BCF"/>
    <w:rsid w:val="002C6143"/>
    <w:rsid w:val="002C6332"/>
    <w:rsid w:val="002C648E"/>
    <w:rsid w:val="002C654C"/>
    <w:rsid w:val="002C654E"/>
    <w:rsid w:val="002C68E9"/>
    <w:rsid w:val="002C69FD"/>
    <w:rsid w:val="002C6A91"/>
    <w:rsid w:val="002C6BAF"/>
    <w:rsid w:val="002C6E84"/>
    <w:rsid w:val="002C6F3C"/>
    <w:rsid w:val="002C6F5F"/>
    <w:rsid w:val="002C7518"/>
    <w:rsid w:val="002C7519"/>
    <w:rsid w:val="002C75DD"/>
    <w:rsid w:val="002C7899"/>
    <w:rsid w:val="002C7962"/>
    <w:rsid w:val="002C7967"/>
    <w:rsid w:val="002C7E36"/>
    <w:rsid w:val="002C7F06"/>
    <w:rsid w:val="002C7F09"/>
    <w:rsid w:val="002D02D1"/>
    <w:rsid w:val="002D0345"/>
    <w:rsid w:val="002D04D5"/>
    <w:rsid w:val="002D0640"/>
    <w:rsid w:val="002D06CF"/>
    <w:rsid w:val="002D074A"/>
    <w:rsid w:val="002D0B7B"/>
    <w:rsid w:val="002D0B92"/>
    <w:rsid w:val="002D0BD7"/>
    <w:rsid w:val="002D0DAD"/>
    <w:rsid w:val="002D0E39"/>
    <w:rsid w:val="002D0E42"/>
    <w:rsid w:val="002D0F5A"/>
    <w:rsid w:val="002D0FFD"/>
    <w:rsid w:val="002D16E8"/>
    <w:rsid w:val="002D190A"/>
    <w:rsid w:val="002D199D"/>
    <w:rsid w:val="002D21BB"/>
    <w:rsid w:val="002D22AE"/>
    <w:rsid w:val="002D2488"/>
    <w:rsid w:val="002D2519"/>
    <w:rsid w:val="002D28AA"/>
    <w:rsid w:val="002D2DFD"/>
    <w:rsid w:val="002D2E51"/>
    <w:rsid w:val="002D35D5"/>
    <w:rsid w:val="002D3758"/>
    <w:rsid w:val="002D3BE8"/>
    <w:rsid w:val="002D3DFD"/>
    <w:rsid w:val="002D3ED3"/>
    <w:rsid w:val="002D425F"/>
    <w:rsid w:val="002D42E2"/>
    <w:rsid w:val="002D4363"/>
    <w:rsid w:val="002D46EB"/>
    <w:rsid w:val="002D480C"/>
    <w:rsid w:val="002D4AA0"/>
    <w:rsid w:val="002D4B98"/>
    <w:rsid w:val="002D4CD0"/>
    <w:rsid w:val="002D4CF0"/>
    <w:rsid w:val="002D4E6A"/>
    <w:rsid w:val="002D4FA3"/>
    <w:rsid w:val="002D51D1"/>
    <w:rsid w:val="002D527C"/>
    <w:rsid w:val="002D5283"/>
    <w:rsid w:val="002D53B0"/>
    <w:rsid w:val="002D53CA"/>
    <w:rsid w:val="002D581B"/>
    <w:rsid w:val="002D5AA7"/>
    <w:rsid w:val="002D5BB5"/>
    <w:rsid w:val="002D5BEA"/>
    <w:rsid w:val="002D5E15"/>
    <w:rsid w:val="002D611D"/>
    <w:rsid w:val="002D6573"/>
    <w:rsid w:val="002D6AE5"/>
    <w:rsid w:val="002D6F47"/>
    <w:rsid w:val="002D7236"/>
    <w:rsid w:val="002D7483"/>
    <w:rsid w:val="002D7496"/>
    <w:rsid w:val="002D74C0"/>
    <w:rsid w:val="002D750C"/>
    <w:rsid w:val="002D7AE7"/>
    <w:rsid w:val="002E0045"/>
    <w:rsid w:val="002E0770"/>
    <w:rsid w:val="002E0DC8"/>
    <w:rsid w:val="002E0F91"/>
    <w:rsid w:val="002E1079"/>
    <w:rsid w:val="002E112C"/>
    <w:rsid w:val="002E119F"/>
    <w:rsid w:val="002E132E"/>
    <w:rsid w:val="002E13B8"/>
    <w:rsid w:val="002E147C"/>
    <w:rsid w:val="002E15E9"/>
    <w:rsid w:val="002E1E93"/>
    <w:rsid w:val="002E1F3F"/>
    <w:rsid w:val="002E1F5A"/>
    <w:rsid w:val="002E2091"/>
    <w:rsid w:val="002E2262"/>
    <w:rsid w:val="002E2686"/>
    <w:rsid w:val="002E298B"/>
    <w:rsid w:val="002E2B32"/>
    <w:rsid w:val="002E2B94"/>
    <w:rsid w:val="002E2DDF"/>
    <w:rsid w:val="002E2E45"/>
    <w:rsid w:val="002E2F07"/>
    <w:rsid w:val="002E3056"/>
    <w:rsid w:val="002E30B2"/>
    <w:rsid w:val="002E320C"/>
    <w:rsid w:val="002E34AE"/>
    <w:rsid w:val="002E3567"/>
    <w:rsid w:val="002E405A"/>
    <w:rsid w:val="002E40E9"/>
    <w:rsid w:val="002E418C"/>
    <w:rsid w:val="002E4328"/>
    <w:rsid w:val="002E43C4"/>
    <w:rsid w:val="002E47AC"/>
    <w:rsid w:val="002E4B57"/>
    <w:rsid w:val="002E4C1C"/>
    <w:rsid w:val="002E4C73"/>
    <w:rsid w:val="002E4DE2"/>
    <w:rsid w:val="002E4ED9"/>
    <w:rsid w:val="002E557D"/>
    <w:rsid w:val="002E5783"/>
    <w:rsid w:val="002E5A25"/>
    <w:rsid w:val="002E5B3F"/>
    <w:rsid w:val="002E5D1F"/>
    <w:rsid w:val="002E5E1C"/>
    <w:rsid w:val="002E5FDB"/>
    <w:rsid w:val="002E6039"/>
    <w:rsid w:val="002E621D"/>
    <w:rsid w:val="002E62AC"/>
    <w:rsid w:val="002E67AC"/>
    <w:rsid w:val="002E6ABC"/>
    <w:rsid w:val="002E6AF6"/>
    <w:rsid w:val="002E6FF6"/>
    <w:rsid w:val="002E7124"/>
    <w:rsid w:val="002E7207"/>
    <w:rsid w:val="002E737F"/>
    <w:rsid w:val="002E75FD"/>
    <w:rsid w:val="002E7616"/>
    <w:rsid w:val="002E76A3"/>
    <w:rsid w:val="002E79AF"/>
    <w:rsid w:val="002E79D3"/>
    <w:rsid w:val="002E7B7D"/>
    <w:rsid w:val="002E7BEE"/>
    <w:rsid w:val="002E7BF3"/>
    <w:rsid w:val="002E7DEC"/>
    <w:rsid w:val="002F0460"/>
    <w:rsid w:val="002F0821"/>
    <w:rsid w:val="002F0BC9"/>
    <w:rsid w:val="002F0DA1"/>
    <w:rsid w:val="002F1414"/>
    <w:rsid w:val="002F18DF"/>
    <w:rsid w:val="002F1987"/>
    <w:rsid w:val="002F1A99"/>
    <w:rsid w:val="002F1BB6"/>
    <w:rsid w:val="002F1BCD"/>
    <w:rsid w:val="002F253A"/>
    <w:rsid w:val="002F2591"/>
    <w:rsid w:val="002F25FF"/>
    <w:rsid w:val="002F2C24"/>
    <w:rsid w:val="002F2C79"/>
    <w:rsid w:val="002F2D8C"/>
    <w:rsid w:val="002F3217"/>
    <w:rsid w:val="002F3224"/>
    <w:rsid w:val="002F327F"/>
    <w:rsid w:val="002F34AB"/>
    <w:rsid w:val="002F3CBC"/>
    <w:rsid w:val="002F44F5"/>
    <w:rsid w:val="002F4613"/>
    <w:rsid w:val="002F49AE"/>
    <w:rsid w:val="002F4BA6"/>
    <w:rsid w:val="002F4E0C"/>
    <w:rsid w:val="002F4E62"/>
    <w:rsid w:val="002F4F04"/>
    <w:rsid w:val="002F5010"/>
    <w:rsid w:val="002F53CC"/>
    <w:rsid w:val="002F5456"/>
    <w:rsid w:val="002F571D"/>
    <w:rsid w:val="002F5D99"/>
    <w:rsid w:val="002F5F55"/>
    <w:rsid w:val="002F6081"/>
    <w:rsid w:val="002F62C2"/>
    <w:rsid w:val="002F6413"/>
    <w:rsid w:val="002F653E"/>
    <w:rsid w:val="002F66AF"/>
    <w:rsid w:val="002F673D"/>
    <w:rsid w:val="002F68A9"/>
    <w:rsid w:val="002F6911"/>
    <w:rsid w:val="002F6B2B"/>
    <w:rsid w:val="002F6B63"/>
    <w:rsid w:val="002F6BF3"/>
    <w:rsid w:val="002F6E47"/>
    <w:rsid w:val="002F71EB"/>
    <w:rsid w:val="002F74E8"/>
    <w:rsid w:val="002F784C"/>
    <w:rsid w:val="002F79E5"/>
    <w:rsid w:val="002F7C9D"/>
    <w:rsid w:val="002F7DA9"/>
    <w:rsid w:val="002F7EA6"/>
    <w:rsid w:val="002F7ED8"/>
    <w:rsid w:val="002F7FFC"/>
    <w:rsid w:val="003000D6"/>
    <w:rsid w:val="00300339"/>
    <w:rsid w:val="00300636"/>
    <w:rsid w:val="00300714"/>
    <w:rsid w:val="00300936"/>
    <w:rsid w:val="003009EC"/>
    <w:rsid w:val="00300CD9"/>
    <w:rsid w:val="00300CFE"/>
    <w:rsid w:val="00301133"/>
    <w:rsid w:val="00301137"/>
    <w:rsid w:val="00301174"/>
    <w:rsid w:val="003012BC"/>
    <w:rsid w:val="003013F8"/>
    <w:rsid w:val="00301415"/>
    <w:rsid w:val="00301486"/>
    <w:rsid w:val="0030164A"/>
    <w:rsid w:val="0030184C"/>
    <w:rsid w:val="00301AE1"/>
    <w:rsid w:val="00301B1F"/>
    <w:rsid w:val="00301D86"/>
    <w:rsid w:val="00301DE4"/>
    <w:rsid w:val="00301DF9"/>
    <w:rsid w:val="00302167"/>
    <w:rsid w:val="00302222"/>
    <w:rsid w:val="003024D3"/>
    <w:rsid w:val="00302631"/>
    <w:rsid w:val="00302639"/>
    <w:rsid w:val="003026BA"/>
    <w:rsid w:val="0030298B"/>
    <w:rsid w:val="00302A03"/>
    <w:rsid w:val="00302D0D"/>
    <w:rsid w:val="0030324F"/>
    <w:rsid w:val="0030350E"/>
    <w:rsid w:val="003035DF"/>
    <w:rsid w:val="0030366A"/>
    <w:rsid w:val="00303C32"/>
    <w:rsid w:val="00304240"/>
    <w:rsid w:val="00304526"/>
    <w:rsid w:val="003047F5"/>
    <w:rsid w:val="003048E6"/>
    <w:rsid w:val="00304B88"/>
    <w:rsid w:val="00304F6F"/>
    <w:rsid w:val="00304FA9"/>
    <w:rsid w:val="003050A2"/>
    <w:rsid w:val="003053BB"/>
    <w:rsid w:val="00305408"/>
    <w:rsid w:val="003054D3"/>
    <w:rsid w:val="0030584A"/>
    <w:rsid w:val="00305BC9"/>
    <w:rsid w:val="00305C0E"/>
    <w:rsid w:val="00305E6D"/>
    <w:rsid w:val="00305F13"/>
    <w:rsid w:val="003060CD"/>
    <w:rsid w:val="00306159"/>
    <w:rsid w:val="0030632D"/>
    <w:rsid w:val="003063CA"/>
    <w:rsid w:val="00306403"/>
    <w:rsid w:val="00306462"/>
    <w:rsid w:val="00306616"/>
    <w:rsid w:val="00306625"/>
    <w:rsid w:val="003067B7"/>
    <w:rsid w:val="003069D6"/>
    <w:rsid w:val="00307192"/>
    <w:rsid w:val="00307198"/>
    <w:rsid w:val="0030745E"/>
    <w:rsid w:val="00307928"/>
    <w:rsid w:val="00307EFF"/>
    <w:rsid w:val="00307FEF"/>
    <w:rsid w:val="00310136"/>
    <w:rsid w:val="00310216"/>
    <w:rsid w:val="00310300"/>
    <w:rsid w:val="00310399"/>
    <w:rsid w:val="00310483"/>
    <w:rsid w:val="00310AA3"/>
    <w:rsid w:val="00310B0D"/>
    <w:rsid w:val="00310B25"/>
    <w:rsid w:val="003119C3"/>
    <w:rsid w:val="00311ABA"/>
    <w:rsid w:val="00311C17"/>
    <w:rsid w:val="00311C70"/>
    <w:rsid w:val="00311CBA"/>
    <w:rsid w:val="00311D3F"/>
    <w:rsid w:val="00311E5A"/>
    <w:rsid w:val="00312537"/>
    <w:rsid w:val="003125FB"/>
    <w:rsid w:val="00312771"/>
    <w:rsid w:val="00312E6C"/>
    <w:rsid w:val="00313014"/>
    <w:rsid w:val="0031311F"/>
    <w:rsid w:val="00313157"/>
    <w:rsid w:val="00313580"/>
    <w:rsid w:val="003135E2"/>
    <w:rsid w:val="00313BBE"/>
    <w:rsid w:val="00313C08"/>
    <w:rsid w:val="003141A9"/>
    <w:rsid w:val="003141F0"/>
    <w:rsid w:val="00314533"/>
    <w:rsid w:val="00314804"/>
    <w:rsid w:val="00314836"/>
    <w:rsid w:val="00314C94"/>
    <w:rsid w:val="00314E21"/>
    <w:rsid w:val="00314E30"/>
    <w:rsid w:val="00314FF8"/>
    <w:rsid w:val="003150D2"/>
    <w:rsid w:val="003151C7"/>
    <w:rsid w:val="00315222"/>
    <w:rsid w:val="003154E0"/>
    <w:rsid w:val="003155D9"/>
    <w:rsid w:val="003156E2"/>
    <w:rsid w:val="0031593F"/>
    <w:rsid w:val="00315969"/>
    <w:rsid w:val="00315A1B"/>
    <w:rsid w:val="00315B94"/>
    <w:rsid w:val="00315F9E"/>
    <w:rsid w:val="00316093"/>
    <w:rsid w:val="00316545"/>
    <w:rsid w:val="003165F8"/>
    <w:rsid w:val="0031669F"/>
    <w:rsid w:val="003166A0"/>
    <w:rsid w:val="0031677A"/>
    <w:rsid w:val="003169C2"/>
    <w:rsid w:val="00316D25"/>
    <w:rsid w:val="00316FA1"/>
    <w:rsid w:val="003201F5"/>
    <w:rsid w:val="003202CE"/>
    <w:rsid w:val="0032052B"/>
    <w:rsid w:val="0032052C"/>
    <w:rsid w:val="00320792"/>
    <w:rsid w:val="00320873"/>
    <w:rsid w:val="0032091E"/>
    <w:rsid w:val="00320ABD"/>
    <w:rsid w:val="00320DDE"/>
    <w:rsid w:val="00320F53"/>
    <w:rsid w:val="00320FB3"/>
    <w:rsid w:val="00321026"/>
    <w:rsid w:val="00321072"/>
    <w:rsid w:val="0032123E"/>
    <w:rsid w:val="00321452"/>
    <w:rsid w:val="0032197E"/>
    <w:rsid w:val="00321C70"/>
    <w:rsid w:val="00321FAD"/>
    <w:rsid w:val="003221B6"/>
    <w:rsid w:val="0032253B"/>
    <w:rsid w:val="0032263B"/>
    <w:rsid w:val="00322648"/>
    <w:rsid w:val="003226E2"/>
    <w:rsid w:val="00322922"/>
    <w:rsid w:val="00322A47"/>
    <w:rsid w:val="0032344B"/>
    <w:rsid w:val="00323484"/>
    <w:rsid w:val="00323728"/>
    <w:rsid w:val="0032375A"/>
    <w:rsid w:val="00323799"/>
    <w:rsid w:val="00323D87"/>
    <w:rsid w:val="00323FB8"/>
    <w:rsid w:val="0032408C"/>
    <w:rsid w:val="0032415C"/>
    <w:rsid w:val="00324172"/>
    <w:rsid w:val="003241C8"/>
    <w:rsid w:val="0032423E"/>
    <w:rsid w:val="003243D2"/>
    <w:rsid w:val="0032457F"/>
    <w:rsid w:val="003247A0"/>
    <w:rsid w:val="00324A96"/>
    <w:rsid w:val="00324C10"/>
    <w:rsid w:val="00324DA5"/>
    <w:rsid w:val="00324E5F"/>
    <w:rsid w:val="00325025"/>
    <w:rsid w:val="003250D6"/>
    <w:rsid w:val="003252C2"/>
    <w:rsid w:val="003256AD"/>
    <w:rsid w:val="00325B8D"/>
    <w:rsid w:val="00325D39"/>
    <w:rsid w:val="00325E3B"/>
    <w:rsid w:val="00326054"/>
    <w:rsid w:val="00326119"/>
    <w:rsid w:val="003261A9"/>
    <w:rsid w:val="003261D8"/>
    <w:rsid w:val="003262A1"/>
    <w:rsid w:val="00326640"/>
    <w:rsid w:val="00326670"/>
    <w:rsid w:val="00326AA9"/>
    <w:rsid w:val="00326B26"/>
    <w:rsid w:val="00326C40"/>
    <w:rsid w:val="00326D93"/>
    <w:rsid w:val="00326DF0"/>
    <w:rsid w:val="0032717E"/>
    <w:rsid w:val="00327693"/>
    <w:rsid w:val="003277CE"/>
    <w:rsid w:val="00327934"/>
    <w:rsid w:val="00327A23"/>
    <w:rsid w:val="00327DA2"/>
    <w:rsid w:val="00327F09"/>
    <w:rsid w:val="00330098"/>
    <w:rsid w:val="00330286"/>
    <w:rsid w:val="00330465"/>
    <w:rsid w:val="003309DA"/>
    <w:rsid w:val="00330ADC"/>
    <w:rsid w:val="00330AFB"/>
    <w:rsid w:val="00330ECB"/>
    <w:rsid w:val="003310A9"/>
    <w:rsid w:val="0033112B"/>
    <w:rsid w:val="003311C8"/>
    <w:rsid w:val="003313E9"/>
    <w:rsid w:val="003315E3"/>
    <w:rsid w:val="00331969"/>
    <w:rsid w:val="0033197B"/>
    <w:rsid w:val="00331A72"/>
    <w:rsid w:val="00331B00"/>
    <w:rsid w:val="00331B81"/>
    <w:rsid w:val="00331CB2"/>
    <w:rsid w:val="00331D83"/>
    <w:rsid w:val="00331E2F"/>
    <w:rsid w:val="00331F2F"/>
    <w:rsid w:val="00332082"/>
    <w:rsid w:val="003320CC"/>
    <w:rsid w:val="00332343"/>
    <w:rsid w:val="003323BB"/>
    <w:rsid w:val="003326DB"/>
    <w:rsid w:val="00332B5E"/>
    <w:rsid w:val="00332BA9"/>
    <w:rsid w:val="00332C3D"/>
    <w:rsid w:val="00332D14"/>
    <w:rsid w:val="00332E21"/>
    <w:rsid w:val="00332EE2"/>
    <w:rsid w:val="00332F7F"/>
    <w:rsid w:val="003330B3"/>
    <w:rsid w:val="00333131"/>
    <w:rsid w:val="0033313B"/>
    <w:rsid w:val="00333378"/>
    <w:rsid w:val="00333621"/>
    <w:rsid w:val="00333BE2"/>
    <w:rsid w:val="00333DCA"/>
    <w:rsid w:val="00333EE0"/>
    <w:rsid w:val="00334047"/>
    <w:rsid w:val="00334153"/>
    <w:rsid w:val="003343A7"/>
    <w:rsid w:val="003345A8"/>
    <w:rsid w:val="003348A1"/>
    <w:rsid w:val="003348FB"/>
    <w:rsid w:val="00334901"/>
    <w:rsid w:val="00334D79"/>
    <w:rsid w:val="003352E6"/>
    <w:rsid w:val="003356FF"/>
    <w:rsid w:val="00335B5F"/>
    <w:rsid w:val="00335F67"/>
    <w:rsid w:val="00336104"/>
    <w:rsid w:val="00336111"/>
    <w:rsid w:val="0033619C"/>
    <w:rsid w:val="0033624A"/>
    <w:rsid w:val="0033637F"/>
    <w:rsid w:val="00336527"/>
    <w:rsid w:val="00336668"/>
    <w:rsid w:val="00336736"/>
    <w:rsid w:val="003369B0"/>
    <w:rsid w:val="003369DC"/>
    <w:rsid w:val="00336AF8"/>
    <w:rsid w:val="00336CBB"/>
    <w:rsid w:val="00336CE8"/>
    <w:rsid w:val="00336EFA"/>
    <w:rsid w:val="00337191"/>
    <w:rsid w:val="003372D1"/>
    <w:rsid w:val="003376E1"/>
    <w:rsid w:val="003377BB"/>
    <w:rsid w:val="00337979"/>
    <w:rsid w:val="00337A4F"/>
    <w:rsid w:val="00337B70"/>
    <w:rsid w:val="00337E53"/>
    <w:rsid w:val="0034037B"/>
    <w:rsid w:val="003405DB"/>
    <w:rsid w:val="00340BF4"/>
    <w:rsid w:val="00340D26"/>
    <w:rsid w:val="00340DB3"/>
    <w:rsid w:val="00341176"/>
    <w:rsid w:val="0034129D"/>
    <w:rsid w:val="003412E4"/>
    <w:rsid w:val="00341ACE"/>
    <w:rsid w:val="00341AE8"/>
    <w:rsid w:val="00341C79"/>
    <w:rsid w:val="00341D52"/>
    <w:rsid w:val="00342028"/>
    <w:rsid w:val="0034204E"/>
    <w:rsid w:val="0034205C"/>
    <w:rsid w:val="00342172"/>
    <w:rsid w:val="003422A0"/>
    <w:rsid w:val="00342534"/>
    <w:rsid w:val="003427E0"/>
    <w:rsid w:val="00342842"/>
    <w:rsid w:val="003429D9"/>
    <w:rsid w:val="0034306B"/>
    <w:rsid w:val="00343128"/>
    <w:rsid w:val="00343591"/>
    <w:rsid w:val="00343B12"/>
    <w:rsid w:val="00343B76"/>
    <w:rsid w:val="00343CB8"/>
    <w:rsid w:val="00343CE8"/>
    <w:rsid w:val="00343D6D"/>
    <w:rsid w:val="00343E09"/>
    <w:rsid w:val="00344035"/>
    <w:rsid w:val="0034446E"/>
    <w:rsid w:val="003446F0"/>
    <w:rsid w:val="0034497A"/>
    <w:rsid w:val="00344AC8"/>
    <w:rsid w:val="00344D48"/>
    <w:rsid w:val="003450DB"/>
    <w:rsid w:val="00345270"/>
    <w:rsid w:val="00345271"/>
    <w:rsid w:val="003452C0"/>
    <w:rsid w:val="003453A9"/>
    <w:rsid w:val="003454F1"/>
    <w:rsid w:val="00345836"/>
    <w:rsid w:val="00345855"/>
    <w:rsid w:val="00345963"/>
    <w:rsid w:val="00345C47"/>
    <w:rsid w:val="00345EE3"/>
    <w:rsid w:val="00345F6E"/>
    <w:rsid w:val="00345FEA"/>
    <w:rsid w:val="003463E5"/>
    <w:rsid w:val="003466CD"/>
    <w:rsid w:val="00346788"/>
    <w:rsid w:val="00346864"/>
    <w:rsid w:val="00346B33"/>
    <w:rsid w:val="00346D84"/>
    <w:rsid w:val="00346DAC"/>
    <w:rsid w:val="00346DED"/>
    <w:rsid w:val="003477F2"/>
    <w:rsid w:val="00347866"/>
    <w:rsid w:val="00347A17"/>
    <w:rsid w:val="00347A92"/>
    <w:rsid w:val="00350044"/>
    <w:rsid w:val="003501C0"/>
    <w:rsid w:val="00350201"/>
    <w:rsid w:val="003503AA"/>
    <w:rsid w:val="00350C12"/>
    <w:rsid w:val="00350C3D"/>
    <w:rsid w:val="003512FB"/>
    <w:rsid w:val="0035147F"/>
    <w:rsid w:val="00351854"/>
    <w:rsid w:val="003518C0"/>
    <w:rsid w:val="003521AA"/>
    <w:rsid w:val="003521D8"/>
    <w:rsid w:val="003521F7"/>
    <w:rsid w:val="0035277A"/>
    <w:rsid w:val="0035299D"/>
    <w:rsid w:val="00352BE8"/>
    <w:rsid w:val="00352F14"/>
    <w:rsid w:val="00353879"/>
    <w:rsid w:val="003538F5"/>
    <w:rsid w:val="00353C28"/>
    <w:rsid w:val="00353D06"/>
    <w:rsid w:val="00353FFE"/>
    <w:rsid w:val="0035430C"/>
    <w:rsid w:val="003546B7"/>
    <w:rsid w:val="003546E3"/>
    <w:rsid w:val="00354A39"/>
    <w:rsid w:val="00354A7C"/>
    <w:rsid w:val="00354B85"/>
    <w:rsid w:val="00354F9A"/>
    <w:rsid w:val="003552D4"/>
    <w:rsid w:val="00355359"/>
    <w:rsid w:val="00355567"/>
    <w:rsid w:val="0035570D"/>
    <w:rsid w:val="0035590E"/>
    <w:rsid w:val="00355B54"/>
    <w:rsid w:val="00355BB4"/>
    <w:rsid w:val="00355DC4"/>
    <w:rsid w:val="00355DC6"/>
    <w:rsid w:val="00356122"/>
    <w:rsid w:val="00356250"/>
    <w:rsid w:val="003565E9"/>
    <w:rsid w:val="00356716"/>
    <w:rsid w:val="003567BB"/>
    <w:rsid w:val="00356AA5"/>
    <w:rsid w:val="00356F7A"/>
    <w:rsid w:val="0035710A"/>
    <w:rsid w:val="003571A8"/>
    <w:rsid w:val="003573A8"/>
    <w:rsid w:val="003573C9"/>
    <w:rsid w:val="00357425"/>
    <w:rsid w:val="00357453"/>
    <w:rsid w:val="00357ACE"/>
    <w:rsid w:val="00357FBE"/>
    <w:rsid w:val="003600E6"/>
    <w:rsid w:val="003601F5"/>
    <w:rsid w:val="00360207"/>
    <w:rsid w:val="00360504"/>
    <w:rsid w:val="00360874"/>
    <w:rsid w:val="00360AE7"/>
    <w:rsid w:val="00360BF4"/>
    <w:rsid w:val="00360E41"/>
    <w:rsid w:val="00360E5C"/>
    <w:rsid w:val="00360EB4"/>
    <w:rsid w:val="0036101B"/>
    <w:rsid w:val="0036103F"/>
    <w:rsid w:val="00361456"/>
    <w:rsid w:val="003615EE"/>
    <w:rsid w:val="0036166A"/>
    <w:rsid w:val="00361742"/>
    <w:rsid w:val="003617CF"/>
    <w:rsid w:val="00361C4C"/>
    <w:rsid w:val="00361E4A"/>
    <w:rsid w:val="00361E4C"/>
    <w:rsid w:val="003621C6"/>
    <w:rsid w:val="0036263C"/>
    <w:rsid w:val="0036264A"/>
    <w:rsid w:val="003626C5"/>
    <w:rsid w:val="00362AD8"/>
    <w:rsid w:val="00362D61"/>
    <w:rsid w:val="00362EA7"/>
    <w:rsid w:val="00362F33"/>
    <w:rsid w:val="00363139"/>
    <w:rsid w:val="00363187"/>
    <w:rsid w:val="003631B7"/>
    <w:rsid w:val="003633E1"/>
    <w:rsid w:val="0036397F"/>
    <w:rsid w:val="00363E46"/>
    <w:rsid w:val="00363FFF"/>
    <w:rsid w:val="0036401F"/>
    <w:rsid w:val="0036403B"/>
    <w:rsid w:val="00364311"/>
    <w:rsid w:val="00364674"/>
    <w:rsid w:val="0036467E"/>
    <w:rsid w:val="0036477B"/>
    <w:rsid w:val="00364900"/>
    <w:rsid w:val="00364CB3"/>
    <w:rsid w:val="00364E01"/>
    <w:rsid w:val="00364EBD"/>
    <w:rsid w:val="00365164"/>
    <w:rsid w:val="003651EB"/>
    <w:rsid w:val="00365316"/>
    <w:rsid w:val="0036553D"/>
    <w:rsid w:val="003656C4"/>
    <w:rsid w:val="00365AD3"/>
    <w:rsid w:val="00365F77"/>
    <w:rsid w:val="00366111"/>
    <w:rsid w:val="00366143"/>
    <w:rsid w:val="00366353"/>
    <w:rsid w:val="00366386"/>
    <w:rsid w:val="00366404"/>
    <w:rsid w:val="00366553"/>
    <w:rsid w:val="003666A7"/>
    <w:rsid w:val="003666C8"/>
    <w:rsid w:val="00366DB4"/>
    <w:rsid w:val="00366F25"/>
    <w:rsid w:val="00366FFE"/>
    <w:rsid w:val="00367067"/>
    <w:rsid w:val="0036718E"/>
    <w:rsid w:val="003674DC"/>
    <w:rsid w:val="003676CF"/>
    <w:rsid w:val="00367803"/>
    <w:rsid w:val="00367872"/>
    <w:rsid w:val="003678EE"/>
    <w:rsid w:val="0036796C"/>
    <w:rsid w:val="00367B0E"/>
    <w:rsid w:val="00367CBD"/>
    <w:rsid w:val="00367D75"/>
    <w:rsid w:val="00367DBA"/>
    <w:rsid w:val="00367FBE"/>
    <w:rsid w:val="00370112"/>
    <w:rsid w:val="00370928"/>
    <w:rsid w:val="0037097F"/>
    <w:rsid w:val="00370996"/>
    <w:rsid w:val="00370B83"/>
    <w:rsid w:val="00370C87"/>
    <w:rsid w:val="00371121"/>
    <w:rsid w:val="00371259"/>
    <w:rsid w:val="003714FA"/>
    <w:rsid w:val="00371602"/>
    <w:rsid w:val="0037165F"/>
    <w:rsid w:val="00371A4A"/>
    <w:rsid w:val="00371A85"/>
    <w:rsid w:val="00371E97"/>
    <w:rsid w:val="00372577"/>
    <w:rsid w:val="00372A3A"/>
    <w:rsid w:val="00372AAE"/>
    <w:rsid w:val="00372BEF"/>
    <w:rsid w:val="00372E04"/>
    <w:rsid w:val="00373223"/>
    <w:rsid w:val="0037327F"/>
    <w:rsid w:val="003732CE"/>
    <w:rsid w:val="0037342E"/>
    <w:rsid w:val="0037368A"/>
    <w:rsid w:val="003738CE"/>
    <w:rsid w:val="00373A9F"/>
    <w:rsid w:val="00373C51"/>
    <w:rsid w:val="00373D63"/>
    <w:rsid w:val="00373FF7"/>
    <w:rsid w:val="003744E3"/>
    <w:rsid w:val="003744EA"/>
    <w:rsid w:val="0037464F"/>
    <w:rsid w:val="0037490A"/>
    <w:rsid w:val="00374C5C"/>
    <w:rsid w:val="00375329"/>
    <w:rsid w:val="00375520"/>
    <w:rsid w:val="00375764"/>
    <w:rsid w:val="00375868"/>
    <w:rsid w:val="00375ADF"/>
    <w:rsid w:val="00375CED"/>
    <w:rsid w:val="00375D7F"/>
    <w:rsid w:val="00376277"/>
    <w:rsid w:val="00376521"/>
    <w:rsid w:val="00376675"/>
    <w:rsid w:val="00376978"/>
    <w:rsid w:val="00376B7A"/>
    <w:rsid w:val="00376DBF"/>
    <w:rsid w:val="00377047"/>
    <w:rsid w:val="00377429"/>
    <w:rsid w:val="003774B7"/>
    <w:rsid w:val="0037783A"/>
    <w:rsid w:val="003778C2"/>
    <w:rsid w:val="00377A95"/>
    <w:rsid w:val="00377B69"/>
    <w:rsid w:val="00377C28"/>
    <w:rsid w:val="00377CF9"/>
    <w:rsid w:val="003800E6"/>
    <w:rsid w:val="003806BE"/>
    <w:rsid w:val="003808D5"/>
    <w:rsid w:val="00380AEC"/>
    <w:rsid w:val="00380CA2"/>
    <w:rsid w:val="00380FA2"/>
    <w:rsid w:val="0038148C"/>
    <w:rsid w:val="00381552"/>
    <w:rsid w:val="00381646"/>
    <w:rsid w:val="0038186C"/>
    <w:rsid w:val="00381F06"/>
    <w:rsid w:val="00382129"/>
    <w:rsid w:val="0038277E"/>
    <w:rsid w:val="003828FA"/>
    <w:rsid w:val="00382A29"/>
    <w:rsid w:val="00382C52"/>
    <w:rsid w:val="00382F5A"/>
    <w:rsid w:val="00382FAF"/>
    <w:rsid w:val="00383168"/>
    <w:rsid w:val="003832FC"/>
    <w:rsid w:val="003836B0"/>
    <w:rsid w:val="00383A93"/>
    <w:rsid w:val="00383EE4"/>
    <w:rsid w:val="0038403D"/>
    <w:rsid w:val="0038404F"/>
    <w:rsid w:val="00384463"/>
    <w:rsid w:val="0038446C"/>
    <w:rsid w:val="00384787"/>
    <w:rsid w:val="00384834"/>
    <w:rsid w:val="00384ABC"/>
    <w:rsid w:val="00384B26"/>
    <w:rsid w:val="00384D2B"/>
    <w:rsid w:val="00384D7B"/>
    <w:rsid w:val="00385086"/>
    <w:rsid w:val="003851EC"/>
    <w:rsid w:val="0038544B"/>
    <w:rsid w:val="003857B4"/>
    <w:rsid w:val="0038587F"/>
    <w:rsid w:val="00385918"/>
    <w:rsid w:val="003859A2"/>
    <w:rsid w:val="00385BA8"/>
    <w:rsid w:val="003863CE"/>
    <w:rsid w:val="003864B7"/>
    <w:rsid w:val="003864E0"/>
    <w:rsid w:val="0038654C"/>
    <w:rsid w:val="00386824"/>
    <w:rsid w:val="00386935"/>
    <w:rsid w:val="003869A3"/>
    <w:rsid w:val="00386AD4"/>
    <w:rsid w:val="00386E82"/>
    <w:rsid w:val="00386EB7"/>
    <w:rsid w:val="00387124"/>
    <w:rsid w:val="0038784B"/>
    <w:rsid w:val="003878DD"/>
    <w:rsid w:val="00387A39"/>
    <w:rsid w:val="00387CAA"/>
    <w:rsid w:val="00387CCB"/>
    <w:rsid w:val="00387D35"/>
    <w:rsid w:val="00387EDB"/>
    <w:rsid w:val="00390092"/>
    <w:rsid w:val="003900F7"/>
    <w:rsid w:val="00390298"/>
    <w:rsid w:val="00390371"/>
    <w:rsid w:val="00390DE3"/>
    <w:rsid w:val="00390ED1"/>
    <w:rsid w:val="00391064"/>
    <w:rsid w:val="0039153A"/>
    <w:rsid w:val="003916F5"/>
    <w:rsid w:val="00391A2A"/>
    <w:rsid w:val="00391F69"/>
    <w:rsid w:val="00392000"/>
    <w:rsid w:val="0039205F"/>
    <w:rsid w:val="00392064"/>
    <w:rsid w:val="00392260"/>
    <w:rsid w:val="00392434"/>
    <w:rsid w:val="00392507"/>
    <w:rsid w:val="00392ADB"/>
    <w:rsid w:val="00392BC2"/>
    <w:rsid w:val="00392BCE"/>
    <w:rsid w:val="00392C2E"/>
    <w:rsid w:val="00392D41"/>
    <w:rsid w:val="00393137"/>
    <w:rsid w:val="0039318D"/>
    <w:rsid w:val="0039319A"/>
    <w:rsid w:val="0039324C"/>
    <w:rsid w:val="00393737"/>
    <w:rsid w:val="003937DB"/>
    <w:rsid w:val="003938F9"/>
    <w:rsid w:val="00393BB0"/>
    <w:rsid w:val="00394017"/>
    <w:rsid w:val="0039403F"/>
    <w:rsid w:val="0039407F"/>
    <w:rsid w:val="0039419C"/>
    <w:rsid w:val="003942B5"/>
    <w:rsid w:val="003945E9"/>
    <w:rsid w:val="003947FE"/>
    <w:rsid w:val="003948D2"/>
    <w:rsid w:val="00394E27"/>
    <w:rsid w:val="00394E36"/>
    <w:rsid w:val="00394EAD"/>
    <w:rsid w:val="00394ED6"/>
    <w:rsid w:val="00394EF9"/>
    <w:rsid w:val="003953C3"/>
    <w:rsid w:val="00395971"/>
    <w:rsid w:val="00395A61"/>
    <w:rsid w:val="00395E1C"/>
    <w:rsid w:val="00395F60"/>
    <w:rsid w:val="003960A4"/>
    <w:rsid w:val="003960E3"/>
    <w:rsid w:val="0039619A"/>
    <w:rsid w:val="00396478"/>
    <w:rsid w:val="00396483"/>
    <w:rsid w:val="00396485"/>
    <w:rsid w:val="00396491"/>
    <w:rsid w:val="0039659C"/>
    <w:rsid w:val="0039680C"/>
    <w:rsid w:val="00396EFA"/>
    <w:rsid w:val="00397013"/>
    <w:rsid w:val="00397476"/>
    <w:rsid w:val="003977B0"/>
    <w:rsid w:val="003977CA"/>
    <w:rsid w:val="003978FC"/>
    <w:rsid w:val="00397A9B"/>
    <w:rsid w:val="00397C9A"/>
    <w:rsid w:val="00397D3A"/>
    <w:rsid w:val="00397DF8"/>
    <w:rsid w:val="00397EAE"/>
    <w:rsid w:val="00397ECF"/>
    <w:rsid w:val="003A0284"/>
    <w:rsid w:val="003A064E"/>
    <w:rsid w:val="003A0910"/>
    <w:rsid w:val="003A0A54"/>
    <w:rsid w:val="003A0C54"/>
    <w:rsid w:val="003A0EDE"/>
    <w:rsid w:val="003A1013"/>
    <w:rsid w:val="003A1311"/>
    <w:rsid w:val="003A1BE4"/>
    <w:rsid w:val="003A1C1A"/>
    <w:rsid w:val="003A1C49"/>
    <w:rsid w:val="003A206C"/>
    <w:rsid w:val="003A2179"/>
    <w:rsid w:val="003A21C3"/>
    <w:rsid w:val="003A2690"/>
    <w:rsid w:val="003A2803"/>
    <w:rsid w:val="003A292E"/>
    <w:rsid w:val="003A297D"/>
    <w:rsid w:val="003A2BDD"/>
    <w:rsid w:val="003A2D3B"/>
    <w:rsid w:val="003A2D9E"/>
    <w:rsid w:val="003A2EDE"/>
    <w:rsid w:val="003A2F1A"/>
    <w:rsid w:val="003A2FD8"/>
    <w:rsid w:val="003A30D0"/>
    <w:rsid w:val="003A340A"/>
    <w:rsid w:val="003A3424"/>
    <w:rsid w:val="003A3565"/>
    <w:rsid w:val="003A36B8"/>
    <w:rsid w:val="003A3858"/>
    <w:rsid w:val="003A3AB9"/>
    <w:rsid w:val="003A3BDB"/>
    <w:rsid w:val="003A3C40"/>
    <w:rsid w:val="003A3EFC"/>
    <w:rsid w:val="003A3FFB"/>
    <w:rsid w:val="003A456D"/>
    <w:rsid w:val="003A458A"/>
    <w:rsid w:val="003A4E3D"/>
    <w:rsid w:val="003A5176"/>
    <w:rsid w:val="003A5427"/>
    <w:rsid w:val="003A560E"/>
    <w:rsid w:val="003A5746"/>
    <w:rsid w:val="003A5E31"/>
    <w:rsid w:val="003A5EE9"/>
    <w:rsid w:val="003A61C7"/>
    <w:rsid w:val="003A62FD"/>
    <w:rsid w:val="003A6AE3"/>
    <w:rsid w:val="003A6D02"/>
    <w:rsid w:val="003A6D61"/>
    <w:rsid w:val="003A708E"/>
    <w:rsid w:val="003A7170"/>
    <w:rsid w:val="003A72DB"/>
    <w:rsid w:val="003A7322"/>
    <w:rsid w:val="003A7662"/>
    <w:rsid w:val="003A7895"/>
    <w:rsid w:val="003A78CD"/>
    <w:rsid w:val="003B07A1"/>
    <w:rsid w:val="003B0959"/>
    <w:rsid w:val="003B0DCC"/>
    <w:rsid w:val="003B0FFE"/>
    <w:rsid w:val="003B15EF"/>
    <w:rsid w:val="003B1743"/>
    <w:rsid w:val="003B18B0"/>
    <w:rsid w:val="003B19EE"/>
    <w:rsid w:val="003B1BA6"/>
    <w:rsid w:val="003B1BF2"/>
    <w:rsid w:val="003B1D74"/>
    <w:rsid w:val="003B1D8F"/>
    <w:rsid w:val="003B2066"/>
    <w:rsid w:val="003B20E5"/>
    <w:rsid w:val="003B239F"/>
    <w:rsid w:val="003B28D6"/>
    <w:rsid w:val="003B298F"/>
    <w:rsid w:val="003B29AE"/>
    <w:rsid w:val="003B2B2D"/>
    <w:rsid w:val="003B2F4F"/>
    <w:rsid w:val="003B317D"/>
    <w:rsid w:val="003B3244"/>
    <w:rsid w:val="003B3A83"/>
    <w:rsid w:val="003B454E"/>
    <w:rsid w:val="003B472E"/>
    <w:rsid w:val="003B4A1B"/>
    <w:rsid w:val="003B4A49"/>
    <w:rsid w:val="003B4A87"/>
    <w:rsid w:val="003B4C4B"/>
    <w:rsid w:val="003B4CAD"/>
    <w:rsid w:val="003B4E1F"/>
    <w:rsid w:val="003B524C"/>
    <w:rsid w:val="003B573F"/>
    <w:rsid w:val="003B5A57"/>
    <w:rsid w:val="003B5AA3"/>
    <w:rsid w:val="003B5B5A"/>
    <w:rsid w:val="003B5FB1"/>
    <w:rsid w:val="003B6012"/>
    <w:rsid w:val="003B675E"/>
    <w:rsid w:val="003B67BE"/>
    <w:rsid w:val="003B696A"/>
    <w:rsid w:val="003B6BD6"/>
    <w:rsid w:val="003B6EA2"/>
    <w:rsid w:val="003B6FAD"/>
    <w:rsid w:val="003B7080"/>
    <w:rsid w:val="003B71A0"/>
    <w:rsid w:val="003B760B"/>
    <w:rsid w:val="003B7709"/>
    <w:rsid w:val="003B7923"/>
    <w:rsid w:val="003B7A21"/>
    <w:rsid w:val="003B7E3C"/>
    <w:rsid w:val="003B7E3E"/>
    <w:rsid w:val="003B7FB1"/>
    <w:rsid w:val="003B7FFB"/>
    <w:rsid w:val="003C0093"/>
    <w:rsid w:val="003C073F"/>
    <w:rsid w:val="003C08C1"/>
    <w:rsid w:val="003C09AF"/>
    <w:rsid w:val="003C111D"/>
    <w:rsid w:val="003C1154"/>
    <w:rsid w:val="003C147E"/>
    <w:rsid w:val="003C15A4"/>
    <w:rsid w:val="003C1605"/>
    <w:rsid w:val="003C1842"/>
    <w:rsid w:val="003C19B4"/>
    <w:rsid w:val="003C1A1F"/>
    <w:rsid w:val="003C1AF4"/>
    <w:rsid w:val="003C1B54"/>
    <w:rsid w:val="003C1CF1"/>
    <w:rsid w:val="003C1EDA"/>
    <w:rsid w:val="003C2123"/>
    <w:rsid w:val="003C2225"/>
    <w:rsid w:val="003C25AE"/>
    <w:rsid w:val="003C2647"/>
    <w:rsid w:val="003C2671"/>
    <w:rsid w:val="003C2804"/>
    <w:rsid w:val="003C2A57"/>
    <w:rsid w:val="003C2C24"/>
    <w:rsid w:val="003C3523"/>
    <w:rsid w:val="003C3646"/>
    <w:rsid w:val="003C3849"/>
    <w:rsid w:val="003C3861"/>
    <w:rsid w:val="003C399A"/>
    <w:rsid w:val="003C3D4C"/>
    <w:rsid w:val="003C3D9A"/>
    <w:rsid w:val="003C40DA"/>
    <w:rsid w:val="003C417D"/>
    <w:rsid w:val="003C42D3"/>
    <w:rsid w:val="003C42E4"/>
    <w:rsid w:val="003C4475"/>
    <w:rsid w:val="003C477D"/>
    <w:rsid w:val="003C4C42"/>
    <w:rsid w:val="003C4F44"/>
    <w:rsid w:val="003C4FE9"/>
    <w:rsid w:val="003C504A"/>
    <w:rsid w:val="003C5081"/>
    <w:rsid w:val="003C52DA"/>
    <w:rsid w:val="003C55B9"/>
    <w:rsid w:val="003C5654"/>
    <w:rsid w:val="003C58CF"/>
    <w:rsid w:val="003C596C"/>
    <w:rsid w:val="003C5BBD"/>
    <w:rsid w:val="003C5C08"/>
    <w:rsid w:val="003C5CAC"/>
    <w:rsid w:val="003C5CD0"/>
    <w:rsid w:val="003C5DC0"/>
    <w:rsid w:val="003C5F93"/>
    <w:rsid w:val="003C606A"/>
    <w:rsid w:val="003C6248"/>
    <w:rsid w:val="003C6296"/>
    <w:rsid w:val="003C684D"/>
    <w:rsid w:val="003C6BBB"/>
    <w:rsid w:val="003C6D72"/>
    <w:rsid w:val="003C6E79"/>
    <w:rsid w:val="003C6EB4"/>
    <w:rsid w:val="003C7019"/>
    <w:rsid w:val="003C71EB"/>
    <w:rsid w:val="003C75BD"/>
    <w:rsid w:val="003C7CAF"/>
    <w:rsid w:val="003D00AE"/>
    <w:rsid w:val="003D07CA"/>
    <w:rsid w:val="003D09D1"/>
    <w:rsid w:val="003D0B92"/>
    <w:rsid w:val="003D0BEE"/>
    <w:rsid w:val="003D111E"/>
    <w:rsid w:val="003D12D9"/>
    <w:rsid w:val="003D13C3"/>
    <w:rsid w:val="003D157F"/>
    <w:rsid w:val="003D17D9"/>
    <w:rsid w:val="003D186D"/>
    <w:rsid w:val="003D18F8"/>
    <w:rsid w:val="003D1DC8"/>
    <w:rsid w:val="003D1F4F"/>
    <w:rsid w:val="003D1F89"/>
    <w:rsid w:val="003D2199"/>
    <w:rsid w:val="003D23C1"/>
    <w:rsid w:val="003D25BF"/>
    <w:rsid w:val="003D27E4"/>
    <w:rsid w:val="003D2951"/>
    <w:rsid w:val="003D2CF0"/>
    <w:rsid w:val="003D2E86"/>
    <w:rsid w:val="003D3160"/>
    <w:rsid w:val="003D3327"/>
    <w:rsid w:val="003D342A"/>
    <w:rsid w:val="003D34C7"/>
    <w:rsid w:val="003D37F1"/>
    <w:rsid w:val="003D3882"/>
    <w:rsid w:val="003D40BE"/>
    <w:rsid w:val="003D426D"/>
    <w:rsid w:val="003D42E1"/>
    <w:rsid w:val="003D42F1"/>
    <w:rsid w:val="003D4410"/>
    <w:rsid w:val="003D4418"/>
    <w:rsid w:val="003D4516"/>
    <w:rsid w:val="003D4561"/>
    <w:rsid w:val="003D4AE8"/>
    <w:rsid w:val="003D4E93"/>
    <w:rsid w:val="003D504B"/>
    <w:rsid w:val="003D51A4"/>
    <w:rsid w:val="003D5460"/>
    <w:rsid w:val="003D549C"/>
    <w:rsid w:val="003D5655"/>
    <w:rsid w:val="003D5736"/>
    <w:rsid w:val="003D5805"/>
    <w:rsid w:val="003D5AF3"/>
    <w:rsid w:val="003D5F07"/>
    <w:rsid w:val="003D5F5D"/>
    <w:rsid w:val="003D6123"/>
    <w:rsid w:val="003D6145"/>
    <w:rsid w:val="003D61D4"/>
    <w:rsid w:val="003D62B4"/>
    <w:rsid w:val="003D67A3"/>
    <w:rsid w:val="003D67F0"/>
    <w:rsid w:val="003D6924"/>
    <w:rsid w:val="003D7237"/>
    <w:rsid w:val="003D729E"/>
    <w:rsid w:val="003D7424"/>
    <w:rsid w:val="003D74CE"/>
    <w:rsid w:val="003D7C2F"/>
    <w:rsid w:val="003E00ED"/>
    <w:rsid w:val="003E018D"/>
    <w:rsid w:val="003E094C"/>
    <w:rsid w:val="003E0990"/>
    <w:rsid w:val="003E0C72"/>
    <w:rsid w:val="003E0E3E"/>
    <w:rsid w:val="003E0FBE"/>
    <w:rsid w:val="003E12BF"/>
    <w:rsid w:val="003E17AC"/>
    <w:rsid w:val="003E181E"/>
    <w:rsid w:val="003E1A56"/>
    <w:rsid w:val="003E1ACC"/>
    <w:rsid w:val="003E1C16"/>
    <w:rsid w:val="003E1D37"/>
    <w:rsid w:val="003E1D96"/>
    <w:rsid w:val="003E1DB2"/>
    <w:rsid w:val="003E1E31"/>
    <w:rsid w:val="003E20E5"/>
    <w:rsid w:val="003E2157"/>
    <w:rsid w:val="003E2834"/>
    <w:rsid w:val="003E2C22"/>
    <w:rsid w:val="003E2D32"/>
    <w:rsid w:val="003E2E6A"/>
    <w:rsid w:val="003E2F4E"/>
    <w:rsid w:val="003E3046"/>
    <w:rsid w:val="003E3685"/>
    <w:rsid w:val="003E398B"/>
    <w:rsid w:val="003E3A15"/>
    <w:rsid w:val="003E3B79"/>
    <w:rsid w:val="003E3D9A"/>
    <w:rsid w:val="003E4005"/>
    <w:rsid w:val="003E42F2"/>
    <w:rsid w:val="003E46B0"/>
    <w:rsid w:val="003E49E5"/>
    <w:rsid w:val="003E4ABC"/>
    <w:rsid w:val="003E4CB9"/>
    <w:rsid w:val="003E4D00"/>
    <w:rsid w:val="003E4DAC"/>
    <w:rsid w:val="003E4EE8"/>
    <w:rsid w:val="003E4EF0"/>
    <w:rsid w:val="003E5078"/>
    <w:rsid w:val="003E518E"/>
    <w:rsid w:val="003E5587"/>
    <w:rsid w:val="003E5A5F"/>
    <w:rsid w:val="003E5B0D"/>
    <w:rsid w:val="003E5C42"/>
    <w:rsid w:val="003E5D9F"/>
    <w:rsid w:val="003E5EF6"/>
    <w:rsid w:val="003E5FA0"/>
    <w:rsid w:val="003E661A"/>
    <w:rsid w:val="003E67CA"/>
    <w:rsid w:val="003E6BEB"/>
    <w:rsid w:val="003E6FE5"/>
    <w:rsid w:val="003E719B"/>
    <w:rsid w:val="003E726E"/>
    <w:rsid w:val="003E732E"/>
    <w:rsid w:val="003E73E4"/>
    <w:rsid w:val="003E779B"/>
    <w:rsid w:val="003E7819"/>
    <w:rsid w:val="003E787C"/>
    <w:rsid w:val="003F001D"/>
    <w:rsid w:val="003F020A"/>
    <w:rsid w:val="003F031E"/>
    <w:rsid w:val="003F052D"/>
    <w:rsid w:val="003F08D0"/>
    <w:rsid w:val="003F09DF"/>
    <w:rsid w:val="003F09F7"/>
    <w:rsid w:val="003F0A0E"/>
    <w:rsid w:val="003F0B02"/>
    <w:rsid w:val="003F0B60"/>
    <w:rsid w:val="003F0F54"/>
    <w:rsid w:val="003F0F66"/>
    <w:rsid w:val="003F1401"/>
    <w:rsid w:val="003F1494"/>
    <w:rsid w:val="003F16A4"/>
    <w:rsid w:val="003F218B"/>
    <w:rsid w:val="003F248B"/>
    <w:rsid w:val="003F24A1"/>
    <w:rsid w:val="003F29A7"/>
    <w:rsid w:val="003F29EF"/>
    <w:rsid w:val="003F2CEE"/>
    <w:rsid w:val="003F2F6D"/>
    <w:rsid w:val="003F300C"/>
    <w:rsid w:val="003F34DD"/>
    <w:rsid w:val="003F3574"/>
    <w:rsid w:val="003F39BC"/>
    <w:rsid w:val="003F3B7B"/>
    <w:rsid w:val="003F3C6D"/>
    <w:rsid w:val="003F3C7E"/>
    <w:rsid w:val="003F4378"/>
    <w:rsid w:val="003F4737"/>
    <w:rsid w:val="003F4B44"/>
    <w:rsid w:val="003F4EF8"/>
    <w:rsid w:val="003F4F83"/>
    <w:rsid w:val="003F54A7"/>
    <w:rsid w:val="003F5514"/>
    <w:rsid w:val="003F565D"/>
    <w:rsid w:val="003F583D"/>
    <w:rsid w:val="003F5A03"/>
    <w:rsid w:val="003F5B18"/>
    <w:rsid w:val="003F5B76"/>
    <w:rsid w:val="003F5C07"/>
    <w:rsid w:val="003F5E64"/>
    <w:rsid w:val="003F5E76"/>
    <w:rsid w:val="003F6092"/>
    <w:rsid w:val="003F6093"/>
    <w:rsid w:val="003F640A"/>
    <w:rsid w:val="003F653C"/>
    <w:rsid w:val="003F6540"/>
    <w:rsid w:val="003F693E"/>
    <w:rsid w:val="003F6B68"/>
    <w:rsid w:val="003F6BD5"/>
    <w:rsid w:val="003F6C96"/>
    <w:rsid w:val="003F6D14"/>
    <w:rsid w:val="003F7167"/>
    <w:rsid w:val="003F736D"/>
    <w:rsid w:val="003F7BE2"/>
    <w:rsid w:val="003F7F03"/>
    <w:rsid w:val="0040015C"/>
    <w:rsid w:val="00400425"/>
    <w:rsid w:val="00400C40"/>
    <w:rsid w:val="00400D35"/>
    <w:rsid w:val="00400EA7"/>
    <w:rsid w:val="004010EF"/>
    <w:rsid w:val="00401123"/>
    <w:rsid w:val="00401406"/>
    <w:rsid w:val="004014CA"/>
    <w:rsid w:val="00401D49"/>
    <w:rsid w:val="00401D9C"/>
    <w:rsid w:val="004021D2"/>
    <w:rsid w:val="004023B0"/>
    <w:rsid w:val="004024FD"/>
    <w:rsid w:val="0040272F"/>
    <w:rsid w:val="00402A0B"/>
    <w:rsid w:val="00402C79"/>
    <w:rsid w:val="00402FDC"/>
    <w:rsid w:val="00403725"/>
    <w:rsid w:val="00403748"/>
    <w:rsid w:val="00403777"/>
    <w:rsid w:val="0040383B"/>
    <w:rsid w:val="00403F27"/>
    <w:rsid w:val="00403F8A"/>
    <w:rsid w:val="0040452B"/>
    <w:rsid w:val="00404779"/>
    <w:rsid w:val="00404858"/>
    <w:rsid w:val="00404A36"/>
    <w:rsid w:val="00404B1B"/>
    <w:rsid w:val="00404D1B"/>
    <w:rsid w:val="00404D43"/>
    <w:rsid w:val="00404E59"/>
    <w:rsid w:val="00404F8C"/>
    <w:rsid w:val="0040509B"/>
    <w:rsid w:val="00405153"/>
    <w:rsid w:val="0040537B"/>
    <w:rsid w:val="00405582"/>
    <w:rsid w:val="0040575A"/>
    <w:rsid w:val="00405C43"/>
    <w:rsid w:val="00405E69"/>
    <w:rsid w:val="00406088"/>
    <w:rsid w:val="004060BB"/>
    <w:rsid w:val="00406347"/>
    <w:rsid w:val="004063FB"/>
    <w:rsid w:val="004064E2"/>
    <w:rsid w:val="004066A3"/>
    <w:rsid w:val="004066F4"/>
    <w:rsid w:val="0040688E"/>
    <w:rsid w:val="00406AD0"/>
    <w:rsid w:val="00406AE3"/>
    <w:rsid w:val="00406DB0"/>
    <w:rsid w:val="00407145"/>
    <w:rsid w:val="00407341"/>
    <w:rsid w:val="00407441"/>
    <w:rsid w:val="00407528"/>
    <w:rsid w:val="0040768F"/>
    <w:rsid w:val="0040777C"/>
    <w:rsid w:val="00407AF1"/>
    <w:rsid w:val="00407DC4"/>
    <w:rsid w:val="00407E75"/>
    <w:rsid w:val="00410012"/>
    <w:rsid w:val="00410375"/>
    <w:rsid w:val="004103D1"/>
    <w:rsid w:val="0041059F"/>
    <w:rsid w:val="00410633"/>
    <w:rsid w:val="00410665"/>
    <w:rsid w:val="004107F4"/>
    <w:rsid w:val="00410AEB"/>
    <w:rsid w:val="00410BEF"/>
    <w:rsid w:val="00410D19"/>
    <w:rsid w:val="00410DC3"/>
    <w:rsid w:val="004110E4"/>
    <w:rsid w:val="004112D0"/>
    <w:rsid w:val="00411686"/>
    <w:rsid w:val="004117C5"/>
    <w:rsid w:val="004117FB"/>
    <w:rsid w:val="00411B86"/>
    <w:rsid w:val="00411BE8"/>
    <w:rsid w:val="00411CD0"/>
    <w:rsid w:val="00411D0F"/>
    <w:rsid w:val="00411D5E"/>
    <w:rsid w:val="00411FA7"/>
    <w:rsid w:val="00412435"/>
    <w:rsid w:val="00412680"/>
    <w:rsid w:val="0041271D"/>
    <w:rsid w:val="004128CF"/>
    <w:rsid w:val="00412A67"/>
    <w:rsid w:val="00412ED0"/>
    <w:rsid w:val="0041324E"/>
    <w:rsid w:val="004132B0"/>
    <w:rsid w:val="0041336F"/>
    <w:rsid w:val="00413751"/>
    <w:rsid w:val="004138DE"/>
    <w:rsid w:val="00413DCE"/>
    <w:rsid w:val="00413F87"/>
    <w:rsid w:val="004140F6"/>
    <w:rsid w:val="0041425F"/>
    <w:rsid w:val="004144AB"/>
    <w:rsid w:val="004144E3"/>
    <w:rsid w:val="0041477F"/>
    <w:rsid w:val="004149B5"/>
    <w:rsid w:val="00414DE4"/>
    <w:rsid w:val="00414FF0"/>
    <w:rsid w:val="0041501A"/>
    <w:rsid w:val="0041503A"/>
    <w:rsid w:val="004151DB"/>
    <w:rsid w:val="0041520A"/>
    <w:rsid w:val="004152BC"/>
    <w:rsid w:val="00415352"/>
    <w:rsid w:val="004154FD"/>
    <w:rsid w:val="004155F3"/>
    <w:rsid w:val="00415C93"/>
    <w:rsid w:val="00415DBC"/>
    <w:rsid w:val="00415FC6"/>
    <w:rsid w:val="00416163"/>
    <w:rsid w:val="004162AC"/>
    <w:rsid w:val="004162FE"/>
    <w:rsid w:val="00416525"/>
    <w:rsid w:val="00416671"/>
    <w:rsid w:val="00416733"/>
    <w:rsid w:val="004167F6"/>
    <w:rsid w:val="00416C76"/>
    <w:rsid w:val="00416DAE"/>
    <w:rsid w:val="0041712A"/>
    <w:rsid w:val="00417414"/>
    <w:rsid w:val="00417415"/>
    <w:rsid w:val="0041751D"/>
    <w:rsid w:val="004175AF"/>
    <w:rsid w:val="0041795D"/>
    <w:rsid w:val="00417AF7"/>
    <w:rsid w:val="00417C3F"/>
    <w:rsid w:val="00417D07"/>
    <w:rsid w:val="004202F5"/>
    <w:rsid w:val="00420476"/>
    <w:rsid w:val="0042082F"/>
    <w:rsid w:val="004208BC"/>
    <w:rsid w:val="00420A1F"/>
    <w:rsid w:val="00420FA3"/>
    <w:rsid w:val="00421036"/>
    <w:rsid w:val="004210F3"/>
    <w:rsid w:val="0042145E"/>
    <w:rsid w:val="00421748"/>
    <w:rsid w:val="00421FD0"/>
    <w:rsid w:val="00422227"/>
    <w:rsid w:val="0042222A"/>
    <w:rsid w:val="004223C4"/>
    <w:rsid w:val="0042240E"/>
    <w:rsid w:val="00422417"/>
    <w:rsid w:val="004226CE"/>
    <w:rsid w:val="00422A18"/>
    <w:rsid w:val="00422A1C"/>
    <w:rsid w:val="00422ABC"/>
    <w:rsid w:val="00422DA5"/>
    <w:rsid w:val="00422F5E"/>
    <w:rsid w:val="00423115"/>
    <w:rsid w:val="00423212"/>
    <w:rsid w:val="00423254"/>
    <w:rsid w:val="004235B8"/>
    <w:rsid w:val="0042382C"/>
    <w:rsid w:val="00423E58"/>
    <w:rsid w:val="004240BE"/>
    <w:rsid w:val="004241C3"/>
    <w:rsid w:val="0042426A"/>
    <w:rsid w:val="00424286"/>
    <w:rsid w:val="004243DE"/>
    <w:rsid w:val="00424610"/>
    <w:rsid w:val="004249D3"/>
    <w:rsid w:val="00424C7B"/>
    <w:rsid w:val="00424DEA"/>
    <w:rsid w:val="00424E06"/>
    <w:rsid w:val="00424EFE"/>
    <w:rsid w:val="00424F06"/>
    <w:rsid w:val="00425016"/>
    <w:rsid w:val="0042533C"/>
    <w:rsid w:val="00425384"/>
    <w:rsid w:val="004254E8"/>
    <w:rsid w:val="004256E5"/>
    <w:rsid w:val="00425802"/>
    <w:rsid w:val="00425F8F"/>
    <w:rsid w:val="00426170"/>
    <w:rsid w:val="0042628C"/>
    <w:rsid w:val="0042637A"/>
    <w:rsid w:val="0042650D"/>
    <w:rsid w:val="00426682"/>
    <w:rsid w:val="0042673B"/>
    <w:rsid w:val="0042697A"/>
    <w:rsid w:val="00426F2E"/>
    <w:rsid w:val="00427519"/>
    <w:rsid w:val="00427C8E"/>
    <w:rsid w:val="004300D2"/>
    <w:rsid w:val="00430142"/>
    <w:rsid w:val="004302B1"/>
    <w:rsid w:val="00430300"/>
    <w:rsid w:val="00430302"/>
    <w:rsid w:val="00430347"/>
    <w:rsid w:val="004305AB"/>
    <w:rsid w:val="004305D2"/>
    <w:rsid w:val="004306DE"/>
    <w:rsid w:val="004307E6"/>
    <w:rsid w:val="00430B26"/>
    <w:rsid w:val="00430BEC"/>
    <w:rsid w:val="00430DB9"/>
    <w:rsid w:val="00430E18"/>
    <w:rsid w:val="00430E72"/>
    <w:rsid w:val="0043142F"/>
    <w:rsid w:val="004316C5"/>
    <w:rsid w:val="00431822"/>
    <w:rsid w:val="004318F0"/>
    <w:rsid w:val="00431A0D"/>
    <w:rsid w:val="00431AC0"/>
    <w:rsid w:val="00431BB0"/>
    <w:rsid w:val="00431D38"/>
    <w:rsid w:val="00431DA5"/>
    <w:rsid w:val="00431EA9"/>
    <w:rsid w:val="00432112"/>
    <w:rsid w:val="00432304"/>
    <w:rsid w:val="0043244E"/>
    <w:rsid w:val="004324D1"/>
    <w:rsid w:val="004325A5"/>
    <w:rsid w:val="00432C17"/>
    <w:rsid w:val="00432E2E"/>
    <w:rsid w:val="00433115"/>
    <w:rsid w:val="00433183"/>
    <w:rsid w:val="004332BA"/>
    <w:rsid w:val="00433380"/>
    <w:rsid w:val="004333AF"/>
    <w:rsid w:val="004333E0"/>
    <w:rsid w:val="00433686"/>
    <w:rsid w:val="004338B8"/>
    <w:rsid w:val="00433C30"/>
    <w:rsid w:val="00433D17"/>
    <w:rsid w:val="00433DB9"/>
    <w:rsid w:val="00433DC8"/>
    <w:rsid w:val="00433E58"/>
    <w:rsid w:val="00433E80"/>
    <w:rsid w:val="00434605"/>
    <w:rsid w:val="00434844"/>
    <w:rsid w:val="004348E4"/>
    <w:rsid w:val="00434C14"/>
    <w:rsid w:val="00434F25"/>
    <w:rsid w:val="00435000"/>
    <w:rsid w:val="004350CF"/>
    <w:rsid w:val="00435181"/>
    <w:rsid w:val="00435614"/>
    <w:rsid w:val="00435D67"/>
    <w:rsid w:val="00435E24"/>
    <w:rsid w:val="00436105"/>
    <w:rsid w:val="0043618C"/>
    <w:rsid w:val="00436218"/>
    <w:rsid w:val="0043668E"/>
    <w:rsid w:val="00436AFD"/>
    <w:rsid w:val="00436E21"/>
    <w:rsid w:val="00436EAE"/>
    <w:rsid w:val="0043712F"/>
    <w:rsid w:val="00437134"/>
    <w:rsid w:val="004374C5"/>
    <w:rsid w:val="0043763F"/>
    <w:rsid w:val="0043787B"/>
    <w:rsid w:val="00437917"/>
    <w:rsid w:val="00437BC0"/>
    <w:rsid w:val="00437D72"/>
    <w:rsid w:val="00437F30"/>
    <w:rsid w:val="00437FF8"/>
    <w:rsid w:val="0044067D"/>
    <w:rsid w:val="004408EB"/>
    <w:rsid w:val="004408FA"/>
    <w:rsid w:val="00440A6B"/>
    <w:rsid w:val="00440BA9"/>
    <w:rsid w:val="00440C55"/>
    <w:rsid w:val="00440F12"/>
    <w:rsid w:val="0044138C"/>
    <w:rsid w:val="0044160E"/>
    <w:rsid w:val="004416EA"/>
    <w:rsid w:val="0044184A"/>
    <w:rsid w:val="00441D9D"/>
    <w:rsid w:val="00441E0B"/>
    <w:rsid w:val="0044203C"/>
    <w:rsid w:val="00442147"/>
    <w:rsid w:val="0044275B"/>
    <w:rsid w:val="004428DF"/>
    <w:rsid w:val="004429C7"/>
    <w:rsid w:val="00442A52"/>
    <w:rsid w:val="00442CEC"/>
    <w:rsid w:val="0044329A"/>
    <w:rsid w:val="00443730"/>
    <w:rsid w:val="004438DD"/>
    <w:rsid w:val="004438EA"/>
    <w:rsid w:val="004439B7"/>
    <w:rsid w:val="004439D9"/>
    <w:rsid w:val="00443B4F"/>
    <w:rsid w:val="00443F68"/>
    <w:rsid w:val="00444388"/>
    <w:rsid w:val="004443A2"/>
    <w:rsid w:val="004445AF"/>
    <w:rsid w:val="0044499A"/>
    <w:rsid w:val="00444AD3"/>
    <w:rsid w:val="00444B0C"/>
    <w:rsid w:val="00444EAD"/>
    <w:rsid w:val="00445887"/>
    <w:rsid w:val="00445EAD"/>
    <w:rsid w:val="00445ECF"/>
    <w:rsid w:val="00445F67"/>
    <w:rsid w:val="004463E0"/>
    <w:rsid w:val="00446601"/>
    <w:rsid w:val="0044663D"/>
    <w:rsid w:val="004466F7"/>
    <w:rsid w:val="004467E6"/>
    <w:rsid w:val="004468FB"/>
    <w:rsid w:val="004469DF"/>
    <w:rsid w:val="00446B29"/>
    <w:rsid w:val="00446C49"/>
    <w:rsid w:val="00446D48"/>
    <w:rsid w:val="00446E4A"/>
    <w:rsid w:val="00446E69"/>
    <w:rsid w:val="00446F7D"/>
    <w:rsid w:val="004473C0"/>
    <w:rsid w:val="00447435"/>
    <w:rsid w:val="0044743F"/>
    <w:rsid w:val="004474E6"/>
    <w:rsid w:val="00447725"/>
    <w:rsid w:val="0044779E"/>
    <w:rsid w:val="00447A99"/>
    <w:rsid w:val="00447D29"/>
    <w:rsid w:val="00447F9B"/>
    <w:rsid w:val="004502E2"/>
    <w:rsid w:val="004507CF"/>
    <w:rsid w:val="004509DD"/>
    <w:rsid w:val="00450DDB"/>
    <w:rsid w:val="00451074"/>
    <w:rsid w:val="0045109D"/>
    <w:rsid w:val="0045123C"/>
    <w:rsid w:val="0045128A"/>
    <w:rsid w:val="004512C8"/>
    <w:rsid w:val="00451475"/>
    <w:rsid w:val="004514A6"/>
    <w:rsid w:val="0045185D"/>
    <w:rsid w:val="00451A75"/>
    <w:rsid w:val="00451C36"/>
    <w:rsid w:val="00451D2D"/>
    <w:rsid w:val="00451E20"/>
    <w:rsid w:val="00452080"/>
    <w:rsid w:val="0045222C"/>
    <w:rsid w:val="004522B9"/>
    <w:rsid w:val="00452406"/>
    <w:rsid w:val="0045252C"/>
    <w:rsid w:val="0045269C"/>
    <w:rsid w:val="004527D2"/>
    <w:rsid w:val="00452AD5"/>
    <w:rsid w:val="00452B79"/>
    <w:rsid w:val="00452BC1"/>
    <w:rsid w:val="00452DBB"/>
    <w:rsid w:val="004532EF"/>
    <w:rsid w:val="00453552"/>
    <w:rsid w:val="00453574"/>
    <w:rsid w:val="004536B9"/>
    <w:rsid w:val="004536EE"/>
    <w:rsid w:val="00453CDE"/>
    <w:rsid w:val="00453DFB"/>
    <w:rsid w:val="0045465D"/>
    <w:rsid w:val="00454669"/>
    <w:rsid w:val="004546E3"/>
    <w:rsid w:val="00454799"/>
    <w:rsid w:val="00454D66"/>
    <w:rsid w:val="00454EE4"/>
    <w:rsid w:val="00455383"/>
    <w:rsid w:val="004553B5"/>
    <w:rsid w:val="00455602"/>
    <w:rsid w:val="00455AED"/>
    <w:rsid w:val="00455E3C"/>
    <w:rsid w:val="00456B9C"/>
    <w:rsid w:val="00456C38"/>
    <w:rsid w:val="00456E71"/>
    <w:rsid w:val="00456F1F"/>
    <w:rsid w:val="00456F42"/>
    <w:rsid w:val="00457181"/>
    <w:rsid w:val="00457186"/>
    <w:rsid w:val="00457187"/>
    <w:rsid w:val="004571CE"/>
    <w:rsid w:val="004573ED"/>
    <w:rsid w:val="004574D3"/>
    <w:rsid w:val="00457535"/>
    <w:rsid w:val="0045761B"/>
    <w:rsid w:val="0045778C"/>
    <w:rsid w:val="0045791C"/>
    <w:rsid w:val="00457C5B"/>
    <w:rsid w:val="00457E75"/>
    <w:rsid w:val="00457FB5"/>
    <w:rsid w:val="00460119"/>
    <w:rsid w:val="00460124"/>
    <w:rsid w:val="0046022F"/>
    <w:rsid w:val="00460318"/>
    <w:rsid w:val="004603D6"/>
    <w:rsid w:val="0046068E"/>
    <w:rsid w:val="004607D5"/>
    <w:rsid w:val="00460849"/>
    <w:rsid w:val="00460A23"/>
    <w:rsid w:val="00460B27"/>
    <w:rsid w:val="00460C70"/>
    <w:rsid w:val="00460DF5"/>
    <w:rsid w:val="0046122E"/>
    <w:rsid w:val="0046130A"/>
    <w:rsid w:val="004613E9"/>
    <w:rsid w:val="00461A65"/>
    <w:rsid w:val="00461B32"/>
    <w:rsid w:val="00461ECD"/>
    <w:rsid w:val="00461F30"/>
    <w:rsid w:val="0046206C"/>
    <w:rsid w:val="004620AA"/>
    <w:rsid w:val="004625B0"/>
    <w:rsid w:val="00462C6B"/>
    <w:rsid w:val="00462F3B"/>
    <w:rsid w:val="004632C8"/>
    <w:rsid w:val="004633AF"/>
    <w:rsid w:val="004633B4"/>
    <w:rsid w:val="00463977"/>
    <w:rsid w:val="00463A00"/>
    <w:rsid w:val="00463AA0"/>
    <w:rsid w:val="00463D77"/>
    <w:rsid w:val="00463E3E"/>
    <w:rsid w:val="0046408E"/>
    <w:rsid w:val="004641A6"/>
    <w:rsid w:val="00464235"/>
    <w:rsid w:val="00464285"/>
    <w:rsid w:val="0046447D"/>
    <w:rsid w:val="00464732"/>
    <w:rsid w:val="00464845"/>
    <w:rsid w:val="0046486F"/>
    <w:rsid w:val="00464A94"/>
    <w:rsid w:val="00464AE3"/>
    <w:rsid w:val="00464C90"/>
    <w:rsid w:val="00464E15"/>
    <w:rsid w:val="00464E72"/>
    <w:rsid w:val="00464F04"/>
    <w:rsid w:val="00464F76"/>
    <w:rsid w:val="004650FE"/>
    <w:rsid w:val="0046511B"/>
    <w:rsid w:val="00465258"/>
    <w:rsid w:val="00465326"/>
    <w:rsid w:val="00465865"/>
    <w:rsid w:val="00466188"/>
    <w:rsid w:val="004661CB"/>
    <w:rsid w:val="004664BA"/>
    <w:rsid w:val="004666A6"/>
    <w:rsid w:val="004669C5"/>
    <w:rsid w:val="00466D09"/>
    <w:rsid w:val="004674A8"/>
    <w:rsid w:val="004674AF"/>
    <w:rsid w:val="00467605"/>
    <w:rsid w:val="00467739"/>
    <w:rsid w:val="00467862"/>
    <w:rsid w:val="004679EA"/>
    <w:rsid w:val="00467B77"/>
    <w:rsid w:val="00467C2B"/>
    <w:rsid w:val="00467D83"/>
    <w:rsid w:val="00467F6C"/>
    <w:rsid w:val="00470067"/>
    <w:rsid w:val="004701EC"/>
    <w:rsid w:val="004702E5"/>
    <w:rsid w:val="004706B2"/>
    <w:rsid w:val="00470817"/>
    <w:rsid w:val="00470A5A"/>
    <w:rsid w:val="00471094"/>
    <w:rsid w:val="00471110"/>
    <w:rsid w:val="004712EE"/>
    <w:rsid w:val="004716BB"/>
    <w:rsid w:val="00471746"/>
    <w:rsid w:val="004720D4"/>
    <w:rsid w:val="004722BF"/>
    <w:rsid w:val="0047278E"/>
    <w:rsid w:val="00472797"/>
    <w:rsid w:val="004728CD"/>
    <w:rsid w:val="00472981"/>
    <w:rsid w:val="00472CEF"/>
    <w:rsid w:val="00472FA6"/>
    <w:rsid w:val="0047328E"/>
    <w:rsid w:val="00473839"/>
    <w:rsid w:val="00473956"/>
    <w:rsid w:val="004739BA"/>
    <w:rsid w:val="00473A6E"/>
    <w:rsid w:val="00473C74"/>
    <w:rsid w:val="00474181"/>
    <w:rsid w:val="00474182"/>
    <w:rsid w:val="00474196"/>
    <w:rsid w:val="0047461B"/>
    <w:rsid w:val="00474715"/>
    <w:rsid w:val="00474802"/>
    <w:rsid w:val="00474A4E"/>
    <w:rsid w:val="00474EB7"/>
    <w:rsid w:val="00474F9B"/>
    <w:rsid w:val="0047505B"/>
    <w:rsid w:val="004752A3"/>
    <w:rsid w:val="004752AF"/>
    <w:rsid w:val="0047553E"/>
    <w:rsid w:val="004756F6"/>
    <w:rsid w:val="00475C34"/>
    <w:rsid w:val="00475D38"/>
    <w:rsid w:val="00475E52"/>
    <w:rsid w:val="00475EA8"/>
    <w:rsid w:val="00475FC4"/>
    <w:rsid w:val="00476184"/>
    <w:rsid w:val="004761FC"/>
    <w:rsid w:val="00476370"/>
    <w:rsid w:val="00476509"/>
    <w:rsid w:val="0047689D"/>
    <w:rsid w:val="00476BC7"/>
    <w:rsid w:val="00476F8E"/>
    <w:rsid w:val="00476F97"/>
    <w:rsid w:val="004770A8"/>
    <w:rsid w:val="004770AF"/>
    <w:rsid w:val="00477294"/>
    <w:rsid w:val="004772C5"/>
    <w:rsid w:val="00477475"/>
    <w:rsid w:val="004776D2"/>
    <w:rsid w:val="00477721"/>
    <w:rsid w:val="00477D2A"/>
    <w:rsid w:val="0048045E"/>
    <w:rsid w:val="00480519"/>
    <w:rsid w:val="0048053F"/>
    <w:rsid w:val="0048078D"/>
    <w:rsid w:val="004808EB"/>
    <w:rsid w:val="00480917"/>
    <w:rsid w:val="00480AA1"/>
    <w:rsid w:val="00480D0E"/>
    <w:rsid w:val="00480D77"/>
    <w:rsid w:val="00480E37"/>
    <w:rsid w:val="00480E77"/>
    <w:rsid w:val="00480E9C"/>
    <w:rsid w:val="00480F95"/>
    <w:rsid w:val="00481176"/>
    <w:rsid w:val="0048135F"/>
    <w:rsid w:val="0048178C"/>
    <w:rsid w:val="004818C8"/>
    <w:rsid w:val="004819FC"/>
    <w:rsid w:val="00481E15"/>
    <w:rsid w:val="00481F2E"/>
    <w:rsid w:val="00481F41"/>
    <w:rsid w:val="00481F5B"/>
    <w:rsid w:val="0048247C"/>
    <w:rsid w:val="00482607"/>
    <w:rsid w:val="004829D9"/>
    <w:rsid w:val="004829E5"/>
    <w:rsid w:val="00483094"/>
    <w:rsid w:val="004830C6"/>
    <w:rsid w:val="0048352B"/>
    <w:rsid w:val="0048366D"/>
    <w:rsid w:val="00483856"/>
    <w:rsid w:val="004839C2"/>
    <w:rsid w:val="00484678"/>
    <w:rsid w:val="004847A5"/>
    <w:rsid w:val="00484894"/>
    <w:rsid w:val="00484B9E"/>
    <w:rsid w:val="004851FF"/>
    <w:rsid w:val="00485290"/>
    <w:rsid w:val="004857AD"/>
    <w:rsid w:val="004857F8"/>
    <w:rsid w:val="0048594A"/>
    <w:rsid w:val="00485952"/>
    <w:rsid w:val="00485CA2"/>
    <w:rsid w:val="00485DB6"/>
    <w:rsid w:val="00486064"/>
    <w:rsid w:val="00486085"/>
    <w:rsid w:val="004860A0"/>
    <w:rsid w:val="00486727"/>
    <w:rsid w:val="00486808"/>
    <w:rsid w:val="004868C8"/>
    <w:rsid w:val="004869D3"/>
    <w:rsid w:val="00486A10"/>
    <w:rsid w:val="00486C89"/>
    <w:rsid w:val="00486D23"/>
    <w:rsid w:val="004871D8"/>
    <w:rsid w:val="004875EF"/>
    <w:rsid w:val="0048780F"/>
    <w:rsid w:val="00487AB9"/>
    <w:rsid w:val="00487B1D"/>
    <w:rsid w:val="00487C0B"/>
    <w:rsid w:val="00487DBD"/>
    <w:rsid w:val="00490018"/>
    <w:rsid w:val="00490595"/>
    <w:rsid w:val="0049061F"/>
    <w:rsid w:val="004909B8"/>
    <w:rsid w:val="004909E2"/>
    <w:rsid w:val="00490CC0"/>
    <w:rsid w:val="00490F30"/>
    <w:rsid w:val="00490F44"/>
    <w:rsid w:val="00491198"/>
    <w:rsid w:val="004911DC"/>
    <w:rsid w:val="00491438"/>
    <w:rsid w:val="00491489"/>
    <w:rsid w:val="00491543"/>
    <w:rsid w:val="00491816"/>
    <w:rsid w:val="0049189F"/>
    <w:rsid w:val="00491CAB"/>
    <w:rsid w:val="00491D6B"/>
    <w:rsid w:val="00491E5B"/>
    <w:rsid w:val="00491EBC"/>
    <w:rsid w:val="004922D1"/>
    <w:rsid w:val="004927C3"/>
    <w:rsid w:val="00492BC6"/>
    <w:rsid w:val="00493118"/>
    <w:rsid w:val="00493394"/>
    <w:rsid w:val="0049388E"/>
    <w:rsid w:val="004939FC"/>
    <w:rsid w:val="00493CFA"/>
    <w:rsid w:val="004942AF"/>
    <w:rsid w:val="00494351"/>
    <w:rsid w:val="00494623"/>
    <w:rsid w:val="00494700"/>
    <w:rsid w:val="004948E6"/>
    <w:rsid w:val="00494AA8"/>
    <w:rsid w:val="00494D41"/>
    <w:rsid w:val="00494D52"/>
    <w:rsid w:val="00494EE1"/>
    <w:rsid w:val="0049550F"/>
    <w:rsid w:val="0049565E"/>
    <w:rsid w:val="00495723"/>
    <w:rsid w:val="00495A40"/>
    <w:rsid w:val="00495CFE"/>
    <w:rsid w:val="00495D26"/>
    <w:rsid w:val="0049615C"/>
    <w:rsid w:val="00496217"/>
    <w:rsid w:val="0049621B"/>
    <w:rsid w:val="00496B3E"/>
    <w:rsid w:val="00496DA2"/>
    <w:rsid w:val="00496E7D"/>
    <w:rsid w:val="00497012"/>
    <w:rsid w:val="00497038"/>
    <w:rsid w:val="00497282"/>
    <w:rsid w:val="004976F1"/>
    <w:rsid w:val="00497701"/>
    <w:rsid w:val="00497749"/>
    <w:rsid w:val="00497821"/>
    <w:rsid w:val="00497824"/>
    <w:rsid w:val="00497889"/>
    <w:rsid w:val="00497A0B"/>
    <w:rsid w:val="00497AC2"/>
    <w:rsid w:val="00497B14"/>
    <w:rsid w:val="00497F0C"/>
    <w:rsid w:val="00497F2A"/>
    <w:rsid w:val="00497FB7"/>
    <w:rsid w:val="004A02FC"/>
    <w:rsid w:val="004A06DE"/>
    <w:rsid w:val="004A0859"/>
    <w:rsid w:val="004A0C87"/>
    <w:rsid w:val="004A0F41"/>
    <w:rsid w:val="004A0FA1"/>
    <w:rsid w:val="004A106C"/>
    <w:rsid w:val="004A120D"/>
    <w:rsid w:val="004A166E"/>
    <w:rsid w:val="004A1784"/>
    <w:rsid w:val="004A17FA"/>
    <w:rsid w:val="004A1CD2"/>
    <w:rsid w:val="004A1EFF"/>
    <w:rsid w:val="004A1F6B"/>
    <w:rsid w:val="004A2343"/>
    <w:rsid w:val="004A2612"/>
    <w:rsid w:val="004A2AF4"/>
    <w:rsid w:val="004A2C1E"/>
    <w:rsid w:val="004A2D46"/>
    <w:rsid w:val="004A2E48"/>
    <w:rsid w:val="004A326A"/>
    <w:rsid w:val="004A3512"/>
    <w:rsid w:val="004A3C85"/>
    <w:rsid w:val="004A436B"/>
    <w:rsid w:val="004A451F"/>
    <w:rsid w:val="004A465D"/>
    <w:rsid w:val="004A46D0"/>
    <w:rsid w:val="004A4EE4"/>
    <w:rsid w:val="004A511B"/>
    <w:rsid w:val="004A5304"/>
    <w:rsid w:val="004A55A2"/>
    <w:rsid w:val="004A55D9"/>
    <w:rsid w:val="004A58BB"/>
    <w:rsid w:val="004A59A3"/>
    <w:rsid w:val="004A59C2"/>
    <w:rsid w:val="004A5C24"/>
    <w:rsid w:val="004A5EA7"/>
    <w:rsid w:val="004A6007"/>
    <w:rsid w:val="004A6083"/>
    <w:rsid w:val="004A6208"/>
    <w:rsid w:val="004A64D0"/>
    <w:rsid w:val="004A66F4"/>
    <w:rsid w:val="004A67B3"/>
    <w:rsid w:val="004A689D"/>
    <w:rsid w:val="004A691D"/>
    <w:rsid w:val="004A6AFB"/>
    <w:rsid w:val="004A6BE0"/>
    <w:rsid w:val="004A6E04"/>
    <w:rsid w:val="004A6EB3"/>
    <w:rsid w:val="004A70FC"/>
    <w:rsid w:val="004A7628"/>
    <w:rsid w:val="004A77F5"/>
    <w:rsid w:val="004A78B6"/>
    <w:rsid w:val="004A7C0E"/>
    <w:rsid w:val="004B0043"/>
    <w:rsid w:val="004B028E"/>
    <w:rsid w:val="004B07A6"/>
    <w:rsid w:val="004B0953"/>
    <w:rsid w:val="004B0B52"/>
    <w:rsid w:val="004B0BE7"/>
    <w:rsid w:val="004B13C2"/>
    <w:rsid w:val="004B169B"/>
    <w:rsid w:val="004B198C"/>
    <w:rsid w:val="004B1A0A"/>
    <w:rsid w:val="004B1A46"/>
    <w:rsid w:val="004B1B6E"/>
    <w:rsid w:val="004B1CF8"/>
    <w:rsid w:val="004B1D98"/>
    <w:rsid w:val="004B209F"/>
    <w:rsid w:val="004B20F7"/>
    <w:rsid w:val="004B2299"/>
    <w:rsid w:val="004B23BE"/>
    <w:rsid w:val="004B2695"/>
    <w:rsid w:val="004B2833"/>
    <w:rsid w:val="004B2899"/>
    <w:rsid w:val="004B2A5A"/>
    <w:rsid w:val="004B2AD3"/>
    <w:rsid w:val="004B2C56"/>
    <w:rsid w:val="004B2C88"/>
    <w:rsid w:val="004B2D7E"/>
    <w:rsid w:val="004B2DD4"/>
    <w:rsid w:val="004B3073"/>
    <w:rsid w:val="004B30A5"/>
    <w:rsid w:val="004B32E9"/>
    <w:rsid w:val="004B34CE"/>
    <w:rsid w:val="004B36AE"/>
    <w:rsid w:val="004B380F"/>
    <w:rsid w:val="004B390E"/>
    <w:rsid w:val="004B3977"/>
    <w:rsid w:val="004B3C0C"/>
    <w:rsid w:val="004B3C6B"/>
    <w:rsid w:val="004B3ECB"/>
    <w:rsid w:val="004B4420"/>
    <w:rsid w:val="004B464F"/>
    <w:rsid w:val="004B47A0"/>
    <w:rsid w:val="004B4CF2"/>
    <w:rsid w:val="004B5134"/>
    <w:rsid w:val="004B51CC"/>
    <w:rsid w:val="004B5203"/>
    <w:rsid w:val="004B528B"/>
    <w:rsid w:val="004B542E"/>
    <w:rsid w:val="004B5492"/>
    <w:rsid w:val="004B54C9"/>
    <w:rsid w:val="004B5540"/>
    <w:rsid w:val="004B588D"/>
    <w:rsid w:val="004B5A09"/>
    <w:rsid w:val="004B5F9A"/>
    <w:rsid w:val="004B603C"/>
    <w:rsid w:val="004B62A5"/>
    <w:rsid w:val="004B638A"/>
    <w:rsid w:val="004B65F4"/>
    <w:rsid w:val="004B698E"/>
    <w:rsid w:val="004B6A20"/>
    <w:rsid w:val="004B70EF"/>
    <w:rsid w:val="004B716B"/>
    <w:rsid w:val="004B75E8"/>
    <w:rsid w:val="004B7681"/>
    <w:rsid w:val="004B76C8"/>
    <w:rsid w:val="004B7758"/>
    <w:rsid w:val="004B7B1E"/>
    <w:rsid w:val="004B7E08"/>
    <w:rsid w:val="004C05D7"/>
    <w:rsid w:val="004C0803"/>
    <w:rsid w:val="004C087E"/>
    <w:rsid w:val="004C08B8"/>
    <w:rsid w:val="004C08F9"/>
    <w:rsid w:val="004C0AE8"/>
    <w:rsid w:val="004C0AF1"/>
    <w:rsid w:val="004C0BC0"/>
    <w:rsid w:val="004C0F0F"/>
    <w:rsid w:val="004C1177"/>
    <w:rsid w:val="004C121C"/>
    <w:rsid w:val="004C1441"/>
    <w:rsid w:val="004C14A8"/>
    <w:rsid w:val="004C1579"/>
    <w:rsid w:val="004C1A67"/>
    <w:rsid w:val="004C1C30"/>
    <w:rsid w:val="004C1EBB"/>
    <w:rsid w:val="004C1FDC"/>
    <w:rsid w:val="004C201F"/>
    <w:rsid w:val="004C2178"/>
    <w:rsid w:val="004C2293"/>
    <w:rsid w:val="004C26BD"/>
    <w:rsid w:val="004C27FE"/>
    <w:rsid w:val="004C289B"/>
    <w:rsid w:val="004C296B"/>
    <w:rsid w:val="004C300A"/>
    <w:rsid w:val="004C31DF"/>
    <w:rsid w:val="004C321C"/>
    <w:rsid w:val="004C3236"/>
    <w:rsid w:val="004C350A"/>
    <w:rsid w:val="004C35E4"/>
    <w:rsid w:val="004C37A3"/>
    <w:rsid w:val="004C37DB"/>
    <w:rsid w:val="004C3845"/>
    <w:rsid w:val="004C3EF4"/>
    <w:rsid w:val="004C479C"/>
    <w:rsid w:val="004C4A17"/>
    <w:rsid w:val="004C4AC4"/>
    <w:rsid w:val="004C4BB4"/>
    <w:rsid w:val="004C4C8F"/>
    <w:rsid w:val="004C4E4A"/>
    <w:rsid w:val="004C509F"/>
    <w:rsid w:val="004C51C6"/>
    <w:rsid w:val="004C5323"/>
    <w:rsid w:val="004C53F6"/>
    <w:rsid w:val="004C55AE"/>
    <w:rsid w:val="004C55DA"/>
    <w:rsid w:val="004C57D9"/>
    <w:rsid w:val="004C5896"/>
    <w:rsid w:val="004C5975"/>
    <w:rsid w:val="004C59DA"/>
    <w:rsid w:val="004C59E3"/>
    <w:rsid w:val="004C5D63"/>
    <w:rsid w:val="004C60B1"/>
    <w:rsid w:val="004C6580"/>
    <w:rsid w:val="004C674D"/>
    <w:rsid w:val="004C69AC"/>
    <w:rsid w:val="004C6A38"/>
    <w:rsid w:val="004C6BEC"/>
    <w:rsid w:val="004C6FCF"/>
    <w:rsid w:val="004C72B6"/>
    <w:rsid w:val="004C7365"/>
    <w:rsid w:val="004C738D"/>
    <w:rsid w:val="004C74E5"/>
    <w:rsid w:val="004C759A"/>
    <w:rsid w:val="004C75F5"/>
    <w:rsid w:val="004C76E3"/>
    <w:rsid w:val="004C7BAD"/>
    <w:rsid w:val="004C7D90"/>
    <w:rsid w:val="004D0077"/>
    <w:rsid w:val="004D00E3"/>
    <w:rsid w:val="004D024A"/>
    <w:rsid w:val="004D0367"/>
    <w:rsid w:val="004D0422"/>
    <w:rsid w:val="004D050D"/>
    <w:rsid w:val="004D0517"/>
    <w:rsid w:val="004D0640"/>
    <w:rsid w:val="004D08E4"/>
    <w:rsid w:val="004D0EAA"/>
    <w:rsid w:val="004D13DE"/>
    <w:rsid w:val="004D145D"/>
    <w:rsid w:val="004D158D"/>
    <w:rsid w:val="004D1793"/>
    <w:rsid w:val="004D17EA"/>
    <w:rsid w:val="004D18CC"/>
    <w:rsid w:val="004D1BE4"/>
    <w:rsid w:val="004D1CA7"/>
    <w:rsid w:val="004D2189"/>
    <w:rsid w:val="004D2240"/>
    <w:rsid w:val="004D25D9"/>
    <w:rsid w:val="004D260F"/>
    <w:rsid w:val="004D282E"/>
    <w:rsid w:val="004D2A65"/>
    <w:rsid w:val="004D2F68"/>
    <w:rsid w:val="004D2FF2"/>
    <w:rsid w:val="004D338C"/>
    <w:rsid w:val="004D34AB"/>
    <w:rsid w:val="004D3615"/>
    <w:rsid w:val="004D37A1"/>
    <w:rsid w:val="004D37C7"/>
    <w:rsid w:val="004D39C2"/>
    <w:rsid w:val="004D3B7E"/>
    <w:rsid w:val="004D3D36"/>
    <w:rsid w:val="004D3FCC"/>
    <w:rsid w:val="004D4421"/>
    <w:rsid w:val="004D442E"/>
    <w:rsid w:val="004D484F"/>
    <w:rsid w:val="004D486E"/>
    <w:rsid w:val="004D4871"/>
    <w:rsid w:val="004D4BC6"/>
    <w:rsid w:val="004D4E42"/>
    <w:rsid w:val="004D4E50"/>
    <w:rsid w:val="004D5D17"/>
    <w:rsid w:val="004D5E05"/>
    <w:rsid w:val="004D5F75"/>
    <w:rsid w:val="004D6028"/>
    <w:rsid w:val="004D6682"/>
    <w:rsid w:val="004D6798"/>
    <w:rsid w:val="004D6799"/>
    <w:rsid w:val="004D6A1F"/>
    <w:rsid w:val="004D6A4C"/>
    <w:rsid w:val="004D6AAB"/>
    <w:rsid w:val="004D6F6C"/>
    <w:rsid w:val="004D722B"/>
    <w:rsid w:val="004D726B"/>
    <w:rsid w:val="004D7627"/>
    <w:rsid w:val="004D76E5"/>
    <w:rsid w:val="004D795F"/>
    <w:rsid w:val="004D79DE"/>
    <w:rsid w:val="004D7B31"/>
    <w:rsid w:val="004D7CA2"/>
    <w:rsid w:val="004D7CD6"/>
    <w:rsid w:val="004E01E4"/>
    <w:rsid w:val="004E04AA"/>
    <w:rsid w:val="004E0633"/>
    <w:rsid w:val="004E072B"/>
    <w:rsid w:val="004E0B3D"/>
    <w:rsid w:val="004E0DF7"/>
    <w:rsid w:val="004E0EB7"/>
    <w:rsid w:val="004E0FB0"/>
    <w:rsid w:val="004E0FEF"/>
    <w:rsid w:val="004E10C6"/>
    <w:rsid w:val="004E11D2"/>
    <w:rsid w:val="004E1559"/>
    <w:rsid w:val="004E1586"/>
    <w:rsid w:val="004E15C0"/>
    <w:rsid w:val="004E161A"/>
    <w:rsid w:val="004E1637"/>
    <w:rsid w:val="004E1663"/>
    <w:rsid w:val="004E16DD"/>
    <w:rsid w:val="004E1926"/>
    <w:rsid w:val="004E1B4A"/>
    <w:rsid w:val="004E1D43"/>
    <w:rsid w:val="004E1DF2"/>
    <w:rsid w:val="004E217E"/>
    <w:rsid w:val="004E2189"/>
    <w:rsid w:val="004E2753"/>
    <w:rsid w:val="004E27D7"/>
    <w:rsid w:val="004E29BD"/>
    <w:rsid w:val="004E2A73"/>
    <w:rsid w:val="004E30CA"/>
    <w:rsid w:val="004E31F3"/>
    <w:rsid w:val="004E324A"/>
    <w:rsid w:val="004E337A"/>
    <w:rsid w:val="004E33E5"/>
    <w:rsid w:val="004E3671"/>
    <w:rsid w:val="004E36F6"/>
    <w:rsid w:val="004E3ABA"/>
    <w:rsid w:val="004E3B6F"/>
    <w:rsid w:val="004E3B7C"/>
    <w:rsid w:val="004E3DAB"/>
    <w:rsid w:val="004E44C3"/>
    <w:rsid w:val="004E45F8"/>
    <w:rsid w:val="004E46DB"/>
    <w:rsid w:val="004E491F"/>
    <w:rsid w:val="004E4C52"/>
    <w:rsid w:val="004E4EA5"/>
    <w:rsid w:val="004E5026"/>
    <w:rsid w:val="004E509C"/>
    <w:rsid w:val="004E5289"/>
    <w:rsid w:val="004E5383"/>
    <w:rsid w:val="004E53ED"/>
    <w:rsid w:val="004E542C"/>
    <w:rsid w:val="004E5727"/>
    <w:rsid w:val="004E5AC6"/>
    <w:rsid w:val="004E5ADB"/>
    <w:rsid w:val="004E5CB5"/>
    <w:rsid w:val="004E5F6A"/>
    <w:rsid w:val="004E6130"/>
    <w:rsid w:val="004E6246"/>
    <w:rsid w:val="004E625C"/>
    <w:rsid w:val="004E6424"/>
    <w:rsid w:val="004E6482"/>
    <w:rsid w:val="004E65F5"/>
    <w:rsid w:val="004E66DA"/>
    <w:rsid w:val="004E6733"/>
    <w:rsid w:val="004E6863"/>
    <w:rsid w:val="004E6A8B"/>
    <w:rsid w:val="004E6B99"/>
    <w:rsid w:val="004E6C76"/>
    <w:rsid w:val="004E6DEF"/>
    <w:rsid w:val="004E7446"/>
    <w:rsid w:val="004E798D"/>
    <w:rsid w:val="004E79B2"/>
    <w:rsid w:val="004E7EFC"/>
    <w:rsid w:val="004E7F56"/>
    <w:rsid w:val="004E7F86"/>
    <w:rsid w:val="004F036E"/>
    <w:rsid w:val="004F0747"/>
    <w:rsid w:val="004F0908"/>
    <w:rsid w:val="004F0993"/>
    <w:rsid w:val="004F0A3B"/>
    <w:rsid w:val="004F0C5B"/>
    <w:rsid w:val="004F0E4B"/>
    <w:rsid w:val="004F0EC0"/>
    <w:rsid w:val="004F0FE6"/>
    <w:rsid w:val="004F0FFD"/>
    <w:rsid w:val="004F10BD"/>
    <w:rsid w:val="004F11E0"/>
    <w:rsid w:val="004F14CF"/>
    <w:rsid w:val="004F16DA"/>
    <w:rsid w:val="004F18B0"/>
    <w:rsid w:val="004F1CD3"/>
    <w:rsid w:val="004F1D05"/>
    <w:rsid w:val="004F1E57"/>
    <w:rsid w:val="004F211C"/>
    <w:rsid w:val="004F267A"/>
    <w:rsid w:val="004F2777"/>
    <w:rsid w:val="004F2AF4"/>
    <w:rsid w:val="004F2BB1"/>
    <w:rsid w:val="004F3243"/>
    <w:rsid w:val="004F335E"/>
    <w:rsid w:val="004F3431"/>
    <w:rsid w:val="004F36DB"/>
    <w:rsid w:val="004F39C6"/>
    <w:rsid w:val="004F39F5"/>
    <w:rsid w:val="004F41A7"/>
    <w:rsid w:val="004F4342"/>
    <w:rsid w:val="004F442B"/>
    <w:rsid w:val="004F4CD0"/>
    <w:rsid w:val="004F561F"/>
    <w:rsid w:val="004F57B1"/>
    <w:rsid w:val="004F5BAD"/>
    <w:rsid w:val="004F5C33"/>
    <w:rsid w:val="004F5C56"/>
    <w:rsid w:val="004F5D5F"/>
    <w:rsid w:val="004F5D70"/>
    <w:rsid w:val="004F5F4E"/>
    <w:rsid w:val="004F607D"/>
    <w:rsid w:val="004F610E"/>
    <w:rsid w:val="004F65D8"/>
    <w:rsid w:val="004F68AE"/>
    <w:rsid w:val="004F70CB"/>
    <w:rsid w:val="004F74FD"/>
    <w:rsid w:val="004F75D9"/>
    <w:rsid w:val="004F76A5"/>
    <w:rsid w:val="004F7937"/>
    <w:rsid w:val="004F7AF0"/>
    <w:rsid w:val="004F7D6D"/>
    <w:rsid w:val="004F7DAF"/>
    <w:rsid w:val="004F7E6F"/>
    <w:rsid w:val="004F7EEB"/>
    <w:rsid w:val="004F7F36"/>
    <w:rsid w:val="004F7FAC"/>
    <w:rsid w:val="0050000F"/>
    <w:rsid w:val="00500E89"/>
    <w:rsid w:val="00500E94"/>
    <w:rsid w:val="0050101F"/>
    <w:rsid w:val="005010EF"/>
    <w:rsid w:val="00501482"/>
    <w:rsid w:val="005014DE"/>
    <w:rsid w:val="0050151B"/>
    <w:rsid w:val="0050194B"/>
    <w:rsid w:val="00501ACD"/>
    <w:rsid w:val="00501BEF"/>
    <w:rsid w:val="00501D14"/>
    <w:rsid w:val="00501E42"/>
    <w:rsid w:val="00501E5E"/>
    <w:rsid w:val="005023EA"/>
    <w:rsid w:val="0050249B"/>
    <w:rsid w:val="0050250D"/>
    <w:rsid w:val="005025F6"/>
    <w:rsid w:val="005025FB"/>
    <w:rsid w:val="00502B8B"/>
    <w:rsid w:val="0050318D"/>
    <w:rsid w:val="005031AA"/>
    <w:rsid w:val="005034BE"/>
    <w:rsid w:val="005034DF"/>
    <w:rsid w:val="00503A8B"/>
    <w:rsid w:val="005040C2"/>
    <w:rsid w:val="00504687"/>
    <w:rsid w:val="00504781"/>
    <w:rsid w:val="005049ED"/>
    <w:rsid w:val="00504ECF"/>
    <w:rsid w:val="00504F5C"/>
    <w:rsid w:val="00505553"/>
    <w:rsid w:val="005056AB"/>
    <w:rsid w:val="005058BB"/>
    <w:rsid w:val="0050590F"/>
    <w:rsid w:val="00505A87"/>
    <w:rsid w:val="00505B89"/>
    <w:rsid w:val="00505F0B"/>
    <w:rsid w:val="00505FD1"/>
    <w:rsid w:val="00506175"/>
    <w:rsid w:val="00506182"/>
    <w:rsid w:val="005061A4"/>
    <w:rsid w:val="00506426"/>
    <w:rsid w:val="005064AE"/>
    <w:rsid w:val="005065BE"/>
    <w:rsid w:val="00506623"/>
    <w:rsid w:val="0050665E"/>
    <w:rsid w:val="0050684C"/>
    <w:rsid w:val="00506979"/>
    <w:rsid w:val="005077A7"/>
    <w:rsid w:val="005078EB"/>
    <w:rsid w:val="00507C2A"/>
    <w:rsid w:val="00507FB2"/>
    <w:rsid w:val="00510074"/>
    <w:rsid w:val="005100EA"/>
    <w:rsid w:val="0051013B"/>
    <w:rsid w:val="0051020F"/>
    <w:rsid w:val="00510355"/>
    <w:rsid w:val="005103FF"/>
    <w:rsid w:val="00510956"/>
    <w:rsid w:val="00510B92"/>
    <w:rsid w:val="00510C67"/>
    <w:rsid w:val="00510E17"/>
    <w:rsid w:val="0051128F"/>
    <w:rsid w:val="00511294"/>
    <w:rsid w:val="005112B7"/>
    <w:rsid w:val="005114A3"/>
    <w:rsid w:val="005116F3"/>
    <w:rsid w:val="00511C89"/>
    <w:rsid w:val="005120D7"/>
    <w:rsid w:val="00512411"/>
    <w:rsid w:val="00512413"/>
    <w:rsid w:val="00512475"/>
    <w:rsid w:val="005124C0"/>
    <w:rsid w:val="00512600"/>
    <w:rsid w:val="00512621"/>
    <w:rsid w:val="00512A96"/>
    <w:rsid w:val="00512B8A"/>
    <w:rsid w:val="00512B9A"/>
    <w:rsid w:val="00512C21"/>
    <w:rsid w:val="005130E6"/>
    <w:rsid w:val="00513396"/>
    <w:rsid w:val="005133A5"/>
    <w:rsid w:val="00513416"/>
    <w:rsid w:val="00513476"/>
    <w:rsid w:val="00513696"/>
    <w:rsid w:val="00513A03"/>
    <w:rsid w:val="00513A6A"/>
    <w:rsid w:val="00513C5E"/>
    <w:rsid w:val="00513C9A"/>
    <w:rsid w:val="00513D29"/>
    <w:rsid w:val="00513EB3"/>
    <w:rsid w:val="00513EF0"/>
    <w:rsid w:val="00514389"/>
    <w:rsid w:val="0051446F"/>
    <w:rsid w:val="00514654"/>
    <w:rsid w:val="00514A9A"/>
    <w:rsid w:val="00514BBD"/>
    <w:rsid w:val="00515100"/>
    <w:rsid w:val="00515436"/>
    <w:rsid w:val="0051558F"/>
    <w:rsid w:val="005155F0"/>
    <w:rsid w:val="00515794"/>
    <w:rsid w:val="00515B06"/>
    <w:rsid w:val="00515B0F"/>
    <w:rsid w:val="005164C3"/>
    <w:rsid w:val="005167DE"/>
    <w:rsid w:val="00516EBB"/>
    <w:rsid w:val="005170D4"/>
    <w:rsid w:val="005171CD"/>
    <w:rsid w:val="0051722A"/>
    <w:rsid w:val="005175D9"/>
    <w:rsid w:val="0051787D"/>
    <w:rsid w:val="00517A06"/>
    <w:rsid w:val="00517A80"/>
    <w:rsid w:val="00517C9E"/>
    <w:rsid w:val="00517CCC"/>
    <w:rsid w:val="00517D51"/>
    <w:rsid w:val="00517D8F"/>
    <w:rsid w:val="00520005"/>
    <w:rsid w:val="00520039"/>
    <w:rsid w:val="0052006E"/>
    <w:rsid w:val="005200F0"/>
    <w:rsid w:val="005204D0"/>
    <w:rsid w:val="005204DE"/>
    <w:rsid w:val="00520572"/>
    <w:rsid w:val="005205CD"/>
    <w:rsid w:val="00520638"/>
    <w:rsid w:val="005207CF"/>
    <w:rsid w:val="005208CA"/>
    <w:rsid w:val="00520A45"/>
    <w:rsid w:val="00520A73"/>
    <w:rsid w:val="00520CC9"/>
    <w:rsid w:val="00520E75"/>
    <w:rsid w:val="0052103E"/>
    <w:rsid w:val="005211AA"/>
    <w:rsid w:val="005212B1"/>
    <w:rsid w:val="005213D2"/>
    <w:rsid w:val="0052144D"/>
    <w:rsid w:val="00521516"/>
    <w:rsid w:val="00521F40"/>
    <w:rsid w:val="00521FD0"/>
    <w:rsid w:val="00522100"/>
    <w:rsid w:val="0052219B"/>
    <w:rsid w:val="0052220F"/>
    <w:rsid w:val="0052273D"/>
    <w:rsid w:val="00522A85"/>
    <w:rsid w:val="005236C1"/>
    <w:rsid w:val="005236F4"/>
    <w:rsid w:val="00523AA0"/>
    <w:rsid w:val="00523CF1"/>
    <w:rsid w:val="00523D83"/>
    <w:rsid w:val="00523E46"/>
    <w:rsid w:val="0052434B"/>
    <w:rsid w:val="00524458"/>
    <w:rsid w:val="005245C6"/>
    <w:rsid w:val="0052463C"/>
    <w:rsid w:val="00524C13"/>
    <w:rsid w:val="00524C61"/>
    <w:rsid w:val="00524CE2"/>
    <w:rsid w:val="00524D99"/>
    <w:rsid w:val="00524DA1"/>
    <w:rsid w:val="00525088"/>
    <w:rsid w:val="00525628"/>
    <w:rsid w:val="0052584C"/>
    <w:rsid w:val="00525891"/>
    <w:rsid w:val="00525BE0"/>
    <w:rsid w:val="00525E2C"/>
    <w:rsid w:val="00525E39"/>
    <w:rsid w:val="00525FAD"/>
    <w:rsid w:val="00526024"/>
    <w:rsid w:val="0052650D"/>
    <w:rsid w:val="005265C4"/>
    <w:rsid w:val="00526709"/>
    <w:rsid w:val="00526B52"/>
    <w:rsid w:val="00526BFC"/>
    <w:rsid w:val="00526DE8"/>
    <w:rsid w:val="00526DFA"/>
    <w:rsid w:val="00526DFD"/>
    <w:rsid w:val="00526E1D"/>
    <w:rsid w:val="00526F29"/>
    <w:rsid w:val="00526FB3"/>
    <w:rsid w:val="005272A8"/>
    <w:rsid w:val="0052732F"/>
    <w:rsid w:val="00527372"/>
    <w:rsid w:val="0052737C"/>
    <w:rsid w:val="00527467"/>
    <w:rsid w:val="005276FF"/>
    <w:rsid w:val="00527768"/>
    <w:rsid w:val="005277B1"/>
    <w:rsid w:val="00527BD5"/>
    <w:rsid w:val="00527E5E"/>
    <w:rsid w:val="005303A0"/>
    <w:rsid w:val="005305EA"/>
    <w:rsid w:val="00530727"/>
    <w:rsid w:val="00530EBD"/>
    <w:rsid w:val="0053139C"/>
    <w:rsid w:val="005315BE"/>
    <w:rsid w:val="0053161D"/>
    <w:rsid w:val="00531665"/>
    <w:rsid w:val="0053166A"/>
    <w:rsid w:val="005319FF"/>
    <w:rsid w:val="00531B0C"/>
    <w:rsid w:val="00531BC0"/>
    <w:rsid w:val="00531BE9"/>
    <w:rsid w:val="00531C48"/>
    <w:rsid w:val="0053213E"/>
    <w:rsid w:val="005323CF"/>
    <w:rsid w:val="0053245E"/>
    <w:rsid w:val="005324BE"/>
    <w:rsid w:val="005324F8"/>
    <w:rsid w:val="005326B2"/>
    <w:rsid w:val="0053288D"/>
    <w:rsid w:val="00532907"/>
    <w:rsid w:val="00532D1E"/>
    <w:rsid w:val="00532D42"/>
    <w:rsid w:val="005333A0"/>
    <w:rsid w:val="005336A8"/>
    <w:rsid w:val="00533733"/>
    <w:rsid w:val="005337E3"/>
    <w:rsid w:val="0053383B"/>
    <w:rsid w:val="0053391E"/>
    <w:rsid w:val="00533B94"/>
    <w:rsid w:val="00533DD6"/>
    <w:rsid w:val="00533E7E"/>
    <w:rsid w:val="00534237"/>
    <w:rsid w:val="0053427A"/>
    <w:rsid w:val="00534688"/>
    <w:rsid w:val="00534A8B"/>
    <w:rsid w:val="00534ADD"/>
    <w:rsid w:val="00534DA4"/>
    <w:rsid w:val="00534E08"/>
    <w:rsid w:val="00534E7A"/>
    <w:rsid w:val="00534EF8"/>
    <w:rsid w:val="00535257"/>
    <w:rsid w:val="00535472"/>
    <w:rsid w:val="005355AE"/>
    <w:rsid w:val="005357A8"/>
    <w:rsid w:val="005357DE"/>
    <w:rsid w:val="00535AFC"/>
    <w:rsid w:val="00535DF8"/>
    <w:rsid w:val="00535E5A"/>
    <w:rsid w:val="00535E84"/>
    <w:rsid w:val="00535EE9"/>
    <w:rsid w:val="00535F41"/>
    <w:rsid w:val="00535F8B"/>
    <w:rsid w:val="0053640C"/>
    <w:rsid w:val="0053651F"/>
    <w:rsid w:val="00536724"/>
    <w:rsid w:val="00536789"/>
    <w:rsid w:val="00536805"/>
    <w:rsid w:val="00536815"/>
    <w:rsid w:val="005368E9"/>
    <w:rsid w:val="00536920"/>
    <w:rsid w:val="00536964"/>
    <w:rsid w:val="00536A06"/>
    <w:rsid w:val="00536BFD"/>
    <w:rsid w:val="00536CA5"/>
    <w:rsid w:val="005370F7"/>
    <w:rsid w:val="005372AC"/>
    <w:rsid w:val="005373A2"/>
    <w:rsid w:val="0053753C"/>
    <w:rsid w:val="0053776E"/>
    <w:rsid w:val="00537A2B"/>
    <w:rsid w:val="00537A6B"/>
    <w:rsid w:val="00537C8A"/>
    <w:rsid w:val="00537DB2"/>
    <w:rsid w:val="0054000E"/>
    <w:rsid w:val="00540139"/>
    <w:rsid w:val="0054021C"/>
    <w:rsid w:val="005404FE"/>
    <w:rsid w:val="005405AD"/>
    <w:rsid w:val="00540627"/>
    <w:rsid w:val="00540632"/>
    <w:rsid w:val="00540768"/>
    <w:rsid w:val="00540773"/>
    <w:rsid w:val="005409EC"/>
    <w:rsid w:val="00540BFB"/>
    <w:rsid w:val="00540CC0"/>
    <w:rsid w:val="00540D0B"/>
    <w:rsid w:val="00541148"/>
    <w:rsid w:val="0054137E"/>
    <w:rsid w:val="005413FE"/>
    <w:rsid w:val="00541483"/>
    <w:rsid w:val="0054151B"/>
    <w:rsid w:val="005415E6"/>
    <w:rsid w:val="0054167F"/>
    <w:rsid w:val="0054169E"/>
    <w:rsid w:val="005417A0"/>
    <w:rsid w:val="00541B34"/>
    <w:rsid w:val="00542272"/>
    <w:rsid w:val="00542853"/>
    <w:rsid w:val="00542A31"/>
    <w:rsid w:val="00542C2D"/>
    <w:rsid w:val="00542F70"/>
    <w:rsid w:val="0054305E"/>
    <w:rsid w:val="005431BA"/>
    <w:rsid w:val="00543229"/>
    <w:rsid w:val="00543280"/>
    <w:rsid w:val="005432E3"/>
    <w:rsid w:val="00543395"/>
    <w:rsid w:val="005433A8"/>
    <w:rsid w:val="005434C3"/>
    <w:rsid w:val="0054393E"/>
    <w:rsid w:val="00543A67"/>
    <w:rsid w:val="00543BB3"/>
    <w:rsid w:val="00543BC7"/>
    <w:rsid w:val="00543EE4"/>
    <w:rsid w:val="00543F8B"/>
    <w:rsid w:val="00543FFA"/>
    <w:rsid w:val="005440AF"/>
    <w:rsid w:val="005440F8"/>
    <w:rsid w:val="005441EF"/>
    <w:rsid w:val="0054432B"/>
    <w:rsid w:val="005445C0"/>
    <w:rsid w:val="00544670"/>
    <w:rsid w:val="005446AC"/>
    <w:rsid w:val="00544895"/>
    <w:rsid w:val="005449F1"/>
    <w:rsid w:val="00544C31"/>
    <w:rsid w:val="00544CBC"/>
    <w:rsid w:val="00544E29"/>
    <w:rsid w:val="005454B3"/>
    <w:rsid w:val="005455A1"/>
    <w:rsid w:val="005456F3"/>
    <w:rsid w:val="0054577E"/>
    <w:rsid w:val="005459D3"/>
    <w:rsid w:val="00545C1E"/>
    <w:rsid w:val="00545D00"/>
    <w:rsid w:val="00545DC4"/>
    <w:rsid w:val="00545E62"/>
    <w:rsid w:val="00545E8B"/>
    <w:rsid w:val="005460B8"/>
    <w:rsid w:val="005460DE"/>
    <w:rsid w:val="00546452"/>
    <w:rsid w:val="005465DD"/>
    <w:rsid w:val="00546726"/>
    <w:rsid w:val="005468B4"/>
    <w:rsid w:val="005469DC"/>
    <w:rsid w:val="005477A8"/>
    <w:rsid w:val="00547955"/>
    <w:rsid w:val="00547B2C"/>
    <w:rsid w:val="00547BAC"/>
    <w:rsid w:val="00547DC8"/>
    <w:rsid w:val="005502D2"/>
    <w:rsid w:val="005502FC"/>
    <w:rsid w:val="00550352"/>
    <w:rsid w:val="00550781"/>
    <w:rsid w:val="00550A68"/>
    <w:rsid w:val="00550BDC"/>
    <w:rsid w:val="00550C11"/>
    <w:rsid w:val="00550DE5"/>
    <w:rsid w:val="00550DEE"/>
    <w:rsid w:val="00550F98"/>
    <w:rsid w:val="00550FAE"/>
    <w:rsid w:val="00550FBD"/>
    <w:rsid w:val="00551061"/>
    <w:rsid w:val="00551098"/>
    <w:rsid w:val="00551261"/>
    <w:rsid w:val="00551615"/>
    <w:rsid w:val="0055169D"/>
    <w:rsid w:val="005517EB"/>
    <w:rsid w:val="005518BD"/>
    <w:rsid w:val="00551C50"/>
    <w:rsid w:val="00551C74"/>
    <w:rsid w:val="00551CA4"/>
    <w:rsid w:val="00551CB4"/>
    <w:rsid w:val="00551D59"/>
    <w:rsid w:val="00551E83"/>
    <w:rsid w:val="00551E90"/>
    <w:rsid w:val="00552523"/>
    <w:rsid w:val="00552527"/>
    <w:rsid w:val="0055266C"/>
    <w:rsid w:val="00552900"/>
    <w:rsid w:val="00552A52"/>
    <w:rsid w:val="00552C4B"/>
    <w:rsid w:val="00552CE5"/>
    <w:rsid w:val="00552CE9"/>
    <w:rsid w:val="00552CF5"/>
    <w:rsid w:val="00552E67"/>
    <w:rsid w:val="005530FF"/>
    <w:rsid w:val="005531F1"/>
    <w:rsid w:val="0055388C"/>
    <w:rsid w:val="005538B5"/>
    <w:rsid w:val="005538BD"/>
    <w:rsid w:val="00553A88"/>
    <w:rsid w:val="00553DEE"/>
    <w:rsid w:val="005545C2"/>
    <w:rsid w:val="00554732"/>
    <w:rsid w:val="00554866"/>
    <w:rsid w:val="00554993"/>
    <w:rsid w:val="005551B8"/>
    <w:rsid w:val="005552B8"/>
    <w:rsid w:val="005553FC"/>
    <w:rsid w:val="005554E2"/>
    <w:rsid w:val="00555C37"/>
    <w:rsid w:val="00555C5E"/>
    <w:rsid w:val="00556019"/>
    <w:rsid w:val="00556044"/>
    <w:rsid w:val="005560A1"/>
    <w:rsid w:val="00556207"/>
    <w:rsid w:val="005563E2"/>
    <w:rsid w:val="005565F7"/>
    <w:rsid w:val="00556925"/>
    <w:rsid w:val="00556A42"/>
    <w:rsid w:val="0055784B"/>
    <w:rsid w:val="005579C0"/>
    <w:rsid w:val="00557A93"/>
    <w:rsid w:val="00557AF1"/>
    <w:rsid w:val="00557D7A"/>
    <w:rsid w:val="00557D7F"/>
    <w:rsid w:val="00557DAD"/>
    <w:rsid w:val="00557EE1"/>
    <w:rsid w:val="00557FE7"/>
    <w:rsid w:val="0056002D"/>
    <w:rsid w:val="0056004B"/>
    <w:rsid w:val="00560223"/>
    <w:rsid w:val="0056033D"/>
    <w:rsid w:val="0056057A"/>
    <w:rsid w:val="005605F6"/>
    <w:rsid w:val="00560728"/>
    <w:rsid w:val="005609AD"/>
    <w:rsid w:val="00560AE2"/>
    <w:rsid w:val="00560DDE"/>
    <w:rsid w:val="00561096"/>
    <w:rsid w:val="0056115D"/>
    <w:rsid w:val="005611DF"/>
    <w:rsid w:val="0056130E"/>
    <w:rsid w:val="005614AB"/>
    <w:rsid w:val="00561557"/>
    <w:rsid w:val="00561574"/>
    <w:rsid w:val="00561965"/>
    <w:rsid w:val="00561AFC"/>
    <w:rsid w:val="00561DC9"/>
    <w:rsid w:val="00562038"/>
    <w:rsid w:val="00562816"/>
    <w:rsid w:val="00562E2B"/>
    <w:rsid w:val="00563103"/>
    <w:rsid w:val="00563209"/>
    <w:rsid w:val="005635B5"/>
    <w:rsid w:val="005636E2"/>
    <w:rsid w:val="00563737"/>
    <w:rsid w:val="005638A5"/>
    <w:rsid w:val="005639A8"/>
    <w:rsid w:val="00563F39"/>
    <w:rsid w:val="0056415E"/>
    <w:rsid w:val="00564260"/>
    <w:rsid w:val="005645E6"/>
    <w:rsid w:val="0056505D"/>
    <w:rsid w:val="005652EC"/>
    <w:rsid w:val="00565581"/>
    <w:rsid w:val="0056572D"/>
    <w:rsid w:val="00565DDC"/>
    <w:rsid w:val="00565E34"/>
    <w:rsid w:val="00565E38"/>
    <w:rsid w:val="00566026"/>
    <w:rsid w:val="0056609A"/>
    <w:rsid w:val="005664B9"/>
    <w:rsid w:val="005665AA"/>
    <w:rsid w:val="00566C42"/>
    <w:rsid w:val="00566ED1"/>
    <w:rsid w:val="00567111"/>
    <w:rsid w:val="0056756A"/>
    <w:rsid w:val="005675E7"/>
    <w:rsid w:val="005678D2"/>
    <w:rsid w:val="005679DA"/>
    <w:rsid w:val="00567C29"/>
    <w:rsid w:val="00567C33"/>
    <w:rsid w:val="00567DA1"/>
    <w:rsid w:val="00567E7A"/>
    <w:rsid w:val="005700EA"/>
    <w:rsid w:val="00570196"/>
    <w:rsid w:val="00570432"/>
    <w:rsid w:val="00570478"/>
    <w:rsid w:val="00570701"/>
    <w:rsid w:val="00570849"/>
    <w:rsid w:val="00570B82"/>
    <w:rsid w:val="00570CB8"/>
    <w:rsid w:val="00570D0F"/>
    <w:rsid w:val="00570DBA"/>
    <w:rsid w:val="00571103"/>
    <w:rsid w:val="005711F3"/>
    <w:rsid w:val="0057156F"/>
    <w:rsid w:val="00571589"/>
    <w:rsid w:val="005715B1"/>
    <w:rsid w:val="0057186B"/>
    <w:rsid w:val="005719B3"/>
    <w:rsid w:val="005719D6"/>
    <w:rsid w:val="00571A95"/>
    <w:rsid w:val="00571BAD"/>
    <w:rsid w:val="0057210C"/>
    <w:rsid w:val="00572119"/>
    <w:rsid w:val="00572621"/>
    <w:rsid w:val="0057278B"/>
    <w:rsid w:val="0057278C"/>
    <w:rsid w:val="00572865"/>
    <w:rsid w:val="00572AE9"/>
    <w:rsid w:val="00572CBD"/>
    <w:rsid w:val="00572EBF"/>
    <w:rsid w:val="0057310C"/>
    <w:rsid w:val="0057338A"/>
    <w:rsid w:val="0057347F"/>
    <w:rsid w:val="005736DE"/>
    <w:rsid w:val="005737E0"/>
    <w:rsid w:val="00573A5F"/>
    <w:rsid w:val="00573B72"/>
    <w:rsid w:val="00573D5B"/>
    <w:rsid w:val="00573FA9"/>
    <w:rsid w:val="00574357"/>
    <w:rsid w:val="0057450A"/>
    <w:rsid w:val="0057459C"/>
    <w:rsid w:val="005745AA"/>
    <w:rsid w:val="005745B1"/>
    <w:rsid w:val="005745D7"/>
    <w:rsid w:val="0057462E"/>
    <w:rsid w:val="00574663"/>
    <w:rsid w:val="00574927"/>
    <w:rsid w:val="00574C97"/>
    <w:rsid w:val="00574E92"/>
    <w:rsid w:val="005757C4"/>
    <w:rsid w:val="005759E0"/>
    <w:rsid w:val="00575B92"/>
    <w:rsid w:val="005763A9"/>
    <w:rsid w:val="00576754"/>
    <w:rsid w:val="00576808"/>
    <w:rsid w:val="00576A2A"/>
    <w:rsid w:val="00577272"/>
    <w:rsid w:val="005772EA"/>
    <w:rsid w:val="00577356"/>
    <w:rsid w:val="005774BA"/>
    <w:rsid w:val="005775D5"/>
    <w:rsid w:val="00577DAE"/>
    <w:rsid w:val="0058028A"/>
    <w:rsid w:val="005806F2"/>
    <w:rsid w:val="0058098B"/>
    <w:rsid w:val="00580E8E"/>
    <w:rsid w:val="00581183"/>
    <w:rsid w:val="00581188"/>
    <w:rsid w:val="0058145B"/>
    <w:rsid w:val="0058153D"/>
    <w:rsid w:val="00581579"/>
    <w:rsid w:val="005815C2"/>
    <w:rsid w:val="00581636"/>
    <w:rsid w:val="005816F3"/>
    <w:rsid w:val="005819B6"/>
    <w:rsid w:val="00581A61"/>
    <w:rsid w:val="00581A6C"/>
    <w:rsid w:val="00581DB0"/>
    <w:rsid w:val="00582051"/>
    <w:rsid w:val="005820A8"/>
    <w:rsid w:val="00582400"/>
    <w:rsid w:val="00582905"/>
    <w:rsid w:val="00582B14"/>
    <w:rsid w:val="00582CDE"/>
    <w:rsid w:val="00583296"/>
    <w:rsid w:val="0058355A"/>
    <w:rsid w:val="0058366B"/>
    <w:rsid w:val="00583733"/>
    <w:rsid w:val="0058382A"/>
    <w:rsid w:val="005838F1"/>
    <w:rsid w:val="0058390C"/>
    <w:rsid w:val="005839E2"/>
    <w:rsid w:val="00583EFE"/>
    <w:rsid w:val="0058413A"/>
    <w:rsid w:val="005842AA"/>
    <w:rsid w:val="005842DA"/>
    <w:rsid w:val="0058432E"/>
    <w:rsid w:val="0058451A"/>
    <w:rsid w:val="005845EB"/>
    <w:rsid w:val="00584784"/>
    <w:rsid w:val="00584823"/>
    <w:rsid w:val="005848A0"/>
    <w:rsid w:val="00584975"/>
    <w:rsid w:val="00584A00"/>
    <w:rsid w:val="00585238"/>
    <w:rsid w:val="0058571A"/>
    <w:rsid w:val="00585A6A"/>
    <w:rsid w:val="00585B6B"/>
    <w:rsid w:val="00585B78"/>
    <w:rsid w:val="00585C41"/>
    <w:rsid w:val="00585C57"/>
    <w:rsid w:val="00585D30"/>
    <w:rsid w:val="0058609D"/>
    <w:rsid w:val="005862D0"/>
    <w:rsid w:val="0058647C"/>
    <w:rsid w:val="00586488"/>
    <w:rsid w:val="00586601"/>
    <w:rsid w:val="0058692E"/>
    <w:rsid w:val="00586D53"/>
    <w:rsid w:val="00586F04"/>
    <w:rsid w:val="00587B52"/>
    <w:rsid w:val="00587B7D"/>
    <w:rsid w:val="00587CED"/>
    <w:rsid w:val="00590191"/>
    <w:rsid w:val="005901AC"/>
    <w:rsid w:val="00590212"/>
    <w:rsid w:val="0059049C"/>
    <w:rsid w:val="00590558"/>
    <w:rsid w:val="00590738"/>
    <w:rsid w:val="00590A48"/>
    <w:rsid w:val="00590ADA"/>
    <w:rsid w:val="00590D6C"/>
    <w:rsid w:val="0059113B"/>
    <w:rsid w:val="00591D7A"/>
    <w:rsid w:val="0059213C"/>
    <w:rsid w:val="005921F9"/>
    <w:rsid w:val="00592907"/>
    <w:rsid w:val="00592F0E"/>
    <w:rsid w:val="00592F7A"/>
    <w:rsid w:val="0059341C"/>
    <w:rsid w:val="00593FBF"/>
    <w:rsid w:val="0059423E"/>
    <w:rsid w:val="00594253"/>
    <w:rsid w:val="00594509"/>
    <w:rsid w:val="00594B08"/>
    <w:rsid w:val="00594B36"/>
    <w:rsid w:val="00594E25"/>
    <w:rsid w:val="00594E72"/>
    <w:rsid w:val="00594F10"/>
    <w:rsid w:val="00595012"/>
    <w:rsid w:val="0059526C"/>
    <w:rsid w:val="005953A0"/>
    <w:rsid w:val="005953F3"/>
    <w:rsid w:val="00595661"/>
    <w:rsid w:val="0059574D"/>
    <w:rsid w:val="00595828"/>
    <w:rsid w:val="00595861"/>
    <w:rsid w:val="00595917"/>
    <w:rsid w:val="00595A1C"/>
    <w:rsid w:val="00595B9E"/>
    <w:rsid w:val="00595C8F"/>
    <w:rsid w:val="00595D59"/>
    <w:rsid w:val="00595F06"/>
    <w:rsid w:val="00595F64"/>
    <w:rsid w:val="0059637A"/>
    <w:rsid w:val="005964BD"/>
    <w:rsid w:val="0059664B"/>
    <w:rsid w:val="0059673C"/>
    <w:rsid w:val="0059683E"/>
    <w:rsid w:val="005968FA"/>
    <w:rsid w:val="00596AA2"/>
    <w:rsid w:val="00596DCA"/>
    <w:rsid w:val="00596DF8"/>
    <w:rsid w:val="00597107"/>
    <w:rsid w:val="00597207"/>
    <w:rsid w:val="005973DF"/>
    <w:rsid w:val="00597687"/>
    <w:rsid w:val="005979E1"/>
    <w:rsid w:val="00597A51"/>
    <w:rsid w:val="00597C3F"/>
    <w:rsid w:val="00597D05"/>
    <w:rsid w:val="00597FE5"/>
    <w:rsid w:val="005A0281"/>
    <w:rsid w:val="005A0364"/>
    <w:rsid w:val="005A07C7"/>
    <w:rsid w:val="005A09D1"/>
    <w:rsid w:val="005A0A51"/>
    <w:rsid w:val="005A0AB6"/>
    <w:rsid w:val="005A0C11"/>
    <w:rsid w:val="005A0EE2"/>
    <w:rsid w:val="005A126B"/>
    <w:rsid w:val="005A1272"/>
    <w:rsid w:val="005A1314"/>
    <w:rsid w:val="005A1370"/>
    <w:rsid w:val="005A13C1"/>
    <w:rsid w:val="005A13D5"/>
    <w:rsid w:val="005A156A"/>
    <w:rsid w:val="005A17D2"/>
    <w:rsid w:val="005A18C8"/>
    <w:rsid w:val="005A199E"/>
    <w:rsid w:val="005A19AF"/>
    <w:rsid w:val="005A1A0E"/>
    <w:rsid w:val="005A1C2A"/>
    <w:rsid w:val="005A1CA6"/>
    <w:rsid w:val="005A1E7E"/>
    <w:rsid w:val="005A21C6"/>
    <w:rsid w:val="005A21EF"/>
    <w:rsid w:val="005A23A3"/>
    <w:rsid w:val="005A2B67"/>
    <w:rsid w:val="005A2D37"/>
    <w:rsid w:val="005A3054"/>
    <w:rsid w:val="005A351B"/>
    <w:rsid w:val="005A3637"/>
    <w:rsid w:val="005A3748"/>
    <w:rsid w:val="005A38E1"/>
    <w:rsid w:val="005A3BA0"/>
    <w:rsid w:val="005A41F0"/>
    <w:rsid w:val="005A429D"/>
    <w:rsid w:val="005A4572"/>
    <w:rsid w:val="005A46E9"/>
    <w:rsid w:val="005A4C2C"/>
    <w:rsid w:val="005A4C82"/>
    <w:rsid w:val="005A4DF5"/>
    <w:rsid w:val="005A4FF7"/>
    <w:rsid w:val="005A5045"/>
    <w:rsid w:val="005A5A46"/>
    <w:rsid w:val="005A5B23"/>
    <w:rsid w:val="005A5C8C"/>
    <w:rsid w:val="005A5DF8"/>
    <w:rsid w:val="005A6405"/>
    <w:rsid w:val="005A65FF"/>
    <w:rsid w:val="005A68CD"/>
    <w:rsid w:val="005A7000"/>
    <w:rsid w:val="005A7059"/>
    <w:rsid w:val="005A71CB"/>
    <w:rsid w:val="005A7217"/>
    <w:rsid w:val="005A74C8"/>
    <w:rsid w:val="005A78E3"/>
    <w:rsid w:val="005A79E8"/>
    <w:rsid w:val="005A7F57"/>
    <w:rsid w:val="005B001D"/>
    <w:rsid w:val="005B01E5"/>
    <w:rsid w:val="005B02B5"/>
    <w:rsid w:val="005B0313"/>
    <w:rsid w:val="005B037A"/>
    <w:rsid w:val="005B0554"/>
    <w:rsid w:val="005B063A"/>
    <w:rsid w:val="005B081D"/>
    <w:rsid w:val="005B09BE"/>
    <w:rsid w:val="005B0A31"/>
    <w:rsid w:val="005B0B41"/>
    <w:rsid w:val="005B1233"/>
    <w:rsid w:val="005B12C9"/>
    <w:rsid w:val="005B138E"/>
    <w:rsid w:val="005B1619"/>
    <w:rsid w:val="005B185C"/>
    <w:rsid w:val="005B1AF6"/>
    <w:rsid w:val="005B1B4F"/>
    <w:rsid w:val="005B1E0A"/>
    <w:rsid w:val="005B1ED9"/>
    <w:rsid w:val="005B1EEA"/>
    <w:rsid w:val="005B2026"/>
    <w:rsid w:val="005B206F"/>
    <w:rsid w:val="005B229B"/>
    <w:rsid w:val="005B22C3"/>
    <w:rsid w:val="005B2327"/>
    <w:rsid w:val="005B2523"/>
    <w:rsid w:val="005B2F82"/>
    <w:rsid w:val="005B3117"/>
    <w:rsid w:val="005B31CB"/>
    <w:rsid w:val="005B3297"/>
    <w:rsid w:val="005B32DE"/>
    <w:rsid w:val="005B39D7"/>
    <w:rsid w:val="005B3C26"/>
    <w:rsid w:val="005B41C6"/>
    <w:rsid w:val="005B4218"/>
    <w:rsid w:val="005B4464"/>
    <w:rsid w:val="005B45E1"/>
    <w:rsid w:val="005B46ED"/>
    <w:rsid w:val="005B4906"/>
    <w:rsid w:val="005B4B03"/>
    <w:rsid w:val="005B5064"/>
    <w:rsid w:val="005B5492"/>
    <w:rsid w:val="005B552E"/>
    <w:rsid w:val="005B5560"/>
    <w:rsid w:val="005B5801"/>
    <w:rsid w:val="005B582B"/>
    <w:rsid w:val="005B5842"/>
    <w:rsid w:val="005B58FB"/>
    <w:rsid w:val="005B5907"/>
    <w:rsid w:val="005B59BD"/>
    <w:rsid w:val="005B5B0B"/>
    <w:rsid w:val="005B5BF2"/>
    <w:rsid w:val="005B5CBC"/>
    <w:rsid w:val="005B6643"/>
    <w:rsid w:val="005B66F8"/>
    <w:rsid w:val="005B68BD"/>
    <w:rsid w:val="005B68FC"/>
    <w:rsid w:val="005B6D79"/>
    <w:rsid w:val="005B6DA7"/>
    <w:rsid w:val="005B71BD"/>
    <w:rsid w:val="005B73DE"/>
    <w:rsid w:val="005B7ADD"/>
    <w:rsid w:val="005B7B1D"/>
    <w:rsid w:val="005B7FA7"/>
    <w:rsid w:val="005C0439"/>
    <w:rsid w:val="005C04E1"/>
    <w:rsid w:val="005C0599"/>
    <w:rsid w:val="005C0904"/>
    <w:rsid w:val="005C09B5"/>
    <w:rsid w:val="005C0A57"/>
    <w:rsid w:val="005C0B67"/>
    <w:rsid w:val="005C0BDD"/>
    <w:rsid w:val="005C0C00"/>
    <w:rsid w:val="005C1137"/>
    <w:rsid w:val="005C12E1"/>
    <w:rsid w:val="005C12F6"/>
    <w:rsid w:val="005C1539"/>
    <w:rsid w:val="005C156F"/>
    <w:rsid w:val="005C1839"/>
    <w:rsid w:val="005C183E"/>
    <w:rsid w:val="005C197D"/>
    <w:rsid w:val="005C1B11"/>
    <w:rsid w:val="005C1C66"/>
    <w:rsid w:val="005C1D04"/>
    <w:rsid w:val="005C1DA0"/>
    <w:rsid w:val="005C1E30"/>
    <w:rsid w:val="005C1F84"/>
    <w:rsid w:val="005C20F2"/>
    <w:rsid w:val="005C2235"/>
    <w:rsid w:val="005C2317"/>
    <w:rsid w:val="005C23E6"/>
    <w:rsid w:val="005C2BE0"/>
    <w:rsid w:val="005C2C51"/>
    <w:rsid w:val="005C2DE2"/>
    <w:rsid w:val="005C2F41"/>
    <w:rsid w:val="005C3028"/>
    <w:rsid w:val="005C320A"/>
    <w:rsid w:val="005C3465"/>
    <w:rsid w:val="005C34BD"/>
    <w:rsid w:val="005C34F5"/>
    <w:rsid w:val="005C3563"/>
    <w:rsid w:val="005C360D"/>
    <w:rsid w:val="005C368C"/>
    <w:rsid w:val="005C3840"/>
    <w:rsid w:val="005C4028"/>
    <w:rsid w:val="005C4156"/>
    <w:rsid w:val="005C417F"/>
    <w:rsid w:val="005C41E7"/>
    <w:rsid w:val="005C45DD"/>
    <w:rsid w:val="005C4624"/>
    <w:rsid w:val="005C4CBC"/>
    <w:rsid w:val="005C4DDC"/>
    <w:rsid w:val="005C4E1E"/>
    <w:rsid w:val="005C4F65"/>
    <w:rsid w:val="005C523D"/>
    <w:rsid w:val="005C56C8"/>
    <w:rsid w:val="005C57AD"/>
    <w:rsid w:val="005C5991"/>
    <w:rsid w:val="005C5AA9"/>
    <w:rsid w:val="005C5AAE"/>
    <w:rsid w:val="005C5B2B"/>
    <w:rsid w:val="005C5C4A"/>
    <w:rsid w:val="005C5C6F"/>
    <w:rsid w:val="005C5C7D"/>
    <w:rsid w:val="005C5D97"/>
    <w:rsid w:val="005C5E19"/>
    <w:rsid w:val="005C5F13"/>
    <w:rsid w:val="005C6178"/>
    <w:rsid w:val="005C63F3"/>
    <w:rsid w:val="005C6662"/>
    <w:rsid w:val="005C677C"/>
    <w:rsid w:val="005C67D5"/>
    <w:rsid w:val="005C6972"/>
    <w:rsid w:val="005C6AD0"/>
    <w:rsid w:val="005C71A1"/>
    <w:rsid w:val="005C72FF"/>
    <w:rsid w:val="005C7306"/>
    <w:rsid w:val="005C77A8"/>
    <w:rsid w:val="005C7915"/>
    <w:rsid w:val="005C7C06"/>
    <w:rsid w:val="005C7C2F"/>
    <w:rsid w:val="005D01AD"/>
    <w:rsid w:val="005D052B"/>
    <w:rsid w:val="005D0551"/>
    <w:rsid w:val="005D060E"/>
    <w:rsid w:val="005D08FF"/>
    <w:rsid w:val="005D0CE4"/>
    <w:rsid w:val="005D0D29"/>
    <w:rsid w:val="005D0DEA"/>
    <w:rsid w:val="005D0EC4"/>
    <w:rsid w:val="005D106E"/>
    <w:rsid w:val="005D1208"/>
    <w:rsid w:val="005D1378"/>
    <w:rsid w:val="005D14F9"/>
    <w:rsid w:val="005D15C6"/>
    <w:rsid w:val="005D16B3"/>
    <w:rsid w:val="005D195D"/>
    <w:rsid w:val="005D19FB"/>
    <w:rsid w:val="005D1DB1"/>
    <w:rsid w:val="005D20BF"/>
    <w:rsid w:val="005D2532"/>
    <w:rsid w:val="005D2614"/>
    <w:rsid w:val="005D27C1"/>
    <w:rsid w:val="005D2808"/>
    <w:rsid w:val="005D2858"/>
    <w:rsid w:val="005D2E4B"/>
    <w:rsid w:val="005D2F13"/>
    <w:rsid w:val="005D2FA1"/>
    <w:rsid w:val="005D2FD0"/>
    <w:rsid w:val="005D301B"/>
    <w:rsid w:val="005D3085"/>
    <w:rsid w:val="005D31F3"/>
    <w:rsid w:val="005D3408"/>
    <w:rsid w:val="005D34AC"/>
    <w:rsid w:val="005D37CB"/>
    <w:rsid w:val="005D3C2E"/>
    <w:rsid w:val="005D3D31"/>
    <w:rsid w:val="005D3D81"/>
    <w:rsid w:val="005D3DE4"/>
    <w:rsid w:val="005D47F1"/>
    <w:rsid w:val="005D4DEC"/>
    <w:rsid w:val="005D4FB0"/>
    <w:rsid w:val="005D5577"/>
    <w:rsid w:val="005D57B0"/>
    <w:rsid w:val="005D57CB"/>
    <w:rsid w:val="005D58E9"/>
    <w:rsid w:val="005D599A"/>
    <w:rsid w:val="005D5FF3"/>
    <w:rsid w:val="005D6121"/>
    <w:rsid w:val="005D61E5"/>
    <w:rsid w:val="005D65F2"/>
    <w:rsid w:val="005D666E"/>
    <w:rsid w:val="005D6806"/>
    <w:rsid w:val="005D6935"/>
    <w:rsid w:val="005D6AB4"/>
    <w:rsid w:val="005D6EE5"/>
    <w:rsid w:val="005D713B"/>
    <w:rsid w:val="005D714A"/>
    <w:rsid w:val="005D74A7"/>
    <w:rsid w:val="005D754C"/>
    <w:rsid w:val="005D7883"/>
    <w:rsid w:val="005D78CD"/>
    <w:rsid w:val="005D7A77"/>
    <w:rsid w:val="005D7D60"/>
    <w:rsid w:val="005D7E7B"/>
    <w:rsid w:val="005E0190"/>
    <w:rsid w:val="005E0391"/>
    <w:rsid w:val="005E072E"/>
    <w:rsid w:val="005E0874"/>
    <w:rsid w:val="005E09E7"/>
    <w:rsid w:val="005E0BB9"/>
    <w:rsid w:val="005E0BF9"/>
    <w:rsid w:val="005E0CBE"/>
    <w:rsid w:val="005E1278"/>
    <w:rsid w:val="005E1307"/>
    <w:rsid w:val="005E138D"/>
    <w:rsid w:val="005E1909"/>
    <w:rsid w:val="005E1AA7"/>
    <w:rsid w:val="005E1AD8"/>
    <w:rsid w:val="005E1AEF"/>
    <w:rsid w:val="005E1B79"/>
    <w:rsid w:val="005E1D9D"/>
    <w:rsid w:val="005E1F44"/>
    <w:rsid w:val="005E1F82"/>
    <w:rsid w:val="005E222B"/>
    <w:rsid w:val="005E2296"/>
    <w:rsid w:val="005E22B0"/>
    <w:rsid w:val="005E268D"/>
    <w:rsid w:val="005E293B"/>
    <w:rsid w:val="005E2AFE"/>
    <w:rsid w:val="005E2B9D"/>
    <w:rsid w:val="005E2CD7"/>
    <w:rsid w:val="005E315E"/>
    <w:rsid w:val="005E3351"/>
    <w:rsid w:val="005E33A1"/>
    <w:rsid w:val="005E3529"/>
    <w:rsid w:val="005E37AD"/>
    <w:rsid w:val="005E395A"/>
    <w:rsid w:val="005E397E"/>
    <w:rsid w:val="005E3F17"/>
    <w:rsid w:val="005E40BE"/>
    <w:rsid w:val="005E40E4"/>
    <w:rsid w:val="005E41D9"/>
    <w:rsid w:val="005E47AD"/>
    <w:rsid w:val="005E48F6"/>
    <w:rsid w:val="005E4C24"/>
    <w:rsid w:val="005E4C25"/>
    <w:rsid w:val="005E4C41"/>
    <w:rsid w:val="005E4DE2"/>
    <w:rsid w:val="005E5061"/>
    <w:rsid w:val="005E50D7"/>
    <w:rsid w:val="005E516C"/>
    <w:rsid w:val="005E51D7"/>
    <w:rsid w:val="005E539E"/>
    <w:rsid w:val="005E53F9"/>
    <w:rsid w:val="005E5458"/>
    <w:rsid w:val="005E5641"/>
    <w:rsid w:val="005E5E19"/>
    <w:rsid w:val="005E609E"/>
    <w:rsid w:val="005E610D"/>
    <w:rsid w:val="005E6225"/>
    <w:rsid w:val="005E64A5"/>
    <w:rsid w:val="005E65CB"/>
    <w:rsid w:val="005E65CE"/>
    <w:rsid w:val="005E66C0"/>
    <w:rsid w:val="005E66F6"/>
    <w:rsid w:val="005E6788"/>
    <w:rsid w:val="005E67D9"/>
    <w:rsid w:val="005E6814"/>
    <w:rsid w:val="005E6998"/>
    <w:rsid w:val="005E6B95"/>
    <w:rsid w:val="005E6C09"/>
    <w:rsid w:val="005E6CA1"/>
    <w:rsid w:val="005E6CE6"/>
    <w:rsid w:val="005E6EB0"/>
    <w:rsid w:val="005E6F87"/>
    <w:rsid w:val="005E70B0"/>
    <w:rsid w:val="005E7264"/>
    <w:rsid w:val="005E7341"/>
    <w:rsid w:val="005E743D"/>
    <w:rsid w:val="005E7446"/>
    <w:rsid w:val="005E75D6"/>
    <w:rsid w:val="005E76C7"/>
    <w:rsid w:val="005E7BAD"/>
    <w:rsid w:val="005E7E41"/>
    <w:rsid w:val="005E7EB7"/>
    <w:rsid w:val="005F0243"/>
    <w:rsid w:val="005F0267"/>
    <w:rsid w:val="005F0803"/>
    <w:rsid w:val="005F09EE"/>
    <w:rsid w:val="005F0BFC"/>
    <w:rsid w:val="005F0C2F"/>
    <w:rsid w:val="005F0C8C"/>
    <w:rsid w:val="005F0CD1"/>
    <w:rsid w:val="005F0E82"/>
    <w:rsid w:val="005F10E9"/>
    <w:rsid w:val="005F144D"/>
    <w:rsid w:val="005F153B"/>
    <w:rsid w:val="005F1BCC"/>
    <w:rsid w:val="005F1C6A"/>
    <w:rsid w:val="005F1F91"/>
    <w:rsid w:val="005F20B2"/>
    <w:rsid w:val="005F2424"/>
    <w:rsid w:val="005F2DDE"/>
    <w:rsid w:val="005F307C"/>
    <w:rsid w:val="005F3124"/>
    <w:rsid w:val="005F32A5"/>
    <w:rsid w:val="005F3A02"/>
    <w:rsid w:val="005F3E7F"/>
    <w:rsid w:val="005F405A"/>
    <w:rsid w:val="005F4173"/>
    <w:rsid w:val="005F45D7"/>
    <w:rsid w:val="005F45E7"/>
    <w:rsid w:val="005F48F1"/>
    <w:rsid w:val="005F4B0B"/>
    <w:rsid w:val="005F4C6F"/>
    <w:rsid w:val="005F4E01"/>
    <w:rsid w:val="005F4ED8"/>
    <w:rsid w:val="005F526F"/>
    <w:rsid w:val="005F52E8"/>
    <w:rsid w:val="005F54F6"/>
    <w:rsid w:val="005F5584"/>
    <w:rsid w:val="005F56B9"/>
    <w:rsid w:val="005F5832"/>
    <w:rsid w:val="005F58A0"/>
    <w:rsid w:val="005F5989"/>
    <w:rsid w:val="005F5A52"/>
    <w:rsid w:val="005F5C7B"/>
    <w:rsid w:val="005F5E61"/>
    <w:rsid w:val="005F5F42"/>
    <w:rsid w:val="005F5F63"/>
    <w:rsid w:val="005F5FF0"/>
    <w:rsid w:val="005F6217"/>
    <w:rsid w:val="005F6517"/>
    <w:rsid w:val="005F6594"/>
    <w:rsid w:val="005F6624"/>
    <w:rsid w:val="005F6A5F"/>
    <w:rsid w:val="005F6AA5"/>
    <w:rsid w:val="005F6CB9"/>
    <w:rsid w:val="005F6CCA"/>
    <w:rsid w:val="005F6CFC"/>
    <w:rsid w:val="005F6D3D"/>
    <w:rsid w:val="005F6F7F"/>
    <w:rsid w:val="005F7010"/>
    <w:rsid w:val="005F75EF"/>
    <w:rsid w:val="005F76C2"/>
    <w:rsid w:val="005F7CFF"/>
    <w:rsid w:val="005F7FC4"/>
    <w:rsid w:val="006003D5"/>
    <w:rsid w:val="006005BD"/>
    <w:rsid w:val="00600702"/>
    <w:rsid w:val="006007C9"/>
    <w:rsid w:val="0060085E"/>
    <w:rsid w:val="00600991"/>
    <w:rsid w:val="00600AAF"/>
    <w:rsid w:val="00600BDB"/>
    <w:rsid w:val="00600C42"/>
    <w:rsid w:val="00600C59"/>
    <w:rsid w:val="00600D15"/>
    <w:rsid w:val="00600EAF"/>
    <w:rsid w:val="00600F6A"/>
    <w:rsid w:val="00601538"/>
    <w:rsid w:val="00601575"/>
    <w:rsid w:val="00601867"/>
    <w:rsid w:val="0060199E"/>
    <w:rsid w:val="00601C68"/>
    <w:rsid w:val="00601C7B"/>
    <w:rsid w:val="00601DDA"/>
    <w:rsid w:val="00601F65"/>
    <w:rsid w:val="006020A1"/>
    <w:rsid w:val="0060234F"/>
    <w:rsid w:val="0060243A"/>
    <w:rsid w:val="006026C4"/>
    <w:rsid w:val="0060278B"/>
    <w:rsid w:val="006029FE"/>
    <w:rsid w:val="00602B43"/>
    <w:rsid w:val="00602E9F"/>
    <w:rsid w:val="00603691"/>
    <w:rsid w:val="006038DA"/>
    <w:rsid w:val="0060399B"/>
    <w:rsid w:val="00603A28"/>
    <w:rsid w:val="00603B6B"/>
    <w:rsid w:val="00603BCD"/>
    <w:rsid w:val="00603E9E"/>
    <w:rsid w:val="0060434C"/>
    <w:rsid w:val="00604618"/>
    <w:rsid w:val="0060495C"/>
    <w:rsid w:val="00604B2F"/>
    <w:rsid w:val="00604B4E"/>
    <w:rsid w:val="00604FE0"/>
    <w:rsid w:val="006053A3"/>
    <w:rsid w:val="00605477"/>
    <w:rsid w:val="00605669"/>
    <w:rsid w:val="006056D5"/>
    <w:rsid w:val="00605EE7"/>
    <w:rsid w:val="00605F25"/>
    <w:rsid w:val="00606161"/>
    <w:rsid w:val="006061DC"/>
    <w:rsid w:val="006066DB"/>
    <w:rsid w:val="00606A2B"/>
    <w:rsid w:val="00606C47"/>
    <w:rsid w:val="006073FF"/>
    <w:rsid w:val="006077B0"/>
    <w:rsid w:val="006078FB"/>
    <w:rsid w:val="00607BA7"/>
    <w:rsid w:val="00607C9C"/>
    <w:rsid w:val="006100B8"/>
    <w:rsid w:val="00610157"/>
    <w:rsid w:val="00610250"/>
    <w:rsid w:val="006103B2"/>
    <w:rsid w:val="0061057B"/>
    <w:rsid w:val="006107A3"/>
    <w:rsid w:val="00610C95"/>
    <w:rsid w:val="00611136"/>
    <w:rsid w:val="006111AF"/>
    <w:rsid w:val="006115AF"/>
    <w:rsid w:val="0061160A"/>
    <w:rsid w:val="00611680"/>
    <w:rsid w:val="006117E4"/>
    <w:rsid w:val="00611A0C"/>
    <w:rsid w:val="00611A32"/>
    <w:rsid w:val="00611B3F"/>
    <w:rsid w:val="00611FD8"/>
    <w:rsid w:val="00612159"/>
    <w:rsid w:val="00612777"/>
    <w:rsid w:val="00612BCE"/>
    <w:rsid w:val="00612D16"/>
    <w:rsid w:val="00612DFE"/>
    <w:rsid w:val="00612EA1"/>
    <w:rsid w:val="00613587"/>
    <w:rsid w:val="006136F7"/>
    <w:rsid w:val="0061372B"/>
    <w:rsid w:val="00613B09"/>
    <w:rsid w:val="00613C13"/>
    <w:rsid w:val="00613CF8"/>
    <w:rsid w:val="00613D75"/>
    <w:rsid w:val="00613DE6"/>
    <w:rsid w:val="00614022"/>
    <w:rsid w:val="006140D4"/>
    <w:rsid w:val="0061414F"/>
    <w:rsid w:val="0061444C"/>
    <w:rsid w:val="006147E8"/>
    <w:rsid w:val="006149E6"/>
    <w:rsid w:val="00614C0A"/>
    <w:rsid w:val="00614FC1"/>
    <w:rsid w:val="00615150"/>
    <w:rsid w:val="00615162"/>
    <w:rsid w:val="006153F8"/>
    <w:rsid w:val="00615548"/>
    <w:rsid w:val="00615560"/>
    <w:rsid w:val="00615630"/>
    <w:rsid w:val="006157BA"/>
    <w:rsid w:val="00615EFC"/>
    <w:rsid w:val="0061619F"/>
    <w:rsid w:val="00616351"/>
    <w:rsid w:val="00616404"/>
    <w:rsid w:val="00616BCA"/>
    <w:rsid w:val="0061745C"/>
    <w:rsid w:val="006174F5"/>
    <w:rsid w:val="0061796C"/>
    <w:rsid w:val="00617A75"/>
    <w:rsid w:val="00617AB8"/>
    <w:rsid w:val="00617B9A"/>
    <w:rsid w:val="00617BF1"/>
    <w:rsid w:val="00617CD2"/>
    <w:rsid w:val="00620165"/>
    <w:rsid w:val="006201F2"/>
    <w:rsid w:val="00620688"/>
    <w:rsid w:val="0062097C"/>
    <w:rsid w:val="00620B38"/>
    <w:rsid w:val="00620BA9"/>
    <w:rsid w:val="00620C8B"/>
    <w:rsid w:val="00620D8D"/>
    <w:rsid w:val="00621161"/>
    <w:rsid w:val="00621199"/>
    <w:rsid w:val="00621410"/>
    <w:rsid w:val="00621506"/>
    <w:rsid w:val="00621826"/>
    <w:rsid w:val="0062186A"/>
    <w:rsid w:val="006219FD"/>
    <w:rsid w:val="00621C6C"/>
    <w:rsid w:val="006222FA"/>
    <w:rsid w:val="00622473"/>
    <w:rsid w:val="00622799"/>
    <w:rsid w:val="00622905"/>
    <w:rsid w:val="00622EA7"/>
    <w:rsid w:val="00622F50"/>
    <w:rsid w:val="006234FD"/>
    <w:rsid w:val="00623889"/>
    <w:rsid w:val="00623A34"/>
    <w:rsid w:val="00623C2D"/>
    <w:rsid w:val="00623C5B"/>
    <w:rsid w:val="00623CF8"/>
    <w:rsid w:val="00623D1C"/>
    <w:rsid w:val="00624487"/>
    <w:rsid w:val="00624557"/>
    <w:rsid w:val="0062460F"/>
    <w:rsid w:val="00624742"/>
    <w:rsid w:val="00624846"/>
    <w:rsid w:val="00624C0E"/>
    <w:rsid w:val="00624E27"/>
    <w:rsid w:val="006250B0"/>
    <w:rsid w:val="0062530A"/>
    <w:rsid w:val="006254E5"/>
    <w:rsid w:val="00625631"/>
    <w:rsid w:val="00625670"/>
    <w:rsid w:val="006258A0"/>
    <w:rsid w:val="006259A0"/>
    <w:rsid w:val="00625EDC"/>
    <w:rsid w:val="00625F4B"/>
    <w:rsid w:val="00625F70"/>
    <w:rsid w:val="00626317"/>
    <w:rsid w:val="00626458"/>
    <w:rsid w:val="00626460"/>
    <w:rsid w:val="006266DA"/>
    <w:rsid w:val="006267D5"/>
    <w:rsid w:val="0062689D"/>
    <w:rsid w:val="00626B1A"/>
    <w:rsid w:val="00626BFD"/>
    <w:rsid w:val="00626D58"/>
    <w:rsid w:val="00626DB2"/>
    <w:rsid w:val="00626EC6"/>
    <w:rsid w:val="0062721E"/>
    <w:rsid w:val="00627431"/>
    <w:rsid w:val="0062744E"/>
    <w:rsid w:val="00627468"/>
    <w:rsid w:val="00627480"/>
    <w:rsid w:val="00627740"/>
    <w:rsid w:val="006279E3"/>
    <w:rsid w:val="00627D9C"/>
    <w:rsid w:val="00627EE9"/>
    <w:rsid w:val="00627F19"/>
    <w:rsid w:val="00627FB4"/>
    <w:rsid w:val="00630072"/>
    <w:rsid w:val="00630303"/>
    <w:rsid w:val="00630558"/>
    <w:rsid w:val="00630694"/>
    <w:rsid w:val="00630CB8"/>
    <w:rsid w:val="00630DD5"/>
    <w:rsid w:val="00631162"/>
    <w:rsid w:val="0063118A"/>
    <w:rsid w:val="006314E5"/>
    <w:rsid w:val="00631548"/>
    <w:rsid w:val="006315B0"/>
    <w:rsid w:val="006318BE"/>
    <w:rsid w:val="0063191F"/>
    <w:rsid w:val="00631AFB"/>
    <w:rsid w:val="00631C71"/>
    <w:rsid w:val="00631D0B"/>
    <w:rsid w:val="00631DBE"/>
    <w:rsid w:val="006324B2"/>
    <w:rsid w:val="00632534"/>
    <w:rsid w:val="0063256B"/>
    <w:rsid w:val="006325C1"/>
    <w:rsid w:val="006325D8"/>
    <w:rsid w:val="006327E1"/>
    <w:rsid w:val="00632985"/>
    <w:rsid w:val="00632B0F"/>
    <w:rsid w:val="00632DB4"/>
    <w:rsid w:val="00632DC4"/>
    <w:rsid w:val="00632F8E"/>
    <w:rsid w:val="00633152"/>
    <w:rsid w:val="006331A4"/>
    <w:rsid w:val="006335B2"/>
    <w:rsid w:val="006335B6"/>
    <w:rsid w:val="00633A7C"/>
    <w:rsid w:val="00633B72"/>
    <w:rsid w:val="00633FEA"/>
    <w:rsid w:val="00634000"/>
    <w:rsid w:val="00634290"/>
    <w:rsid w:val="006346B8"/>
    <w:rsid w:val="00634999"/>
    <w:rsid w:val="00634A52"/>
    <w:rsid w:val="00634AB0"/>
    <w:rsid w:val="00634EAD"/>
    <w:rsid w:val="0063519F"/>
    <w:rsid w:val="00635201"/>
    <w:rsid w:val="00635433"/>
    <w:rsid w:val="0063546D"/>
    <w:rsid w:val="00635530"/>
    <w:rsid w:val="006357B5"/>
    <w:rsid w:val="00635A33"/>
    <w:rsid w:val="00635A88"/>
    <w:rsid w:val="00635BA5"/>
    <w:rsid w:val="00635BC7"/>
    <w:rsid w:val="00635DEF"/>
    <w:rsid w:val="00636150"/>
    <w:rsid w:val="0063624A"/>
    <w:rsid w:val="00636952"/>
    <w:rsid w:val="00636A8A"/>
    <w:rsid w:val="00636E1A"/>
    <w:rsid w:val="00637080"/>
    <w:rsid w:val="006370AA"/>
    <w:rsid w:val="006373D6"/>
    <w:rsid w:val="006376CC"/>
    <w:rsid w:val="00637738"/>
    <w:rsid w:val="006377A2"/>
    <w:rsid w:val="00637B90"/>
    <w:rsid w:val="00637C65"/>
    <w:rsid w:val="00637E7E"/>
    <w:rsid w:val="006400B7"/>
    <w:rsid w:val="00640161"/>
    <w:rsid w:val="00640758"/>
    <w:rsid w:val="0064081A"/>
    <w:rsid w:val="00640B00"/>
    <w:rsid w:val="00640DFF"/>
    <w:rsid w:val="00641453"/>
    <w:rsid w:val="0064159C"/>
    <w:rsid w:val="006415AC"/>
    <w:rsid w:val="006416D3"/>
    <w:rsid w:val="0064179D"/>
    <w:rsid w:val="006419B8"/>
    <w:rsid w:val="00641DC6"/>
    <w:rsid w:val="00641EA3"/>
    <w:rsid w:val="00641EBA"/>
    <w:rsid w:val="0064206D"/>
    <w:rsid w:val="006424D1"/>
    <w:rsid w:val="00642798"/>
    <w:rsid w:val="006427C1"/>
    <w:rsid w:val="00642822"/>
    <w:rsid w:val="00642893"/>
    <w:rsid w:val="00642A10"/>
    <w:rsid w:val="00642D48"/>
    <w:rsid w:val="00642F6A"/>
    <w:rsid w:val="00642F97"/>
    <w:rsid w:val="00642FE6"/>
    <w:rsid w:val="0064305E"/>
    <w:rsid w:val="00643571"/>
    <w:rsid w:val="00643622"/>
    <w:rsid w:val="0064399C"/>
    <w:rsid w:val="00643A25"/>
    <w:rsid w:val="00643C91"/>
    <w:rsid w:val="00643DB9"/>
    <w:rsid w:val="006441C3"/>
    <w:rsid w:val="006444B8"/>
    <w:rsid w:val="006445DB"/>
    <w:rsid w:val="006446FE"/>
    <w:rsid w:val="00644817"/>
    <w:rsid w:val="00644821"/>
    <w:rsid w:val="00644A9C"/>
    <w:rsid w:val="00644AC1"/>
    <w:rsid w:val="00644B8B"/>
    <w:rsid w:val="00644D0D"/>
    <w:rsid w:val="00644EB2"/>
    <w:rsid w:val="00644F45"/>
    <w:rsid w:val="00645049"/>
    <w:rsid w:val="00645202"/>
    <w:rsid w:val="0064524C"/>
    <w:rsid w:val="006454CC"/>
    <w:rsid w:val="0064562C"/>
    <w:rsid w:val="0064591E"/>
    <w:rsid w:val="00645A1F"/>
    <w:rsid w:val="00645A3F"/>
    <w:rsid w:val="00645C68"/>
    <w:rsid w:val="0064606D"/>
    <w:rsid w:val="006461C7"/>
    <w:rsid w:val="00646394"/>
    <w:rsid w:val="006463CB"/>
    <w:rsid w:val="0064686C"/>
    <w:rsid w:val="00646902"/>
    <w:rsid w:val="00646998"/>
    <w:rsid w:val="00646A47"/>
    <w:rsid w:val="00647236"/>
    <w:rsid w:val="006474A7"/>
    <w:rsid w:val="006475EC"/>
    <w:rsid w:val="006476AB"/>
    <w:rsid w:val="006477F3"/>
    <w:rsid w:val="006478CC"/>
    <w:rsid w:val="00647942"/>
    <w:rsid w:val="00647BFA"/>
    <w:rsid w:val="00647C11"/>
    <w:rsid w:val="00647CF9"/>
    <w:rsid w:val="00647D1E"/>
    <w:rsid w:val="00647DC4"/>
    <w:rsid w:val="00647E1F"/>
    <w:rsid w:val="00647FE5"/>
    <w:rsid w:val="00650117"/>
    <w:rsid w:val="00650135"/>
    <w:rsid w:val="00650181"/>
    <w:rsid w:val="0065035F"/>
    <w:rsid w:val="0065058C"/>
    <w:rsid w:val="006505DC"/>
    <w:rsid w:val="00650661"/>
    <w:rsid w:val="00650877"/>
    <w:rsid w:val="00650891"/>
    <w:rsid w:val="0065090B"/>
    <w:rsid w:val="00650CEB"/>
    <w:rsid w:val="00650CF1"/>
    <w:rsid w:val="00650E61"/>
    <w:rsid w:val="00651163"/>
    <w:rsid w:val="00651369"/>
    <w:rsid w:val="006516EC"/>
    <w:rsid w:val="006517F8"/>
    <w:rsid w:val="006518F4"/>
    <w:rsid w:val="00651A4B"/>
    <w:rsid w:val="00651B5B"/>
    <w:rsid w:val="00651D31"/>
    <w:rsid w:val="00651DEF"/>
    <w:rsid w:val="0065260C"/>
    <w:rsid w:val="006529A2"/>
    <w:rsid w:val="00653088"/>
    <w:rsid w:val="00653221"/>
    <w:rsid w:val="00653388"/>
    <w:rsid w:val="0065358C"/>
    <w:rsid w:val="0065367F"/>
    <w:rsid w:val="00653751"/>
    <w:rsid w:val="00653AFE"/>
    <w:rsid w:val="00653B69"/>
    <w:rsid w:val="00653BF8"/>
    <w:rsid w:val="00653D2B"/>
    <w:rsid w:val="00653D6F"/>
    <w:rsid w:val="00653DDD"/>
    <w:rsid w:val="00654061"/>
    <w:rsid w:val="00654117"/>
    <w:rsid w:val="006542F3"/>
    <w:rsid w:val="006545DE"/>
    <w:rsid w:val="00654AFB"/>
    <w:rsid w:val="006551A4"/>
    <w:rsid w:val="0065521C"/>
    <w:rsid w:val="0065552B"/>
    <w:rsid w:val="00655602"/>
    <w:rsid w:val="00655707"/>
    <w:rsid w:val="006561D3"/>
    <w:rsid w:val="006563EC"/>
    <w:rsid w:val="00656480"/>
    <w:rsid w:val="00656669"/>
    <w:rsid w:val="00656673"/>
    <w:rsid w:val="00656755"/>
    <w:rsid w:val="006567D8"/>
    <w:rsid w:val="00656A47"/>
    <w:rsid w:val="00656C8D"/>
    <w:rsid w:val="00656E52"/>
    <w:rsid w:val="00656E59"/>
    <w:rsid w:val="00657612"/>
    <w:rsid w:val="0065794E"/>
    <w:rsid w:val="00657AB2"/>
    <w:rsid w:val="00657F40"/>
    <w:rsid w:val="00660009"/>
    <w:rsid w:val="006600A4"/>
    <w:rsid w:val="00660180"/>
    <w:rsid w:val="00660233"/>
    <w:rsid w:val="00660367"/>
    <w:rsid w:val="006603AB"/>
    <w:rsid w:val="00660448"/>
    <w:rsid w:val="006605C1"/>
    <w:rsid w:val="00660959"/>
    <w:rsid w:val="00660F89"/>
    <w:rsid w:val="00660FC8"/>
    <w:rsid w:val="006613DE"/>
    <w:rsid w:val="00661655"/>
    <w:rsid w:val="006616B8"/>
    <w:rsid w:val="00661958"/>
    <w:rsid w:val="00661983"/>
    <w:rsid w:val="006619B9"/>
    <w:rsid w:val="00661B1D"/>
    <w:rsid w:val="00662043"/>
    <w:rsid w:val="006620A5"/>
    <w:rsid w:val="006622C2"/>
    <w:rsid w:val="00662355"/>
    <w:rsid w:val="006624FA"/>
    <w:rsid w:val="0066256C"/>
    <w:rsid w:val="006625BF"/>
    <w:rsid w:val="0066264B"/>
    <w:rsid w:val="00662CE9"/>
    <w:rsid w:val="006630E0"/>
    <w:rsid w:val="00663162"/>
    <w:rsid w:val="00663814"/>
    <w:rsid w:val="0066399B"/>
    <w:rsid w:val="00663B9B"/>
    <w:rsid w:val="00663BD6"/>
    <w:rsid w:val="00663BE6"/>
    <w:rsid w:val="0066413B"/>
    <w:rsid w:val="006641AB"/>
    <w:rsid w:val="00664360"/>
    <w:rsid w:val="00664525"/>
    <w:rsid w:val="00664537"/>
    <w:rsid w:val="0066471C"/>
    <w:rsid w:val="00664928"/>
    <w:rsid w:val="006649D7"/>
    <w:rsid w:val="00664E3E"/>
    <w:rsid w:val="00665079"/>
    <w:rsid w:val="00665181"/>
    <w:rsid w:val="0066520B"/>
    <w:rsid w:val="00665585"/>
    <w:rsid w:val="0066568C"/>
    <w:rsid w:val="006659F0"/>
    <w:rsid w:val="00665A1E"/>
    <w:rsid w:val="00665A77"/>
    <w:rsid w:val="00665C46"/>
    <w:rsid w:val="00665D46"/>
    <w:rsid w:val="00665D4B"/>
    <w:rsid w:val="00665F1F"/>
    <w:rsid w:val="00666027"/>
    <w:rsid w:val="006660AB"/>
    <w:rsid w:val="00666167"/>
    <w:rsid w:val="006661DE"/>
    <w:rsid w:val="00666245"/>
    <w:rsid w:val="006663B5"/>
    <w:rsid w:val="00666764"/>
    <w:rsid w:val="00666A7C"/>
    <w:rsid w:val="00666B32"/>
    <w:rsid w:val="00666E46"/>
    <w:rsid w:val="00666FD3"/>
    <w:rsid w:val="0066721B"/>
    <w:rsid w:val="00667615"/>
    <w:rsid w:val="00667BB7"/>
    <w:rsid w:val="00667FEA"/>
    <w:rsid w:val="006702E4"/>
    <w:rsid w:val="00670569"/>
    <w:rsid w:val="006708BA"/>
    <w:rsid w:val="006708DD"/>
    <w:rsid w:val="0067098F"/>
    <w:rsid w:val="00670C4F"/>
    <w:rsid w:val="00670DF2"/>
    <w:rsid w:val="0067103E"/>
    <w:rsid w:val="00671200"/>
    <w:rsid w:val="006713AA"/>
    <w:rsid w:val="00671550"/>
    <w:rsid w:val="006715B2"/>
    <w:rsid w:val="00671699"/>
    <w:rsid w:val="00671B19"/>
    <w:rsid w:val="00671C43"/>
    <w:rsid w:val="00671D13"/>
    <w:rsid w:val="00671DE7"/>
    <w:rsid w:val="00671EF6"/>
    <w:rsid w:val="00671F68"/>
    <w:rsid w:val="00671FDF"/>
    <w:rsid w:val="00672027"/>
    <w:rsid w:val="00672084"/>
    <w:rsid w:val="00672292"/>
    <w:rsid w:val="006722F5"/>
    <w:rsid w:val="00672302"/>
    <w:rsid w:val="00672590"/>
    <w:rsid w:val="006729B5"/>
    <w:rsid w:val="00672D98"/>
    <w:rsid w:val="00672DAE"/>
    <w:rsid w:val="00672E0E"/>
    <w:rsid w:val="006731FB"/>
    <w:rsid w:val="00673346"/>
    <w:rsid w:val="0067336C"/>
    <w:rsid w:val="00673372"/>
    <w:rsid w:val="0067345F"/>
    <w:rsid w:val="00673772"/>
    <w:rsid w:val="00673ABC"/>
    <w:rsid w:val="00673CE3"/>
    <w:rsid w:val="00673DE0"/>
    <w:rsid w:val="00673E51"/>
    <w:rsid w:val="006740FA"/>
    <w:rsid w:val="0067420F"/>
    <w:rsid w:val="00674372"/>
    <w:rsid w:val="0067459B"/>
    <w:rsid w:val="00674774"/>
    <w:rsid w:val="006749FD"/>
    <w:rsid w:val="00674A50"/>
    <w:rsid w:val="00674CC5"/>
    <w:rsid w:val="00674D54"/>
    <w:rsid w:val="00674E2D"/>
    <w:rsid w:val="00674F98"/>
    <w:rsid w:val="00674FF3"/>
    <w:rsid w:val="00675553"/>
    <w:rsid w:val="006755BD"/>
    <w:rsid w:val="0067575F"/>
    <w:rsid w:val="006758A9"/>
    <w:rsid w:val="00675969"/>
    <w:rsid w:val="006759B2"/>
    <w:rsid w:val="00675EA7"/>
    <w:rsid w:val="00675FC4"/>
    <w:rsid w:val="006760F1"/>
    <w:rsid w:val="006761EA"/>
    <w:rsid w:val="00676339"/>
    <w:rsid w:val="006763AB"/>
    <w:rsid w:val="00676431"/>
    <w:rsid w:val="006767FC"/>
    <w:rsid w:val="00676B9F"/>
    <w:rsid w:val="00676BA0"/>
    <w:rsid w:val="00676D0B"/>
    <w:rsid w:val="00676E7C"/>
    <w:rsid w:val="00676ECD"/>
    <w:rsid w:val="00676F09"/>
    <w:rsid w:val="00676F68"/>
    <w:rsid w:val="00677029"/>
    <w:rsid w:val="0067741F"/>
    <w:rsid w:val="0067758C"/>
    <w:rsid w:val="006778D7"/>
    <w:rsid w:val="00677CDC"/>
    <w:rsid w:val="00677EE2"/>
    <w:rsid w:val="00680125"/>
    <w:rsid w:val="006805A7"/>
    <w:rsid w:val="0068066A"/>
    <w:rsid w:val="00680948"/>
    <w:rsid w:val="00680B6A"/>
    <w:rsid w:val="00680B8C"/>
    <w:rsid w:val="00680BC8"/>
    <w:rsid w:val="00680C09"/>
    <w:rsid w:val="00680D3A"/>
    <w:rsid w:val="00680E24"/>
    <w:rsid w:val="00680F36"/>
    <w:rsid w:val="00682085"/>
    <w:rsid w:val="006821AB"/>
    <w:rsid w:val="0068223F"/>
    <w:rsid w:val="00682390"/>
    <w:rsid w:val="0068244F"/>
    <w:rsid w:val="006824B3"/>
    <w:rsid w:val="0068252C"/>
    <w:rsid w:val="0068260A"/>
    <w:rsid w:val="0068298E"/>
    <w:rsid w:val="00682999"/>
    <w:rsid w:val="00682A42"/>
    <w:rsid w:val="00682C18"/>
    <w:rsid w:val="00682CDA"/>
    <w:rsid w:val="00682D27"/>
    <w:rsid w:val="00682E1B"/>
    <w:rsid w:val="00682E3D"/>
    <w:rsid w:val="00682F41"/>
    <w:rsid w:val="006830C1"/>
    <w:rsid w:val="0068366D"/>
    <w:rsid w:val="006837B4"/>
    <w:rsid w:val="00684009"/>
    <w:rsid w:val="00684277"/>
    <w:rsid w:val="00684282"/>
    <w:rsid w:val="006842FF"/>
    <w:rsid w:val="0068450C"/>
    <w:rsid w:val="00684510"/>
    <w:rsid w:val="006848FB"/>
    <w:rsid w:val="0068493F"/>
    <w:rsid w:val="00684DC7"/>
    <w:rsid w:val="00684E0B"/>
    <w:rsid w:val="00684EBB"/>
    <w:rsid w:val="00684EDC"/>
    <w:rsid w:val="00684F5B"/>
    <w:rsid w:val="0068510E"/>
    <w:rsid w:val="006851E1"/>
    <w:rsid w:val="00685275"/>
    <w:rsid w:val="00685364"/>
    <w:rsid w:val="00685421"/>
    <w:rsid w:val="006855CF"/>
    <w:rsid w:val="0068599F"/>
    <w:rsid w:val="006859B7"/>
    <w:rsid w:val="00685DE2"/>
    <w:rsid w:val="0068625F"/>
    <w:rsid w:val="0068637F"/>
    <w:rsid w:val="0068664C"/>
    <w:rsid w:val="0068673D"/>
    <w:rsid w:val="006867F2"/>
    <w:rsid w:val="0068695E"/>
    <w:rsid w:val="00686CC4"/>
    <w:rsid w:val="00686D12"/>
    <w:rsid w:val="00687E59"/>
    <w:rsid w:val="00687E61"/>
    <w:rsid w:val="006907D2"/>
    <w:rsid w:val="00690F0F"/>
    <w:rsid w:val="006914D8"/>
    <w:rsid w:val="00691851"/>
    <w:rsid w:val="00691AA8"/>
    <w:rsid w:val="00692176"/>
    <w:rsid w:val="006923B4"/>
    <w:rsid w:val="006924A4"/>
    <w:rsid w:val="006925A2"/>
    <w:rsid w:val="006925E9"/>
    <w:rsid w:val="0069290B"/>
    <w:rsid w:val="00692A53"/>
    <w:rsid w:val="00692C04"/>
    <w:rsid w:val="00692D41"/>
    <w:rsid w:val="0069354C"/>
    <w:rsid w:val="006935F7"/>
    <w:rsid w:val="00693802"/>
    <w:rsid w:val="00693941"/>
    <w:rsid w:val="00693A39"/>
    <w:rsid w:val="0069444E"/>
    <w:rsid w:val="00694843"/>
    <w:rsid w:val="006949B1"/>
    <w:rsid w:val="00694AC2"/>
    <w:rsid w:val="00694C02"/>
    <w:rsid w:val="00694EE0"/>
    <w:rsid w:val="00694FD2"/>
    <w:rsid w:val="0069524E"/>
    <w:rsid w:val="0069555C"/>
    <w:rsid w:val="00695BA9"/>
    <w:rsid w:val="00695BCA"/>
    <w:rsid w:val="00695C0A"/>
    <w:rsid w:val="00695DAE"/>
    <w:rsid w:val="00695E58"/>
    <w:rsid w:val="006961D2"/>
    <w:rsid w:val="00696322"/>
    <w:rsid w:val="00696690"/>
    <w:rsid w:val="006966BF"/>
    <w:rsid w:val="00696702"/>
    <w:rsid w:val="00696808"/>
    <w:rsid w:val="00696841"/>
    <w:rsid w:val="00696A0F"/>
    <w:rsid w:val="00696ECE"/>
    <w:rsid w:val="00696FE2"/>
    <w:rsid w:val="00697136"/>
    <w:rsid w:val="0069727A"/>
    <w:rsid w:val="00697299"/>
    <w:rsid w:val="006973BB"/>
    <w:rsid w:val="00697459"/>
    <w:rsid w:val="006974BE"/>
    <w:rsid w:val="0069754F"/>
    <w:rsid w:val="0069794B"/>
    <w:rsid w:val="00697E22"/>
    <w:rsid w:val="006A0538"/>
    <w:rsid w:val="006A0663"/>
    <w:rsid w:val="006A069D"/>
    <w:rsid w:val="006A07E0"/>
    <w:rsid w:val="006A085C"/>
    <w:rsid w:val="006A0CE6"/>
    <w:rsid w:val="006A0DEC"/>
    <w:rsid w:val="006A0F85"/>
    <w:rsid w:val="006A1015"/>
    <w:rsid w:val="006A1327"/>
    <w:rsid w:val="006A1388"/>
    <w:rsid w:val="006A1661"/>
    <w:rsid w:val="006A167C"/>
    <w:rsid w:val="006A18AC"/>
    <w:rsid w:val="006A19D8"/>
    <w:rsid w:val="006A19FC"/>
    <w:rsid w:val="006A1B23"/>
    <w:rsid w:val="006A1D59"/>
    <w:rsid w:val="006A2464"/>
    <w:rsid w:val="006A2615"/>
    <w:rsid w:val="006A2624"/>
    <w:rsid w:val="006A2780"/>
    <w:rsid w:val="006A2A2E"/>
    <w:rsid w:val="006A2C9E"/>
    <w:rsid w:val="006A2E80"/>
    <w:rsid w:val="006A2E91"/>
    <w:rsid w:val="006A343F"/>
    <w:rsid w:val="006A34FD"/>
    <w:rsid w:val="006A3963"/>
    <w:rsid w:val="006A408A"/>
    <w:rsid w:val="006A4505"/>
    <w:rsid w:val="006A466A"/>
    <w:rsid w:val="006A4753"/>
    <w:rsid w:val="006A4950"/>
    <w:rsid w:val="006A498F"/>
    <w:rsid w:val="006A49D6"/>
    <w:rsid w:val="006A5011"/>
    <w:rsid w:val="006A55EF"/>
    <w:rsid w:val="006A5925"/>
    <w:rsid w:val="006A5963"/>
    <w:rsid w:val="006A5A5C"/>
    <w:rsid w:val="006A5AC1"/>
    <w:rsid w:val="006A5CD9"/>
    <w:rsid w:val="006A6202"/>
    <w:rsid w:val="006A6C2F"/>
    <w:rsid w:val="006A70AC"/>
    <w:rsid w:val="006A710F"/>
    <w:rsid w:val="006A71E6"/>
    <w:rsid w:val="006A7218"/>
    <w:rsid w:val="006A72D9"/>
    <w:rsid w:val="006A73AF"/>
    <w:rsid w:val="006A742D"/>
    <w:rsid w:val="006A7490"/>
    <w:rsid w:val="006A7569"/>
    <w:rsid w:val="006A7737"/>
    <w:rsid w:val="006A79A8"/>
    <w:rsid w:val="006A7B95"/>
    <w:rsid w:val="006A7CC2"/>
    <w:rsid w:val="006A7D25"/>
    <w:rsid w:val="006A7E4D"/>
    <w:rsid w:val="006A7F12"/>
    <w:rsid w:val="006B01EF"/>
    <w:rsid w:val="006B035C"/>
    <w:rsid w:val="006B03A4"/>
    <w:rsid w:val="006B03AC"/>
    <w:rsid w:val="006B0502"/>
    <w:rsid w:val="006B0595"/>
    <w:rsid w:val="006B066B"/>
    <w:rsid w:val="006B079C"/>
    <w:rsid w:val="006B08CA"/>
    <w:rsid w:val="006B0A39"/>
    <w:rsid w:val="006B0B47"/>
    <w:rsid w:val="006B0E6A"/>
    <w:rsid w:val="006B10A0"/>
    <w:rsid w:val="006B11CA"/>
    <w:rsid w:val="006B1801"/>
    <w:rsid w:val="006B1805"/>
    <w:rsid w:val="006B1BF6"/>
    <w:rsid w:val="006B1D17"/>
    <w:rsid w:val="006B1D95"/>
    <w:rsid w:val="006B208F"/>
    <w:rsid w:val="006B22EA"/>
    <w:rsid w:val="006B243A"/>
    <w:rsid w:val="006B2956"/>
    <w:rsid w:val="006B2FC3"/>
    <w:rsid w:val="006B330A"/>
    <w:rsid w:val="006B3545"/>
    <w:rsid w:val="006B3618"/>
    <w:rsid w:val="006B37E0"/>
    <w:rsid w:val="006B4187"/>
    <w:rsid w:val="006B4286"/>
    <w:rsid w:val="006B45B1"/>
    <w:rsid w:val="006B46EE"/>
    <w:rsid w:val="006B4A97"/>
    <w:rsid w:val="006B4E02"/>
    <w:rsid w:val="006B4E8E"/>
    <w:rsid w:val="006B4EA2"/>
    <w:rsid w:val="006B4F14"/>
    <w:rsid w:val="006B53C7"/>
    <w:rsid w:val="006B5481"/>
    <w:rsid w:val="006B5A4D"/>
    <w:rsid w:val="006B5AB9"/>
    <w:rsid w:val="006B5EB6"/>
    <w:rsid w:val="006B5F9B"/>
    <w:rsid w:val="006B6557"/>
    <w:rsid w:val="006B6828"/>
    <w:rsid w:val="006B6923"/>
    <w:rsid w:val="006B7163"/>
    <w:rsid w:val="006B7243"/>
    <w:rsid w:val="006B7481"/>
    <w:rsid w:val="006B7772"/>
    <w:rsid w:val="006B7C01"/>
    <w:rsid w:val="006B7CC2"/>
    <w:rsid w:val="006B7FBE"/>
    <w:rsid w:val="006C0045"/>
    <w:rsid w:val="006C0126"/>
    <w:rsid w:val="006C01C4"/>
    <w:rsid w:val="006C04B2"/>
    <w:rsid w:val="006C0633"/>
    <w:rsid w:val="006C0685"/>
    <w:rsid w:val="006C089C"/>
    <w:rsid w:val="006C0B85"/>
    <w:rsid w:val="006C0BF9"/>
    <w:rsid w:val="006C0C13"/>
    <w:rsid w:val="006C0F4D"/>
    <w:rsid w:val="006C1086"/>
    <w:rsid w:val="006C10E8"/>
    <w:rsid w:val="006C14AE"/>
    <w:rsid w:val="006C16D9"/>
    <w:rsid w:val="006C16E2"/>
    <w:rsid w:val="006C19E3"/>
    <w:rsid w:val="006C1E58"/>
    <w:rsid w:val="006C1FC4"/>
    <w:rsid w:val="006C1FC7"/>
    <w:rsid w:val="006C2374"/>
    <w:rsid w:val="006C266A"/>
    <w:rsid w:val="006C2967"/>
    <w:rsid w:val="006C2C37"/>
    <w:rsid w:val="006C2C48"/>
    <w:rsid w:val="006C2CE7"/>
    <w:rsid w:val="006C2D52"/>
    <w:rsid w:val="006C3225"/>
    <w:rsid w:val="006C3724"/>
    <w:rsid w:val="006C3839"/>
    <w:rsid w:val="006C39CB"/>
    <w:rsid w:val="006C3B1B"/>
    <w:rsid w:val="006C3C37"/>
    <w:rsid w:val="006C3C9D"/>
    <w:rsid w:val="006C3EE6"/>
    <w:rsid w:val="006C3FB3"/>
    <w:rsid w:val="006C4506"/>
    <w:rsid w:val="006C46E3"/>
    <w:rsid w:val="006C4857"/>
    <w:rsid w:val="006C486B"/>
    <w:rsid w:val="006C4A56"/>
    <w:rsid w:val="006C4D6F"/>
    <w:rsid w:val="006C4DDD"/>
    <w:rsid w:val="006C4ECB"/>
    <w:rsid w:val="006C51EB"/>
    <w:rsid w:val="006C524B"/>
    <w:rsid w:val="006C54B3"/>
    <w:rsid w:val="006C5864"/>
    <w:rsid w:val="006C5952"/>
    <w:rsid w:val="006C59A5"/>
    <w:rsid w:val="006C6157"/>
    <w:rsid w:val="006C6329"/>
    <w:rsid w:val="006C6397"/>
    <w:rsid w:val="006C6470"/>
    <w:rsid w:val="006C671A"/>
    <w:rsid w:val="006C674A"/>
    <w:rsid w:val="006C6889"/>
    <w:rsid w:val="006C6910"/>
    <w:rsid w:val="006C699D"/>
    <w:rsid w:val="006C6C01"/>
    <w:rsid w:val="006C6C49"/>
    <w:rsid w:val="006C6FB8"/>
    <w:rsid w:val="006C706C"/>
    <w:rsid w:val="006C74AE"/>
    <w:rsid w:val="006C7AA6"/>
    <w:rsid w:val="006C7BC6"/>
    <w:rsid w:val="006C7F8F"/>
    <w:rsid w:val="006D00CF"/>
    <w:rsid w:val="006D0234"/>
    <w:rsid w:val="006D0371"/>
    <w:rsid w:val="006D04D2"/>
    <w:rsid w:val="006D0983"/>
    <w:rsid w:val="006D0A06"/>
    <w:rsid w:val="006D0ABD"/>
    <w:rsid w:val="006D0ACB"/>
    <w:rsid w:val="006D0AE0"/>
    <w:rsid w:val="006D0D09"/>
    <w:rsid w:val="006D1870"/>
    <w:rsid w:val="006D187A"/>
    <w:rsid w:val="006D189C"/>
    <w:rsid w:val="006D197E"/>
    <w:rsid w:val="006D199D"/>
    <w:rsid w:val="006D19A7"/>
    <w:rsid w:val="006D19E3"/>
    <w:rsid w:val="006D1C5A"/>
    <w:rsid w:val="006D1D0B"/>
    <w:rsid w:val="006D259E"/>
    <w:rsid w:val="006D2A1D"/>
    <w:rsid w:val="006D2A33"/>
    <w:rsid w:val="006D2AA9"/>
    <w:rsid w:val="006D2DF3"/>
    <w:rsid w:val="006D2F32"/>
    <w:rsid w:val="006D3556"/>
    <w:rsid w:val="006D3AEF"/>
    <w:rsid w:val="006D3B49"/>
    <w:rsid w:val="006D3D7F"/>
    <w:rsid w:val="006D3DB8"/>
    <w:rsid w:val="006D3DBC"/>
    <w:rsid w:val="006D42E9"/>
    <w:rsid w:val="006D454A"/>
    <w:rsid w:val="006D4701"/>
    <w:rsid w:val="006D4B86"/>
    <w:rsid w:val="006D4F26"/>
    <w:rsid w:val="006D5062"/>
    <w:rsid w:val="006D50B0"/>
    <w:rsid w:val="006D53B7"/>
    <w:rsid w:val="006D55F7"/>
    <w:rsid w:val="006D574C"/>
    <w:rsid w:val="006D58DB"/>
    <w:rsid w:val="006D5989"/>
    <w:rsid w:val="006D5C49"/>
    <w:rsid w:val="006D5EAF"/>
    <w:rsid w:val="006D63B8"/>
    <w:rsid w:val="006D6662"/>
    <w:rsid w:val="006D67DB"/>
    <w:rsid w:val="006D6863"/>
    <w:rsid w:val="006D68DE"/>
    <w:rsid w:val="006D6A5A"/>
    <w:rsid w:val="006D6D24"/>
    <w:rsid w:val="006D6D98"/>
    <w:rsid w:val="006D71C2"/>
    <w:rsid w:val="006D72B6"/>
    <w:rsid w:val="006D72D5"/>
    <w:rsid w:val="006D72DA"/>
    <w:rsid w:val="006D75DF"/>
    <w:rsid w:val="006D79BF"/>
    <w:rsid w:val="006E0160"/>
    <w:rsid w:val="006E04B6"/>
    <w:rsid w:val="006E0501"/>
    <w:rsid w:val="006E05CE"/>
    <w:rsid w:val="006E07FC"/>
    <w:rsid w:val="006E08A9"/>
    <w:rsid w:val="006E0A50"/>
    <w:rsid w:val="006E0CAC"/>
    <w:rsid w:val="006E0D66"/>
    <w:rsid w:val="006E0D75"/>
    <w:rsid w:val="006E0EA9"/>
    <w:rsid w:val="006E12E4"/>
    <w:rsid w:val="006E1572"/>
    <w:rsid w:val="006E16B3"/>
    <w:rsid w:val="006E1733"/>
    <w:rsid w:val="006E1C0D"/>
    <w:rsid w:val="006E1CFD"/>
    <w:rsid w:val="006E1D56"/>
    <w:rsid w:val="006E1DDF"/>
    <w:rsid w:val="006E1E2A"/>
    <w:rsid w:val="006E1E4B"/>
    <w:rsid w:val="006E1E8E"/>
    <w:rsid w:val="006E1FEC"/>
    <w:rsid w:val="006E209B"/>
    <w:rsid w:val="006E217E"/>
    <w:rsid w:val="006E21B1"/>
    <w:rsid w:val="006E21BE"/>
    <w:rsid w:val="006E228E"/>
    <w:rsid w:val="006E243A"/>
    <w:rsid w:val="006E25E1"/>
    <w:rsid w:val="006E27C9"/>
    <w:rsid w:val="006E280C"/>
    <w:rsid w:val="006E2A20"/>
    <w:rsid w:val="006E2CF7"/>
    <w:rsid w:val="006E3256"/>
    <w:rsid w:val="006E32F3"/>
    <w:rsid w:val="006E3456"/>
    <w:rsid w:val="006E3659"/>
    <w:rsid w:val="006E36DB"/>
    <w:rsid w:val="006E38A3"/>
    <w:rsid w:val="006E3901"/>
    <w:rsid w:val="006E3AFC"/>
    <w:rsid w:val="006E3BD4"/>
    <w:rsid w:val="006E4079"/>
    <w:rsid w:val="006E4A1E"/>
    <w:rsid w:val="006E4C3D"/>
    <w:rsid w:val="006E50AC"/>
    <w:rsid w:val="006E5240"/>
    <w:rsid w:val="006E52EE"/>
    <w:rsid w:val="006E585A"/>
    <w:rsid w:val="006E59DF"/>
    <w:rsid w:val="006E5A5C"/>
    <w:rsid w:val="006E5AE6"/>
    <w:rsid w:val="006E5C72"/>
    <w:rsid w:val="006E5D9C"/>
    <w:rsid w:val="006E5F66"/>
    <w:rsid w:val="006E62F9"/>
    <w:rsid w:val="006E63E9"/>
    <w:rsid w:val="006E6416"/>
    <w:rsid w:val="006E646F"/>
    <w:rsid w:val="006E665E"/>
    <w:rsid w:val="006E6F37"/>
    <w:rsid w:val="006E70CD"/>
    <w:rsid w:val="006E7326"/>
    <w:rsid w:val="006E739C"/>
    <w:rsid w:val="006E7802"/>
    <w:rsid w:val="006E79CA"/>
    <w:rsid w:val="006E7A0D"/>
    <w:rsid w:val="006E7C8C"/>
    <w:rsid w:val="006E7DE0"/>
    <w:rsid w:val="006E7FF4"/>
    <w:rsid w:val="006F0473"/>
    <w:rsid w:val="006F048D"/>
    <w:rsid w:val="006F04B6"/>
    <w:rsid w:val="006F0ABA"/>
    <w:rsid w:val="006F0BA4"/>
    <w:rsid w:val="006F0C60"/>
    <w:rsid w:val="006F0D1A"/>
    <w:rsid w:val="006F1183"/>
    <w:rsid w:val="006F1328"/>
    <w:rsid w:val="006F1675"/>
    <w:rsid w:val="006F16EF"/>
    <w:rsid w:val="006F1838"/>
    <w:rsid w:val="006F1C53"/>
    <w:rsid w:val="006F1D23"/>
    <w:rsid w:val="006F2096"/>
    <w:rsid w:val="006F25A2"/>
    <w:rsid w:val="006F286E"/>
    <w:rsid w:val="006F2932"/>
    <w:rsid w:val="006F2B3D"/>
    <w:rsid w:val="006F2BE1"/>
    <w:rsid w:val="006F2F0C"/>
    <w:rsid w:val="006F3007"/>
    <w:rsid w:val="006F3269"/>
    <w:rsid w:val="006F326A"/>
    <w:rsid w:val="006F36B0"/>
    <w:rsid w:val="006F3869"/>
    <w:rsid w:val="006F38D6"/>
    <w:rsid w:val="006F3CDE"/>
    <w:rsid w:val="006F3D1F"/>
    <w:rsid w:val="006F3DCA"/>
    <w:rsid w:val="006F4034"/>
    <w:rsid w:val="006F420C"/>
    <w:rsid w:val="006F4348"/>
    <w:rsid w:val="006F4524"/>
    <w:rsid w:val="006F471D"/>
    <w:rsid w:val="006F4A69"/>
    <w:rsid w:val="006F4BE4"/>
    <w:rsid w:val="006F4D36"/>
    <w:rsid w:val="006F4FA4"/>
    <w:rsid w:val="006F5182"/>
    <w:rsid w:val="006F51FA"/>
    <w:rsid w:val="006F549E"/>
    <w:rsid w:val="006F54DD"/>
    <w:rsid w:val="006F5628"/>
    <w:rsid w:val="006F56FE"/>
    <w:rsid w:val="006F5A43"/>
    <w:rsid w:val="006F5AE4"/>
    <w:rsid w:val="006F5E0C"/>
    <w:rsid w:val="006F5E50"/>
    <w:rsid w:val="006F5F7C"/>
    <w:rsid w:val="006F6185"/>
    <w:rsid w:val="006F62F7"/>
    <w:rsid w:val="006F6382"/>
    <w:rsid w:val="006F64C2"/>
    <w:rsid w:val="006F662D"/>
    <w:rsid w:val="006F66C2"/>
    <w:rsid w:val="006F676E"/>
    <w:rsid w:val="006F67F6"/>
    <w:rsid w:val="006F683E"/>
    <w:rsid w:val="006F68D1"/>
    <w:rsid w:val="006F6A0B"/>
    <w:rsid w:val="006F6B1B"/>
    <w:rsid w:val="006F6B86"/>
    <w:rsid w:val="006F6D11"/>
    <w:rsid w:val="006F6DFA"/>
    <w:rsid w:val="006F6EB5"/>
    <w:rsid w:val="006F70CB"/>
    <w:rsid w:val="006F77C6"/>
    <w:rsid w:val="006F782B"/>
    <w:rsid w:val="006F784C"/>
    <w:rsid w:val="006F7B05"/>
    <w:rsid w:val="006F7BEF"/>
    <w:rsid w:val="0070009C"/>
    <w:rsid w:val="00700298"/>
    <w:rsid w:val="007003DD"/>
    <w:rsid w:val="00700446"/>
    <w:rsid w:val="0070057E"/>
    <w:rsid w:val="0070076D"/>
    <w:rsid w:val="00700CC3"/>
    <w:rsid w:val="00700D52"/>
    <w:rsid w:val="00700D97"/>
    <w:rsid w:val="00700E94"/>
    <w:rsid w:val="00700F3B"/>
    <w:rsid w:val="00701005"/>
    <w:rsid w:val="007010C0"/>
    <w:rsid w:val="00701157"/>
    <w:rsid w:val="0070127C"/>
    <w:rsid w:val="007013B3"/>
    <w:rsid w:val="00701571"/>
    <w:rsid w:val="007016D8"/>
    <w:rsid w:val="00701846"/>
    <w:rsid w:val="00701A49"/>
    <w:rsid w:val="00701C1E"/>
    <w:rsid w:val="00701DCB"/>
    <w:rsid w:val="007020CD"/>
    <w:rsid w:val="00702167"/>
    <w:rsid w:val="00702243"/>
    <w:rsid w:val="00702892"/>
    <w:rsid w:val="00702D18"/>
    <w:rsid w:val="00703219"/>
    <w:rsid w:val="007035BF"/>
    <w:rsid w:val="007037FB"/>
    <w:rsid w:val="00703C89"/>
    <w:rsid w:val="00703F0C"/>
    <w:rsid w:val="0070408F"/>
    <w:rsid w:val="00704113"/>
    <w:rsid w:val="007041A9"/>
    <w:rsid w:val="00704A40"/>
    <w:rsid w:val="00704B61"/>
    <w:rsid w:val="00704C7B"/>
    <w:rsid w:val="00704D17"/>
    <w:rsid w:val="00704D1C"/>
    <w:rsid w:val="00704D63"/>
    <w:rsid w:val="00705052"/>
    <w:rsid w:val="0070533D"/>
    <w:rsid w:val="00705365"/>
    <w:rsid w:val="00705443"/>
    <w:rsid w:val="007054F4"/>
    <w:rsid w:val="007059AE"/>
    <w:rsid w:val="0070645B"/>
    <w:rsid w:val="007064C3"/>
    <w:rsid w:val="007065F1"/>
    <w:rsid w:val="00706717"/>
    <w:rsid w:val="00706C7B"/>
    <w:rsid w:val="00707011"/>
    <w:rsid w:val="0070725A"/>
    <w:rsid w:val="00707394"/>
    <w:rsid w:val="007073F8"/>
    <w:rsid w:val="00707639"/>
    <w:rsid w:val="007077F9"/>
    <w:rsid w:val="00707BD6"/>
    <w:rsid w:val="00707CAE"/>
    <w:rsid w:val="00710098"/>
    <w:rsid w:val="0071009E"/>
    <w:rsid w:val="00710139"/>
    <w:rsid w:val="007104B8"/>
    <w:rsid w:val="007106DD"/>
    <w:rsid w:val="007106F9"/>
    <w:rsid w:val="00710703"/>
    <w:rsid w:val="00710B73"/>
    <w:rsid w:val="00710CC0"/>
    <w:rsid w:val="00710CFE"/>
    <w:rsid w:val="00710D46"/>
    <w:rsid w:val="00710DB2"/>
    <w:rsid w:val="00710E6C"/>
    <w:rsid w:val="00710F29"/>
    <w:rsid w:val="007112A9"/>
    <w:rsid w:val="007113D1"/>
    <w:rsid w:val="00711530"/>
    <w:rsid w:val="00711549"/>
    <w:rsid w:val="0071188B"/>
    <w:rsid w:val="00711897"/>
    <w:rsid w:val="007118A5"/>
    <w:rsid w:val="00711AE9"/>
    <w:rsid w:val="00711D95"/>
    <w:rsid w:val="007121BD"/>
    <w:rsid w:val="00712201"/>
    <w:rsid w:val="007122D4"/>
    <w:rsid w:val="007122E5"/>
    <w:rsid w:val="007123B9"/>
    <w:rsid w:val="00712427"/>
    <w:rsid w:val="007124DC"/>
    <w:rsid w:val="00712643"/>
    <w:rsid w:val="00712964"/>
    <w:rsid w:val="00712BE9"/>
    <w:rsid w:val="00712C2A"/>
    <w:rsid w:val="00712F3F"/>
    <w:rsid w:val="00713285"/>
    <w:rsid w:val="00713573"/>
    <w:rsid w:val="0071368A"/>
    <w:rsid w:val="007137E1"/>
    <w:rsid w:val="00713D21"/>
    <w:rsid w:val="00713D93"/>
    <w:rsid w:val="00713DAA"/>
    <w:rsid w:val="00713FAB"/>
    <w:rsid w:val="00714201"/>
    <w:rsid w:val="0071423D"/>
    <w:rsid w:val="007143A7"/>
    <w:rsid w:val="0071441C"/>
    <w:rsid w:val="007144E0"/>
    <w:rsid w:val="00714932"/>
    <w:rsid w:val="00714C8C"/>
    <w:rsid w:val="00714D27"/>
    <w:rsid w:val="00714ED0"/>
    <w:rsid w:val="00714F80"/>
    <w:rsid w:val="007151AC"/>
    <w:rsid w:val="007153CF"/>
    <w:rsid w:val="0071543A"/>
    <w:rsid w:val="00715692"/>
    <w:rsid w:val="0071569A"/>
    <w:rsid w:val="00715ADD"/>
    <w:rsid w:val="00715F09"/>
    <w:rsid w:val="00716031"/>
    <w:rsid w:val="007163D1"/>
    <w:rsid w:val="00716631"/>
    <w:rsid w:val="0071683D"/>
    <w:rsid w:val="00716A87"/>
    <w:rsid w:val="00716AC6"/>
    <w:rsid w:val="00716D3D"/>
    <w:rsid w:val="00716DB7"/>
    <w:rsid w:val="00716FF2"/>
    <w:rsid w:val="00717143"/>
    <w:rsid w:val="007171F6"/>
    <w:rsid w:val="00717269"/>
    <w:rsid w:val="00717943"/>
    <w:rsid w:val="00717A81"/>
    <w:rsid w:val="00717AA3"/>
    <w:rsid w:val="00717B45"/>
    <w:rsid w:val="00717C54"/>
    <w:rsid w:val="00717CB4"/>
    <w:rsid w:val="00717EDC"/>
    <w:rsid w:val="00717F81"/>
    <w:rsid w:val="007203A1"/>
    <w:rsid w:val="00720473"/>
    <w:rsid w:val="00720A65"/>
    <w:rsid w:val="00720EE6"/>
    <w:rsid w:val="00720F6E"/>
    <w:rsid w:val="0072110E"/>
    <w:rsid w:val="00721243"/>
    <w:rsid w:val="00721392"/>
    <w:rsid w:val="00721487"/>
    <w:rsid w:val="007215D4"/>
    <w:rsid w:val="007215E8"/>
    <w:rsid w:val="00721774"/>
    <w:rsid w:val="007217E7"/>
    <w:rsid w:val="007218A3"/>
    <w:rsid w:val="00721BF0"/>
    <w:rsid w:val="00721CFB"/>
    <w:rsid w:val="00721E6E"/>
    <w:rsid w:val="00721F62"/>
    <w:rsid w:val="00721F9D"/>
    <w:rsid w:val="0072222B"/>
    <w:rsid w:val="00722665"/>
    <w:rsid w:val="00722730"/>
    <w:rsid w:val="0072302E"/>
    <w:rsid w:val="00723151"/>
    <w:rsid w:val="0072324E"/>
    <w:rsid w:val="0072326E"/>
    <w:rsid w:val="00723437"/>
    <w:rsid w:val="007234D6"/>
    <w:rsid w:val="0072363D"/>
    <w:rsid w:val="00723705"/>
    <w:rsid w:val="00723E72"/>
    <w:rsid w:val="00723FB5"/>
    <w:rsid w:val="00723FDD"/>
    <w:rsid w:val="00724443"/>
    <w:rsid w:val="0072448D"/>
    <w:rsid w:val="007244E5"/>
    <w:rsid w:val="00724708"/>
    <w:rsid w:val="00724D92"/>
    <w:rsid w:val="00724DED"/>
    <w:rsid w:val="00724EE2"/>
    <w:rsid w:val="00725297"/>
    <w:rsid w:val="0072533A"/>
    <w:rsid w:val="0072571A"/>
    <w:rsid w:val="0072595A"/>
    <w:rsid w:val="00725CBC"/>
    <w:rsid w:val="00725D11"/>
    <w:rsid w:val="00725EE8"/>
    <w:rsid w:val="0072600F"/>
    <w:rsid w:val="00726088"/>
    <w:rsid w:val="007264FB"/>
    <w:rsid w:val="007266F0"/>
    <w:rsid w:val="007267C9"/>
    <w:rsid w:val="00726ACF"/>
    <w:rsid w:val="00726D0D"/>
    <w:rsid w:val="0072758F"/>
    <w:rsid w:val="007279E6"/>
    <w:rsid w:val="00727CF0"/>
    <w:rsid w:val="00727D12"/>
    <w:rsid w:val="00730251"/>
    <w:rsid w:val="00730260"/>
    <w:rsid w:val="00730832"/>
    <w:rsid w:val="00730A1C"/>
    <w:rsid w:val="00730BFE"/>
    <w:rsid w:val="0073136D"/>
    <w:rsid w:val="007313A8"/>
    <w:rsid w:val="00731625"/>
    <w:rsid w:val="00731847"/>
    <w:rsid w:val="00731A4B"/>
    <w:rsid w:val="00731B9D"/>
    <w:rsid w:val="00731E67"/>
    <w:rsid w:val="00731FF1"/>
    <w:rsid w:val="00732148"/>
    <w:rsid w:val="0073214B"/>
    <w:rsid w:val="007324F3"/>
    <w:rsid w:val="0073263A"/>
    <w:rsid w:val="00732A9F"/>
    <w:rsid w:val="00732C43"/>
    <w:rsid w:val="0073322E"/>
    <w:rsid w:val="007332F9"/>
    <w:rsid w:val="00733518"/>
    <w:rsid w:val="0073372F"/>
    <w:rsid w:val="00733B83"/>
    <w:rsid w:val="00733BC9"/>
    <w:rsid w:val="007345D4"/>
    <w:rsid w:val="00734627"/>
    <w:rsid w:val="0073467E"/>
    <w:rsid w:val="00734BF8"/>
    <w:rsid w:val="00735164"/>
    <w:rsid w:val="007355A0"/>
    <w:rsid w:val="007357FE"/>
    <w:rsid w:val="00735812"/>
    <w:rsid w:val="00735C85"/>
    <w:rsid w:val="00735CBC"/>
    <w:rsid w:val="007365C8"/>
    <w:rsid w:val="00736658"/>
    <w:rsid w:val="00736B41"/>
    <w:rsid w:val="007370B0"/>
    <w:rsid w:val="0073717B"/>
    <w:rsid w:val="007371B8"/>
    <w:rsid w:val="007371FF"/>
    <w:rsid w:val="00737374"/>
    <w:rsid w:val="0073747C"/>
    <w:rsid w:val="0073751A"/>
    <w:rsid w:val="0073751E"/>
    <w:rsid w:val="00737794"/>
    <w:rsid w:val="00737A7D"/>
    <w:rsid w:val="00737B39"/>
    <w:rsid w:val="00737B3F"/>
    <w:rsid w:val="00737B5D"/>
    <w:rsid w:val="00737D30"/>
    <w:rsid w:val="00737E46"/>
    <w:rsid w:val="00740065"/>
    <w:rsid w:val="0074011B"/>
    <w:rsid w:val="0074043D"/>
    <w:rsid w:val="0074061D"/>
    <w:rsid w:val="00740817"/>
    <w:rsid w:val="0074083F"/>
    <w:rsid w:val="0074090F"/>
    <w:rsid w:val="00740C7B"/>
    <w:rsid w:val="00740F97"/>
    <w:rsid w:val="00741252"/>
    <w:rsid w:val="00741297"/>
    <w:rsid w:val="007413A2"/>
    <w:rsid w:val="00741407"/>
    <w:rsid w:val="00741628"/>
    <w:rsid w:val="007416F5"/>
    <w:rsid w:val="0074196F"/>
    <w:rsid w:val="00741A5B"/>
    <w:rsid w:val="00741ECD"/>
    <w:rsid w:val="00741F67"/>
    <w:rsid w:val="0074220B"/>
    <w:rsid w:val="0074242D"/>
    <w:rsid w:val="0074246C"/>
    <w:rsid w:val="00742BB0"/>
    <w:rsid w:val="00742C70"/>
    <w:rsid w:val="00742D3F"/>
    <w:rsid w:val="00742EA0"/>
    <w:rsid w:val="00742FE8"/>
    <w:rsid w:val="00743116"/>
    <w:rsid w:val="007433E1"/>
    <w:rsid w:val="0074375F"/>
    <w:rsid w:val="00743BF0"/>
    <w:rsid w:val="00743E35"/>
    <w:rsid w:val="00743F11"/>
    <w:rsid w:val="00743F74"/>
    <w:rsid w:val="0074400E"/>
    <w:rsid w:val="00744110"/>
    <w:rsid w:val="0074454C"/>
    <w:rsid w:val="00744728"/>
    <w:rsid w:val="00744871"/>
    <w:rsid w:val="0074499F"/>
    <w:rsid w:val="00744BF8"/>
    <w:rsid w:val="00744C73"/>
    <w:rsid w:val="007452B2"/>
    <w:rsid w:val="007452E5"/>
    <w:rsid w:val="007456A4"/>
    <w:rsid w:val="007458A7"/>
    <w:rsid w:val="00745990"/>
    <w:rsid w:val="00745A10"/>
    <w:rsid w:val="00746041"/>
    <w:rsid w:val="00746119"/>
    <w:rsid w:val="0074619A"/>
    <w:rsid w:val="00746329"/>
    <w:rsid w:val="00746334"/>
    <w:rsid w:val="00746335"/>
    <w:rsid w:val="0074664D"/>
    <w:rsid w:val="00746817"/>
    <w:rsid w:val="007468DC"/>
    <w:rsid w:val="0074690B"/>
    <w:rsid w:val="00746A5E"/>
    <w:rsid w:val="00746BC7"/>
    <w:rsid w:val="00746DCD"/>
    <w:rsid w:val="00746E42"/>
    <w:rsid w:val="00746E7E"/>
    <w:rsid w:val="00746FED"/>
    <w:rsid w:val="007471AE"/>
    <w:rsid w:val="007471BB"/>
    <w:rsid w:val="0074723D"/>
    <w:rsid w:val="00747410"/>
    <w:rsid w:val="007474E0"/>
    <w:rsid w:val="00747998"/>
    <w:rsid w:val="00747B7D"/>
    <w:rsid w:val="00747C5D"/>
    <w:rsid w:val="00747D0C"/>
    <w:rsid w:val="00747D14"/>
    <w:rsid w:val="00750271"/>
    <w:rsid w:val="00750385"/>
    <w:rsid w:val="007505CB"/>
    <w:rsid w:val="00750891"/>
    <w:rsid w:val="0075099B"/>
    <w:rsid w:val="007509F7"/>
    <w:rsid w:val="00750C51"/>
    <w:rsid w:val="00750F1B"/>
    <w:rsid w:val="007510AF"/>
    <w:rsid w:val="007514AA"/>
    <w:rsid w:val="0075177D"/>
    <w:rsid w:val="00751DB7"/>
    <w:rsid w:val="00751F7D"/>
    <w:rsid w:val="00752157"/>
    <w:rsid w:val="00752178"/>
    <w:rsid w:val="0075226C"/>
    <w:rsid w:val="0075238C"/>
    <w:rsid w:val="007526BD"/>
    <w:rsid w:val="0075289D"/>
    <w:rsid w:val="0075290F"/>
    <w:rsid w:val="00752BCB"/>
    <w:rsid w:val="00752D0C"/>
    <w:rsid w:val="00752E1B"/>
    <w:rsid w:val="00752EC5"/>
    <w:rsid w:val="00753166"/>
    <w:rsid w:val="0075325E"/>
    <w:rsid w:val="00753536"/>
    <w:rsid w:val="00753775"/>
    <w:rsid w:val="0075381B"/>
    <w:rsid w:val="00753964"/>
    <w:rsid w:val="007539DE"/>
    <w:rsid w:val="00753A46"/>
    <w:rsid w:val="00753F81"/>
    <w:rsid w:val="00753F84"/>
    <w:rsid w:val="00753FA8"/>
    <w:rsid w:val="00754185"/>
    <w:rsid w:val="007541CA"/>
    <w:rsid w:val="007542EA"/>
    <w:rsid w:val="0075430A"/>
    <w:rsid w:val="007543AC"/>
    <w:rsid w:val="0075473B"/>
    <w:rsid w:val="007547B3"/>
    <w:rsid w:val="0075485B"/>
    <w:rsid w:val="00754A56"/>
    <w:rsid w:val="00754ABE"/>
    <w:rsid w:val="00754C47"/>
    <w:rsid w:val="00754C9C"/>
    <w:rsid w:val="00754E32"/>
    <w:rsid w:val="00755221"/>
    <w:rsid w:val="00755945"/>
    <w:rsid w:val="00755B44"/>
    <w:rsid w:val="00755B83"/>
    <w:rsid w:val="00755DD5"/>
    <w:rsid w:val="00755E7B"/>
    <w:rsid w:val="00755EED"/>
    <w:rsid w:val="007561CA"/>
    <w:rsid w:val="00756308"/>
    <w:rsid w:val="007568CF"/>
    <w:rsid w:val="007568DD"/>
    <w:rsid w:val="00756CCB"/>
    <w:rsid w:val="00756F2B"/>
    <w:rsid w:val="0075725B"/>
    <w:rsid w:val="0075735D"/>
    <w:rsid w:val="0075754B"/>
    <w:rsid w:val="00757611"/>
    <w:rsid w:val="0075762E"/>
    <w:rsid w:val="00757ADA"/>
    <w:rsid w:val="00757DF0"/>
    <w:rsid w:val="00757E62"/>
    <w:rsid w:val="00757ED0"/>
    <w:rsid w:val="00757F0A"/>
    <w:rsid w:val="00757F27"/>
    <w:rsid w:val="00757FCC"/>
    <w:rsid w:val="0076022A"/>
    <w:rsid w:val="007602EE"/>
    <w:rsid w:val="00760534"/>
    <w:rsid w:val="00760719"/>
    <w:rsid w:val="00760BC6"/>
    <w:rsid w:val="00760C2C"/>
    <w:rsid w:val="00760E50"/>
    <w:rsid w:val="007610E2"/>
    <w:rsid w:val="0076120F"/>
    <w:rsid w:val="00761257"/>
    <w:rsid w:val="00761307"/>
    <w:rsid w:val="00761308"/>
    <w:rsid w:val="00761409"/>
    <w:rsid w:val="00761533"/>
    <w:rsid w:val="00761591"/>
    <w:rsid w:val="007616AE"/>
    <w:rsid w:val="007616FD"/>
    <w:rsid w:val="007619F6"/>
    <w:rsid w:val="00761B9B"/>
    <w:rsid w:val="00761C0A"/>
    <w:rsid w:val="00762461"/>
    <w:rsid w:val="00762482"/>
    <w:rsid w:val="007627B9"/>
    <w:rsid w:val="007627CF"/>
    <w:rsid w:val="00762C49"/>
    <w:rsid w:val="00762E83"/>
    <w:rsid w:val="00762F01"/>
    <w:rsid w:val="00763023"/>
    <w:rsid w:val="00763109"/>
    <w:rsid w:val="007632C9"/>
    <w:rsid w:val="00763A1C"/>
    <w:rsid w:val="00763F10"/>
    <w:rsid w:val="0076413A"/>
    <w:rsid w:val="00764148"/>
    <w:rsid w:val="007641CE"/>
    <w:rsid w:val="00764346"/>
    <w:rsid w:val="00764938"/>
    <w:rsid w:val="007649C9"/>
    <w:rsid w:val="007651C5"/>
    <w:rsid w:val="0076547A"/>
    <w:rsid w:val="00765714"/>
    <w:rsid w:val="007657C8"/>
    <w:rsid w:val="007658EF"/>
    <w:rsid w:val="00765AC8"/>
    <w:rsid w:val="00765B0A"/>
    <w:rsid w:val="00765C16"/>
    <w:rsid w:val="00765C7A"/>
    <w:rsid w:val="0076608C"/>
    <w:rsid w:val="0076642F"/>
    <w:rsid w:val="00766434"/>
    <w:rsid w:val="007665EC"/>
    <w:rsid w:val="00766FF5"/>
    <w:rsid w:val="00767029"/>
    <w:rsid w:val="0076718F"/>
    <w:rsid w:val="007673E4"/>
    <w:rsid w:val="00767484"/>
    <w:rsid w:val="00767AE7"/>
    <w:rsid w:val="00767B1D"/>
    <w:rsid w:val="00767D6F"/>
    <w:rsid w:val="00767F46"/>
    <w:rsid w:val="00767F6B"/>
    <w:rsid w:val="00771006"/>
    <w:rsid w:val="00771084"/>
    <w:rsid w:val="00771461"/>
    <w:rsid w:val="00771565"/>
    <w:rsid w:val="00771635"/>
    <w:rsid w:val="00771661"/>
    <w:rsid w:val="0077192B"/>
    <w:rsid w:val="007719BA"/>
    <w:rsid w:val="00771C81"/>
    <w:rsid w:val="00771C8E"/>
    <w:rsid w:val="0077229C"/>
    <w:rsid w:val="0077243E"/>
    <w:rsid w:val="007725E7"/>
    <w:rsid w:val="007727F1"/>
    <w:rsid w:val="0077284C"/>
    <w:rsid w:val="007729A9"/>
    <w:rsid w:val="00772A42"/>
    <w:rsid w:val="00772B28"/>
    <w:rsid w:val="00772C73"/>
    <w:rsid w:val="00772C99"/>
    <w:rsid w:val="00772D3A"/>
    <w:rsid w:val="00772E9A"/>
    <w:rsid w:val="00773076"/>
    <w:rsid w:val="00773081"/>
    <w:rsid w:val="007731C5"/>
    <w:rsid w:val="00773752"/>
    <w:rsid w:val="00773988"/>
    <w:rsid w:val="00773AF4"/>
    <w:rsid w:val="00773D69"/>
    <w:rsid w:val="00773E77"/>
    <w:rsid w:val="00773F6D"/>
    <w:rsid w:val="0077406D"/>
    <w:rsid w:val="0077411C"/>
    <w:rsid w:val="0077447F"/>
    <w:rsid w:val="007745FB"/>
    <w:rsid w:val="00774BEF"/>
    <w:rsid w:val="00774D01"/>
    <w:rsid w:val="0077519A"/>
    <w:rsid w:val="0077531D"/>
    <w:rsid w:val="007754B5"/>
    <w:rsid w:val="007755CE"/>
    <w:rsid w:val="007757B1"/>
    <w:rsid w:val="00775A0F"/>
    <w:rsid w:val="00775E81"/>
    <w:rsid w:val="00775F87"/>
    <w:rsid w:val="00775FF1"/>
    <w:rsid w:val="00776226"/>
    <w:rsid w:val="00776664"/>
    <w:rsid w:val="00776E6E"/>
    <w:rsid w:val="00776F81"/>
    <w:rsid w:val="007770D7"/>
    <w:rsid w:val="00777133"/>
    <w:rsid w:val="0077775C"/>
    <w:rsid w:val="00777BB3"/>
    <w:rsid w:val="00777C8A"/>
    <w:rsid w:val="00777EB8"/>
    <w:rsid w:val="0078005F"/>
    <w:rsid w:val="0078021E"/>
    <w:rsid w:val="007802E1"/>
    <w:rsid w:val="007802F8"/>
    <w:rsid w:val="0078041D"/>
    <w:rsid w:val="0078044B"/>
    <w:rsid w:val="00780493"/>
    <w:rsid w:val="00780858"/>
    <w:rsid w:val="007808E8"/>
    <w:rsid w:val="00780D1B"/>
    <w:rsid w:val="00781001"/>
    <w:rsid w:val="0078117D"/>
    <w:rsid w:val="007814E0"/>
    <w:rsid w:val="0078157F"/>
    <w:rsid w:val="00781BAD"/>
    <w:rsid w:val="00781C81"/>
    <w:rsid w:val="007825CD"/>
    <w:rsid w:val="00782689"/>
    <w:rsid w:val="00782880"/>
    <w:rsid w:val="00782A84"/>
    <w:rsid w:val="00782BB6"/>
    <w:rsid w:val="00782C48"/>
    <w:rsid w:val="00782E38"/>
    <w:rsid w:val="00782F53"/>
    <w:rsid w:val="00783448"/>
    <w:rsid w:val="007835E9"/>
    <w:rsid w:val="00783A39"/>
    <w:rsid w:val="00783D27"/>
    <w:rsid w:val="00783EE4"/>
    <w:rsid w:val="00784133"/>
    <w:rsid w:val="00784141"/>
    <w:rsid w:val="0078432D"/>
    <w:rsid w:val="007844EC"/>
    <w:rsid w:val="007846AD"/>
    <w:rsid w:val="0078472F"/>
    <w:rsid w:val="0078476A"/>
    <w:rsid w:val="00784BE3"/>
    <w:rsid w:val="00784DD9"/>
    <w:rsid w:val="00784EA4"/>
    <w:rsid w:val="00784F93"/>
    <w:rsid w:val="00784FE6"/>
    <w:rsid w:val="00784FFE"/>
    <w:rsid w:val="007856C6"/>
    <w:rsid w:val="00785C0E"/>
    <w:rsid w:val="00785C61"/>
    <w:rsid w:val="00785DF8"/>
    <w:rsid w:val="00785F8D"/>
    <w:rsid w:val="007866AF"/>
    <w:rsid w:val="00786901"/>
    <w:rsid w:val="00786AB6"/>
    <w:rsid w:val="00786BE3"/>
    <w:rsid w:val="00786EC1"/>
    <w:rsid w:val="00786EDF"/>
    <w:rsid w:val="00787220"/>
    <w:rsid w:val="00787BD3"/>
    <w:rsid w:val="00787C8A"/>
    <w:rsid w:val="00787CB6"/>
    <w:rsid w:val="00787DD0"/>
    <w:rsid w:val="00787DD8"/>
    <w:rsid w:val="00787F2E"/>
    <w:rsid w:val="00790021"/>
    <w:rsid w:val="00790130"/>
    <w:rsid w:val="0079034E"/>
    <w:rsid w:val="00790442"/>
    <w:rsid w:val="00790873"/>
    <w:rsid w:val="00790932"/>
    <w:rsid w:val="00790AA1"/>
    <w:rsid w:val="00790B33"/>
    <w:rsid w:val="00790C5E"/>
    <w:rsid w:val="007910B5"/>
    <w:rsid w:val="007913EA"/>
    <w:rsid w:val="007913FD"/>
    <w:rsid w:val="007917DE"/>
    <w:rsid w:val="0079188A"/>
    <w:rsid w:val="00791C39"/>
    <w:rsid w:val="00791C57"/>
    <w:rsid w:val="00791C5E"/>
    <w:rsid w:val="00792177"/>
    <w:rsid w:val="00792E03"/>
    <w:rsid w:val="0079312C"/>
    <w:rsid w:val="0079312E"/>
    <w:rsid w:val="00793628"/>
    <w:rsid w:val="00793EB0"/>
    <w:rsid w:val="00793F65"/>
    <w:rsid w:val="00794474"/>
    <w:rsid w:val="007944A6"/>
    <w:rsid w:val="007947A2"/>
    <w:rsid w:val="00794BB1"/>
    <w:rsid w:val="00794EAD"/>
    <w:rsid w:val="00794FA2"/>
    <w:rsid w:val="00794FF9"/>
    <w:rsid w:val="00795060"/>
    <w:rsid w:val="00795079"/>
    <w:rsid w:val="007951F0"/>
    <w:rsid w:val="007952C1"/>
    <w:rsid w:val="0079531E"/>
    <w:rsid w:val="00795535"/>
    <w:rsid w:val="00795614"/>
    <w:rsid w:val="00795A73"/>
    <w:rsid w:val="00795AA1"/>
    <w:rsid w:val="00795C02"/>
    <w:rsid w:val="00795C03"/>
    <w:rsid w:val="00796122"/>
    <w:rsid w:val="00796443"/>
    <w:rsid w:val="007964D6"/>
    <w:rsid w:val="00796592"/>
    <w:rsid w:val="0079669E"/>
    <w:rsid w:val="00796790"/>
    <w:rsid w:val="007967C8"/>
    <w:rsid w:val="007968BE"/>
    <w:rsid w:val="00796995"/>
    <w:rsid w:val="00796BA6"/>
    <w:rsid w:val="00796D55"/>
    <w:rsid w:val="00796F4C"/>
    <w:rsid w:val="0079722D"/>
    <w:rsid w:val="00797418"/>
    <w:rsid w:val="0079770B"/>
    <w:rsid w:val="00797961"/>
    <w:rsid w:val="00797985"/>
    <w:rsid w:val="00797A4E"/>
    <w:rsid w:val="00797FCE"/>
    <w:rsid w:val="007A006A"/>
    <w:rsid w:val="007A04AD"/>
    <w:rsid w:val="007A053D"/>
    <w:rsid w:val="007A063B"/>
    <w:rsid w:val="007A074D"/>
    <w:rsid w:val="007A0829"/>
    <w:rsid w:val="007A0839"/>
    <w:rsid w:val="007A0855"/>
    <w:rsid w:val="007A09E1"/>
    <w:rsid w:val="007A0A1A"/>
    <w:rsid w:val="007A0B11"/>
    <w:rsid w:val="007A0CE7"/>
    <w:rsid w:val="007A0DB0"/>
    <w:rsid w:val="007A0F18"/>
    <w:rsid w:val="007A15A5"/>
    <w:rsid w:val="007A165A"/>
    <w:rsid w:val="007A1B07"/>
    <w:rsid w:val="007A23C9"/>
    <w:rsid w:val="007A240B"/>
    <w:rsid w:val="007A27B1"/>
    <w:rsid w:val="007A27D0"/>
    <w:rsid w:val="007A28D3"/>
    <w:rsid w:val="007A2985"/>
    <w:rsid w:val="007A2BFD"/>
    <w:rsid w:val="007A2E7D"/>
    <w:rsid w:val="007A302F"/>
    <w:rsid w:val="007A3084"/>
    <w:rsid w:val="007A3125"/>
    <w:rsid w:val="007A335C"/>
    <w:rsid w:val="007A3579"/>
    <w:rsid w:val="007A372F"/>
    <w:rsid w:val="007A3C55"/>
    <w:rsid w:val="007A3CD2"/>
    <w:rsid w:val="007A3F34"/>
    <w:rsid w:val="007A403C"/>
    <w:rsid w:val="007A415A"/>
    <w:rsid w:val="007A42B8"/>
    <w:rsid w:val="007A4324"/>
    <w:rsid w:val="007A43BA"/>
    <w:rsid w:val="007A4456"/>
    <w:rsid w:val="007A456A"/>
    <w:rsid w:val="007A4572"/>
    <w:rsid w:val="007A4816"/>
    <w:rsid w:val="007A4964"/>
    <w:rsid w:val="007A4B36"/>
    <w:rsid w:val="007A4C0E"/>
    <w:rsid w:val="007A4D1B"/>
    <w:rsid w:val="007A4F3A"/>
    <w:rsid w:val="007A4FCE"/>
    <w:rsid w:val="007A50B1"/>
    <w:rsid w:val="007A512F"/>
    <w:rsid w:val="007A520B"/>
    <w:rsid w:val="007A5263"/>
    <w:rsid w:val="007A53BB"/>
    <w:rsid w:val="007A54CB"/>
    <w:rsid w:val="007A5995"/>
    <w:rsid w:val="007A5ACE"/>
    <w:rsid w:val="007A5ADE"/>
    <w:rsid w:val="007A5C1B"/>
    <w:rsid w:val="007A5C8B"/>
    <w:rsid w:val="007A5D5D"/>
    <w:rsid w:val="007A5D5E"/>
    <w:rsid w:val="007A5DE4"/>
    <w:rsid w:val="007A60A1"/>
    <w:rsid w:val="007A60AE"/>
    <w:rsid w:val="007A62DB"/>
    <w:rsid w:val="007A6817"/>
    <w:rsid w:val="007A68A8"/>
    <w:rsid w:val="007A6911"/>
    <w:rsid w:val="007A69E0"/>
    <w:rsid w:val="007A6B5E"/>
    <w:rsid w:val="007A6C0B"/>
    <w:rsid w:val="007A6C66"/>
    <w:rsid w:val="007A71FE"/>
    <w:rsid w:val="007A72FC"/>
    <w:rsid w:val="007A73AD"/>
    <w:rsid w:val="007A7553"/>
    <w:rsid w:val="007A7575"/>
    <w:rsid w:val="007A7663"/>
    <w:rsid w:val="007A7705"/>
    <w:rsid w:val="007B04BE"/>
    <w:rsid w:val="007B06EF"/>
    <w:rsid w:val="007B085F"/>
    <w:rsid w:val="007B0A1B"/>
    <w:rsid w:val="007B0F44"/>
    <w:rsid w:val="007B1103"/>
    <w:rsid w:val="007B1247"/>
    <w:rsid w:val="007B12E1"/>
    <w:rsid w:val="007B2183"/>
    <w:rsid w:val="007B21A2"/>
    <w:rsid w:val="007B228C"/>
    <w:rsid w:val="007B2455"/>
    <w:rsid w:val="007B2509"/>
    <w:rsid w:val="007B253D"/>
    <w:rsid w:val="007B25A0"/>
    <w:rsid w:val="007B2709"/>
    <w:rsid w:val="007B2BBC"/>
    <w:rsid w:val="007B2C82"/>
    <w:rsid w:val="007B2CFC"/>
    <w:rsid w:val="007B2D11"/>
    <w:rsid w:val="007B3565"/>
    <w:rsid w:val="007B37F7"/>
    <w:rsid w:val="007B3844"/>
    <w:rsid w:val="007B3ACC"/>
    <w:rsid w:val="007B3ADE"/>
    <w:rsid w:val="007B3D37"/>
    <w:rsid w:val="007B3D85"/>
    <w:rsid w:val="007B3DC7"/>
    <w:rsid w:val="007B3E10"/>
    <w:rsid w:val="007B4182"/>
    <w:rsid w:val="007B4217"/>
    <w:rsid w:val="007B4439"/>
    <w:rsid w:val="007B44CD"/>
    <w:rsid w:val="007B46C6"/>
    <w:rsid w:val="007B4770"/>
    <w:rsid w:val="007B4AC8"/>
    <w:rsid w:val="007B4C08"/>
    <w:rsid w:val="007B4C17"/>
    <w:rsid w:val="007B4CFF"/>
    <w:rsid w:val="007B4FD1"/>
    <w:rsid w:val="007B50D5"/>
    <w:rsid w:val="007B51E1"/>
    <w:rsid w:val="007B52BA"/>
    <w:rsid w:val="007B5304"/>
    <w:rsid w:val="007B555F"/>
    <w:rsid w:val="007B5856"/>
    <w:rsid w:val="007B5B88"/>
    <w:rsid w:val="007B5C6E"/>
    <w:rsid w:val="007B5D35"/>
    <w:rsid w:val="007B5FEA"/>
    <w:rsid w:val="007B62F1"/>
    <w:rsid w:val="007B63D3"/>
    <w:rsid w:val="007B6912"/>
    <w:rsid w:val="007B6A26"/>
    <w:rsid w:val="007B6E6B"/>
    <w:rsid w:val="007B6F29"/>
    <w:rsid w:val="007B6FAB"/>
    <w:rsid w:val="007B726A"/>
    <w:rsid w:val="007B73BF"/>
    <w:rsid w:val="007B744E"/>
    <w:rsid w:val="007B756A"/>
    <w:rsid w:val="007B780F"/>
    <w:rsid w:val="007B79B5"/>
    <w:rsid w:val="007B7B9A"/>
    <w:rsid w:val="007C0191"/>
    <w:rsid w:val="007C08FE"/>
    <w:rsid w:val="007C09D9"/>
    <w:rsid w:val="007C0BB3"/>
    <w:rsid w:val="007C0C59"/>
    <w:rsid w:val="007C0FEF"/>
    <w:rsid w:val="007C12D0"/>
    <w:rsid w:val="007C13B2"/>
    <w:rsid w:val="007C158B"/>
    <w:rsid w:val="007C178E"/>
    <w:rsid w:val="007C17D9"/>
    <w:rsid w:val="007C1DBC"/>
    <w:rsid w:val="007C1E44"/>
    <w:rsid w:val="007C2427"/>
    <w:rsid w:val="007C2858"/>
    <w:rsid w:val="007C2924"/>
    <w:rsid w:val="007C2BFF"/>
    <w:rsid w:val="007C2CC9"/>
    <w:rsid w:val="007C2D34"/>
    <w:rsid w:val="007C2E97"/>
    <w:rsid w:val="007C304E"/>
    <w:rsid w:val="007C3093"/>
    <w:rsid w:val="007C311D"/>
    <w:rsid w:val="007C3171"/>
    <w:rsid w:val="007C3268"/>
    <w:rsid w:val="007C32B1"/>
    <w:rsid w:val="007C330D"/>
    <w:rsid w:val="007C3380"/>
    <w:rsid w:val="007C355C"/>
    <w:rsid w:val="007C35F5"/>
    <w:rsid w:val="007C39EC"/>
    <w:rsid w:val="007C3B9B"/>
    <w:rsid w:val="007C40F0"/>
    <w:rsid w:val="007C41AE"/>
    <w:rsid w:val="007C428D"/>
    <w:rsid w:val="007C431A"/>
    <w:rsid w:val="007C45BA"/>
    <w:rsid w:val="007C47F6"/>
    <w:rsid w:val="007C48DE"/>
    <w:rsid w:val="007C4CE1"/>
    <w:rsid w:val="007C4F0C"/>
    <w:rsid w:val="007C50E3"/>
    <w:rsid w:val="007C5204"/>
    <w:rsid w:val="007C554F"/>
    <w:rsid w:val="007C5658"/>
    <w:rsid w:val="007C5687"/>
    <w:rsid w:val="007C578C"/>
    <w:rsid w:val="007C57A8"/>
    <w:rsid w:val="007C5ADB"/>
    <w:rsid w:val="007C5B94"/>
    <w:rsid w:val="007C5EEC"/>
    <w:rsid w:val="007C5FCD"/>
    <w:rsid w:val="007C622C"/>
    <w:rsid w:val="007C6632"/>
    <w:rsid w:val="007C6E00"/>
    <w:rsid w:val="007C6F0F"/>
    <w:rsid w:val="007C6FC1"/>
    <w:rsid w:val="007C70BE"/>
    <w:rsid w:val="007C7977"/>
    <w:rsid w:val="007C79D7"/>
    <w:rsid w:val="007C7F6E"/>
    <w:rsid w:val="007C7FFE"/>
    <w:rsid w:val="007D0210"/>
    <w:rsid w:val="007D03AB"/>
    <w:rsid w:val="007D0638"/>
    <w:rsid w:val="007D0BBF"/>
    <w:rsid w:val="007D10B1"/>
    <w:rsid w:val="007D124B"/>
    <w:rsid w:val="007D163D"/>
    <w:rsid w:val="007D17F0"/>
    <w:rsid w:val="007D1899"/>
    <w:rsid w:val="007D191E"/>
    <w:rsid w:val="007D1B4B"/>
    <w:rsid w:val="007D1C13"/>
    <w:rsid w:val="007D1E69"/>
    <w:rsid w:val="007D1F60"/>
    <w:rsid w:val="007D209F"/>
    <w:rsid w:val="007D2216"/>
    <w:rsid w:val="007D228D"/>
    <w:rsid w:val="007D23AA"/>
    <w:rsid w:val="007D240E"/>
    <w:rsid w:val="007D2657"/>
    <w:rsid w:val="007D26ED"/>
    <w:rsid w:val="007D3084"/>
    <w:rsid w:val="007D3513"/>
    <w:rsid w:val="007D3865"/>
    <w:rsid w:val="007D38B5"/>
    <w:rsid w:val="007D39E2"/>
    <w:rsid w:val="007D3C26"/>
    <w:rsid w:val="007D3E88"/>
    <w:rsid w:val="007D3EB3"/>
    <w:rsid w:val="007D3FA4"/>
    <w:rsid w:val="007D4184"/>
    <w:rsid w:val="007D4234"/>
    <w:rsid w:val="007D4466"/>
    <w:rsid w:val="007D44BA"/>
    <w:rsid w:val="007D4ABF"/>
    <w:rsid w:val="007D4C27"/>
    <w:rsid w:val="007D4C3D"/>
    <w:rsid w:val="007D509D"/>
    <w:rsid w:val="007D5592"/>
    <w:rsid w:val="007D58CB"/>
    <w:rsid w:val="007D5ACA"/>
    <w:rsid w:val="007D5C2F"/>
    <w:rsid w:val="007D5ED0"/>
    <w:rsid w:val="007D5F1C"/>
    <w:rsid w:val="007D5F98"/>
    <w:rsid w:val="007D6080"/>
    <w:rsid w:val="007D622B"/>
    <w:rsid w:val="007D6377"/>
    <w:rsid w:val="007D667A"/>
    <w:rsid w:val="007D69F2"/>
    <w:rsid w:val="007D6B38"/>
    <w:rsid w:val="007D6C4C"/>
    <w:rsid w:val="007D6DC4"/>
    <w:rsid w:val="007D6DF0"/>
    <w:rsid w:val="007D6F2C"/>
    <w:rsid w:val="007D6F8B"/>
    <w:rsid w:val="007D6FFC"/>
    <w:rsid w:val="007D7033"/>
    <w:rsid w:val="007D7183"/>
    <w:rsid w:val="007D7476"/>
    <w:rsid w:val="007D7651"/>
    <w:rsid w:val="007D7906"/>
    <w:rsid w:val="007D7A19"/>
    <w:rsid w:val="007D7D48"/>
    <w:rsid w:val="007D7E68"/>
    <w:rsid w:val="007E02FA"/>
    <w:rsid w:val="007E03F5"/>
    <w:rsid w:val="007E081F"/>
    <w:rsid w:val="007E097A"/>
    <w:rsid w:val="007E0E16"/>
    <w:rsid w:val="007E0FFA"/>
    <w:rsid w:val="007E1102"/>
    <w:rsid w:val="007E12FA"/>
    <w:rsid w:val="007E18D7"/>
    <w:rsid w:val="007E1A10"/>
    <w:rsid w:val="007E1B31"/>
    <w:rsid w:val="007E1DE4"/>
    <w:rsid w:val="007E1EDE"/>
    <w:rsid w:val="007E1F9E"/>
    <w:rsid w:val="007E21A0"/>
    <w:rsid w:val="007E21A6"/>
    <w:rsid w:val="007E22D1"/>
    <w:rsid w:val="007E248A"/>
    <w:rsid w:val="007E25D8"/>
    <w:rsid w:val="007E2668"/>
    <w:rsid w:val="007E26E4"/>
    <w:rsid w:val="007E2721"/>
    <w:rsid w:val="007E2E8A"/>
    <w:rsid w:val="007E303E"/>
    <w:rsid w:val="007E330B"/>
    <w:rsid w:val="007E3368"/>
    <w:rsid w:val="007E377A"/>
    <w:rsid w:val="007E39E5"/>
    <w:rsid w:val="007E3B86"/>
    <w:rsid w:val="007E3C29"/>
    <w:rsid w:val="007E3D27"/>
    <w:rsid w:val="007E3FD1"/>
    <w:rsid w:val="007E419C"/>
    <w:rsid w:val="007E41EB"/>
    <w:rsid w:val="007E4581"/>
    <w:rsid w:val="007E47F1"/>
    <w:rsid w:val="007E490F"/>
    <w:rsid w:val="007E4C1D"/>
    <w:rsid w:val="007E4CB9"/>
    <w:rsid w:val="007E5103"/>
    <w:rsid w:val="007E5337"/>
    <w:rsid w:val="007E54A7"/>
    <w:rsid w:val="007E576D"/>
    <w:rsid w:val="007E5958"/>
    <w:rsid w:val="007E61C1"/>
    <w:rsid w:val="007E6316"/>
    <w:rsid w:val="007E6385"/>
    <w:rsid w:val="007E6392"/>
    <w:rsid w:val="007E675D"/>
    <w:rsid w:val="007E6C27"/>
    <w:rsid w:val="007E6D35"/>
    <w:rsid w:val="007E6E9A"/>
    <w:rsid w:val="007E700A"/>
    <w:rsid w:val="007E71B5"/>
    <w:rsid w:val="007E745C"/>
    <w:rsid w:val="007E751A"/>
    <w:rsid w:val="007E753D"/>
    <w:rsid w:val="007E7B3D"/>
    <w:rsid w:val="007E7D26"/>
    <w:rsid w:val="007E7DAA"/>
    <w:rsid w:val="007F00F3"/>
    <w:rsid w:val="007F02FC"/>
    <w:rsid w:val="007F0355"/>
    <w:rsid w:val="007F0548"/>
    <w:rsid w:val="007F0739"/>
    <w:rsid w:val="007F0C49"/>
    <w:rsid w:val="007F10B0"/>
    <w:rsid w:val="007F11D3"/>
    <w:rsid w:val="007F143E"/>
    <w:rsid w:val="007F163E"/>
    <w:rsid w:val="007F17A4"/>
    <w:rsid w:val="007F1821"/>
    <w:rsid w:val="007F1959"/>
    <w:rsid w:val="007F1A88"/>
    <w:rsid w:val="007F1B71"/>
    <w:rsid w:val="007F1FC7"/>
    <w:rsid w:val="007F200E"/>
    <w:rsid w:val="007F21DA"/>
    <w:rsid w:val="007F21F9"/>
    <w:rsid w:val="007F226C"/>
    <w:rsid w:val="007F2292"/>
    <w:rsid w:val="007F273F"/>
    <w:rsid w:val="007F2800"/>
    <w:rsid w:val="007F2849"/>
    <w:rsid w:val="007F2957"/>
    <w:rsid w:val="007F2B84"/>
    <w:rsid w:val="007F2BC0"/>
    <w:rsid w:val="007F2E6B"/>
    <w:rsid w:val="007F2F38"/>
    <w:rsid w:val="007F3208"/>
    <w:rsid w:val="007F3347"/>
    <w:rsid w:val="007F3411"/>
    <w:rsid w:val="007F36A0"/>
    <w:rsid w:val="007F36C1"/>
    <w:rsid w:val="007F37ED"/>
    <w:rsid w:val="007F3C0F"/>
    <w:rsid w:val="007F3F61"/>
    <w:rsid w:val="007F4131"/>
    <w:rsid w:val="007F43B0"/>
    <w:rsid w:val="007F4556"/>
    <w:rsid w:val="007F45DC"/>
    <w:rsid w:val="007F49F3"/>
    <w:rsid w:val="007F4A4E"/>
    <w:rsid w:val="007F4C84"/>
    <w:rsid w:val="007F4D52"/>
    <w:rsid w:val="007F51AC"/>
    <w:rsid w:val="007F5254"/>
    <w:rsid w:val="007F535D"/>
    <w:rsid w:val="007F5493"/>
    <w:rsid w:val="007F5916"/>
    <w:rsid w:val="007F59E4"/>
    <w:rsid w:val="007F5A26"/>
    <w:rsid w:val="007F5A92"/>
    <w:rsid w:val="007F5AD9"/>
    <w:rsid w:val="007F5CE2"/>
    <w:rsid w:val="007F5CE9"/>
    <w:rsid w:val="007F5D9C"/>
    <w:rsid w:val="007F5E10"/>
    <w:rsid w:val="007F6211"/>
    <w:rsid w:val="007F6538"/>
    <w:rsid w:val="007F6833"/>
    <w:rsid w:val="007F6866"/>
    <w:rsid w:val="007F6AD4"/>
    <w:rsid w:val="007F6D29"/>
    <w:rsid w:val="007F6FA4"/>
    <w:rsid w:val="007F701A"/>
    <w:rsid w:val="007F7222"/>
    <w:rsid w:val="007F73A4"/>
    <w:rsid w:val="007F760E"/>
    <w:rsid w:val="007F76C9"/>
    <w:rsid w:val="007F77DB"/>
    <w:rsid w:val="007F7B2B"/>
    <w:rsid w:val="007F7B6E"/>
    <w:rsid w:val="00800842"/>
    <w:rsid w:val="008009C7"/>
    <w:rsid w:val="00800BC2"/>
    <w:rsid w:val="008010A4"/>
    <w:rsid w:val="008013AA"/>
    <w:rsid w:val="00801609"/>
    <w:rsid w:val="008016B0"/>
    <w:rsid w:val="00801736"/>
    <w:rsid w:val="0080189C"/>
    <w:rsid w:val="008018CB"/>
    <w:rsid w:val="00801ADD"/>
    <w:rsid w:val="008020AB"/>
    <w:rsid w:val="00802519"/>
    <w:rsid w:val="00802670"/>
    <w:rsid w:val="00802678"/>
    <w:rsid w:val="008026B0"/>
    <w:rsid w:val="00802718"/>
    <w:rsid w:val="00802795"/>
    <w:rsid w:val="00802797"/>
    <w:rsid w:val="008027AA"/>
    <w:rsid w:val="008029F5"/>
    <w:rsid w:val="00802A7F"/>
    <w:rsid w:val="00802CE9"/>
    <w:rsid w:val="00802ECB"/>
    <w:rsid w:val="00802F7B"/>
    <w:rsid w:val="008030A3"/>
    <w:rsid w:val="00803104"/>
    <w:rsid w:val="00803328"/>
    <w:rsid w:val="008033C7"/>
    <w:rsid w:val="00803400"/>
    <w:rsid w:val="0080362D"/>
    <w:rsid w:val="008036AC"/>
    <w:rsid w:val="008038B0"/>
    <w:rsid w:val="00803EDB"/>
    <w:rsid w:val="00803F6D"/>
    <w:rsid w:val="00804087"/>
    <w:rsid w:val="0080426B"/>
    <w:rsid w:val="00804300"/>
    <w:rsid w:val="00804311"/>
    <w:rsid w:val="00804663"/>
    <w:rsid w:val="0080467A"/>
    <w:rsid w:val="008047EF"/>
    <w:rsid w:val="00804802"/>
    <w:rsid w:val="00804836"/>
    <w:rsid w:val="008048C6"/>
    <w:rsid w:val="00804CA7"/>
    <w:rsid w:val="00804E9A"/>
    <w:rsid w:val="00804EED"/>
    <w:rsid w:val="0080504E"/>
    <w:rsid w:val="008050C8"/>
    <w:rsid w:val="008057B0"/>
    <w:rsid w:val="00805802"/>
    <w:rsid w:val="008058A0"/>
    <w:rsid w:val="0080592C"/>
    <w:rsid w:val="00805971"/>
    <w:rsid w:val="00805C1E"/>
    <w:rsid w:val="00805CEA"/>
    <w:rsid w:val="00805D97"/>
    <w:rsid w:val="008060BE"/>
    <w:rsid w:val="0080615A"/>
    <w:rsid w:val="008063BD"/>
    <w:rsid w:val="0080643D"/>
    <w:rsid w:val="008064F1"/>
    <w:rsid w:val="00806725"/>
    <w:rsid w:val="0080688E"/>
    <w:rsid w:val="008068C2"/>
    <w:rsid w:val="00806B54"/>
    <w:rsid w:val="00806B6A"/>
    <w:rsid w:val="008070B5"/>
    <w:rsid w:val="008071F1"/>
    <w:rsid w:val="00807467"/>
    <w:rsid w:val="008074DE"/>
    <w:rsid w:val="0080780F"/>
    <w:rsid w:val="00807B4B"/>
    <w:rsid w:val="00807BD0"/>
    <w:rsid w:val="00807E0D"/>
    <w:rsid w:val="00807F39"/>
    <w:rsid w:val="008104A0"/>
    <w:rsid w:val="008108A6"/>
    <w:rsid w:val="00810B94"/>
    <w:rsid w:val="00810D86"/>
    <w:rsid w:val="00811304"/>
    <w:rsid w:val="00811430"/>
    <w:rsid w:val="0081158F"/>
    <w:rsid w:val="008117D6"/>
    <w:rsid w:val="0081181E"/>
    <w:rsid w:val="00811ECB"/>
    <w:rsid w:val="00812043"/>
    <w:rsid w:val="008123B5"/>
    <w:rsid w:val="00812429"/>
    <w:rsid w:val="00812E2D"/>
    <w:rsid w:val="00812F0A"/>
    <w:rsid w:val="008130DA"/>
    <w:rsid w:val="0081318B"/>
    <w:rsid w:val="008133D3"/>
    <w:rsid w:val="00813760"/>
    <w:rsid w:val="00813B62"/>
    <w:rsid w:val="00813DD3"/>
    <w:rsid w:val="00813F5B"/>
    <w:rsid w:val="0081401C"/>
    <w:rsid w:val="00814116"/>
    <w:rsid w:val="008142AA"/>
    <w:rsid w:val="00814373"/>
    <w:rsid w:val="008144EE"/>
    <w:rsid w:val="008148BA"/>
    <w:rsid w:val="00814926"/>
    <w:rsid w:val="00814AC2"/>
    <w:rsid w:val="00814FD4"/>
    <w:rsid w:val="00815404"/>
    <w:rsid w:val="0081555F"/>
    <w:rsid w:val="008157F5"/>
    <w:rsid w:val="00815BA3"/>
    <w:rsid w:val="00815D8A"/>
    <w:rsid w:val="008165E3"/>
    <w:rsid w:val="00816662"/>
    <w:rsid w:val="00816A35"/>
    <w:rsid w:val="00816CA0"/>
    <w:rsid w:val="00816DAE"/>
    <w:rsid w:val="00816DCA"/>
    <w:rsid w:val="00816F3A"/>
    <w:rsid w:val="00817094"/>
    <w:rsid w:val="00817346"/>
    <w:rsid w:val="00817349"/>
    <w:rsid w:val="008175C7"/>
    <w:rsid w:val="00817757"/>
    <w:rsid w:val="0081786C"/>
    <w:rsid w:val="00817B58"/>
    <w:rsid w:val="00817BBD"/>
    <w:rsid w:val="00817D64"/>
    <w:rsid w:val="00817F1A"/>
    <w:rsid w:val="008203BB"/>
    <w:rsid w:val="00820416"/>
    <w:rsid w:val="008204BE"/>
    <w:rsid w:val="008205F2"/>
    <w:rsid w:val="008206DB"/>
    <w:rsid w:val="00820C0F"/>
    <w:rsid w:val="00820F8E"/>
    <w:rsid w:val="00821092"/>
    <w:rsid w:val="00821278"/>
    <w:rsid w:val="008212C5"/>
    <w:rsid w:val="008213A8"/>
    <w:rsid w:val="008214FA"/>
    <w:rsid w:val="008219F3"/>
    <w:rsid w:val="00821D19"/>
    <w:rsid w:val="00821DD5"/>
    <w:rsid w:val="00821E79"/>
    <w:rsid w:val="00821FD9"/>
    <w:rsid w:val="0082229A"/>
    <w:rsid w:val="00822303"/>
    <w:rsid w:val="00822468"/>
    <w:rsid w:val="008224E9"/>
    <w:rsid w:val="008226D2"/>
    <w:rsid w:val="008229C4"/>
    <w:rsid w:val="00822D4B"/>
    <w:rsid w:val="00822D88"/>
    <w:rsid w:val="00822DD6"/>
    <w:rsid w:val="00822F0A"/>
    <w:rsid w:val="00822FCB"/>
    <w:rsid w:val="008233E2"/>
    <w:rsid w:val="008233F1"/>
    <w:rsid w:val="00823444"/>
    <w:rsid w:val="0082347E"/>
    <w:rsid w:val="00823491"/>
    <w:rsid w:val="008234D3"/>
    <w:rsid w:val="0082355D"/>
    <w:rsid w:val="0082372F"/>
    <w:rsid w:val="00823995"/>
    <w:rsid w:val="00823BE2"/>
    <w:rsid w:val="00823CC6"/>
    <w:rsid w:val="00823D1A"/>
    <w:rsid w:val="00823EAC"/>
    <w:rsid w:val="00823F80"/>
    <w:rsid w:val="008240B3"/>
    <w:rsid w:val="00824347"/>
    <w:rsid w:val="008246D9"/>
    <w:rsid w:val="008248BC"/>
    <w:rsid w:val="00824916"/>
    <w:rsid w:val="00824999"/>
    <w:rsid w:val="00824B0D"/>
    <w:rsid w:val="00824DC8"/>
    <w:rsid w:val="00824F1E"/>
    <w:rsid w:val="008250E7"/>
    <w:rsid w:val="00825200"/>
    <w:rsid w:val="0082591F"/>
    <w:rsid w:val="00825AC9"/>
    <w:rsid w:val="00825DBC"/>
    <w:rsid w:val="00825DD7"/>
    <w:rsid w:val="00825E19"/>
    <w:rsid w:val="00825E45"/>
    <w:rsid w:val="00825EF2"/>
    <w:rsid w:val="0082618C"/>
    <w:rsid w:val="008263C5"/>
    <w:rsid w:val="00826448"/>
    <w:rsid w:val="00826A04"/>
    <w:rsid w:val="00827056"/>
    <w:rsid w:val="008272BA"/>
    <w:rsid w:val="008274EB"/>
    <w:rsid w:val="008275A0"/>
    <w:rsid w:val="00827C7E"/>
    <w:rsid w:val="00830364"/>
    <w:rsid w:val="008303C1"/>
    <w:rsid w:val="008304FD"/>
    <w:rsid w:val="008305C1"/>
    <w:rsid w:val="00830CCE"/>
    <w:rsid w:val="00830E87"/>
    <w:rsid w:val="00831084"/>
    <w:rsid w:val="008312A6"/>
    <w:rsid w:val="00831526"/>
    <w:rsid w:val="00831841"/>
    <w:rsid w:val="00831964"/>
    <w:rsid w:val="00831984"/>
    <w:rsid w:val="00831E3D"/>
    <w:rsid w:val="0083204B"/>
    <w:rsid w:val="008326C4"/>
    <w:rsid w:val="0083276A"/>
    <w:rsid w:val="008328A5"/>
    <w:rsid w:val="00832984"/>
    <w:rsid w:val="00832C96"/>
    <w:rsid w:val="00832D3E"/>
    <w:rsid w:val="00832D8D"/>
    <w:rsid w:val="00832E70"/>
    <w:rsid w:val="00832F74"/>
    <w:rsid w:val="00833284"/>
    <w:rsid w:val="008332BB"/>
    <w:rsid w:val="008335F1"/>
    <w:rsid w:val="00833631"/>
    <w:rsid w:val="00833692"/>
    <w:rsid w:val="0083370E"/>
    <w:rsid w:val="0083399B"/>
    <w:rsid w:val="00833B44"/>
    <w:rsid w:val="00833CCE"/>
    <w:rsid w:val="00833DC4"/>
    <w:rsid w:val="0083424A"/>
    <w:rsid w:val="00834765"/>
    <w:rsid w:val="00834885"/>
    <w:rsid w:val="008348DA"/>
    <w:rsid w:val="008349E9"/>
    <w:rsid w:val="00834A40"/>
    <w:rsid w:val="00834AA9"/>
    <w:rsid w:val="00834DF4"/>
    <w:rsid w:val="00834F7C"/>
    <w:rsid w:val="00834FCF"/>
    <w:rsid w:val="008352DF"/>
    <w:rsid w:val="00835387"/>
    <w:rsid w:val="00835414"/>
    <w:rsid w:val="008355EC"/>
    <w:rsid w:val="00835913"/>
    <w:rsid w:val="00835A85"/>
    <w:rsid w:val="00835AD1"/>
    <w:rsid w:val="00835CB6"/>
    <w:rsid w:val="00835D79"/>
    <w:rsid w:val="00835DEC"/>
    <w:rsid w:val="00835DF6"/>
    <w:rsid w:val="00835E9C"/>
    <w:rsid w:val="00835F2C"/>
    <w:rsid w:val="00836073"/>
    <w:rsid w:val="008360E9"/>
    <w:rsid w:val="00836390"/>
    <w:rsid w:val="00836403"/>
    <w:rsid w:val="008365BC"/>
    <w:rsid w:val="00836626"/>
    <w:rsid w:val="008367AA"/>
    <w:rsid w:val="008368B9"/>
    <w:rsid w:val="00836D4F"/>
    <w:rsid w:val="00837467"/>
    <w:rsid w:val="00837483"/>
    <w:rsid w:val="008379E9"/>
    <w:rsid w:val="008403C3"/>
    <w:rsid w:val="0084049F"/>
    <w:rsid w:val="00840527"/>
    <w:rsid w:val="008405D9"/>
    <w:rsid w:val="008407C2"/>
    <w:rsid w:val="008407FC"/>
    <w:rsid w:val="00840B45"/>
    <w:rsid w:val="00841053"/>
    <w:rsid w:val="008412EC"/>
    <w:rsid w:val="00841485"/>
    <w:rsid w:val="00841642"/>
    <w:rsid w:val="0084170C"/>
    <w:rsid w:val="00841742"/>
    <w:rsid w:val="0084176B"/>
    <w:rsid w:val="008417F5"/>
    <w:rsid w:val="00841A4C"/>
    <w:rsid w:val="00841C96"/>
    <w:rsid w:val="00842667"/>
    <w:rsid w:val="008427A2"/>
    <w:rsid w:val="0084286B"/>
    <w:rsid w:val="00842A41"/>
    <w:rsid w:val="00842CCF"/>
    <w:rsid w:val="008431B5"/>
    <w:rsid w:val="0084365F"/>
    <w:rsid w:val="00843852"/>
    <w:rsid w:val="008438A9"/>
    <w:rsid w:val="00843A2E"/>
    <w:rsid w:val="00843B07"/>
    <w:rsid w:val="00843CDD"/>
    <w:rsid w:val="00843D3D"/>
    <w:rsid w:val="00843DAE"/>
    <w:rsid w:val="00843EB8"/>
    <w:rsid w:val="00843FDE"/>
    <w:rsid w:val="008440D0"/>
    <w:rsid w:val="0084443D"/>
    <w:rsid w:val="00844CE0"/>
    <w:rsid w:val="00844EFD"/>
    <w:rsid w:val="00845251"/>
    <w:rsid w:val="00845364"/>
    <w:rsid w:val="0084550D"/>
    <w:rsid w:val="0084576A"/>
    <w:rsid w:val="00845796"/>
    <w:rsid w:val="00845C1D"/>
    <w:rsid w:val="00845C7C"/>
    <w:rsid w:val="00845CB2"/>
    <w:rsid w:val="00845D26"/>
    <w:rsid w:val="00845D42"/>
    <w:rsid w:val="00846103"/>
    <w:rsid w:val="00846387"/>
    <w:rsid w:val="00846412"/>
    <w:rsid w:val="00846683"/>
    <w:rsid w:val="008466F2"/>
    <w:rsid w:val="00846C53"/>
    <w:rsid w:val="00846CA9"/>
    <w:rsid w:val="00846D40"/>
    <w:rsid w:val="00846D75"/>
    <w:rsid w:val="008470DF"/>
    <w:rsid w:val="008471B4"/>
    <w:rsid w:val="00847496"/>
    <w:rsid w:val="00847B7E"/>
    <w:rsid w:val="00847D11"/>
    <w:rsid w:val="00850424"/>
    <w:rsid w:val="00850509"/>
    <w:rsid w:val="0085078D"/>
    <w:rsid w:val="0085090A"/>
    <w:rsid w:val="00850BA0"/>
    <w:rsid w:val="00850BC3"/>
    <w:rsid w:val="00850DD4"/>
    <w:rsid w:val="00850EA9"/>
    <w:rsid w:val="00850FE5"/>
    <w:rsid w:val="00851033"/>
    <w:rsid w:val="008510DF"/>
    <w:rsid w:val="00851386"/>
    <w:rsid w:val="008516F2"/>
    <w:rsid w:val="00851774"/>
    <w:rsid w:val="008517EE"/>
    <w:rsid w:val="008518C7"/>
    <w:rsid w:val="00851AC0"/>
    <w:rsid w:val="00851B66"/>
    <w:rsid w:val="00851D0C"/>
    <w:rsid w:val="00851DBE"/>
    <w:rsid w:val="00851FA2"/>
    <w:rsid w:val="00852107"/>
    <w:rsid w:val="00852140"/>
    <w:rsid w:val="00852470"/>
    <w:rsid w:val="008524A6"/>
    <w:rsid w:val="00852540"/>
    <w:rsid w:val="00852B9A"/>
    <w:rsid w:val="00852EA9"/>
    <w:rsid w:val="00852F01"/>
    <w:rsid w:val="00853052"/>
    <w:rsid w:val="00853302"/>
    <w:rsid w:val="00853313"/>
    <w:rsid w:val="0085341B"/>
    <w:rsid w:val="008534AB"/>
    <w:rsid w:val="008534F4"/>
    <w:rsid w:val="00853516"/>
    <w:rsid w:val="008535BB"/>
    <w:rsid w:val="00853796"/>
    <w:rsid w:val="008538E7"/>
    <w:rsid w:val="008539CC"/>
    <w:rsid w:val="00853A55"/>
    <w:rsid w:val="008540AE"/>
    <w:rsid w:val="008541BE"/>
    <w:rsid w:val="008543FF"/>
    <w:rsid w:val="00854605"/>
    <w:rsid w:val="0085467E"/>
    <w:rsid w:val="00854738"/>
    <w:rsid w:val="00854A9F"/>
    <w:rsid w:val="00854F01"/>
    <w:rsid w:val="00854F5E"/>
    <w:rsid w:val="00854FF4"/>
    <w:rsid w:val="008550D7"/>
    <w:rsid w:val="008553AB"/>
    <w:rsid w:val="00855458"/>
    <w:rsid w:val="00855659"/>
    <w:rsid w:val="00855728"/>
    <w:rsid w:val="008557F1"/>
    <w:rsid w:val="00855AE4"/>
    <w:rsid w:val="00855D70"/>
    <w:rsid w:val="00855E3B"/>
    <w:rsid w:val="00855EFD"/>
    <w:rsid w:val="0085618A"/>
    <w:rsid w:val="008565E2"/>
    <w:rsid w:val="008566F6"/>
    <w:rsid w:val="008567C8"/>
    <w:rsid w:val="0085686B"/>
    <w:rsid w:val="0085697F"/>
    <w:rsid w:val="00856A0A"/>
    <w:rsid w:val="00856D71"/>
    <w:rsid w:val="00856F45"/>
    <w:rsid w:val="00857094"/>
    <w:rsid w:val="0085719F"/>
    <w:rsid w:val="008576E4"/>
    <w:rsid w:val="008577E7"/>
    <w:rsid w:val="00857BFD"/>
    <w:rsid w:val="00857DCD"/>
    <w:rsid w:val="00857E14"/>
    <w:rsid w:val="00857F34"/>
    <w:rsid w:val="00857F4F"/>
    <w:rsid w:val="0086006C"/>
    <w:rsid w:val="00860142"/>
    <w:rsid w:val="00860668"/>
    <w:rsid w:val="00860698"/>
    <w:rsid w:val="00860943"/>
    <w:rsid w:val="00860960"/>
    <w:rsid w:val="00860BA5"/>
    <w:rsid w:val="00861022"/>
    <w:rsid w:val="008611AC"/>
    <w:rsid w:val="00861239"/>
    <w:rsid w:val="00861858"/>
    <w:rsid w:val="00861BE2"/>
    <w:rsid w:val="00861F5E"/>
    <w:rsid w:val="00861FC1"/>
    <w:rsid w:val="008624B0"/>
    <w:rsid w:val="008627DF"/>
    <w:rsid w:val="00862896"/>
    <w:rsid w:val="00862C2D"/>
    <w:rsid w:val="00862C4E"/>
    <w:rsid w:val="00862D5B"/>
    <w:rsid w:val="00862F6E"/>
    <w:rsid w:val="0086309C"/>
    <w:rsid w:val="0086311F"/>
    <w:rsid w:val="00863366"/>
    <w:rsid w:val="00863507"/>
    <w:rsid w:val="00863535"/>
    <w:rsid w:val="008635F3"/>
    <w:rsid w:val="00863601"/>
    <w:rsid w:val="0086378B"/>
    <w:rsid w:val="00863809"/>
    <w:rsid w:val="00863911"/>
    <w:rsid w:val="00863E27"/>
    <w:rsid w:val="00863F26"/>
    <w:rsid w:val="0086408F"/>
    <w:rsid w:val="008640E3"/>
    <w:rsid w:val="008640F8"/>
    <w:rsid w:val="00864258"/>
    <w:rsid w:val="0086441F"/>
    <w:rsid w:val="00864604"/>
    <w:rsid w:val="00864620"/>
    <w:rsid w:val="008647A1"/>
    <w:rsid w:val="0086493F"/>
    <w:rsid w:val="00864AB1"/>
    <w:rsid w:val="00864D82"/>
    <w:rsid w:val="00864DD4"/>
    <w:rsid w:val="00864E06"/>
    <w:rsid w:val="00864E4D"/>
    <w:rsid w:val="00864F76"/>
    <w:rsid w:val="00864FC5"/>
    <w:rsid w:val="00864FC8"/>
    <w:rsid w:val="00865049"/>
    <w:rsid w:val="00865161"/>
    <w:rsid w:val="008652A5"/>
    <w:rsid w:val="008654CF"/>
    <w:rsid w:val="008656D3"/>
    <w:rsid w:val="00865822"/>
    <w:rsid w:val="008658B9"/>
    <w:rsid w:val="00865A20"/>
    <w:rsid w:val="00865BBB"/>
    <w:rsid w:val="00865C17"/>
    <w:rsid w:val="00865CAB"/>
    <w:rsid w:val="00865F27"/>
    <w:rsid w:val="0086603B"/>
    <w:rsid w:val="00866058"/>
    <w:rsid w:val="0086611E"/>
    <w:rsid w:val="00866262"/>
    <w:rsid w:val="00866321"/>
    <w:rsid w:val="008664DA"/>
    <w:rsid w:val="008664DC"/>
    <w:rsid w:val="008666F3"/>
    <w:rsid w:val="00866C7F"/>
    <w:rsid w:val="00867366"/>
    <w:rsid w:val="0086751D"/>
    <w:rsid w:val="008676AC"/>
    <w:rsid w:val="00867A8E"/>
    <w:rsid w:val="00867BA9"/>
    <w:rsid w:val="00867C75"/>
    <w:rsid w:val="00867D61"/>
    <w:rsid w:val="00867E5F"/>
    <w:rsid w:val="00870077"/>
    <w:rsid w:val="008704B8"/>
    <w:rsid w:val="00870D10"/>
    <w:rsid w:val="00871048"/>
    <w:rsid w:val="0087115A"/>
    <w:rsid w:val="00871286"/>
    <w:rsid w:val="00871A02"/>
    <w:rsid w:val="0087245F"/>
    <w:rsid w:val="00872609"/>
    <w:rsid w:val="00872666"/>
    <w:rsid w:val="008727E7"/>
    <w:rsid w:val="008729CE"/>
    <w:rsid w:val="00872A81"/>
    <w:rsid w:val="00872C33"/>
    <w:rsid w:val="00872CEF"/>
    <w:rsid w:val="008730BF"/>
    <w:rsid w:val="00873160"/>
    <w:rsid w:val="0087317E"/>
    <w:rsid w:val="00873245"/>
    <w:rsid w:val="008734A5"/>
    <w:rsid w:val="008735A9"/>
    <w:rsid w:val="008736D1"/>
    <w:rsid w:val="0087370B"/>
    <w:rsid w:val="008738D8"/>
    <w:rsid w:val="00873EF7"/>
    <w:rsid w:val="00873FDE"/>
    <w:rsid w:val="0087407C"/>
    <w:rsid w:val="0087441E"/>
    <w:rsid w:val="008745C5"/>
    <w:rsid w:val="00874810"/>
    <w:rsid w:val="00874811"/>
    <w:rsid w:val="00874B21"/>
    <w:rsid w:val="00874B8B"/>
    <w:rsid w:val="00875407"/>
    <w:rsid w:val="0087548C"/>
    <w:rsid w:val="00875553"/>
    <w:rsid w:val="00875662"/>
    <w:rsid w:val="008757E5"/>
    <w:rsid w:val="008758A5"/>
    <w:rsid w:val="00875C18"/>
    <w:rsid w:val="00875F88"/>
    <w:rsid w:val="00876058"/>
    <w:rsid w:val="008762C8"/>
    <w:rsid w:val="008766FB"/>
    <w:rsid w:val="0087694B"/>
    <w:rsid w:val="00876A6E"/>
    <w:rsid w:val="00876BAF"/>
    <w:rsid w:val="00876CF8"/>
    <w:rsid w:val="00876D0B"/>
    <w:rsid w:val="00876FB3"/>
    <w:rsid w:val="00877093"/>
    <w:rsid w:val="008771FD"/>
    <w:rsid w:val="0087729D"/>
    <w:rsid w:val="00877462"/>
    <w:rsid w:val="008776B8"/>
    <w:rsid w:val="0087771B"/>
    <w:rsid w:val="00877A74"/>
    <w:rsid w:val="00877B47"/>
    <w:rsid w:val="00877B5C"/>
    <w:rsid w:val="00877C45"/>
    <w:rsid w:val="00877CA4"/>
    <w:rsid w:val="00877D79"/>
    <w:rsid w:val="00877E88"/>
    <w:rsid w:val="00880096"/>
    <w:rsid w:val="0088041E"/>
    <w:rsid w:val="00880449"/>
    <w:rsid w:val="00880490"/>
    <w:rsid w:val="00880763"/>
    <w:rsid w:val="0088083B"/>
    <w:rsid w:val="00880B14"/>
    <w:rsid w:val="0088121E"/>
    <w:rsid w:val="00881323"/>
    <w:rsid w:val="0088161A"/>
    <w:rsid w:val="008816D8"/>
    <w:rsid w:val="00881847"/>
    <w:rsid w:val="00881BAB"/>
    <w:rsid w:val="00881D45"/>
    <w:rsid w:val="00881F82"/>
    <w:rsid w:val="0088208D"/>
    <w:rsid w:val="00882313"/>
    <w:rsid w:val="0088237E"/>
    <w:rsid w:val="008825C2"/>
    <w:rsid w:val="008827E7"/>
    <w:rsid w:val="00882966"/>
    <w:rsid w:val="00882A54"/>
    <w:rsid w:val="00882AD9"/>
    <w:rsid w:val="00882DDB"/>
    <w:rsid w:val="0088323F"/>
    <w:rsid w:val="00883292"/>
    <w:rsid w:val="008833EA"/>
    <w:rsid w:val="00883487"/>
    <w:rsid w:val="00883491"/>
    <w:rsid w:val="0088364C"/>
    <w:rsid w:val="00883660"/>
    <w:rsid w:val="00883694"/>
    <w:rsid w:val="008836A6"/>
    <w:rsid w:val="008837C4"/>
    <w:rsid w:val="008838E6"/>
    <w:rsid w:val="008839F7"/>
    <w:rsid w:val="00883AEB"/>
    <w:rsid w:val="00883BBE"/>
    <w:rsid w:val="00883E76"/>
    <w:rsid w:val="00884013"/>
    <w:rsid w:val="0088416C"/>
    <w:rsid w:val="008841E0"/>
    <w:rsid w:val="008842BE"/>
    <w:rsid w:val="00884559"/>
    <w:rsid w:val="008845C9"/>
    <w:rsid w:val="008848E1"/>
    <w:rsid w:val="00884A41"/>
    <w:rsid w:val="00884D1F"/>
    <w:rsid w:val="00884D4F"/>
    <w:rsid w:val="00884DDF"/>
    <w:rsid w:val="008851CA"/>
    <w:rsid w:val="00885473"/>
    <w:rsid w:val="0088568B"/>
    <w:rsid w:val="0088583D"/>
    <w:rsid w:val="00885927"/>
    <w:rsid w:val="00885A32"/>
    <w:rsid w:val="00885B5E"/>
    <w:rsid w:val="00885FD1"/>
    <w:rsid w:val="00886073"/>
    <w:rsid w:val="0088608B"/>
    <w:rsid w:val="008865C5"/>
    <w:rsid w:val="00886941"/>
    <w:rsid w:val="00886A16"/>
    <w:rsid w:val="00886CA7"/>
    <w:rsid w:val="00887326"/>
    <w:rsid w:val="0088742B"/>
    <w:rsid w:val="00887709"/>
    <w:rsid w:val="008878EE"/>
    <w:rsid w:val="00887ABF"/>
    <w:rsid w:val="00887C25"/>
    <w:rsid w:val="00887DC3"/>
    <w:rsid w:val="00887EBB"/>
    <w:rsid w:val="00887F8B"/>
    <w:rsid w:val="008903BF"/>
    <w:rsid w:val="008904BC"/>
    <w:rsid w:val="008905D7"/>
    <w:rsid w:val="008905FE"/>
    <w:rsid w:val="00890899"/>
    <w:rsid w:val="00890AED"/>
    <w:rsid w:val="00890B4C"/>
    <w:rsid w:val="00891058"/>
    <w:rsid w:val="008910DA"/>
    <w:rsid w:val="00891482"/>
    <w:rsid w:val="0089159A"/>
    <w:rsid w:val="008915EB"/>
    <w:rsid w:val="008916C2"/>
    <w:rsid w:val="00891950"/>
    <w:rsid w:val="00891AFB"/>
    <w:rsid w:val="00891D19"/>
    <w:rsid w:val="00891D28"/>
    <w:rsid w:val="00891D4E"/>
    <w:rsid w:val="00891E9F"/>
    <w:rsid w:val="00892187"/>
    <w:rsid w:val="00892206"/>
    <w:rsid w:val="00892646"/>
    <w:rsid w:val="008926CA"/>
    <w:rsid w:val="008927B7"/>
    <w:rsid w:val="00892D50"/>
    <w:rsid w:val="008930B9"/>
    <w:rsid w:val="008930F4"/>
    <w:rsid w:val="00893116"/>
    <w:rsid w:val="00893137"/>
    <w:rsid w:val="0089323A"/>
    <w:rsid w:val="008935C1"/>
    <w:rsid w:val="008935C9"/>
    <w:rsid w:val="008935D8"/>
    <w:rsid w:val="0089361C"/>
    <w:rsid w:val="00893673"/>
    <w:rsid w:val="008936D2"/>
    <w:rsid w:val="0089372B"/>
    <w:rsid w:val="008939B1"/>
    <w:rsid w:val="00893AE7"/>
    <w:rsid w:val="00893FA8"/>
    <w:rsid w:val="00894256"/>
    <w:rsid w:val="0089449A"/>
    <w:rsid w:val="00894655"/>
    <w:rsid w:val="0089471B"/>
    <w:rsid w:val="00894968"/>
    <w:rsid w:val="00894A4C"/>
    <w:rsid w:val="00894D64"/>
    <w:rsid w:val="00894EF6"/>
    <w:rsid w:val="00894F13"/>
    <w:rsid w:val="00895034"/>
    <w:rsid w:val="0089503F"/>
    <w:rsid w:val="008950F9"/>
    <w:rsid w:val="00895131"/>
    <w:rsid w:val="0089535C"/>
    <w:rsid w:val="00895422"/>
    <w:rsid w:val="0089584E"/>
    <w:rsid w:val="00895AFB"/>
    <w:rsid w:val="00895B9E"/>
    <w:rsid w:val="00895BD8"/>
    <w:rsid w:val="008960C5"/>
    <w:rsid w:val="0089636E"/>
    <w:rsid w:val="008963DE"/>
    <w:rsid w:val="008965EE"/>
    <w:rsid w:val="00896657"/>
    <w:rsid w:val="00896BAB"/>
    <w:rsid w:val="00896C3A"/>
    <w:rsid w:val="00896DA1"/>
    <w:rsid w:val="00896F0D"/>
    <w:rsid w:val="00896FD4"/>
    <w:rsid w:val="00897061"/>
    <w:rsid w:val="00897507"/>
    <w:rsid w:val="00897560"/>
    <w:rsid w:val="00897A60"/>
    <w:rsid w:val="00897A8F"/>
    <w:rsid w:val="00897AFD"/>
    <w:rsid w:val="00897C9B"/>
    <w:rsid w:val="00897DC1"/>
    <w:rsid w:val="00897DD7"/>
    <w:rsid w:val="00897F77"/>
    <w:rsid w:val="00897FA9"/>
    <w:rsid w:val="00897FB2"/>
    <w:rsid w:val="008A01E4"/>
    <w:rsid w:val="008A06AA"/>
    <w:rsid w:val="008A092F"/>
    <w:rsid w:val="008A09AC"/>
    <w:rsid w:val="008A09DF"/>
    <w:rsid w:val="008A0B6B"/>
    <w:rsid w:val="008A0BE7"/>
    <w:rsid w:val="008A0C9D"/>
    <w:rsid w:val="008A0CDF"/>
    <w:rsid w:val="008A0CE3"/>
    <w:rsid w:val="008A0F81"/>
    <w:rsid w:val="008A0F83"/>
    <w:rsid w:val="008A1097"/>
    <w:rsid w:val="008A13FE"/>
    <w:rsid w:val="008A1499"/>
    <w:rsid w:val="008A17A3"/>
    <w:rsid w:val="008A1DE7"/>
    <w:rsid w:val="008A1F9E"/>
    <w:rsid w:val="008A2305"/>
    <w:rsid w:val="008A238B"/>
    <w:rsid w:val="008A2455"/>
    <w:rsid w:val="008A24BF"/>
    <w:rsid w:val="008A26C7"/>
    <w:rsid w:val="008A28FC"/>
    <w:rsid w:val="008A29D9"/>
    <w:rsid w:val="008A2A35"/>
    <w:rsid w:val="008A33DE"/>
    <w:rsid w:val="008A3B2F"/>
    <w:rsid w:val="008A3CD7"/>
    <w:rsid w:val="008A3D8C"/>
    <w:rsid w:val="008A3E09"/>
    <w:rsid w:val="008A3E7C"/>
    <w:rsid w:val="008A4161"/>
    <w:rsid w:val="008A42F9"/>
    <w:rsid w:val="008A48F3"/>
    <w:rsid w:val="008A4945"/>
    <w:rsid w:val="008A4A01"/>
    <w:rsid w:val="008A4ADE"/>
    <w:rsid w:val="008A4B74"/>
    <w:rsid w:val="008A4BD0"/>
    <w:rsid w:val="008A4C4C"/>
    <w:rsid w:val="008A4F1F"/>
    <w:rsid w:val="008A4FDD"/>
    <w:rsid w:val="008A56CA"/>
    <w:rsid w:val="008A575F"/>
    <w:rsid w:val="008A57D8"/>
    <w:rsid w:val="008A59EB"/>
    <w:rsid w:val="008A5B18"/>
    <w:rsid w:val="008A5D6A"/>
    <w:rsid w:val="008A5E29"/>
    <w:rsid w:val="008A5F0A"/>
    <w:rsid w:val="008A5F43"/>
    <w:rsid w:val="008A5FCB"/>
    <w:rsid w:val="008A601A"/>
    <w:rsid w:val="008A615F"/>
    <w:rsid w:val="008A64C7"/>
    <w:rsid w:val="008A6946"/>
    <w:rsid w:val="008A6A4D"/>
    <w:rsid w:val="008A6E1C"/>
    <w:rsid w:val="008A70D4"/>
    <w:rsid w:val="008A72CE"/>
    <w:rsid w:val="008A730F"/>
    <w:rsid w:val="008A769D"/>
    <w:rsid w:val="008A76A5"/>
    <w:rsid w:val="008A78AF"/>
    <w:rsid w:val="008A7CFC"/>
    <w:rsid w:val="008A7DD1"/>
    <w:rsid w:val="008B0375"/>
    <w:rsid w:val="008B03DE"/>
    <w:rsid w:val="008B0537"/>
    <w:rsid w:val="008B06D5"/>
    <w:rsid w:val="008B0AA6"/>
    <w:rsid w:val="008B0AEE"/>
    <w:rsid w:val="008B0C4E"/>
    <w:rsid w:val="008B0DED"/>
    <w:rsid w:val="008B0F7B"/>
    <w:rsid w:val="008B15F7"/>
    <w:rsid w:val="008B15FD"/>
    <w:rsid w:val="008B166F"/>
    <w:rsid w:val="008B1670"/>
    <w:rsid w:val="008B1A53"/>
    <w:rsid w:val="008B2231"/>
    <w:rsid w:val="008B22E0"/>
    <w:rsid w:val="008B2495"/>
    <w:rsid w:val="008B2527"/>
    <w:rsid w:val="008B2646"/>
    <w:rsid w:val="008B26F7"/>
    <w:rsid w:val="008B27AD"/>
    <w:rsid w:val="008B2B48"/>
    <w:rsid w:val="008B2E0C"/>
    <w:rsid w:val="008B2E16"/>
    <w:rsid w:val="008B322E"/>
    <w:rsid w:val="008B3275"/>
    <w:rsid w:val="008B35AE"/>
    <w:rsid w:val="008B3929"/>
    <w:rsid w:val="008B3B1D"/>
    <w:rsid w:val="008B3BC9"/>
    <w:rsid w:val="008B3D41"/>
    <w:rsid w:val="008B422D"/>
    <w:rsid w:val="008B4B0B"/>
    <w:rsid w:val="008B4FB2"/>
    <w:rsid w:val="008B52C7"/>
    <w:rsid w:val="008B534B"/>
    <w:rsid w:val="008B55FB"/>
    <w:rsid w:val="008B575D"/>
    <w:rsid w:val="008B5B4C"/>
    <w:rsid w:val="008B5C60"/>
    <w:rsid w:val="008B5CE5"/>
    <w:rsid w:val="008B5D9D"/>
    <w:rsid w:val="008B5DA1"/>
    <w:rsid w:val="008B5F04"/>
    <w:rsid w:val="008B6061"/>
    <w:rsid w:val="008B616A"/>
    <w:rsid w:val="008B62D4"/>
    <w:rsid w:val="008B63B8"/>
    <w:rsid w:val="008B6452"/>
    <w:rsid w:val="008B6693"/>
    <w:rsid w:val="008B66DF"/>
    <w:rsid w:val="008B685E"/>
    <w:rsid w:val="008B6A82"/>
    <w:rsid w:val="008B6D04"/>
    <w:rsid w:val="008B6D14"/>
    <w:rsid w:val="008B6D44"/>
    <w:rsid w:val="008B6E41"/>
    <w:rsid w:val="008B718F"/>
    <w:rsid w:val="008B7190"/>
    <w:rsid w:val="008B7221"/>
    <w:rsid w:val="008B76D6"/>
    <w:rsid w:val="008B7AFF"/>
    <w:rsid w:val="008B7B4E"/>
    <w:rsid w:val="008B7E3C"/>
    <w:rsid w:val="008B7EDA"/>
    <w:rsid w:val="008C00BD"/>
    <w:rsid w:val="008C00CF"/>
    <w:rsid w:val="008C0132"/>
    <w:rsid w:val="008C0351"/>
    <w:rsid w:val="008C047B"/>
    <w:rsid w:val="008C0622"/>
    <w:rsid w:val="008C07FC"/>
    <w:rsid w:val="008C0AE0"/>
    <w:rsid w:val="008C120C"/>
    <w:rsid w:val="008C13A9"/>
    <w:rsid w:val="008C13F7"/>
    <w:rsid w:val="008C14C0"/>
    <w:rsid w:val="008C15C6"/>
    <w:rsid w:val="008C15FD"/>
    <w:rsid w:val="008C18FF"/>
    <w:rsid w:val="008C1923"/>
    <w:rsid w:val="008C1AFF"/>
    <w:rsid w:val="008C1B81"/>
    <w:rsid w:val="008C1E46"/>
    <w:rsid w:val="008C1F00"/>
    <w:rsid w:val="008C2058"/>
    <w:rsid w:val="008C22B2"/>
    <w:rsid w:val="008C256A"/>
    <w:rsid w:val="008C25F2"/>
    <w:rsid w:val="008C2916"/>
    <w:rsid w:val="008C297C"/>
    <w:rsid w:val="008C2AED"/>
    <w:rsid w:val="008C2B2B"/>
    <w:rsid w:val="008C2C65"/>
    <w:rsid w:val="008C2C89"/>
    <w:rsid w:val="008C2FA3"/>
    <w:rsid w:val="008C329F"/>
    <w:rsid w:val="008C358D"/>
    <w:rsid w:val="008C359E"/>
    <w:rsid w:val="008C35E7"/>
    <w:rsid w:val="008C3C26"/>
    <w:rsid w:val="008C3D7D"/>
    <w:rsid w:val="008C4092"/>
    <w:rsid w:val="008C4403"/>
    <w:rsid w:val="008C4479"/>
    <w:rsid w:val="008C4954"/>
    <w:rsid w:val="008C495B"/>
    <w:rsid w:val="008C49B1"/>
    <w:rsid w:val="008C4A8F"/>
    <w:rsid w:val="008C4B66"/>
    <w:rsid w:val="008C4C46"/>
    <w:rsid w:val="008C4C62"/>
    <w:rsid w:val="008C4F65"/>
    <w:rsid w:val="008C51F1"/>
    <w:rsid w:val="008C526A"/>
    <w:rsid w:val="008C5455"/>
    <w:rsid w:val="008C5F26"/>
    <w:rsid w:val="008C5FAE"/>
    <w:rsid w:val="008C5FD0"/>
    <w:rsid w:val="008C617F"/>
    <w:rsid w:val="008C6209"/>
    <w:rsid w:val="008C62BD"/>
    <w:rsid w:val="008C64FD"/>
    <w:rsid w:val="008C6963"/>
    <w:rsid w:val="008C6A7E"/>
    <w:rsid w:val="008C6AAD"/>
    <w:rsid w:val="008C6B14"/>
    <w:rsid w:val="008C6FBE"/>
    <w:rsid w:val="008C7213"/>
    <w:rsid w:val="008C7439"/>
    <w:rsid w:val="008C75BF"/>
    <w:rsid w:val="008C7896"/>
    <w:rsid w:val="008C7B93"/>
    <w:rsid w:val="008C7BAC"/>
    <w:rsid w:val="008C7D5B"/>
    <w:rsid w:val="008C7EDE"/>
    <w:rsid w:val="008C7FA8"/>
    <w:rsid w:val="008D0107"/>
    <w:rsid w:val="008D0113"/>
    <w:rsid w:val="008D03FD"/>
    <w:rsid w:val="008D0753"/>
    <w:rsid w:val="008D0813"/>
    <w:rsid w:val="008D0AD3"/>
    <w:rsid w:val="008D0B79"/>
    <w:rsid w:val="008D0C8A"/>
    <w:rsid w:val="008D0F22"/>
    <w:rsid w:val="008D0FF5"/>
    <w:rsid w:val="008D1027"/>
    <w:rsid w:val="008D1400"/>
    <w:rsid w:val="008D167D"/>
    <w:rsid w:val="008D1689"/>
    <w:rsid w:val="008D1711"/>
    <w:rsid w:val="008D19C7"/>
    <w:rsid w:val="008D1A1D"/>
    <w:rsid w:val="008D1D29"/>
    <w:rsid w:val="008D1E84"/>
    <w:rsid w:val="008D1F33"/>
    <w:rsid w:val="008D2722"/>
    <w:rsid w:val="008D289D"/>
    <w:rsid w:val="008D2A3A"/>
    <w:rsid w:val="008D2C3A"/>
    <w:rsid w:val="008D2CDD"/>
    <w:rsid w:val="008D2DD8"/>
    <w:rsid w:val="008D34F6"/>
    <w:rsid w:val="008D35F7"/>
    <w:rsid w:val="008D35F9"/>
    <w:rsid w:val="008D3663"/>
    <w:rsid w:val="008D3680"/>
    <w:rsid w:val="008D3B33"/>
    <w:rsid w:val="008D4171"/>
    <w:rsid w:val="008D41DC"/>
    <w:rsid w:val="008D45FC"/>
    <w:rsid w:val="008D4674"/>
    <w:rsid w:val="008D49A7"/>
    <w:rsid w:val="008D4B30"/>
    <w:rsid w:val="008D4D11"/>
    <w:rsid w:val="008D4E81"/>
    <w:rsid w:val="008D5255"/>
    <w:rsid w:val="008D5306"/>
    <w:rsid w:val="008D53BE"/>
    <w:rsid w:val="008D546A"/>
    <w:rsid w:val="008D546D"/>
    <w:rsid w:val="008D54B4"/>
    <w:rsid w:val="008D57C3"/>
    <w:rsid w:val="008D5BDA"/>
    <w:rsid w:val="008D5C67"/>
    <w:rsid w:val="008D5DB6"/>
    <w:rsid w:val="008D5E75"/>
    <w:rsid w:val="008D6135"/>
    <w:rsid w:val="008D61EF"/>
    <w:rsid w:val="008D6279"/>
    <w:rsid w:val="008D6951"/>
    <w:rsid w:val="008D6A75"/>
    <w:rsid w:val="008D6C02"/>
    <w:rsid w:val="008D6E0C"/>
    <w:rsid w:val="008D6EF8"/>
    <w:rsid w:val="008D6F8A"/>
    <w:rsid w:val="008D74B4"/>
    <w:rsid w:val="008D7657"/>
    <w:rsid w:val="008D76E4"/>
    <w:rsid w:val="008D78DC"/>
    <w:rsid w:val="008D7A68"/>
    <w:rsid w:val="008D7C2C"/>
    <w:rsid w:val="008D7D44"/>
    <w:rsid w:val="008D7F74"/>
    <w:rsid w:val="008E0510"/>
    <w:rsid w:val="008E0728"/>
    <w:rsid w:val="008E09AB"/>
    <w:rsid w:val="008E09E0"/>
    <w:rsid w:val="008E0CA4"/>
    <w:rsid w:val="008E0D0D"/>
    <w:rsid w:val="008E0DE7"/>
    <w:rsid w:val="008E0E82"/>
    <w:rsid w:val="008E0EB7"/>
    <w:rsid w:val="008E11C1"/>
    <w:rsid w:val="008E1437"/>
    <w:rsid w:val="008E1A07"/>
    <w:rsid w:val="008E1D61"/>
    <w:rsid w:val="008E1E61"/>
    <w:rsid w:val="008E220A"/>
    <w:rsid w:val="008E22B8"/>
    <w:rsid w:val="008E24B0"/>
    <w:rsid w:val="008E25E6"/>
    <w:rsid w:val="008E264E"/>
    <w:rsid w:val="008E27A5"/>
    <w:rsid w:val="008E281B"/>
    <w:rsid w:val="008E2A6A"/>
    <w:rsid w:val="008E2E3C"/>
    <w:rsid w:val="008E2FA7"/>
    <w:rsid w:val="008E3123"/>
    <w:rsid w:val="008E3131"/>
    <w:rsid w:val="008E3251"/>
    <w:rsid w:val="008E3534"/>
    <w:rsid w:val="008E356E"/>
    <w:rsid w:val="008E3631"/>
    <w:rsid w:val="008E3B26"/>
    <w:rsid w:val="008E3D37"/>
    <w:rsid w:val="008E3D93"/>
    <w:rsid w:val="008E3F92"/>
    <w:rsid w:val="008E42F6"/>
    <w:rsid w:val="008E44DC"/>
    <w:rsid w:val="008E4569"/>
    <w:rsid w:val="008E46CC"/>
    <w:rsid w:val="008E495F"/>
    <w:rsid w:val="008E4AB0"/>
    <w:rsid w:val="008E4AFD"/>
    <w:rsid w:val="008E4BD3"/>
    <w:rsid w:val="008E4E47"/>
    <w:rsid w:val="008E4E94"/>
    <w:rsid w:val="008E4F4F"/>
    <w:rsid w:val="008E55E7"/>
    <w:rsid w:val="008E576C"/>
    <w:rsid w:val="008E59F8"/>
    <w:rsid w:val="008E5AF5"/>
    <w:rsid w:val="008E6388"/>
    <w:rsid w:val="008E63CB"/>
    <w:rsid w:val="008E63E1"/>
    <w:rsid w:val="008E692C"/>
    <w:rsid w:val="008E6D23"/>
    <w:rsid w:val="008E6E9F"/>
    <w:rsid w:val="008E7005"/>
    <w:rsid w:val="008E70A5"/>
    <w:rsid w:val="008E70BC"/>
    <w:rsid w:val="008E7402"/>
    <w:rsid w:val="008E764E"/>
    <w:rsid w:val="008E76BC"/>
    <w:rsid w:val="008E781E"/>
    <w:rsid w:val="008E7BAD"/>
    <w:rsid w:val="008E7E29"/>
    <w:rsid w:val="008F0479"/>
    <w:rsid w:val="008F047E"/>
    <w:rsid w:val="008F04AF"/>
    <w:rsid w:val="008F095B"/>
    <w:rsid w:val="008F0B78"/>
    <w:rsid w:val="008F0C82"/>
    <w:rsid w:val="008F0EBA"/>
    <w:rsid w:val="008F15A0"/>
    <w:rsid w:val="008F15BB"/>
    <w:rsid w:val="008F18AD"/>
    <w:rsid w:val="008F1CEF"/>
    <w:rsid w:val="008F1F60"/>
    <w:rsid w:val="008F2069"/>
    <w:rsid w:val="008F2505"/>
    <w:rsid w:val="008F2578"/>
    <w:rsid w:val="008F26C1"/>
    <w:rsid w:val="008F2942"/>
    <w:rsid w:val="008F2E43"/>
    <w:rsid w:val="008F2ED2"/>
    <w:rsid w:val="008F316E"/>
    <w:rsid w:val="008F3303"/>
    <w:rsid w:val="008F3491"/>
    <w:rsid w:val="008F34ED"/>
    <w:rsid w:val="008F3787"/>
    <w:rsid w:val="008F3A09"/>
    <w:rsid w:val="008F3A7C"/>
    <w:rsid w:val="008F3A8B"/>
    <w:rsid w:val="008F3AC6"/>
    <w:rsid w:val="008F3D0C"/>
    <w:rsid w:val="008F3DEB"/>
    <w:rsid w:val="008F3E35"/>
    <w:rsid w:val="008F3E3A"/>
    <w:rsid w:val="008F3F1F"/>
    <w:rsid w:val="008F4206"/>
    <w:rsid w:val="008F428F"/>
    <w:rsid w:val="008F43D4"/>
    <w:rsid w:val="008F446D"/>
    <w:rsid w:val="008F46A6"/>
    <w:rsid w:val="008F4804"/>
    <w:rsid w:val="008F4AA6"/>
    <w:rsid w:val="008F504A"/>
    <w:rsid w:val="008F50E1"/>
    <w:rsid w:val="008F53F3"/>
    <w:rsid w:val="008F54BB"/>
    <w:rsid w:val="008F5BF9"/>
    <w:rsid w:val="008F5D6C"/>
    <w:rsid w:val="008F5DDD"/>
    <w:rsid w:val="008F5F97"/>
    <w:rsid w:val="008F66A0"/>
    <w:rsid w:val="008F66A6"/>
    <w:rsid w:val="008F68D0"/>
    <w:rsid w:val="008F6C50"/>
    <w:rsid w:val="008F6ED5"/>
    <w:rsid w:val="008F736D"/>
    <w:rsid w:val="008F7389"/>
    <w:rsid w:val="008F77BE"/>
    <w:rsid w:val="008F7B54"/>
    <w:rsid w:val="008F7C13"/>
    <w:rsid w:val="008F7D3D"/>
    <w:rsid w:val="009000E3"/>
    <w:rsid w:val="0090021F"/>
    <w:rsid w:val="0090038F"/>
    <w:rsid w:val="009003D6"/>
    <w:rsid w:val="009005B4"/>
    <w:rsid w:val="00900632"/>
    <w:rsid w:val="00900826"/>
    <w:rsid w:val="00900939"/>
    <w:rsid w:val="00900993"/>
    <w:rsid w:val="009009F2"/>
    <w:rsid w:val="00900A52"/>
    <w:rsid w:val="009010B4"/>
    <w:rsid w:val="00901152"/>
    <w:rsid w:val="009017FC"/>
    <w:rsid w:val="009018FF"/>
    <w:rsid w:val="00901A01"/>
    <w:rsid w:val="00901C0C"/>
    <w:rsid w:val="00901F4C"/>
    <w:rsid w:val="009020A6"/>
    <w:rsid w:val="009023AA"/>
    <w:rsid w:val="00902465"/>
    <w:rsid w:val="0090251D"/>
    <w:rsid w:val="00902573"/>
    <w:rsid w:val="0090294D"/>
    <w:rsid w:val="00902A83"/>
    <w:rsid w:val="009035BF"/>
    <w:rsid w:val="00903702"/>
    <w:rsid w:val="0090386A"/>
    <w:rsid w:val="00903A7B"/>
    <w:rsid w:val="00903B63"/>
    <w:rsid w:val="00903BC4"/>
    <w:rsid w:val="0090439A"/>
    <w:rsid w:val="00904511"/>
    <w:rsid w:val="0090457C"/>
    <w:rsid w:val="00904642"/>
    <w:rsid w:val="009047C3"/>
    <w:rsid w:val="00904820"/>
    <w:rsid w:val="00904949"/>
    <w:rsid w:val="00904BFB"/>
    <w:rsid w:val="00904E52"/>
    <w:rsid w:val="00904FE0"/>
    <w:rsid w:val="00905069"/>
    <w:rsid w:val="00905101"/>
    <w:rsid w:val="0090541C"/>
    <w:rsid w:val="009057AB"/>
    <w:rsid w:val="00905BAC"/>
    <w:rsid w:val="00905D65"/>
    <w:rsid w:val="00905E75"/>
    <w:rsid w:val="00906069"/>
    <w:rsid w:val="00906868"/>
    <w:rsid w:val="0090688E"/>
    <w:rsid w:val="009068B5"/>
    <w:rsid w:val="009068EB"/>
    <w:rsid w:val="009069E2"/>
    <w:rsid w:val="00906A5A"/>
    <w:rsid w:val="00906D49"/>
    <w:rsid w:val="00906E13"/>
    <w:rsid w:val="00906EDC"/>
    <w:rsid w:val="00907152"/>
    <w:rsid w:val="00907687"/>
    <w:rsid w:val="00907736"/>
    <w:rsid w:val="0090783E"/>
    <w:rsid w:val="009078E5"/>
    <w:rsid w:val="009100FA"/>
    <w:rsid w:val="0091015A"/>
    <w:rsid w:val="0091073C"/>
    <w:rsid w:val="00910EAD"/>
    <w:rsid w:val="00910EE0"/>
    <w:rsid w:val="00910EF1"/>
    <w:rsid w:val="00910F29"/>
    <w:rsid w:val="00910F82"/>
    <w:rsid w:val="009110C3"/>
    <w:rsid w:val="00911161"/>
    <w:rsid w:val="009113DC"/>
    <w:rsid w:val="00911417"/>
    <w:rsid w:val="00911454"/>
    <w:rsid w:val="0091166B"/>
    <w:rsid w:val="009116FD"/>
    <w:rsid w:val="00911B43"/>
    <w:rsid w:val="00911D9F"/>
    <w:rsid w:val="00911F4C"/>
    <w:rsid w:val="00911FA2"/>
    <w:rsid w:val="0091244E"/>
    <w:rsid w:val="009126DA"/>
    <w:rsid w:val="0091275A"/>
    <w:rsid w:val="0091292B"/>
    <w:rsid w:val="009129D0"/>
    <w:rsid w:val="00912A59"/>
    <w:rsid w:val="0091300D"/>
    <w:rsid w:val="0091329F"/>
    <w:rsid w:val="00913361"/>
    <w:rsid w:val="00913586"/>
    <w:rsid w:val="0091359E"/>
    <w:rsid w:val="00914473"/>
    <w:rsid w:val="009145B0"/>
    <w:rsid w:val="0091490F"/>
    <w:rsid w:val="0091496D"/>
    <w:rsid w:val="00914B94"/>
    <w:rsid w:val="00914CE2"/>
    <w:rsid w:val="00914E6F"/>
    <w:rsid w:val="00914F42"/>
    <w:rsid w:val="0091510D"/>
    <w:rsid w:val="009152B5"/>
    <w:rsid w:val="00915859"/>
    <w:rsid w:val="00915864"/>
    <w:rsid w:val="00915C48"/>
    <w:rsid w:val="00915F2F"/>
    <w:rsid w:val="00915F3D"/>
    <w:rsid w:val="00916015"/>
    <w:rsid w:val="00916836"/>
    <w:rsid w:val="009169D3"/>
    <w:rsid w:val="00916DC7"/>
    <w:rsid w:val="00917326"/>
    <w:rsid w:val="00917605"/>
    <w:rsid w:val="00917B0A"/>
    <w:rsid w:val="00917FBF"/>
    <w:rsid w:val="009204F9"/>
    <w:rsid w:val="009205FD"/>
    <w:rsid w:val="009206E9"/>
    <w:rsid w:val="00920E84"/>
    <w:rsid w:val="00921195"/>
    <w:rsid w:val="00921282"/>
    <w:rsid w:val="0092175D"/>
    <w:rsid w:val="009217BD"/>
    <w:rsid w:val="009217ED"/>
    <w:rsid w:val="00921DAD"/>
    <w:rsid w:val="00922105"/>
    <w:rsid w:val="0092213B"/>
    <w:rsid w:val="00922264"/>
    <w:rsid w:val="0092229C"/>
    <w:rsid w:val="00922396"/>
    <w:rsid w:val="0092273A"/>
    <w:rsid w:val="00922F7F"/>
    <w:rsid w:val="00922FAF"/>
    <w:rsid w:val="00923120"/>
    <w:rsid w:val="009231B5"/>
    <w:rsid w:val="00923524"/>
    <w:rsid w:val="009236D7"/>
    <w:rsid w:val="00923705"/>
    <w:rsid w:val="00923863"/>
    <w:rsid w:val="009239E4"/>
    <w:rsid w:val="00923AB7"/>
    <w:rsid w:val="00923DCA"/>
    <w:rsid w:val="00923EBC"/>
    <w:rsid w:val="0092403F"/>
    <w:rsid w:val="0092477F"/>
    <w:rsid w:val="009249FF"/>
    <w:rsid w:val="00924ABF"/>
    <w:rsid w:val="00924DAD"/>
    <w:rsid w:val="00924EEA"/>
    <w:rsid w:val="0092505C"/>
    <w:rsid w:val="00925115"/>
    <w:rsid w:val="0092512D"/>
    <w:rsid w:val="00925208"/>
    <w:rsid w:val="00925432"/>
    <w:rsid w:val="009259AE"/>
    <w:rsid w:val="00925B0E"/>
    <w:rsid w:val="00925FF5"/>
    <w:rsid w:val="00926011"/>
    <w:rsid w:val="00926201"/>
    <w:rsid w:val="0092632A"/>
    <w:rsid w:val="00926348"/>
    <w:rsid w:val="009266DE"/>
    <w:rsid w:val="009268FB"/>
    <w:rsid w:val="0092699B"/>
    <w:rsid w:val="0092699E"/>
    <w:rsid w:val="00926A74"/>
    <w:rsid w:val="00926B4D"/>
    <w:rsid w:val="009272C6"/>
    <w:rsid w:val="0092748D"/>
    <w:rsid w:val="009275D1"/>
    <w:rsid w:val="00927648"/>
    <w:rsid w:val="00927689"/>
    <w:rsid w:val="0092783D"/>
    <w:rsid w:val="00927A35"/>
    <w:rsid w:val="00927B67"/>
    <w:rsid w:val="00927CBD"/>
    <w:rsid w:val="00927E51"/>
    <w:rsid w:val="00927FCB"/>
    <w:rsid w:val="0093027B"/>
    <w:rsid w:val="00930359"/>
    <w:rsid w:val="00930B94"/>
    <w:rsid w:val="00930ECA"/>
    <w:rsid w:val="00930FBA"/>
    <w:rsid w:val="00930FDA"/>
    <w:rsid w:val="00931069"/>
    <w:rsid w:val="009311DB"/>
    <w:rsid w:val="0093125E"/>
    <w:rsid w:val="00931667"/>
    <w:rsid w:val="0093174B"/>
    <w:rsid w:val="00932176"/>
    <w:rsid w:val="009321B2"/>
    <w:rsid w:val="00932272"/>
    <w:rsid w:val="00932512"/>
    <w:rsid w:val="0093259C"/>
    <w:rsid w:val="009326AD"/>
    <w:rsid w:val="00932FE4"/>
    <w:rsid w:val="00933AB2"/>
    <w:rsid w:val="00933B59"/>
    <w:rsid w:val="00933C0D"/>
    <w:rsid w:val="00933E7F"/>
    <w:rsid w:val="00933F49"/>
    <w:rsid w:val="00934146"/>
    <w:rsid w:val="009341AA"/>
    <w:rsid w:val="009341CC"/>
    <w:rsid w:val="00934523"/>
    <w:rsid w:val="0093474A"/>
    <w:rsid w:val="0093475E"/>
    <w:rsid w:val="0093497D"/>
    <w:rsid w:val="00934996"/>
    <w:rsid w:val="009349DE"/>
    <w:rsid w:val="00934D82"/>
    <w:rsid w:val="00934DCE"/>
    <w:rsid w:val="00934EDB"/>
    <w:rsid w:val="00934F5F"/>
    <w:rsid w:val="0093515B"/>
    <w:rsid w:val="00935627"/>
    <w:rsid w:val="009357BF"/>
    <w:rsid w:val="0093583D"/>
    <w:rsid w:val="00935A95"/>
    <w:rsid w:val="00935C60"/>
    <w:rsid w:val="00935C62"/>
    <w:rsid w:val="00935D1A"/>
    <w:rsid w:val="00935D5C"/>
    <w:rsid w:val="00935F9B"/>
    <w:rsid w:val="0093600A"/>
    <w:rsid w:val="0093620C"/>
    <w:rsid w:val="00936305"/>
    <w:rsid w:val="009363C6"/>
    <w:rsid w:val="0093667F"/>
    <w:rsid w:val="00936776"/>
    <w:rsid w:val="0093688D"/>
    <w:rsid w:val="009368DC"/>
    <w:rsid w:val="00936DB9"/>
    <w:rsid w:val="00937296"/>
    <w:rsid w:val="00937719"/>
    <w:rsid w:val="0093773C"/>
    <w:rsid w:val="009377EB"/>
    <w:rsid w:val="009378B6"/>
    <w:rsid w:val="00937AB4"/>
    <w:rsid w:val="00937AD3"/>
    <w:rsid w:val="00937B94"/>
    <w:rsid w:val="00937BB1"/>
    <w:rsid w:val="00937FA4"/>
    <w:rsid w:val="00940142"/>
    <w:rsid w:val="00940265"/>
    <w:rsid w:val="0094086D"/>
    <w:rsid w:val="009409B0"/>
    <w:rsid w:val="00940A63"/>
    <w:rsid w:val="00940AD6"/>
    <w:rsid w:val="00940E77"/>
    <w:rsid w:val="0094104C"/>
    <w:rsid w:val="009411A6"/>
    <w:rsid w:val="009411D8"/>
    <w:rsid w:val="00941231"/>
    <w:rsid w:val="0094156C"/>
    <w:rsid w:val="0094163C"/>
    <w:rsid w:val="00941752"/>
    <w:rsid w:val="00941827"/>
    <w:rsid w:val="00941929"/>
    <w:rsid w:val="00941D15"/>
    <w:rsid w:val="00941EAA"/>
    <w:rsid w:val="00942423"/>
    <w:rsid w:val="00942440"/>
    <w:rsid w:val="00942526"/>
    <w:rsid w:val="009428A6"/>
    <w:rsid w:val="00942944"/>
    <w:rsid w:val="00942B9F"/>
    <w:rsid w:val="00942D62"/>
    <w:rsid w:val="00942D67"/>
    <w:rsid w:val="00942E45"/>
    <w:rsid w:val="009430E1"/>
    <w:rsid w:val="009431B4"/>
    <w:rsid w:val="00943201"/>
    <w:rsid w:val="009432C8"/>
    <w:rsid w:val="00943690"/>
    <w:rsid w:val="00943A00"/>
    <w:rsid w:val="00943B54"/>
    <w:rsid w:val="00943D05"/>
    <w:rsid w:val="0094416E"/>
    <w:rsid w:val="0094447F"/>
    <w:rsid w:val="00944677"/>
    <w:rsid w:val="00944779"/>
    <w:rsid w:val="00944A69"/>
    <w:rsid w:val="00945171"/>
    <w:rsid w:val="009455AD"/>
    <w:rsid w:val="00945606"/>
    <w:rsid w:val="009458C6"/>
    <w:rsid w:val="00945905"/>
    <w:rsid w:val="00945BE7"/>
    <w:rsid w:val="00945D2E"/>
    <w:rsid w:val="00945D4B"/>
    <w:rsid w:val="00945D6A"/>
    <w:rsid w:val="00945E53"/>
    <w:rsid w:val="00945F78"/>
    <w:rsid w:val="00946334"/>
    <w:rsid w:val="00946339"/>
    <w:rsid w:val="009463E8"/>
    <w:rsid w:val="00946627"/>
    <w:rsid w:val="009467D7"/>
    <w:rsid w:val="0094681C"/>
    <w:rsid w:val="0094692E"/>
    <w:rsid w:val="00946FBB"/>
    <w:rsid w:val="00947104"/>
    <w:rsid w:val="009472E4"/>
    <w:rsid w:val="00947395"/>
    <w:rsid w:val="009473B1"/>
    <w:rsid w:val="009473E0"/>
    <w:rsid w:val="009474D7"/>
    <w:rsid w:val="0094760D"/>
    <w:rsid w:val="00947633"/>
    <w:rsid w:val="009476CA"/>
    <w:rsid w:val="0094783C"/>
    <w:rsid w:val="00947C46"/>
    <w:rsid w:val="00947C90"/>
    <w:rsid w:val="00947D2F"/>
    <w:rsid w:val="00947F21"/>
    <w:rsid w:val="00950000"/>
    <w:rsid w:val="00950139"/>
    <w:rsid w:val="00950464"/>
    <w:rsid w:val="009504CB"/>
    <w:rsid w:val="0095051F"/>
    <w:rsid w:val="00950E0C"/>
    <w:rsid w:val="00950E16"/>
    <w:rsid w:val="00950F24"/>
    <w:rsid w:val="0095112B"/>
    <w:rsid w:val="00951331"/>
    <w:rsid w:val="00951434"/>
    <w:rsid w:val="00951530"/>
    <w:rsid w:val="00951763"/>
    <w:rsid w:val="00951A69"/>
    <w:rsid w:val="00951AF7"/>
    <w:rsid w:val="00951E29"/>
    <w:rsid w:val="00951F26"/>
    <w:rsid w:val="00951FFF"/>
    <w:rsid w:val="009521DE"/>
    <w:rsid w:val="0095229C"/>
    <w:rsid w:val="0095267C"/>
    <w:rsid w:val="009527CF"/>
    <w:rsid w:val="0095282E"/>
    <w:rsid w:val="0095283F"/>
    <w:rsid w:val="009528A4"/>
    <w:rsid w:val="0095302E"/>
    <w:rsid w:val="0095332F"/>
    <w:rsid w:val="009533C7"/>
    <w:rsid w:val="00953513"/>
    <w:rsid w:val="009535A2"/>
    <w:rsid w:val="009535F7"/>
    <w:rsid w:val="009536CD"/>
    <w:rsid w:val="009538DC"/>
    <w:rsid w:val="00953941"/>
    <w:rsid w:val="00953944"/>
    <w:rsid w:val="00953A4E"/>
    <w:rsid w:val="00953E06"/>
    <w:rsid w:val="00953FA3"/>
    <w:rsid w:val="009541A5"/>
    <w:rsid w:val="009541E1"/>
    <w:rsid w:val="0095422E"/>
    <w:rsid w:val="0095432D"/>
    <w:rsid w:val="00954371"/>
    <w:rsid w:val="00954764"/>
    <w:rsid w:val="0095496C"/>
    <w:rsid w:val="00954A8E"/>
    <w:rsid w:val="00954B08"/>
    <w:rsid w:val="00954C85"/>
    <w:rsid w:val="00954CF8"/>
    <w:rsid w:val="00954DDC"/>
    <w:rsid w:val="00954E15"/>
    <w:rsid w:val="00955080"/>
    <w:rsid w:val="009550DD"/>
    <w:rsid w:val="009554AC"/>
    <w:rsid w:val="00955517"/>
    <w:rsid w:val="0095559A"/>
    <w:rsid w:val="009555AF"/>
    <w:rsid w:val="0095573B"/>
    <w:rsid w:val="00955B69"/>
    <w:rsid w:val="00955B7E"/>
    <w:rsid w:val="00955BBF"/>
    <w:rsid w:val="00955E68"/>
    <w:rsid w:val="00955EFA"/>
    <w:rsid w:val="00955F07"/>
    <w:rsid w:val="00955F67"/>
    <w:rsid w:val="009560CD"/>
    <w:rsid w:val="009560D4"/>
    <w:rsid w:val="009560D5"/>
    <w:rsid w:val="009560F8"/>
    <w:rsid w:val="009561FF"/>
    <w:rsid w:val="00956290"/>
    <w:rsid w:val="00956606"/>
    <w:rsid w:val="009567CC"/>
    <w:rsid w:val="009567D0"/>
    <w:rsid w:val="0095699C"/>
    <w:rsid w:val="00956A9A"/>
    <w:rsid w:val="00956CE1"/>
    <w:rsid w:val="00956DC2"/>
    <w:rsid w:val="00956E4A"/>
    <w:rsid w:val="00956F6C"/>
    <w:rsid w:val="009573B5"/>
    <w:rsid w:val="009574FF"/>
    <w:rsid w:val="009579FC"/>
    <w:rsid w:val="00957C70"/>
    <w:rsid w:val="00957E27"/>
    <w:rsid w:val="00957E75"/>
    <w:rsid w:val="00960109"/>
    <w:rsid w:val="00960308"/>
    <w:rsid w:val="009608C9"/>
    <w:rsid w:val="00960A97"/>
    <w:rsid w:val="00960B10"/>
    <w:rsid w:val="00960B92"/>
    <w:rsid w:val="00960D82"/>
    <w:rsid w:val="00960EA5"/>
    <w:rsid w:val="00960F31"/>
    <w:rsid w:val="00961024"/>
    <w:rsid w:val="0096103E"/>
    <w:rsid w:val="00961390"/>
    <w:rsid w:val="0096153F"/>
    <w:rsid w:val="00961705"/>
    <w:rsid w:val="0096172A"/>
    <w:rsid w:val="00961D4D"/>
    <w:rsid w:val="00961EDE"/>
    <w:rsid w:val="00961F24"/>
    <w:rsid w:val="00961F38"/>
    <w:rsid w:val="00961FB5"/>
    <w:rsid w:val="009624FA"/>
    <w:rsid w:val="009625D7"/>
    <w:rsid w:val="009627E4"/>
    <w:rsid w:val="00962A9B"/>
    <w:rsid w:val="00962B0A"/>
    <w:rsid w:val="00962BF8"/>
    <w:rsid w:val="00962D26"/>
    <w:rsid w:val="00962DFD"/>
    <w:rsid w:val="00962FB4"/>
    <w:rsid w:val="009631B0"/>
    <w:rsid w:val="0096350F"/>
    <w:rsid w:val="009635A2"/>
    <w:rsid w:val="0096373D"/>
    <w:rsid w:val="009638C5"/>
    <w:rsid w:val="00963A84"/>
    <w:rsid w:val="00963D64"/>
    <w:rsid w:val="00963DB1"/>
    <w:rsid w:val="00963E23"/>
    <w:rsid w:val="00963ECD"/>
    <w:rsid w:val="00964967"/>
    <w:rsid w:val="009649A3"/>
    <w:rsid w:val="00964A9E"/>
    <w:rsid w:val="00964ABC"/>
    <w:rsid w:val="00964F33"/>
    <w:rsid w:val="009651D3"/>
    <w:rsid w:val="009652EC"/>
    <w:rsid w:val="00965348"/>
    <w:rsid w:val="00965606"/>
    <w:rsid w:val="0096571A"/>
    <w:rsid w:val="00965735"/>
    <w:rsid w:val="009658CA"/>
    <w:rsid w:val="00965AB5"/>
    <w:rsid w:val="00965B2B"/>
    <w:rsid w:val="00965E7B"/>
    <w:rsid w:val="00965E8B"/>
    <w:rsid w:val="00965F12"/>
    <w:rsid w:val="00965F3B"/>
    <w:rsid w:val="00965FCC"/>
    <w:rsid w:val="00966100"/>
    <w:rsid w:val="00966237"/>
    <w:rsid w:val="009665CC"/>
    <w:rsid w:val="00966947"/>
    <w:rsid w:val="009669BF"/>
    <w:rsid w:val="00966C6A"/>
    <w:rsid w:val="00966CF4"/>
    <w:rsid w:val="00966D3E"/>
    <w:rsid w:val="00966EB7"/>
    <w:rsid w:val="00966F69"/>
    <w:rsid w:val="00967008"/>
    <w:rsid w:val="00967186"/>
    <w:rsid w:val="00967349"/>
    <w:rsid w:val="0096738A"/>
    <w:rsid w:val="009674D9"/>
    <w:rsid w:val="009676CF"/>
    <w:rsid w:val="00967BA7"/>
    <w:rsid w:val="00970131"/>
    <w:rsid w:val="0097090D"/>
    <w:rsid w:val="009709D8"/>
    <w:rsid w:val="00970B76"/>
    <w:rsid w:val="00970C50"/>
    <w:rsid w:val="00970CF9"/>
    <w:rsid w:val="00970DBD"/>
    <w:rsid w:val="00970DF9"/>
    <w:rsid w:val="00970E2E"/>
    <w:rsid w:val="00970FE5"/>
    <w:rsid w:val="00971105"/>
    <w:rsid w:val="0097126B"/>
    <w:rsid w:val="00971402"/>
    <w:rsid w:val="0097143D"/>
    <w:rsid w:val="0097147A"/>
    <w:rsid w:val="009715D3"/>
    <w:rsid w:val="0097172F"/>
    <w:rsid w:val="009717A3"/>
    <w:rsid w:val="009720A2"/>
    <w:rsid w:val="009727C2"/>
    <w:rsid w:val="009727D2"/>
    <w:rsid w:val="009729B9"/>
    <w:rsid w:val="00972A36"/>
    <w:rsid w:val="00972A7A"/>
    <w:rsid w:val="00972D2F"/>
    <w:rsid w:val="00972DEF"/>
    <w:rsid w:val="00972E79"/>
    <w:rsid w:val="00972FDB"/>
    <w:rsid w:val="0097364F"/>
    <w:rsid w:val="0097373C"/>
    <w:rsid w:val="00973928"/>
    <w:rsid w:val="009739FF"/>
    <w:rsid w:val="00973BCB"/>
    <w:rsid w:val="00973CC3"/>
    <w:rsid w:val="00973F25"/>
    <w:rsid w:val="00974113"/>
    <w:rsid w:val="00974161"/>
    <w:rsid w:val="0097477D"/>
    <w:rsid w:val="009749A9"/>
    <w:rsid w:val="009749FC"/>
    <w:rsid w:val="00974DF3"/>
    <w:rsid w:val="009750C4"/>
    <w:rsid w:val="009751B9"/>
    <w:rsid w:val="009751CD"/>
    <w:rsid w:val="009752B3"/>
    <w:rsid w:val="009752BD"/>
    <w:rsid w:val="009757CC"/>
    <w:rsid w:val="00975884"/>
    <w:rsid w:val="009758B7"/>
    <w:rsid w:val="00975ABA"/>
    <w:rsid w:val="00975CC1"/>
    <w:rsid w:val="00975E2D"/>
    <w:rsid w:val="00975F8E"/>
    <w:rsid w:val="009760EB"/>
    <w:rsid w:val="009761FD"/>
    <w:rsid w:val="00976453"/>
    <w:rsid w:val="009764A7"/>
    <w:rsid w:val="0097667A"/>
    <w:rsid w:val="009766D9"/>
    <w:rsid w:val="00976A6F"/>
    <w:rsid w:val="00976CE5"/>
    <w:rsid w:val="00976E57"/>
    <w:rsid w:val="00976F0B"/>
    <w:rsid w:val="0097734C"/>
    <w:rsid w:val="00977510"/>
    <w:rsid w:val="00977883"/>
    <w:rsid w:val="00977AC5"/>
    <w:rsid w:val="00977C3C"/>
    <w:rsid w:val="00977D76"/>
    <w:rsid w:val="00977E47"/>
    <w:rsid w:val="00977E95"/>
    <w:rsid w:val="00977FF7"/>
    <w:rsid w:val="00980022"/>
    <w:rsid w:val="00980138"/>
    <w:rsid w:val="00980269"/>
    <w:rsid w:val="00980385"/>
    <w:rsid w:val="00980591"/>
    <w:rsid w:val="00980644"/>
    <w:rsid w:val="00980899"/>
    <w:rsid w:val="00980C72"/>
    <w:rsid w:val="00980D69"/>
    <w:rsid w:val="00980DE0"/>
    <w:rsid w:val="009813A2"/>
    <w:rsid w:val="0098155B"/>
    <w:rsid w:val="00981770"/>
    <w:rsid w:val="009819F3"/>
    <w:rsid w:val="00981CF7"/>
    <w:rsid w:val="00981D53"/>
    <w:rsid w:val="00981DEB"/>
    <w:rsid w:val="009820D7"/>
    <w:rsid w:val="009823AD"/>
    <w:rsid w:val="0098247C"/>
    <w:rsid w:val="00982857"/>
    <w:rsid w:val="009828A4"/>
    <w:rsid w:val="0098293C"/>
    <w:rsid w:val="00982A35"/>
    <w:rsid w:val="00982F93"/>
    <w:rsid w:val="00983625"/>
    <w:rsid w:val="009836CE"/>
    <w:rsid w:val="0098371D"/>
    <w:rsid w:val="00983734"/>
    <w:rsid w:val="00983803"/>
    <w:rsid w:val="009838FD"/>
    <w:rsid w:val="00983DA1"/>
    <w:rsid w:val="00983ECD"/>
    <w:rsid w:val="0098412B"/>
    <w:rsid w:val="0098414A"/>
    <w:rsid w:val="00984631"/>
    <w:rsid w:val="00984640"/>
    <w:rsid w:val="0098472A"/>
    <w:rsid w:val="0098485B"/>
    <w:rsid w:val="0098485C"/>
    <w:rsid w:val="00984A7E"/>
    <w:rsid w:val="00984AE1"/>
    <w:rsid w:val="00984B6A"/>
    <w:rsid w:val="00984C5B"/>
    <w:rsid w:val="00984D94"/>
    <w:rsid w:val="00984F49"/>
    <w:rsid w:val="00984FEF"/>
    <w:rsid w:val="009851B1"/>
    <w:rsid w:val="009851C1"/>
    <w:rsid w:val="009857F9"/>
    <w:rsid w:val="00985BFF"/>
    <w:rsid w:val="00985D73"/>
    <w:rsid w:val="00986977"/>
    <w:rsid w:val="00986B96"/>
    <w:rsid w:val="00986F0D"/>
    <w:rsid w:val="00986FE4"/>
    <w:rsid w:val="00987073"/>
    <w:rsid w:val="0098739E"/>
    <w:rsid w:val="009874B0"/>
    <w:rsid w:val="009876AA"/>
    <w:rsid w:val="00987935"/>
    <w:rsid w:val="00987A5D"/>
    <w:rsid w:val="00987B93"/>
    <w:rsid w:val="00987C60"/>
    <w:rsid w:val="00987D77"/>
    <w:rsid w:val="0099000D"/>
    <w:rsid w:val="009902D1"/>
    <w:rsid w:val="009904D6"/>
    <w:rsid w:val="00990758"/>
    <w:rsid w:val="0099081B"/>
    <w:rsid w:val="00990A3A"/>
    <w:rsid w:val="00990BF2"/>
    <w:rsid w:val="00990BFF"/>
    <w:rsid w:val="00990E63"/>
    <w:rsid w:val="00990EA6"/>
    <w:rsid w:val="009915C5"/>
    <w:rsid w:val="009917A0"/>
    <w:rsid w:val="00991908"/>
    <w:rsid w:val="009919B0"/>
    <w:rsid w:val="009919E6"/>
    <w:rsid w:val="00991DCB"/>
    <w:rsid w:val="00991E62"/>
    <w:rsid w:val="0099214D"/>
    <w:rsid w:val="009921F5"/>
    <w:rsid w:val="0099256A"/>
    <w:rsid w:val="00992BC0"/>
    <w:rsid w:val="0099310F"/>
    <w:rsid w:val="0099326B"/>
    <w:rsid w:val="00993814"/>
    <w:rsid w:val="00993830"/>
    <w:rsid w:val="009938E8"/>
    <w:rsid w:val="009939E2"/>
    <w:rsid w:val="00993B5B"/>
    <w:rsid w:val="00993B6E"/>
    <w:rsid w:val="00993B88"/>
    <w:rsid w:val="00993EFB"/>
    <w:rsid w:val="00994460"/>
    <w:rsid w:val="009948D5"/>
    <w:rsid w:val="009949D3"/>
    <w:rsid w:val="009949E0"/>
    <w:rsid w:val="00994AFF"/>
    <w:rsid w:val="00994F45"/>
    <w:rsid w:val="00994FE6"/>
    <w:rsid w:val="0099515B"/>
    <w:rsid w:val="00995410"/>
    <w:rsid w:val="009958A4"/>
    <w:rsid w:val="00995D62"/>
    <w:rsid w:val="00995F44"/>
    <w:rsid w:val="009961C4"/>
    <w:rsid w:val="0099621D"/>
    <w:rsid w:val="009962E9"/>
    <w:rsid w:val="009963CC"/>
    <w:rsid w:val="009968EC"/>
    <w:rsid w:val="00996A3C"/>
    <w:rsid w:val="00996B25"/>
    <w:rsid w:val="00996B39"/>
    <w:rsid w:val="00996C08"/>
    <w:rsid w:val="009970EA"/>
    <w:rsid w:val="0099714D"/>
    <w:rsid w:val="00997183"/>
    <w:rsid w:val="009975C6"/>
    <w:rsid w:val="00997667"/>
    <w:rsid w:val="00997811"/>
    <w:rsid w:val="0099791A"/>
    <w:rsid w:val="0099791F"/>
    <w:rsid w:val="009979F7"/>
    <w:rsid w:val="00997D48"/>
    <w:rsid w:val="009A000E"/>
    <w:rsid w:val="009A0206"/>
    <w:rsid w:val="009A0268"/>
    <w:rsid w:val="009A02A2"/>
    <w:rsid w:val="009A04AA"/>
    <w:rsid w:val="009A0812"/>
    <w:rsid w:val="009A0D96"/>
    <w:rsid w:val="009A147F"/>
    <w:rsid w:val="009A164B"/>
    <w:rsid w:val="009A1748"/>
    <w:rsid w:val="009A1867"/>
    <w:rsid w:val="009A1C85"/>
    <w:rsid w:val="009A1C9D"/>
    <w:rsid w:val="009A2061"/>
    <w:rsid w:val="009A2484"/>
    <w:rsid w:val="009A28AF"/>
    <w:rsid w:val="009A28B1"/>
    <w:rsid w:val="009A2D86"/>
    <w:rsid w:val="009A2FCB"/>
    <w:rsid w:val="009A30B3"/>
    <w:rsid w:val="009A3166"/>
    <w:rsid w:val="009A370A"/>
    <w:rsid w:val="009A370B"/>
    <w:rsid w:val="009A39F3"/>
    <w:rsid w:val="009A3A3C"/>
    <w:rsid w:val="009A3B4B"/>
    <w:rsid w:val="009A3D3C"/>
    <w:rsid w:val="009A3D9D"/>
    <w:rsid w:val="009A4230"/>
    <w:rsid w:val="009A430B"/>
    <w:rsid w:val="009A4499"/>
    <w:rsid w:val="009A475F"/>
    <w:rsid w:val="009A480B"/>
    <w:rsid w:val="009A4B0B"/>
    <w:rsid w:val="009A4D15"/>
    <w:rsid w:val="009A4E02"/>
    <w:rsid w:val="009A4EB0"/>
    <w:rsid w:val="009A4FBE"/>
    <w:rsid w:val="009A4FFA"/>
    <w:rsid w:val="009A5032"/>
    <w:rsid w:val="009A5516"/>
    <w:rsid w:val="009A584E"/>
    <w:rsid w:val="009A590C"/>
    <w:rsid w:val="009A5953"/>
    <w:rsid w:val="009A5AA9"/>
    <w:rsid w:val="009A5AF6"/>
    <w:rsid w:val="009A5D41"/>
    <w:rsid w:val="009A5F15"/>
    <w:rsid w:val="009A619D"/>
    <w:rsid w:val="009A67CF"/>
    <w:rsid w:val="009A6C45"/>
    <w:rsid w:val="009A7153"/>
    <w:rsid w:val="009A7177"/>
    <w:rsid w:val="009A7343"/>
    <w:rsid w:val="009A761B"/>
    <w:rsid w:val="009A7621"/>
    <w:rsid w:val="009A76DF"/>
    <w:rsid w:val="009A78E8"/>
    <w:rsid w:val="009A79F1"/>
    <w:rsid w:val="009A7A0B"/>
    <w:rsid w:val="009A7B0D"/>
    <w:rsid w:val="009A7B6C"/>
    <w:rsid w:val="009A7C4B"/>
    <w:rsid w:val="009A7DFE"/>
    <w:rsid w:val="009A7FE8"/>
    <w:rsid w:val="009A7FED"/>
    <w:rsid w:val="009B007B"/>
    <w:rsid w:val="009B03B2"/>
    <w:rsid w:val="009B03FE"/>
    <w:rsid w:val="009B09CF"/>
    <w:rsid w:val="009B0A3A"/>
    <w:rsid w:val="009B0AC9"/>
    <w:rsid w:val="009B0E06"/>
    <w:rsid w:val="009B0EAB"/>
    <w:rsid w:val="009B1844"/>
    <w:rsid w:val="009B188B"/>
    <w:rsid w:val="009B1AFC"/>
    <w:rsid w:val="009B1C16"/>
    <w:rsid w:val="009B1C69"/>
    <w:rsid w:val="009B1EBF"/>
    <w:rsid w:val="009B1F10"/>
    <w:rsid w:val="009B1F6A"/>
    <w:rsid w:val="009B20E4"/>
    <w:rsid w:val="009B222F"/>
    <w:rsid w:val="009B2292"/>
    <w:rsid w:val="009B330A"/>
    <w:rsid w:val="009B3492"/>
    <w:rsid w:val="009B34D4"/>
    <w:rsid w:val="009B3D67"/>
    <w:rsid w:val="009B3DE3"/>
    <w:rsid w:val="009B3E72"/>
    <w:rsid w:val="009B3E87"/>
    <w:rsid w:val="009B4019"/>
    <w:rsid w:val="009B40A0"/>
    <w:rsid w:val="009B4170"/>
    <w:rsid w:val="009B41AB"/>
    <w:rsid w:val="009B4237"/>
    <w:rsid w:val="009B42BC"/>
    <w:rsid w:val="009B4679"/>
    <w:rsid w:val="009B47E8"/>
    <w:rsid w:val="009B4AA0"/>
    <w:rsid w:val="009B4AFE"/>
    <w:rsid w:val="009B4CC8"/>
    <w:rsid w:val="009B4EA2"/>
    <w:rsid w:val="009B4EC3"/>
    <w:rsid w:val="009B4FCA"/>
    <w:rsid w:val="009B51D3"/>
    <w:rsid w:val="009B540B"/>
    <w:rsid w:val="009B55C4"/>
    <w:rsid w:val="009B565F"/>
    <w:rsid w:val="009B568F"/>
    <w:rsid w:val="009B5777"/>
    <w:rsid w:val="009B57BC"/>
    <w:rsid w:val="009B5DE7"/>
    <w:rsid w:val="009B5F7F"/>
    <w:rsid w:val="009B606D"/>
    <w:rsid w:val="009B609B"/>
    <w:rsid w:val="009B6331"/>
    <w:rsid w:val="009B6335"/>
    <w:rsid w:val="009B64AC"/>
    <w:rsid w:val="009B6619"/>
    <w:rsid w:val="009B6852"/>
    <w:rsid w:val="009B68B6"/>
    <w:rsid w:val="009B68ED"/>
    <w:rsid w:val="009B698C"/>
    <w:rsid w:val="009B69BA"/>
    <w:rsid w:val="009B7886"/>
    <w:rsid w:val="009B7AAF"/>
    <w:rsid w:val="009B7AB6"/>
    <w:rsid w:val="009B7E9C"/>
    <w:rsid w:val="009C0324"/>
    <w:rsid w:val="009C0790"/>
    <w:rsid w:val="009C0DA2"/>
    <w:rsid w:val="009C0DCE"/>
    <w:rsid w:val="009C0F2F"/>
    <w:rsid w:val="009C142B"/>
    <w:rsid w:val="009C1540"/>
    <w:rsid w:val="009C15CE"/>
    <w:rsid w:val="009C177B"/>
    <w:rsid w:val="009C1A36"/>
    <w:rsid w:val="009C1A45"/>
    <w:rsid w:val="009C1B84"/>
    <w:rsid w:val="009C203D"/>
    <w:rsid w:val="009C210D"/>
    <w:rsid w:val="009C26A4"/>
    <w:rsid w:val="009C2759"/>
    <w:rsid w:val="009C27BB"/>
    <w:rsid w:val="009C2939"/>
    <w:rsid w:val="009C2BB3"/>
    <w:rsid w:val="009C2D1D"/>
    <w:rsid w:val="009C2F8F"/>
    <w:rsid w:val="009C31A4"/>
    <w:rsid w:val="009C38E1"/>
    <w:rsid w:val="009C3A3A"/>
    <w:rsid w:val="009C3AA1"/>
    <w:rsid w:val="009C3B47"/>
    <w:rsid w:val="009C3DED"/>
    <w:rsid w:val="009C4060"/>
    <w:rsid w:val="009C408E"/>
    <w:rsid w:val="009C4316"/>
    <w:rsid w:val="009C43AF"/>
    <w:rsid w:val="009C43F9"/>
    <w:rsid w:val="009C4518"/>
    <w:rsid w:val="009C4735"/>
    <w:rsid w:val="009C4C26"/>
    <w:rsid w:val="009C4D0B"/>
    <w:rsid w:val="009C4DD1"/>
    <w:rsid w:val="009C4FEB"/>
    <w:rsid w:val="009C50A0"/>
    <w:rsid w:val="009C5108"/>
    <w:rsid w:val="009C5299"/>
    <w:rsid w:val="009C53B3"/>
    <w:rsid w:val="009C56DA"/>
    <w:rsid w:val="009C5795"/>
    <w:rsid w:val="009C59F7"/>
    <w:rsid w:val="009C5A85"/>
    <w:rsid w:val="009C62DD"/>
    <w:rsid w:val="009C6467"/>
    <w:rsid w:val="009C65CF"/>
    <w:rsid w:val="009C65D2"/>
    <w:rsid w:val="009C6683"/>
    <w:rsid w:val="009C66FC"/>
    <w:rsid w:val="009C6C17"/>
    <w:rsid w:val="009C6CED"/>
    <w:rsid w:val="009C6D0E"/>
    <w:rsid w:val="009C6DAD"/>
    <w:rsid w:val="009C6FDC"/>
    <w:rsid w:val="009C7166"/>
    <w:rsid w:val="009C7188"/>
    <w:rsid w:val="009C741F"/>
    <w:rsid w:val="009C766D"/>
    <w:rsid w:val="009C781F"/>
    <w:rsid w:val="009C78EF"/>
    <w:rsid w:val="009C791C"/>
    <w:rsid w:val="009C79FF"/>
    <w:rsid w:val="009C7E5B"/>
    <w:rsid w:val="009D039F"/>
    <w:rsid w:val="009D04FA"/>
    <w:rsid w:val="009D080F"/>
    <w:rsid w:val="009D0AB0"/>
    <w:rsid w:val="009D0ED0"/>
    <w:rsid w:val="009D0F3A"/>
    <w:rsid w:val="009D11A0"/>
    <w:rsid w:val="009D150E"/>
    <w:rsid w:val="009D166E"/>
    <w:rsid w:val="009D1A3A"/>
    <w:rsid w:val="009D1C0B"/>
    <w:rsid w:val="009D1CFD"/>
    <w:rsid w:val="009D1D35"/>
    <w:rsid w:val="009D1E04"/>
    <w:rsid w:val="009D1E2F"/>
    <w:rsid w:val="009D1FF0"/>
    <w:rsid w:val="009D20FD"/>
    <w:rsid w:val="009D2190"/>
    <w:rsid w:val="009D2803"/>
    <w:rsid w:val="009D2828"/>
    <w:rsid w:val="009D2A47"/>
    <w:rsid w:val="009D2B2A"/>
    <w:rsid w:val="009D2FD0"/>
    <w:rsid w:val="009D313E"/>
    <w:rsid w:val="009D3254"/>
    <w:rsid w:val="009D3258"/>
    <w:rsid w:val="009D342F"/>
    <w:rsid w:val="009D3568"/>
    <w:rsid w:val="009D385E"/>
    <w:rsid w:val="009D38E7"/>
    <w:rsid w:val="009D3AC9"/>
    <w:rsid w:val="009D3B4F"/>
    <w:rsid w:val="009D3C58"/>
    <w:rsid w:val="009D3D67"/>
    <w:rsid w:val="009D3D76"/>
    <w:rsid w:val="009D3DD0"/>
    <w:rsid w:val="009D3DEA"/>
    <w:rsid w:val="009D404D"/>
    <w:rsid w:val="009D4208"/>
    <w:rsid w:val="009D42FB"/>
    <w:rsid w:val="009D433B"/>
    <w:rsid w:val="009D4745"/>
    <w:rsid w:val="009D480D"/>
    <w:rsid w:val="009D4D2B"/>
    <w:rsid w:val="009D4F0E"/>
    <w:rsid w:val="009D51A9"/>
    <w:rsid w:val="009D5296"/>
    <w:rsid w:val="009D52D0"/>
    <w:rsid w:val="009D5319"/>
    <w:rsid w:val="009D542D"/>
    <w:rsid w:val="009D5496"/>
    <w:rsid w:val="009D5959"/>
    <w:rsid w:val="009D5CD7"/>
    <w:rsid w:val="009D5E7C"/>
    <w:rsid w:val="009D5E9A"/>
    <w:rsid w:val="009D5F53"/>
    <w:rsid w:val="009D6020"/>
    <w:rsid w:val="009D67D1"/>
    <w:rsid w:val="009D692B"/>
    <w:rsid w:val="009D6B4E"/>
    <w:rsid w:val="009D6CBC"/>
    <w:rsid w:val="009D6E12"/>
    <w:rsid w:val="009D70BC"/>
    <w:rsid w:val="009D71DF"/>
    <w:rsid w:val="009D74FA"/>
    <w:rsid w:val="009D787B"/>
    <w:rsid w:val="009D7A1F"/>
    <w:rsid w:val="009D7CF8"/>
    <w:rsid w:val="009D7E08"/>
    <w:rsid w:val="009D7FF0"/>
    <w:rsid w:val="009E0885"/>
    <w:rsid w:val="009E09E9"/>
    <w:rsid w:val="009E0A5B"/>
    <w:rsid w:val="009E0ADB"/>
    <w:rsid w:val="009E0CDF"/>
    <w:rsid w:val="009E0D54"/>
    <w:rsid w:val="009E0F1B"/>
    <w:rsid w:val="009E0FB2"/>
    <w:rsid w:val="009E0FB6"/>
    <w:rsid w:val="009E1040"/>
    <w:rsid w:val="009E11CF"/>
    <w:rsid w:val="009E122F"/>
    <w:rsid w:val="009E15EA"/>
    <w:rsid w:val="009E17D0"/>
    <w:rsid w:val="009E1859"/>
    <w:rsid w:val="009E1DDF"/>
    <w:rsid w:val="009E228C"/>
    <w:rsid w:val="009E2310"/>
    <w:rsid w:val="009E233C"/>
    <w:rsid w:val="009E23F1"/>
    <w:rsid w:val="009E25E5"/>
    <w:rsid w:val="009E2880"/>
    <w:rsid w:val="009E2A45"/>
    <w:rsid w:val="009E2FBD"/>
    <w:rsid w:val="009E310D"/>
    <w:rsid w:val="009E33C7"/>
    <w:rsid w:val="009E34AE"/>
    <w:rsid w:val="009E37B2"/>
    <w:rsid w:val="009E3828"/>
    <w:rsid w:val="009E39E9"/>
    <w:rsid w:val="009E3AD4"/>
    <w:rsid w:val="009E3B77"/>
    <w:rsid w:val="009E3C01"/>
    <w:rsid w:val="009E3F27"/>
    <w:rsid w:val="009E3FC7"/>
    <w:rsid w:val="009E414D"/>
    <w:rsid w:val="009E4159"/>
    <w:rsid w:val="009E4427"/>
    <w:rsid w:val="009E4749"/>
    <w:rsid w:val="009E4898"/>
    <w:rsid w:val="009E4A2E"/>
    <w:rsid w:val="009E4D1F"/>
    <w:rsid w:val="009E4D49"/>
    <w:rsid w:val="009E5255"/>
    <w:rsid w:val="009E54A6"/>
    <w:rsid w:val="009E61B8"/>
    <w:rsid w:val="009E625E"/>
    <w:rsid w:val="009E6329"/>
    <w:rsid w:val="009E668D"/>
    <w:rsid w:val="009E68BB"/>
    <w:rsid w:val="009E69A5"/>
    <w:rsid w:val="009E6B32"/>
    <w:rsid w:val="009E6B74"/>
    <w:rsid w:val="009E6B94"/>
    <w:rsid w:val="009E6BC5"/>
    <w:rsid w:val="009E6C92"/>
    <w:rsid w:val="009E6D7C"/>
    <w:rsid w:val="009E6F42"/>
    <w:rsid w:val="009E6F5B"/>
    <w:rsid w:val="009E7218"/>
    <w:rsid w:val="009E721C"/>
    <w:rsid w:val="009E72DE"/>
    <w:rsid w:val="009E7358"/>
    <w:rsid w:val="009E7707"/>
    <w:rsid w:val="009E7773"/>
    <w:rsid w:val="009E7856"/>
    <w:rsid w:val="009E79C8"/>
    <w:rsid w:val="009E7C16"/>
    <w:rsid w:val="009E7E31"/>
    <w:rsid w:val="009E7F00"/>
    <w:rsid w:val="009E7F62"/>
    <w:rsid w:val="009F0644"/>
    <w:rsid w:val="009F0693"/>
    <w:rsid w:val="009F08D5"/>
    <w:rsid w:val="009F09B0"/>
    <w:rsid w:val="009F0A90"/>
    <w:rsid w:val="009F0AB8"/>
    <w:rsid w:val="009F0AF0"/>
    <w:rsid w:val="009F0B68"/>
    <w:rsid w:val="009F0DF9"/>
    <w:rsid w:val="009F1143"/>
    <w:rsid w:val="009F1210"/>
    <w:rsid w:val="009F1594"/>
    <w:rsid w:val="009F1B06"/>
    <w:rsid w:val="009F21CC"/>
    <w:rsid w:val="009F2276"/>
    <w:rsid w:val="009F2528"/>
    <w:rsid w:val="009F26FF"/>
    <w:rsid w:val="009F270D"/>
    <w:rsid w:val="009F282A"/>
    <w:rsid w:val="009F2B08"/>
    <w:rsid w:val="009F2B81"/>
    <w:rsid w:val="009F2B87"/>
    <w:rsid w:val="009F2CD0"/>
    <w:rsid w:val="009F2E0C"/>
    <w:rsid w:val="009F2E97"/>
    <w:rsid w:val="009F32B3"/>
    <w:rsid w:val="009F32E2"/>
    <w:rsid w:val="009F33F7"/>
    <w:rsid w:val="009F34AD"/>
    <w:rsid w:val="009F36E9"/>
    <w:rsid w:val="009F3A5D"/>
    <w:rsid w:val="009F3B43"/>
    <w:rsid w:val="009F3B5D"/>
    <w:rsid w:val="009F3B60"/>
    <w:rsid w:val="009F3C03"/>
    <w:rsid w:val="009F3E4F"/>
    <w:rsid w:val="009F3EF6"/>
    <w:rsid w:val="009F3FB7"/>
    <w:rsid w:val="009F40BC"/>
    <w:rsid w:val="009F44B9"/>
    <w:rsid w:val="009F4743"/>
    <w:rsid w:val="009F4754"/>
    <w:rsid w:val="009F477C"/>
    <w:rsid w:val="009F4B2B"/>
    <w:rsid w:val="009F5128"/>
    <w:rsid w:val="009F5AB0"/>
    <w:rsid w:val="009F5C3C"/>
    <w:rsid w:val="009F5C5E"/>
    <w:rsid w:val="009F5E90"/>
    <w:rsid w:val="009F62F0"/>
    <w:rsid w:val="009F63FC"/>
    <w:rsid w:val="009F66FD"/>
    <w:rsid w:val="009F6732"/>
    <w:rsid w:val="009F6872"/>
    <w:rsid w:val="009F6C53"/>
    <w:rsid w:val="009F6DE0"/>
    <w:rsid w:val="009F6EF4"/>
    <w:rsid w:val="009F72F1"/>
    <w:rsid w:val="009F73F8"/>
    <w:rsid w:val="009F75A6"/>
    <w:rsid w:val="009F75DA"/>
    <w:rsid w:val="009F76E8"/>
    <w:rsid w:val="009F77B8"/>
    <w:rsid w:val="009F7ACD"/>
    <w:rsid w:val="009F7D93"/>
    <w:rsid w:val="009F7EDF"/>
    <w:rsid w:val="009F7EF0"/>
    <w:rsid w:val="00A00063"/>
    <w:rsid w:val="00A00079"/>
    <w:rsid w:val="00A0013B"/>
    <w:rsid w:val="00A00448"/>
    <w:rsid w:val="00A00747"/>
    <w:rsid w:val="00A00C2A"/>
    <w:rsid w:val="00A00C33"/>
    <w:rsid w:val="00A00D75"/>
    <w:rsid w:val="00A00E33"/>
    <w:rsid w:val="00A01018"/>
    <w:rsid w:val="00A0130E"/>
    <w:rsid w:val="00A016F6"/>
    <w:rsid w:val="00A018BE"/>
    <w:rsid w:val="00A019FE"/>
    <w:rsid w:val="00A01AD3"/>
    <w:rsid w:val="00A01C52"/>
    <w:rsid w:val="00A01D5E"/>
    <w:rsid w:val="00A02151"/>
    <w:rsid w:val="00A0226D"/>
    <w:rsid w:val="00A02281"/>
    <w:rsid w:val="00A023FA"/>
    <w:rsid w:val="00A024FB"/>
    <w:rsid w:val="00A02781"/>
    <w:rsid w:val="00A02934"/>
    <w:rsid w:val="00A030DA"/>
    <w:rsid w:val="00A03679"/>
    <w:rsid w:val="00A036DA"/>
    <w:rsid w:val="00A03755"/>
    <w:rsid w:val="00A037B1"/>
    <w:rsid w:val="00A03B1E"/>
    <w:rsid w:val="00A03C95"/>
    <w:rsid w:val="00A03CF4"/>
    <w:rsid w:val="00A03DBB"/>
    <w:rsid w:val="00A03E47"/>
    <w:rsid w:val="00A03F2A"/>
    <w:rsid w:val="00A0411D"/>
    <w:rsid w:val="00A04386"/>
    <w:rsid w:val="00A04668"/>
    <w:rsid w:val="00A046B4"/>
    <w:rsid w:val="00A046F3"/>
    <w:rsid w:val="00A0479E"/>
    <w:rsid w:val="00A0483A"/>
    <w:rsid w:val="00A049E9"/>
    <w:rsid w:val="00A04BE4"/>
    <w:rsid w:val="00A04C5C"/>
    <w:rsid w:val="00A05054"/>
    <w:rsid w:val="00A0505B"/>
    <w:rsid w:val="00A054CC"/>
    <w:rsid w:val="00A05714"/>
    <w:rsid w:val="00A058DE"/>
    <w:rsid w:val="00A05A4B"/>
    <w:rsid w:val="00A05B21"/>
    <w:rsid w:val="00A05BD8"/>
    <w:rsid w:val="00A05C33"/>
    <w:rsid w:val="00A05CEE"/>
    <w:rsid w:val="00A05DE9"/>
    <w:rsid w:val="00A0606A"/>
    <w:rsid w:val="00A06286"/>
    <w:rsid w:val="00A0630A"/>
    <w:rsid w:val="00A06396"/>
    <w:rsid w:val="00A063B3"/>
    <w:rsid w:val="00A0654C"/>
    <w:rsid w:val="00A065F0"/>
    <w:rsid w:val="00A06AA3"/>
    <w:rsid w:val="00A06E0A"/>
    <w:rsid w:val="00A07271"/>
    <w:rsid w:val="00A072C0"/>
    <w:rsid w:val="00A0737B"/>
    <w:rsid w:val="00A074CB"/>
    <w:rsid w:val="00A075FC"/>
    <w:rsid w:val="00A077EF"/>
    <w:rsid w:val="00A078EA"/>
    <w:rsid w:val="00A07953"/>
    <w:rsid w:val="00A07F6A"/>
    <w:rsid w:val="00A10262"/>
    <w:rsid w:val="00A1054A"/>
    <w:rsid w:val="00A10BC9"/>
    <w:rsid w:val="00A10CCE"/>
    <w:rsid w:val="00A10F13"/>
    <w:rsid w:val="00A10FFE"/>
    <w:rsid w:val="00A11040"/>
    <w:rsid w:val="00A1162F"/>
    <w:rsid w:val="00A117DB"/>
    <w:rsid w:val="00A118E0"/>
    <w:rsid w:val="00A119F8"/>
    <w:rsid w:val="00A11F19"/>
    <w:rsid w:val="00A11F9B"/>
    <w:rsid w:val="00A121C1"/>
    <w:rsid w:val="00A12276"/>
    <w:rsid w:val="00A12288"/>
    <w:rsid w:val="00A1247D"/>
    <w:rsid w:val="00A1248E"/>
    <w:rsid w:val="00A1263C"/>
    <w:rsid w:val="00A127FE"/>
    <w:rsid w:val="00A12D5F"/>
    <w:rsid w:val="00A131DA"/>
    <w:rsid w:val="00A1337B"/>
    <w:rsid w:val="00A1352E"/>
    <w:rsid w:val="00A135CE"/>
    <w:rsid w:val="00A13B50"/>
    <w:rsid w:val="00A13BFE"/>
    <w:rsid w:val="00A13C18"/>
    <w:rsid w:val="00A13F4D"/>
    <w:rsid w:val="00A141A8"/>
    <w:rsid w:val="00A141E1"/>
    <w:rsid w:val="00A1460B"/>
    <w:rsid w:val="00A149D6"/>
    <w:rsid w:val="00A14DBE"/>
    <w:rsid w:val="00A15227"/>
    <w:rsid w:val="00A1556F"/>
    <w:rsid w:val="00A15699"/>
    <w:rsid w:val="00A159B9"/>
    <w:rsid w:val="00A15C66"/>
    <w:rsid w:val="00A15D30"/>
    <w:rsid w:val="00A160EE"/>
    <w:rsid w:val="00A16538"/>
    <w:rsid w:val="00A16560"/>
    <w:rsid w:val="00A165ED"/>
    <w:rsid w:val="00A168C7"/>
    <w:rsid w:val="00A16DF9"/>
    <w:rsid w:val="00A16F1B"/>
    <w:rsid w:val="00A16F38"/>
    <w:rsid w:val="00A1732A"/>
    <w:rsid w:val="00A174EA"/>
    <w:rsid w:val="00A17A26"/>
    <w:rsid w:val="00A17A4B"/>
    <w:rsid w:val="00A17EE0"/>
    <w:rsid w:val="00A17F7D"/>
    <w:rsid w:val="00A200AE"/>
    <w:rsid w:val="00A201AE"/>
    <w:rsid w:val="00A20212"/>
    <w:rsid w:val="00A202BD"/>
    <w:rsid w:val="00A2065E"/>
    <w:rsid w:val="00A20708"/>
    <w:rsid w:val="00A2085C"/>
    <w:rsid w:val="00A20894"/>
    <w:rsid w:val="00A208BA"/>
    <w:rsid w:val="00A20901"/>
    <w:rsid w:val="00A20AAF"/>
    <w:rsid w:val="00A20AC3"/>
    <w:rsid w:val="00A20DC9"/>
    <w:rsid w:val="00A20E05"/>
    <w:rsid w:val="00A20EBE"/>
    <w:rsid w:val="00A21320"/>
    <w:rsid w:val="00A2134A"/>
    <w:rsid w:val="00A2141C"/>
    <w:rsid w:val="00A218F7"/>
    <w:rsid w:val="00A219F1"/>
    <w:rsid w:val="00A21DF2"/>
    <w:rsid w:val="00A21FB1"/>
    <w:rsid w:val="00A222AB"/>
    <w:rsid w:val="00A225AD"/>
    <w:rsid w:val="00A2272C"/>
    <w:rsid w:val="00A22CCB"/>
    <w:rsid w:val="00A22DFB"/>
    <w:rsid w:val="00A22ED7"/>
    <w:rsid w:val="00A231B9"/>
    <w:rsid w:val="00A2369A"/>
    <w:rsid w:val="00A241A2"/>
    <w:rsid w:val="00A2425F"/>
    <w:rsid w:val="00A24342"/>
    <w:rsid w:val="00A24458"/>
    <w:rsid w:val="00A245EC"/>
    <w:rsid w:val="00A2466A"/>
    <w:rsid w:val="00A24793"/>
    <w:rsid w:val="00A24795"/>
    <w:rsid w:val="00A24BEE"/>
    <w:rsid w:val="00A2526F"/>
    <w:rsid w:val="00A2532E"/>
    <w:rsid w:val="00A253CE"/>
    <w:rsid w:val="00A2542D"/>
    <w:rsid w:val="00A2567F"/>
    <w:rsid w:val="00A2569F"/>
    <w:rsid w:val="00A2581E"/>
    <w:rsid w:val="00A25A93"/>
    <w:rsid w:val="00A25B58"/>
    <w:rsid w:val="00A25B6A"/>
    <w:rsid w:val="00A25C42"/>
    <w:rsid w:val="00A25D60"/>
    <w:rsid w:val="00A25D69"/>
    <w:rsid w:val="00A25DA0"/>
    <w:rsid w:val="00A25E19"/>
    <w:rsid w:val="00A25F4E"/>
    <w:rsid w:val="00A25F63"/>
    <w:rsid w:val="00A263A3"/>
    <w:rsid w:val="00A263E5"/>
    <w:rsid w:val="00A26968"/>
    <w:rsid w:val="00A26A51"/>
    <w:rsid w:val="00A26E9D"/>
    <w:rsid w:val="00A27043"/>
    <w:rsid w:val="00A271FE"/>
    <w:rsid w:val="00A2720A"/>
    <w:rsid w:val="00A27229"/>
    <w:rsid w:val="00A27C7E"/>
    <w:rsid w:val="00A27E45"/>
    <w:rsid w:val="00A30510"/>
    <w:rsid w:val="00A306E3"/>
    <w:rsid w:val="00A30D7F"/>
    <w:rsid w:val="00A30F4F"/>
    <w:rsid w:val="00A30FCA"/>
    <w:rsid w:val="00A31230"/>
    <w:rsid w:val="00A313C9"/>
    <w:rsid w:val="00A31802"/>
    <w:rsid w:val="00A31992"/>
    <w:rsid w:val="00A31B0C"/>
    <w:rsid w:val="00A31BFA"/>
    <w:rsid w:val="00A31C75"/>
    <w:rsid w:val="00A31E9B"/>
    <w:rsid w:val="00A322BC"/>
    <w:rsid w:val="00A32468"/>
    <w:rsid w:val="00A326D5"/>
    <w:rsid w:val="00A3276D"/>
    <w:rsid w:val="00A3281E"/>
    <w:rsid w:val="00A32992"/>
    <w:rsid w:val="00A32BE5"/>
    <w:rsid w:val="00A32D09"/>
    <w:rsid w:val="00A32D76"/>
    <w:rsid w:val="00A32E91"/>
    <w:rsid w:val="00A32FB8"/>
    <w:rsid w:val="00A32FCA"/>
    <w:rsid w:val="00A3341E"/>
    <w:rsid w:val="00A3356E"/>
    <w:rsid w:val="00A335F9"/>
    <w:rsid w:val="00A339EF"/>
    <w:rsid w:val="00A33A07"/>
    <w:rsid w:val="00A33BB2"/>
    <w:rsid w:val="00A33C8F"/>
    <w:rsid w:val="00A33D64"/>
    <w:rsid w:val="00A33FD2"/>
    <w:rsid w:val="00A3411A"/>
    <w:rsid w:val="00A3423A"/>
    <w:rsid w:val="00A347AB"/>
    <w:rsid w:val="00A34A1E"/>
    <w:rsid w:val="00A34A5C"/>
    <w:rsid w:val="00A34CCF"/>
    <w:rsid w:val="00A34F2F"/>
    <w:rsid w:val="00A34F47"/>
    <w:rsid w:val="00A35034"/>
    <w:rsid w:val="00A350C0"/>
    <w:rsid w:val="00A35250"/>
    <w:rsid w:val="00A356AD"/>
    <w:rsid w:val="00A35A44"/>
    <w:rsid w:val="00A35BCD"/>
    <w:rsid w:val="00A35D71"/>
    <w:rsid w:val="00A35D93"/>
    <w:rsid w:val="00A35E38"/>
    <w:rsid w:val="00A35EE4"/>
    <w:rsid w:val="00A365B9"/>
    <w:rsid w:val="00A36624"/>
    <w:rsid w:val="00A3667C"/>
    <w:rsid w:val="00A36B0D"/>
    <w:rsid w:val="00A36B73"/>
    <w:rsid w:val="00A36FF6"/>
    <w:rsid w:val="00A371D5"/>
    <w:rsid w:val="00A3738D"/>
    <w:rsid w:val="00A3762A"/>
    <w:rsid w:val="00A3781C"/>
    <w:rsid w:val="00A378AD"/>
    <w:rsid w:val="00A379A8"/>
    <w:rsid w:val="00A37A80"/>
    <w:rsid w:val="00A37C23"/>
    <w:rsid w:val="00A37E33"/>
    <w:rsid w:val="00A40035"/>
    <w:rsid w:val="00A404D0"/>
    <w:rsid w:val="00A40579"/>
    <w:rsid w:val="00A40648"/>
    <w:rsid w:val="00A408FF"/>
    <w:rsid w:val="00A40C0C"/>
    <w:rsid w:val="00A40E86"/>
    <w:rsid w:val="00A40FE8"/>
    <w:rsid w:val="00A4112C"/>
    <w:rsid w:val="00A4143B"/>
    <w:rsid w:val="00A414D1"/>
    <w:rsid w:val="00A416DF"/>
    <w:rsid w:val="00A41709"/>
    <w:rsid w:val="00A417B7"/>
    <w:rsid w:val="00A41864"/>
    <w:rsid w:val="00A41D6E"/>
    <w:rsid w:val="00A42090"/>
    <w:rsid w:val="00A421E2"/>
    <w:rsid w:val="00A422AB"/>
    <w:rsid w:val="00A42352"/>
    <w:rsid w:val="00A42716"/>
    <w:rsid w:val="00A42D06"/>
    <w:rsid w:val="00A42E91"/>
    <w:rsid w:val="00A42E95"/>
    <w:rsid w:val="00A4300E"/>
    <w:rsid w:val="00A436F8"/>
    <w:rsid w:val="00A43CC8"/>
    <w:rsid w:val="00A43CDB"/>
    <w:rsid w:val="00A43CEE"/>
    <w:rsid w:val="00A43DD7"/>
    <w:rsid w:val="00A43DE6"/>
    <w:rsid w:val="00A43EFD"/>
    <w:rsid w:val="00A43FB5"/>
    <w:rsid w:val="00A446E9"/>
    <w:rsid w:val="00A44725"/>
    <w:rsid w:val="00A447CE"/>
    <w:rsid w:val="00A4485A"/>
    <w:rsid w:val="00A449F4"/>
    <w:rsid w:val="00A44F7A"/>
    <w:rsid w:val="00A45210"/>
    <w:rsid w:val="00A45229"/>
    <w:rsid w:val="00A45385"/>
    <w:rsid w:val="00A45396"/>
    <w:rsid w:val="00A453F6"/>
    <w:rsid w:val="00A456EB"/>
    <w:rsid w:val="00A4574B"/>
    <w:rsid w:val="00A4577E"/>
    <w:rsid w:val="00A45912"/>
    <w:rsid w:val="00A45A38"/>
    <w:rsid w:val="00A45B19"/>
    <w:rsid w:val="00A45BB8"/>
    <w:rsid w:val="00A45E9E"/>
    <w:rsid w:val="00A46140"/>
    <w:rsid w:val="00A4618E"/>
    <w:rsid w:val="00A46364"/>
    <w:rsid w:val="00A4654D"/>
    <w:rsid w:val="00A46668"/>
    <w:rsid w:val="00A46675"/>
    <w:rsid w:val="00A468BF"/>
    <w:rsid w:val="00A468C4"/>
    <w:rsid w:val="00A46BE5"/>
    <w:rsid w:val="00A46C5D"/>
    <w:rsid w:val="00A46CC6"/>
    <w:rsid w:val="00A46DE8"/>
    <w:rsid w:val="00A46F1C"/>
    <w:rsid w:val="00A47281"/>
    <w:rsid w:val="00A473D4"/>
    <w:rsid w:val="00A47425"/>
    <w:rsid w:val="00A477E1"/>
    <w:rsid w:val="00A4799B"/>
    <w:rsid w:val="00A50011"/>
    <w:rsid w:val="00A5020B"/>
    <w:rsid w:val="00A506EA"/>
    <w:rsid w:val="00A50905"/>
    <w:rsid w:val="00A50A51"/>
    <w:rsid w:val="00A50B80"/>
    <w:rsid w:val="00A511B0"/>
    <w:rsid w:val="00A512E9"/>
    <w:rsid w:val="00A51D54"/>
    <w:rsid w:val="00A51D70"/>
    <w:rsid w:val="00A51F64"/>
    <w:rsid w:val="00A52039"/>
    <w:rsid w:val="00A520A2"/>
    <w:rsid w:val="00A523E3"/>
    <w:rsid w:val="00A52405"/>
    <w:rsid w:val="00A526C2"/>
    <w:rsid w:val="00A52D7E"/>
    <w:rsid w:val="00A52DA4"/>
    <w:rsid w:val="00A53187"/>
    <w:rsid w:val="00A53600"/>
    <w:rsid w:val="00A537EF"/>
    <w:rsid w:val="00A53848"/>
    <w:rsid w:val="00A538EA"/>
    <w:rsid w:val="00A539DE"/>
    <w:rsid w:val="00A53B37"/>
    <w:rsid w:val="00A53D3F"/>
    <w:rsid w:val="00A53D53"/>
    <w:rsid w:val="00A53E05"/>
    <w:rsid w:val="00A53E34"/>
    <w:rsid w:val="00A53F93"/>
    <w:rsid w:val="00A53FE4"/>
    <w:rsid w:val="00A5411D"/>
    <w:rsid w:val="00A54470"/>
    <w:rsid w:val="00A5461E"/>
    <w:rsid w:val="00A54958"/>
    <w:rsid w:val="00A54B23"/>
    <w:rsid w:val="00A54B58"/>
    <w:rsid w:val="00A54F89"/>
    <w:rsid w:val="00A54FF1"/>
    <w:rsid w:val="00A55442"/>
    <w:rsid w:val="00A554F0"/>
    <w:rsid w:val="00A55745"/>
    <w:rsid w:val="00A557FA"/>
    <w:rsid w:val="00A559CA"/>
    <w:rsid w:val="00A55AA3"/>
    <w:rsid w:val="00A55BFD"/>
    <w:rsid w:val="00A55D9F"/>
    <w:rsid w:val="00A56053"/>
    <w:rsid w:val="00A56307"/>
    <w:rsid w:val="00A5655E"/>
    <w:rsid w:val="00A566EC"/>
    <w:rsid w:val="00A567FF"/>
    <w:rsid w:val="00A5687A"/>
    <w:rsid w:val="00A56BA7"/>
    <w:rsid w:val="00A56C10"/>
    <w:rsid w:val="00A5739B"/>
    <w:rsid w:val="00A57656"/>
    <w:rsid w:val="00A57659"/>
    <w:rsid w:val="00A5783A"/>
    <w:rsid w:val="00A57F0F"/>
    <w:rsid w:val="00A60208"/>
    <w:rsid w:val="00A60296"/>
    <w:rsid w:val="00A603B8"/>
    <w:rsid w:val="00A60480"/>
    <w:rsid w:val="00A60595"/>
    <w:rsid w:val="00A605DD"/>
    <w:rsid w:val="00A606C3"/>
    <w:rsid w:val="00A6070E"/>
    <w:rsid w:val="00A60AF5"/>
    <w:rsid w:val="00A60BB7"/>
    <w:rsid w:val="00A60D18"/>
    <w:rsid w:val="00A60E6E"/>
    <w:rsid w:val="00A6104F"/>
    <w:rsid w:val="00A610A3"/>
    <w:rsid w:val="00A61275"/>
    <w:rsid w:val="00A612F9"/>
    <w:rsid w:val="00A616DD"/>
    <w:rsid w:val="00A61A3D"/>
    <w:rsid w:val="00A61A7A"/>
    <w:rsid w:val="00A61B59"/>
    <w:rsid w:val="00A61BBA"/>
    <w:rsid w:val="00A61CD2"/>
    <w:rsid w:val="00A61D60"/>
    <w:rsid w:val="00A620AD"/>
    <w:rsid w:val="00A6216B"/>
    <w:rsid w:val="00A6258F"/>
    <w:rsid w:val="00A62716"/>
    <w:rsid w:val="00A62889"/>
    <w:rsid w:val="00A62B4C"/>
    <w:rsid w:val="00A62B60"/>
    <w:rsid w:val="00A62C98"/>
    <w:rsid w:val="00A62D7E"/>
    <w:rsid w:val="00A62EC3"/>
    <w:rsid w:val="00A63414"/>
    <w:rsid w:val="00A635ED"/>
    <w:rsid w:val="00A63649"/>
    <w:rsid w:val="00A638FD"/>
    <w:rsid w:val="00A6390C"/>
    <w:rsid w:val="00A63A7B"/>
    <w:rsid w:val="00A63E05"/>
    <w:rsid w:val="00A63EDF"/>
    <w:rsid w:val="00A63FA4"/>
    <w:rsid w:val="00A64063"/>
    <w:rsid w:val="00A64263"/>
    <w:rsid w:val="00A643B4"/>
    <w:rsid w:val="00A649DE"/>
    <w:rsid w:val="00A64D44"/>
    <w:rsid w:val="00A64EBC"/>
    <w:rsid w:val="00A652A9"/>
    <w:rsid w:val="00A6530F"/>
    <w:rsid w:val="00A65430"/>
    <w:rsid w:val="00A658AB"/>
    <w:rsid w:val="00A65A1A"/>
    <w:rsid w:val="00A65A49"/>
    <w:rsid w:val="00A65E3F"/>
    <w:rsid w:val="00A66051"/>
    <w:rsid w:val="00A66252"/>
    <w:rsid w:val="00A66360"/>
    <w:rsid w:val="00A66407"/>
    <w:rsid w:val="00A66519"/>
    <w:rsid w:val="00A667BF"/>
    <w:rsid w:val="00A66C79"/>
    <w:rsid w:val="00A671AF"/>
    <w:rsid w:val="00A67384"/>
    <w:rsid w:val="00A67404"/>
    <w:rsid w:val="00A67617"/>
    <w:rsid w:val="00A677A5"/>
    <w:rsid w:val="00A67AAF"/>
    <w:rsid w:val="00A67F5A"/>
    <w:rsid w:val="00A70135"/>
    <w:rsid w:val="00A70233"/>
    <w:rsid w:val="00A70375"/>
    <w:rsid w:val="00A7045E"/>
    <w:rsid w:val="00A70832"/>
    <w:rsid w:val="00A70A3E"/>
    <w:rsid w:val="00A70B57"/>
    <w:rsid w:val="00A70BAE"/>
    <w:rsid w:val="00A70D9D"/>
    <w:rsid w:val="00A70E26"/>
    <w:rsid w:val="00A70E63"/>
    <w:rsid w:val="00A70EB7"/>
    <w:rsid w:val="00A70F73"/>
    <w:rsid w:val="00A711E1"/>
    <w:rsid w:val="00A713B8"/>
    <w:rsid w:val="00A716C0"/>
    <w:rsid w:val="00A71B38"/>
    <w:rsid w:val="00A71B6B"/>
    <w:rsid w:val="00A71BD6"/>
    <w:rsid w:val="00A72012"/>
    <w:rsid w:val="00A72226"/>
    <w:rsid w:val="00A7224F"/>
    <w:rsid w:val="00A723F7"/>
    <w:rsid w:val="00A727E7"/>
    <w:rsid w:val="00A72AA8"/>
    <w:rsid w:val="00A72B6B"/>
    <w:rsid w:val="00A72C99"/>
    <w:rsid w:val="00A72DA1"/>
    <w:rsid w:val="00A72EFF"/>
    <w:rsid w:val="00A72FDE"/>
    <w:rsid w:val="00A7305D"/>
    <w:rsid w:val="00A730D6"/>
    <w:rsid w:val="00A731E7"/>
    <w:rsid w:val="00A73372"/>
    <w:rsid w:val="00A7347D"/>
    <w:rsid w:val="00A735A8"/>
    <w:rsid w:val="00A73771"/>
    <w:rsid w:val="00A737E5"/>
    <w:rsid w:val="00A73959"/>
    <w:rsid w:val="00A73AAC"/>
    <w:rsid w:val="00A73BB6"/>
    <w:rsid w:val="00A73C6B"/>
    <w:rsid w:val="00A73DF0"/>
    <w:rsid w:val="00A74506"/>
    <w:rsid w:val="00A7458F"/>
    <w:rsid w:val="00A745E1"/>
    <w:rsid w:val="00A7497C"/>
    <w:rsid w:val="00A74A88"/>
    <w:rsid w:val="00A74DEF"/>
    <w:rsid w:val="00A74E2B"/>
    <w:rsid w:val="00A7525E"/>
    <w:rsid w:val="00A75594"/>
    <w:rsid w:val="00A755E7"/>
    <w:rsid w:val="00A7597C"/>
    <w:rsid w:val="00A75996"/>
    <w:rsid w:val="00A75A94"/>
    <w:rsid w:val="00A75B96"/>
    <w:rsid w:val="00A75D13"/>
    <w:rsid w:val="00A75FD3"/>
    <w:rsid w:val="00A764EA"/>
    <w:rsid w:val="00A766D1"/>
    <w:rsid w:val="00A767E1"/>
    <w:rsid w:val="00A7688E"/>
    <w:rsid w:val="00A76A34"/>
    <w:rsid w:val="00A76C78"/>
    <w:rsid w:val="00A76CAB"/>
    <w:rsid w:val="00A76F4C"/>
    <w:rsid w:val="00A77155"/>
    <w:rsid w:val="00A77267"/>
    <w:rsid w:val="00A7762C"/>
    <w:rsid w:val="00A776EC"/>
    <w:rsid w:val="00A77E35"/>
    <w:rsid w:val="00A77F8D"/>
    <w:rsid w:val="00A801CC"/>
    <w:rsid w:val="00A802C3"/>
    <w:rsid w:val="00A802EC"/>
    <w:rsid w:val="00A803F8"/>
    <w:rsid w:val="00A8044E"/>
    <w:rsid w:val="00A805B6"/>
    <w:rsid w:val="00A805CE"/>
    <w:rsid w:val="00A80DAB"/>
    <w:rsid w:val="00A813D3"/>
    <w:rsid w:val="00A81449"/>
    <w:rsid w:val="00A814F6"/>
    <w:rsid w:val="00A817C4"/>
    <w:rsid w:val="00A81968"/>
    <w:rsid w:val="00A81FFE"/>
    <w:rsid w:val="00A82314"/>
    <w:rsid w:val="00A82779"/>
    <w:rsid w:val="00A829DB"/>
    <w:rsid w:val="00A82A08"/>
    <w:rsid w:val="00A82BB7"/>
    <w:rsid w:val="00A82CB0"/>
    <w:rsid w:val="00A82E72"/>
    <w:rsid w:val="00A8312D"/>
    <w:rsid w:val="00A833B7"/>
    <w:rsid w:val="00A83416"/>
    <w:rsid w:val="00A835FF"/>
    <w:rsid w:val="00A83647"/>
    <w:rsid w:val="00A836A0"/>
    <w:rsid w:val="00A83985"/>
    <w:rsid w:val="00A83D66"/>
    <w:rsid w:val="00A83F92"/>
    <w:rsid w:val="00A84041"/>
    <w:rsid w:val="00A8405B"/>
    <w:rsid w:val="00A841A2"/>
    <w:rsid w:val="00A841AC"/>
    <w:rsid w:val="00A841C7"/>
    <w:rsid w:val="00A84208"/>
    <w:rsid w:val="00A8445A"/>
    <w:rsid w:val="00A8470D"/>
    <w:rsid w:val="00A84837"/>
    <w:rsid w:val="00A84954"/>
    <w:rsid w:val="00A84AF2"/>
    <w:rsid w:val="00A84B22"/>
    <w:rsid w:val="00A84BD2"/>
    <w:rsid w:val="00A84DBF"/>
    <w:rsid w:val="00A84E44"/>
    <w:rsid w:val="00A8518F"/>
    <w:rsid w:val="00A852E0"/>
    <w:rsid w:val="00A8532E"/>
    <w:rsid w:val="00A85338"/>
    <w:rsid w:val="00A854A7"/>
    <w:rsid w:val="00A85896"/>
    <w:rsid w:val="00A85B0E"/>
    <w:rsid w:val="00A85DE0"/>
    <w:rsid w:val="00A85F09"/>
    <w:rsid w:val="00A85FF0"/>
    <w:rsid w:val="00A862FA"/>
    <w:rsid w:val="00A86409"/>
    <w:rsid w:val="00A866B5"/>
    <w:rsid w:val="00A8672A"/>
    <w:rsid w:val="00A86751"/>
    <w:rsid w:val="00A86CAD"/>
    <w:rsid w:val="00A86F25"/>
    <w:rsid w:val="00A8723B"/>
    <w:rsid w:val="00A874DB"/>
    <w:rsid w:val="00A87CA9"/>
    <w:rsid w:val="00A87D30"/>
    <w:rsid w:val="00A87D95"/>
    <w:rsid w:val="00A87F27"/>
    <w:rsid w:val="00A87FFA"/>
    <w:rsid w:val="00A90009"/>
    <w:rsid w:val="00A900C8"/>
    <w:rsid w:val="00A900CE"/>
    <w:rsid w:val="00A900DD"/>
    <w:rsid w:val="00A901D9"/>
    <w:rsid w:val="00A90394"/>
    <w:rsid w:val="00A90474"/>
    <w:rsid w:val="00A90701"/>
    <w:rsid w:val="00A9071C"/>
    <w:rsid w:val="00A909CB"/>
    <w:rsid w:val="00A90B78"/>
    <w:rsid w:val="00A90EA2"/>
    <w:rsid w:val="00A91389"/>
    <w:rsid w:val="00A9138C"/>
    <w:rsid w:val="00A91449"/>
    <w:rsid w:val="00A9155E"/>
    <w:rsid w:val="00A9166E"/>
    <w:rsid w:val="00A9172A"/>
    <w:rsid w:val="00A91B11"/>
    <w:rsid w:val="00A92375"/>
    <w:rsid w:val="00A923C5"/>
    <w:rsid w:val="00A92408"/>
    <w:rsid w:val="00A92472"/>
    <w:rsid w:val="00A92535"/>
    <w:rsid w:val="00A92739"/>
    <w:rsid w:val="00A92801"/>
    <w:rsid w:val="00A92C95"/>
    <w:rsid w:val="00A92E57"/>
    <w:rsid w:val="00A92F1C"/>
    <w:rsid w:val="00A92FFE"/>
    <w:rsid w:val="00A931DA"/>
    <w:rsid w:val="00A93270"/>
    <w:rsid w:val="00A9328E"/>
    <w:rsid w:val="00A93462"/>
    <w:rsid w:val="00A934F6"/>
    <w:rsid w:val="00A938E3"/>
    <w:rsid w:val="00A93B93"/>
    <w:rsid w:val="00A93F45"/>
    <w:rsid w:val="00A940C6"/>
    <w:rsid w:val="00A9417F"/>
    <w:rsid w:val="00A94224"/>
    <w:rsid w:val="00A9438D"/>
    <w:rsid w:val="00A9492E"/>
    <w:rsid w:val="00A949E7"/>
    <w:rsid w:val="00A94ADA"/>
    <w:rsid w:val="00A94B5D"/>
    <w:rsid w:val="00A94BB3"/>
    <w:rsid w:val="00A94BB4"/>
    <w:rsid w:val="00A94DCA"/>
    <w:rsid w:val="00A94E15"/>
    <w:rsid w:val="00A950C6"/>
    <w:rsid w:val="00A953A2"/>
    <w:rsid w:val="00A95679"/>
    <w:rsid w:val="00A9579A"/>
    <w:rsid w:val="00A95858"/>
    <w:rsid w:val="00A95D26"/>
    <w:rsid w:val="00A95F2D"/>
    <w:rsid w:val="00A96046"/>
    <w:rsid w:val="00A96526"/>
    <w:rsid w:val="00A96652"/>
    <w:rsid w:val="00A96812"/>
    <w:rsid w:val="00A969FA"/>
    <w:rsid w:val="00A96CAA"/>
    <w:rsid w:val="00A96D49"/>
    <w:rsid w:val="00A96DF0"/>
    <w:rsid w:val="00A96EFE"/>
    <w:rsid w:val="00A971D6"/>
    <w:rsid w:val="00A974F7"/>
    <w:rsid w:val="00A9770A"/>
    <w:rsid w:val="00A97C94"/>
    <w:rsid w:val="00AA00D4"/>
    <w:rsid w:val="00AA0250"/>
    <w:rsid w:val="00AA02A1"/>
    <w:rsid w:val="00AA0674"/>
    <w:rsid w:val="00AA0954"/>
    <w:rsid w:val="00AA0B4F"/>
    <w:rsid w:val="00AA0BE6"/>
    <w:rsid w:val="00AA0E26"/>
    <w:rsid w:val="00AA0EE5"/>
    <w:rsid w:val="00AA0EE6"/>
    <w:rsid w:val="00AA0F52"/>
    <w:rsid w:val="00AA0FB8"/>
    <w:rsid w:val="00AA12D0"/>
    <w:rsid w:val="00AA13DE"/>
    <w:rsid w:val="00AA1932"/>
    <w:rsid w:val="00AA19BE"/>
    <w:rsid w:val="00AA1AB5"/>
    <w:rsid w:val="00AA1CCD"/>
    <w:rsid w:val="00AA1E91"/>
    <w:rsid w:val="00AA2118"/>
    <w:rsid w:val="00AA2171"/>
    <w:rsid w:val="00AA2EF8"/>
    <w:rsid w:val="00AA308E"/>
    <w:rsid w:val="00AA365B"/>
    <w:rsid w:val="00AA367E"/>
    <w:rsid w:val="00AA36DE"/>
    <w:rsid w:val="00AA39A7"/>
    <w:rsid w:val="00AA3DEC"/>
    <w:rsid w:val="00AA3EE6"/>
    <w:rsid w:val="00AA3F2A"/>
    <w:rsid w:val="00AA403E"/>
    <w:rsid w:val="00AA40AA"/>
    <w:rsid w:val="00AA422E"/>
    <w:rsid w:val="00AA42DE"/>
    <w:rsid w:val="00AA42E9"/>
    <w:rsid w:val="00AA432C"/>
    <w:rsid w:val="00AA4388"/>
    <w:rsid w:val="00AA43BA"/>
    <w:rsid w:val="00AA48CE"/>
    <w:rsid w:val="00AA4CA3"/>
    <w:rsid w:val="00AA4D71"/>
    <w:rsid w:val="00AA5045"/>
    <w:rsid w:val="00AA538C"/>
    <w:rsid w:val="00AA56C0"/>
    <w:rsid w:val="00AA5708"/>
    <w:rsid w:val="00AA570F"/>
    <w:rsid w:val="00AA5874"/>
    <w:rsid w:val="00AA5D32"/>
    <w:rsid w:val="00AA6335"/>
    <w:rsid w:val="00AA66C3"/>
    <w:rsid w:val="00AA67C1"/>
    <w:rsid w:val="00AA682E"/>
    <w:rsid w:val="00AA6883"/>
    <w:rsid w:val="00AA6DCA"/>
    <w:rsid w:val="00AA6EF7"/>
    <w:rsid w:val="00AA7041"/>
    <w:rsid w:val="00AA7851"/>
    <w:rsid w:val="00AA78C1"/>
    <w:rsid w:val="00AA78D2"/>
    <w:rsid w:val="00AA7A23"/>
    <w:rsid w:val="00AA7A52"/>
    <w:rsid w:val="00AA7B39"/>
    <w:rsid w:val="00AA7B4B"/>
    <w:rsid w:val="00AA7BFE"/>
    <w:rsid w:val="00AA7CB0"/>
    <w:rsid w:val="00AA7F9D"/>
    <w:rsid w:val="00AB0069"/>
    <w:rsid w:val="00AB01C2"/>
    <w:rsid w:val="00AB034D"/>
    <w:rsid w:val="00AB04AD"/>
    <w:rsid w:val="00AB0824"/>
    <w:rsid w:val="00AB0A74"/>
    <w:rsid w:val="00AB0AB9"/>
    <w:rsid w:val="00AB0C4F"/>
    <w:rsid w:val="00AB0CB0"/>
    <w:rsid w:val="00AB0D9E"/>
    <w:rsid w:val="00AB1100"/>
    <w:rsid w:val="00AB13B2"/>
    <w:rsid w:val="00AB16CB"/>
    <w:rsid w:val="00AB194F"/>
    <w:rsid w:val="00AB1CBD"/>
    <w:rsid w:val="00AB1CF5"/>
    <w:rsid w:val="00AB2554"/>
    <w:rsid w:val="00AB2618"/>
    <w:rsid w:val="00AB2630"/>
    <w:rsid w:val="00AB2A04"/>
    <w:rsid w:val="00AB2D80"/>
    <w:rsid w:val="00AB2DB7"/>
    <w:rsid w:val="00AB2E9E"/>
    <w:rsid w:val="00AB301B"/>
    <w:rsid w:val="00AB319E"/>
    <w:rsid w:val="00AB31E7"/>
    <w:rsid w:val="00AB35BC"/>
    <w:rsid w:val="00AB36ED"/>
    <w:rsid w:val="00AB372A"/>
    <w:rsid w:val="00AB37A7"/>
    <w:rsid w:val="00AB37BA"/>
    <w:rsid w:val="00AB3847"/>
    <w:rsid w:val="00AB387C"/>
    <w:rsid w:val="00AB3A78"/>
    <w:rsid w:val="00AB3BA3"/>
    <w:rsid w:val="00AB410E"/>
    <w:rsid w:val="00AB4537"/>
    <w:rsid w:val="00AB4560"/>
    <w:rsid w:val="00AB47FA"/>
    <w:rsid w:val="00AB49AD"/>
    <w:rsid w:val="00AB4AAE"/>
    <w:rsid w:val="00AB4DB3"/>
    <w:rsid w:val="00AB510E"/>
    <w:rsid w:val="00AB52DB"/>
    <w:rsid w:val="00AB5349"/>
    <w:rsid w:val="00AB53AA"/>
    <w:rsid w:val="00AB540F"/>
    <w:rsid w:val="00AB585B"/>
    <w:rsid w:val="00AB59C5"/>
    <w:rsid w:val="00AB59E0"/>
    <w:rsid w:val="00AB5AC0"/>
    <w:rsid w:val="00AB5C4E"/>
    <w:rsid w:val="00AB64E8"/>
    <w:rsid w:val="00AB66AC"/>
    <w:rsid w:val="00AB69E3"/>
    <w:rsid w:val="00AB6A0D"/>
    <w:rsid w:val="00AB6ABF"/>
    <w:rsid w:val="00AB6EDB"/>
    <w:rsid w:val="00AB6FEA"/>
    <w:rsid w:val="00AB702A"/>
    <w:rsid w:val="00AB7236"/>
    <w:rsid w:val="00AB7401"/>
    <w:rsid w:val="00AB747E"/>
    <w:rsid w:val="00AB7739"/>
    <w:rsid w:val="00AB7A87"/>
    <w:rsid w:val="00AB7BB9"/>
    <w:rsid w:val="00AB7CA5"/>
    <w:rsid w:val="00AC0375"/>
    <w:rsid w:val="00AC091E"/>
    <w:rsid w:val="00AC09AC"/>
    <w:rsid w:val="00AC09B5"/>
    <w:rsid w:val="00AC09D5"/>
    <w:rsid w:val="00AC0BAF"/>
    <w:rsid w:val="00AC12EE"/>
    <w:rsid w:val="00AC1701"/>
    <w:rsid w:val="00AC171B"/>
    <w:rsid w:val="00AC1947"/>
    <w:rsid w:val="00AC1A32"/>
    <w:rsid w:val="00AC1A4B"/>
    <w:rsid w:val="00AC1C70"/>
    <w:rsid w:val="00AC1D3D"/>
    <w:rsid w:val="00AC2166"/>
    <w:rsid w:val="00AC218C"/>
    <w:rsid w:val="00AC223C"/>
    <w:rsid w:val="00AC26A7"/>
    <w:rsid w:val="00AC2803"/>
    <w:rsid w:val="00AC2D57"/>
    <w:rsid w:val="00AC3182"/>
    <w:rsid w:val="00AC3341"/>
    <w:rsid w:val="00AC3357"/>
    <w:rsid w:val="00AC34EE"/>
    <w:rsid w:val="00AC3698"/>
    <w:rsid w:val="00AC371A"/>
    <w:rsid w:val="00AC3990"/>
    <w:rsid w:val="00AC427F"/>
    <w:rsid w:val="00AC4370"/>
    <w:rsid w:val="00AC44FC"/>
    <w:rsid w:val="00AC471A"/>
    <w:rsid w:val="00AC47B5"/>
    <w:rsid w:val="00AC4C6A"/>
    <w:rsid w:val="00AC4E2D"/>
    <w:rsid w:val="00AC4F59"/>
    <w:rsid w:val="00AC5181"/>
    <w:rsid w:val="00AC56B1"/>
    <w:rsid w:val="00AC5717"/>
    <w:rsid w:val="00AC5AC6"/>
    <w:rsid w:val="00AC5AF6"/>
    <w:rsid w:val="00AC5DA7"/>
    <w:rsid w:val="00AC5F8A"/>
    <w:rsid w:val="00AC5FF9"/>
    <w:rsid w:val="00AC612C"/>
    <w:rsid w:val="00AC6774"/>
    <w:rsid w:val="00AC6955"/>
    <w:rsid w:val="00AC6E3C"/>
    <w:rsid w:val="00AC6EC8"/>
    <w:rsid w:val="00AC6F1E"/>
    <w:rsid w:val="00AC70AC"/>
    <w:rsid w:val="00AC7534"/>
    <w:rsid w:val="00AC7D67"/>
    <w:rsid w:val="00AC7D95"/>
    <w:rsid w:val="00AC7F4B"/>
    <w:rsid w:val="00AD019D"/>
    <w:rsid w:val="00AD0998"/>
    <w:rsid w:val="00AD0B32"/>
    <w:rsid w:val="00AD0DB3"/>
    <w:rsid w:val="00AD0FEF"/>
    <w:rsid w:val="00AD10D3"/>
    <w:rsid w:val="00AD1230"/>
    <w:rsid w:val="00AD12D1"/>
    <w:rsid w:val="00AD132B"/>
    <w:rsid w:val="00AD17AD"/>
    <w:rsid w:val="00AD1C6A"/>
    <w:rsid w:val="00AD20E7"/>
    <w:rsid w:val="00AD2298"/>
    <w:rsid w:val="00AD22E4"/>
    <w:rsid w:val="00AD2309"/>
    <w:rsid w:val="00AD2390"/>
    <w:rsid w:val="00AD2520"/>
    <w:rsid w:val="00AD2F53"/>
    <w:rsid w:val="00AD3066"/>
    <w:rsid w:val="00AD3207"/>
    <w:rsid w:val="00AD32AA"/>
    <w:rsid w:val="00AD3353"/>
    <w:rsid w:val="00AD3493"/>
    <w:rsid w:val="00AD356D"/>
    <w:rsid w:val="00AD3A79"/>
    <w:rsid w:val="00AD4001"/>
    <w:rsid w:val="00AD41AC"/>
    <w:rsid w:val="00AD4797"/>
    <w:rsid w:val="00AD4799"/>
    <w:rsid w:val="00AD47BF"/>
    <w:rsid w:val="00AD4A36"/>
    <w:rsid w:val="00AD4D98"/>
    <w:rsid w:val="00AD501A"/>
    <w:rsid w:val="00AD52E5"/>
    <w:rsid w:val="00AD5461"/>
    <w:rsid w:val="00AD567C"/>
    <w:rsid w:val="00AD56E7"/>
    <w:rsid w:val="00AD576F"/>
    <w:rsid w:val="00AD58EB"/>
    <w:rsid w:val="00AD5B81"/>
    <w:rsid w:val="00AD5C62"/>
    <w:rsid w:val="00AD5E44"/>
    <w:rsid w:val="00AD610E"/>
    <w:rsid w:val="00AD6299"/>
    <w:rsid w:val="00AD644E"/>
    <w:rsid w:val="00AD6455"/>
    <w:rsid w:val="00AD666D"/>
    <w:rsid w:val="00AD6756"/>
    <w:rsid w:val="00AD679A"/>
    <w:rsid w:val="00AD6DC6"/>
    <w:rsid w:val="00AD74E1"/>
    <w:rsid w:val="00AD7540"/>
    <w:rsid w:val="00AD772D"/>
    <w:rsid w:val="00AD77DF"/>
    <w:rsid w:val="00AD7881"/>
    <w:rsid w:val="00AD7908"/>
    <w:rsid w:val="00AD7945"/>
    <w:rsid w:val="00AD7ACD"/>
    <w:rsid w:val="00AD7B28"/>
    <w:rsid w:val="00AD7DA1"/>
    <w:rsid w:val="00AE02D3"/>
    <w:rsid w:val="00AE0644"/>
    <w:rsid w:val="00AE097A"/>
    <w:rsid w:val="00AE0A79"/>
    <w:rsid w:val="00AE0CC3"/>
    <w:rsid w:val="00AE11DA"/>
    <w:rsid w:val="00AE12A2"/>
    <w:rsid w:val="00AE12C8"/>
    <w:rsid w:val="00AE1623"/>
    <w:rsid w:val="00AE190B"/>
    <w:rsid w:val="00AE1B5A"/>
    <w:rsid w:val="00AE1D44"/>
    <w:rsid w:val="00AE1DBD"/>
    <w:rsid w:val="00AE1E33"/>
    <w:rsid w:val="00AE2386"/>
    <w:rsid w:val="00AE24B9"/>
    <w:rsid w:val="00AE2547"/>
    <w:rsid w:val="00AE264E"/>
    <w:rsid w:val="00AE26EB"/>
    <w:rsid w:val="00AE28A5"/>
    <w:rsid w:val="00AE2983"/>
    <w:rsid w:val="00AE29F6"/>
    <w:rsid w:val="00AE2AF5"/>
    <w:rsid w:val="00AE2B36"/>
    <w:rsid w:val="00AE2BBD"/>
    <w:rsid w:val="00AE2C10"/>
    <w:rsid w:val="00AE2D83"/>
    <w:rsid w:val="00AE30AD"/>
    <w:rsid w:val="00AE3A2A"/>
    <w:rsid w:val="00AE3B13"/>
    <w:rsid w:val="00AE3DFC"/>
    <w:rsid w:val="00AE3E21"/>
    <w:rsid w:val="00AE41D5"/>
    <w:rsid w:val="00AE4443"/>
    <w:rsid w:val="00AE469A"/>
    <w:rsid w:val="00AE46E7"/>
    <w:rsid w:val="00AE47A0"/>
    <w:rsid w:val="00AE508F"/>
    <w:rsid w:val="00AE5496"/>
    <w:rsid w:val="00AE56DA"/>
    <w:rsid w:val="00AE5987"/>
    <w:rsid w:val="00AE5E0A"/>
    <w:rsid w:val="00AE5FD1"/>
    <w:rsid w:val="00AE6026"/>
    <w:rsid w:val="00AE60C4"/>
    <w:rsid w:val="00AE60DB"/>
    <w:rsid w:val="00AE615F"/>
    <w:rsid w:val="00AE6642"/>
    <w:rsid w:val="00AE66FD"/>
    <w:rsid w:val="00AE6A06"/>
    <w:rsid w:val="00AE6A61"/>
    <w:rsid w:val="00AE6DAD"/>
    <w:rsid w:val="00AE6E64"/>
    <w:rsid w:val="00AE70A7"/>
    <w:rsid w:val="00AE74D0"/>
    <w:rsid w:val="00AE7513"/>
    <w:rsid w:val="00AE79B2"/>
    <w:rsid w:val="00AE7BB4"/>
    <w:rsid w:val="00AE7D65"/>
    <w:rsid w:val="00AF0116"/>
    <w:rsid w:val="00AF03FE"/>
    <w:rsid w:val="00AF04C3"/>
    <w:rsid w:val="00AF09D5"/>
    <w:rsid w:val="00AF0EDC"/>
    <w:rsid w:val="00AF0F1F"/>
    <w:rsid w:val="00AF0FC0"/>
    <w:rsid w:val="00AF118D"/>
    <w:rsid w:val="00AF13A0"/>
    <w:rsid w:val="00AF154C"/>
    <w:rsid w:val="00AF1627"/>
    <w:rsid w:val="00AF1751"/>
    <w:rsid w:val="00AF191A"/>
    <w:rsid w:val="00AF19C8"/>
    <w:rsid w:val="00AF1ADF"/>
    <w:rsid w:val="00AF1AE1"/>
    <w:rsid w:val="00AF1CC7"/>
    <w:rsid w:val="00AF1CFE"/>
    <w:rsid w:val="00AF229C"/>
    <w:rsid w:val="00AF2361"/>
    <w:rsid w:val="00AF2629"/>
    <w:rsid w:val="00AF26C4"/>
    <w:rsid w:val="00AF274A"/>
    <w:rsid w:val="00AF28F2"/>
    <w:rsid w:val="00AF2DEB"/>
    <w:rsid w:val="00AF2E4C"/>
    <w:rsid w:val="00AF2F54"/>
    <w:rsid w:val="00AF2F77"/>
    <w:rsid w:val="00AF3250"/>
    <w:rsid w:val="00AF32C6"/>
    <w:rsid w:val="00AF33C8"/>
    <w:rsid w:val="00AF3593"/>
    <w:rsid w:val="00AF3685"/>
    <w:rsid w:val="00AF38CB"/>
    <w:rsid w:val="00AF3981"/>
    <w:rsid w:val="00AF3BE3"/>
    <w:rsid w:val="00AF3C9C"/>
    <w:rsid w:val="00AF3CCE"/>
    <w:rsid w:val="00AF3CE2"/>
    <w:rsid w:val="00AF3CF0"/>
    <w:rsid w:val="00AF3D28"/>
    <w:rsid w:val="00AF3E6C"/>
    <w:rsid w:val="00AF408D"/>
    <w:rsid w:val="00AF43BA"/>
    <w:rsid w:val="00AF5828"/>
    <w:rsid w:val="00AF5B4B"/>
    <w:rsid w:val="00AF5C15"/>
    <w:rsid w:val="00AF5C71"/>
    <w:rsid w:val="00AF6302"/>
    <w:rsid w:val="00AF66D4"/>
    <w:rsid w:val="00AF6836"/>
    <w:rsid w:val="00AF6B36"/>
    <w:rsid w:val="00AF6EE4"/>
    <w:rsid w:val="00AF6F44"/>
    <w:rsid w:val="00AF6FA1"/>
    <w:rsid w:val="00AF72AE"/>
    <w:rsid w:val="00AF73B8"/>
    <w:rsid w:val="00AF74DC"/>
    <w:rsid w:val="00AF7793"/>
    <w:rsid w:val="00AF7890"/>
    <w:rsid w:val="00AF789D"/>
    <w:rsid w:val="00AF7B0C"/>
    <w:rsid w:val="00AF7CBE"/>
    <w:rsid w:val="00B006B4"/>
    <w:rsid w:val="00B007F9"/>
    <w:rsid w:val="00B00AA8"/>
    <w:rsid w:val="00B00B19"/>
    <w:rsid w:val="00B00CD3"/>
    <w:rsid w:val="00B00DAB"/>
    <w:rsid w:val="00B0102D"/>
    <w:rsid w:val="00B011C8"/>
    <w:rsid w:val="00B013A8"/>
    <w:rsid w:val="00B017EB"/>
    <w:rsid w:val="00B019F3"/>
    <w:rsid w:val="00B01BB2"/>
    <w:rsid w:val="00B02298"/>
    <w:rsid w:val="00B022C4"/>
    <w:rsid w:val="00B02923"/>
    <w:rsid w:val="00B02A15"/>
    <w:rsid w:val="00B02A20"/>
    <w:rsid w:val="00B02CD0"/>
    <w:rsid w:val="00B02D88"/>
    <w:rsid w:val="00B02E98"/>
    <w:rsid w:val="00B02E9B"/>
    <w:rsid w:val="00B02F01"/>
    <w:rsid w:val="00B02F2E"/>
    <w:rsid w:val="00B02FCF"/>
    <w:rsid w:val="00B032B7"/>
    <w:rsid w:val="00B03306"/>
    <w:rsid w:val="00B0338B"/>
    <w:rsid w:val="00B03544"/>
    <w:rsid w:val="00B035DD"/>
    <w:rsid w:val="00B03612"/>
    <w:rsid w:val="00B03625"/>
    <w:rsid w:val="00B0367F"/>
    <w:rsid w:val="00B03937"/>
    <w:rsid w:val="00B03B19"/>
    <w:rsid w:val="00B03E26"/>
    <w:rsid w:val="00B03F4A"/>
    <w:rsid w:val="00B04018"/>
    <w:rsid w:val="00B04034"/>
    <w:rsid w:val="00B04060"/>
    <w:rsid w:val="00B04194"/>
    <w:rsid w:val="00B0430E"/>
    <w:rsid w:val="00B04571"/>
    <w:rsid w:val="00B04594"/>
    <w:rsid w:val="00B04604"/>
    <w:rsid w:val="00B049B6"/>
    <w:rsid w:val="00B04C22"/>
    <w:rsid w:val="00B04DE0"/>
    <w:rsid w:val="00B04E08"/>
    <w:rsid w:val="00B04EA4"/>
    <w:rsid w:val="00B05425"/>
    <w:rsid w:val="00B0567F"/>
    <w:rsid w:val="00B05683"/>
    <w:rsid w:val="00B0574D"/>
    <w:rsid w:val="00B05851"/>
    <w:rsid w:val="00B058FB"/>
    <w:rsid w:val="00B05B10"/>
    <w:rsid w:val="00B05BB9"/>
    <w:rsid w:val="00B05C76"/>
    <w:rsid w:val="00B05CB1"/>
    <w:rsid w:val="00B05DEC"/>
    <w:rsid w:val="00B05EA7"/>
    <w:rsid w:val="00B05F01"/>
    <w:rsid w:val="00B05F4A"/>
    <w:rsid w:val="00B06020"/>
    <w:rsid w:val="00B06030"/>
    <w:rsid w:val="00B061AB"/>
    <w:rsid w:val="00B061C8"/>
    <w:rsid w:val="00B063AE"/>
    <w:rsid w:val="00B0654A"/>
    <w:rsid w:val="00B06569"/>
    <w:rsid w:val="00B06672"/>
    <w:rsid w:val="00B067B6"/>
    <w:rsid w:val="00B067DB"/>
    <w:rsid w:val="00B069E4"/>
    <w:rsid w:val="00B06BF9"/>
    <w:rsid w:val="00B06DF0"/>
    <w:rsid w:val="00B06E9B"/>
    <w:rsid w:val="00B07112"/>
    <w:rsid w:val="00B07134"/>
    <w:rsid w:val="00B07812"/>
    <w:rsid w:val="00B0782C"/>
    <w:rsid w:val="00B078C3"/>
    <w:rsid w:val="00B07A3D"/>
    <w:rsid w:val="00B07ACB"/>
    <w:rsid w:val="00B07BE2"/>
    <w:rsid w:val="00B07D3A"/>
    <w:rsid w:val="00B07E4F"/>
    <w:rsid w:val="00B1012C"/>
    <w:rsid w:val="00B10146"/>
    <w:rsid w:val="00B10195"/>
    <w:rsid w:val="00B1031A"/>
    <w:rsid w:val="00B1078A"/>
    <w:rsid w:val="00B10B9B"/>
    <w:rsid w:val="00B10C70"/>
    <w:rsid w:val="00B10DA4"/>
    <w:rsid w:val="00B10E09"/>
    <w:rsid w:val="00B10E49"/>
    <w:rsid w:val="00B10F32"/>
    <w:rsid w:val="00B11012"/>
    <w:rsid w:val="00B1123B"/>
    <w:rsid w:val="00B11321"/>
    <w:rsid w:val="00B113B7"/>
    <w:rsid w:val="00B114D1"/>
    <w:rsid w:val="00B11638"/>
    <w:rsid w:val="00B11DFC"/>
    <w:rsid w:val="00B12298"/>
    <w:rsid w:val="00B1230A"/>
    <w:rsid w:val="00B127B8"/>
    <w:rsid w:val="00B12B3A"/>
    <w:rsid w:val="00B12C60"/>
    <w:rsid w:val="00B12D34"/>
    <w:rsid w:val="00B12FB1"/>
    <w:rsid w:val="00B1300F"/>
    <w:rsid w:val="00B1317C"/>
    <w:rsid w:val="00B13EBD"/>
    <w:rsid w:val="00B13F63"/>
    <w:rsid w:val="00B14097"/>
    <w:rsid w:val="00B142DC"/>
    <w:rsid w:val="00B14349"/>
    <w:rsid w:val="00B1439C"/>
    <w:rsid w:val="00B14426"/>
    <w:rsid w:val="00B14A67"/>
    <w:rsid w:val="00B14C20"/>
    <w:rsid w:val="00B14DF5"/>
    <w:rsid w:val="00B14E33"/>
    <w:rsid w:val="00B14E46"/>
    <w:rsid w:val="00B14FA8"/>
    <w:rsid w:val="00B14FF5"/>
    <w:rsid w:val="00B1540E"/>
    <w:rsid w:val="00B15420"/>
    <w:rsid w:val="00B155B1"/>
    <w:rsid w:val="00B1562B"/>
    <w:rsid w:val="00B156F8"/>
    <w:rsid w:val="00B15716"/>
    <w:rsid w:val="00B159EE"/>
    <w:rsid w:val="00B15B83"/>
    <w:rsid w:val="00B15BBF"/>
    <w:rsid w:val="00B15BFD"/>
    <w:rsid w:val="00B15CB7"/>
    <w:rsid w:val="00B15CE6"/>
    <w:rsid w:val="00B160D2"/>
    <w:rsid w:val="00B161DE"/>
    <w:rsid w:val="00B163BA"/>
    <w:rsid w:val="00B164D9"/>
    <w:rsid w:val="00B16A32"/>
    <w:rsid w:val="00B16FCD"/>
    <w:rsid w:val="00B171CB"/>
    <w:rsid w:val="00B171CC"/>
    <w:rsid w:val="00B171FD"/>
    <w:rsid w:val="00B17303"/>
    <w:rsid w:val="00B1737E"/>
    <w:rsid w:val="00B17424"/>
    <w:rsid w:val="00B1757A"/>
    <w:rsid w:val="00B17806"/>
    <w:rsid w:val="00B17808"/>
    <w:rsid w:val="00B17816"/>
    <w:rsid w:val="00B17C5C"/>
    <w:rsid w:val="00B20004"/>
    <w:rsid w:val="00B2043F"/>
    <w:rsid w:val="00B205CC"/>
    <w:rsid w:val="00B206C2"/>
    <w:rsid w:val="00B2073D"/>
    <w:rsid w:val="00B20830"/>
    <w:rsid w:val="00B20A2F"/>
    <w:rsid w:val="00B20A8F"/>
    <w:rsid w:val="00B20AF6"/>
    <w:rsid w:val="00B20F03"/>
    <w:rsid w:val="00B20FF5"/>
    <w:rsid w:val="00B21404"/>
    <w:rsid w:val="00B21887"/>
    <w:rsid w:val="00B21B75"/>
    <w:rsid w:val="00B21F4D"/>
    <w:rsid w:val="00B220BA"/>
    <w:rsid w:val="00B22413"/>
    <w:rsid w:val="00B225DB"/>
    <w:rsid w:val="00B226CE"/>
    <w:rsid w:val="00B22723"/>
    <w:rsid w:val="00B228E2"/>
    <w:rsid w:val="00B2298D"/>
    <w:rsid w:val="00B229BB"/>
    <w:rsid w:val="00B22AF3"/>
    <w:rsid w:val="00B22EC0"/>
    <w:rsid w:val="00B230C0"/>
    <w:rsid w:val="00B230D0"/>
    <w:rsid w:val="00B23142"/>
    <w:rsid w:val="00B2356A"/>
    <w:rsid w:val="00B238FD"/>
    <w:rsid w:val="00B239AE"/>
    <w:rsid w:val="00B23E84"/>
    <w:rsid w:val="00B23FAF"/>
    <w:rsid w:val="00B23FC0"/>
    <w:rsid w:val="00B24673"/>
    <w:rsid w:val="00B24980"/>
    <w:rsid w:val="00B249B1"/>
    <w:rsid w:val="00B24C06"/>
    <w:rsid w:val="00B24E24"/>
    <w:rsid w:val="00B24F42"/>
    <w:rsid w:val="00B2520B"/>
    <w:rsid w:val="00B25303"/>
    <w:rsid w:val="00B2531E"/>
    <w:rsid w:val="00B2563E"/>
    <w:rsid w:val="00B25820"/>
    <w:rsid w:val="00B25BA2"/>
    <w:rsid w:val="00B25D0F"/>
    <w:rsid w:val="00B25D7D"/>
    <w:rsid w:val="00B25E20"/>
    <w:rsid w:val="00B25FAC"/>
    <w:rsid w:val="00B26763"/>
    <w:rsid w:val="00B268A7"/>
    <w:rsid w:val="00B26D30"/>
    <w:rsid w:val="00B26E6B"/>
    <w:rsid w:val="00B2705C"/>
    <w:rsid w:val="00B27418"/>
    <w:rsid w:val="00B2750A"/>
    <w:rsid w:val="00B27AD6"/>
    <w:rsid w:val="00B27BD3"/>
    <w:rsid w:val="00B27D00"/>
    <w:rsid w:val="00B30411"/>
    <w:rsid w:val="00B30654"/>
    <w:rsid w:val="00B30832"/>
    <w:rsid w:val="00B30B77"/>
    <w:rsid w:val="00B30DE4"/>
    <w:rsid w:val="00B30E48"/>
    <w:rsid w:val="00B30F86"/>
    <w:rsid w:val="00B3159F"/>
    <w:rsid w:val="00B3177E"/>
    <w:rsid w:val="00B31A4C"/>
    <w:rsid w:val="00B31C02"/>
    <w:rsid w:val="00B31EC1"/>
    <w:rsid w:val="00B32309"/>
    <w:rsid w:val="00B32414"/>
    <w:rsid w:val="00B32415"/>
    <w:rsid w:val="00B3241B"/>
    <w:rsid w:val="00B32558"/>
    <w:rsid w:val="00B328A7"/>
    <w:rsid w:val="00B32A75"/>
    <w:rsid w:val="00B32BEE"/>
    <w:rsid w:val="00B32C1C"/>
    <w:rsid w:val="00B32D2E"/>
    <w:rsid w:val="00B32FBA"/>
    <w:rsid w:val="00B32FDB"/>
    <w:rsid w:val="00B33110"/>
    <w:rsid w:val="00B33338"/>
    <w:rsid w:val="00B33495"/>
    <w:rsid w:val="00B3364D"/>
    <w:rsid w:val="00B336D9"/>
    <w:rsid w:val="00B33BC4"/>
    <w:rsid w:val="00B33DA8"/>
    <w:rsid w:val="00B33DBD"/>
    <w:rsid w:val="00B33F59"/>
    <w:rsid w:val="00B34037"/>
    <w:rsid w:val="00B34293"/>
    <w:rsid w:val="00B344F8"/>
    <w:rsid w:val="00B3451F"/>
    <w:rsid w:val="00B345BB"/>
    <w:rsid w:val="00B34829"/>
    <w:rsid w:val="00B349FF"/>
    <w:rsid w:val="00B34A46"/>
    <w:rsid w:val="00B34F24"/>
    <w:rsid w:val="00B34F43"/>
    <w:rsid w:val="00B35075"/>
    <w:rsid w:val="00B350F6"/>
    <w:rsid w:val="00B3566B"/>
    <w:rsid w:val="00B35801"/>
    <w:rsid w:val="00B359B9"/>
    <w:rsid w:val="00B35C11"/>
    <w:rsid w:val="00B361D8"/>
    <w:rsid w:val="00B362F3"/>
    <w:rsid w:val="00B3693D"/>
    <w:rsid w:val="00B36C8A"/>
    <w:rsid w:val="00B36EC6"/>
    <w:rsid w:val="00B3701B"/>
    <w:rsid w:val="00B370AB"/>
    <w:rsid w:val="00B37326"/>
    <w:rsid w:val="00B37342"/>
    <w:rsid w:val="00B37475"/>
    <w:rsid w:val="00B375DD"/>
    <w:rsid w:val="00B3777E"/>
    <w:rsid w:val="00B37863"/>
    <w:rsid w:val="00B37BB8"/>
    <w:rsid w:val="00B37E61"/>
    <w:rsid w:val="00B404A7"/>
    <w:rsid w:val="00B40542"/>
    <w:rsid w:val="00B4084D"/>
    <w:rsid w:val="00B4091D"/>
    <w:rsid w:val="00B40982"/>
    <w:rsid w:val="00B40B38"/>
    <w:rsid w:val="00B40D18"/>
    <w:rsid w:val="00B40E34"/>
    <w:rsid w:val="00B40FDD"/>
    <w:rsid w:val="00B410AA"/>
    <w:rsid w:val="00B4113C"/>
    <w:rsid w:val="00B4135C"/>
    <w:rsid w:val="00B421CA"/>
    <w:rsid w:val="00B42430"/>
    <w:rsid w:val="00B426CB"/>
    <w:rsid w:val="00B427A0"/>
    <w:rsid w:val="00B42865"/>
    <w:rsid w:val="00B42909"/>
    <w:rsid w:val="00B42973"/>
    <w:rsid w:val="00B42D2A"/>
    <w:rsid w:val="00B42D3A"/>
    <w:rsid w:val="00B42F3D"/>
    <w:rsid w:val="00B43069"/>
    <w:rsid w:val="00B431D5"/>
    <w:rsid w:val="00B434EC"/>
    <w:rsid w:val="00B4357F"/>
    <w:rsid w:val="00B4375A"/>
    <w:rsid w:val="00B437CA"/>
    <w:rsid w:val="00B43B56"/>
    <w:rsid w:val="00B43D72"/>
    <w:rsid w:val="00B43DBC"/>
    <w:rsid w:val="00B43E7C"/>
    <w:rsid w:val="00B43FAC"/>
    <w:rsid w:val="00B442B5"/>
    <w:rsid w:val="00B44AEF"/>
    <w:rsid w:val="00B44CA2"/>
    <w:rsid w:val="00B44EE8"/>
    <w:rsid w:val="00B450BB"/>
    <w:rsid w:val="00B45540"/>
    <w:rsid w:val="00B4564E"/>
    <w:rsid w:val="00B459CB"/>
    <w:rsid w:val="00B45A08"/>
    <w:rsid w:val="00B45B4A"/>
    <w:rsid w:val="00B45C00"/>
    <w:rsid w:val="00B45C26"/>
    <w:rsid w:val="00B45FEB"/>
    <w:rsid w:val="00B461F6"/>
    <w:rsid w:val="00B461FD"/>
    <w:rsid w:val="00B46498"/>
    <w:rsid w:val="00B4658E"/>
    <w:rsid w:val="00B46A53"/>
    <w:rsid w:val="00B46B81"/>
    <w:rsid w:val="00B46B87"/>
    <w:rsid w:val="00B46C11"/>
    <w:rsid w:val="00B46EA9"/>
    <w:rsid w:val="00B470AE"/>
    <w:rsid w:val="00B471A0"/>
    <w:rsid w:val="00B4733F"/>
    <w:rsid w:val="00B475F5"/>
    <w:rsid w:val="00B47645"/>
    <w:rsid w:val="00B47943"/>
    <w:rsid w:val="00B479A7"/>
    <w:rsid w:val="00B47F0A"/>
    <w:rsid w:val="00B5028A"/>
    <w:rsid w:val="00B502F2"/>
    <w:rsid w:val="00B50467"/>
    <w:rsid w:val="00B5075C"/>
    <w:rsid w:val="00B50987"/>
    <w:rsid w:val="00B50B03"/>
    <w:rsid w:val="00B51089"/>
    <w:rsid w:val="00B510D0"/>
    <w:rsid w:val="00B51116"/>
    <w:rsid w:val="00B515AC"/>
    <w:rsid w:val="00B51620"/>
    <w:rsid w:val="00B51856"/>
    <w:rsid w:val="00B5209B"/>
    <w:rsid w:val="00B5212F"/>
    <w:rsid w:val="00B5223E"/>
    <w:rsid w:val="00B52270"/>
    <w:rsid w:val="00B523F9"/>
    <w:rsid w:val="00B524EE"/>
    <w:rsid w:val="00B52851"/>
    <w:rsid w:val="00B52B35"/>
    <w:rsid w:val="00B52CB2"/>
    <w:rsid w:val="00B5313D"/>
    <w:rsid w:val="00B53189"/>
    <w:rsid w:val="00B536A4"/>
    <w:rsid w:val="00B538F5"/>
    <w:rsid w:val="00B53B91"/>
    <w:rsid w:val="00B53C07"/>
    <w:rsid w:val="00B53E46"/>
    <w:rsid w:val="00B54058"/>
    <w:rsid w:val="00B54084"/>
    <w:rsid w:val="00B54094"/>
    <w:rsid w:val="00B54188"/>
    <w:rsid w:val="00B541EA"/>
    <w:rsid w:val="00B544A1"/>
    <w:rsid w:val="00B547BC"/>
    <w:rsid w:val="00B547D2"/>
    <w:rsid w:val="00B54844"/>
    <w:rsid w:val="00B54DED"/>
    <w:rsid w:val="00B5508D"/>
    <w:rsid w:val="00B5510B"/>
    <w:rsid w:val="00B551DF"/>
    <w:rsid w:val="00B552A8"/>
    <w:rsid w:val="00B55381"/>
    <w:rsid w:val="00B55497"/>
    <w:rsid w:val="00B554A3"/>
    <w:rsid w:val="00B555C7"/>
    <w:rsid w:val="00B55663"/>
    <w:rsid w:val="00B5584E"/>
    <w:rsid w:val="00B55875"/>
    <w:rsid w:val="00B5596D"/>
    <w:rsid w:val="00B55A21"/>
    <w:rsid w:val="00B55ACE"/>
    <w:rsid w:val="00B55D7C"/>
    <w:rsid w:val="00B55DAD"/>
    <w:rsid w:val="00B55DF4"/>
    <w:rsid w:val="00B55E11"/>
    <w:rsid w:val="00B5664D"/>
    <w:rsid w:val="00B566A2"/>
    <w:rsid w:val="00B5680E"/>
    <w:rsid w:val="00B568B2"/>
    <w:rsid w:val="00B56B76"/>
    <w:rsid w:val="00B56B95"/>
    <w:rsid w:val="00B56CEA"/>
    <w:rsid w:val="00B56DF6"/>
    <w:rsid w:val="00B573CE"/>
    <w:rsid w:val="00B5750D"/>
    <w:rsid w:val="00B57A1C"/>
    <w:rsid w:val="00B57BF2"/>
    <w:rsid w:val="00B57C74"/>
    <w:rsid w:val="00B57C83"/>
    <w:rsid w:val="00B57DDC"/>
    <w:rsid w:val="00B57F8C"/>
    <w:rsid w:val="00B60099"/>
    <w:rsid w:val="00B6017D"/>
    <w:rsid w:val="00B601F0"/>
    <w:rsid w:val="00B6037B"/>
    <w:rsid w:val="00B6044B"/>
    <w:rsid w:val="00B60775"/>
    <w:rsid w:val="00B60858"/>
    <w:rsid w:val="00B609F8"/>
    <w:rsid w:val="00B60AD6"/>
    <w:rsid w:val="00B60C0A"/>
    <w:rsid w:val="00B611BD"/>
    <w:rsid w:val="00B6129B"/>
    <w:rsid w:val="00B615A0"/>
    <w:rsid w:val="00B6174E"/>
    <w:rsid w:val="00B619D5"/>
    <w:rsid w:val="00B619D8"/>
    <w:rsid w:val="00B61B8F"/>
    <w:rsid w:val="00B61FE1"/>
    <w:rsid w:val="00B620BE"/>
    <w:rsid w:val="00B62125"/>
    <w:rsid w:val="00B62172"/>
    <w:rsid w:val="00B6251D"/>
    <w:rsid w:val="00B62575"/>
    <w:rsid w:val="00B62652"/>
    <w:rsid w:val="00B6292E"/>
    <w:rsid w:val="00B62D56"/>
    <w:rsid w:val="00B62E99"/>
    <w:rsid w:val="00B62FE7"/>
    <w:rsid w:val="00B6324B"/>
    <w:rsid w:val="00B63371"/>
    <w:rsid w:val="00B6338A"/>
    <w:rsid w:val="00B634B5"/>
    <w:rsid w:val="00B63771"/>
    <w:rsid w:val="00B63809"/>
    <w:rsid w:val="00B63834"/>
    <w:rsid w:val="00B63B1B"/>
    <w:rsid w:val="00B63D63"/>
    <w:rsid w:val="00B63E65"/>
    <w:rsid w:val="00B644DE"/>
    <w:rsid w:val="00B646EB"/>
    <w:rsid w:val="00B647A6"/>
    <w:rsid w:val="00B647AF"/>
    <w:rsid w:val="00B647F8"/>
    <w:rsid w:val="00B64823"/>
    <w:rsid w:val="00B6492E"/>
    <w:rsid w:val="00B64AA3"/>
    <w:rsid w:val="00B64C2D"/>
    <w:rsid w:val="00B64D94"/>
    <w:rsid w:val="00B64F78"/>
    <w:rsid w:val="00B650BF"/>
    <w:rsid w:val="00B6530C"/>
    <w:rsid w:val="00B65391"/>
    <w:rsid w:val="00B6552F"/>
    <w:rsid w:val="00B65556"/>
    <w:rsid w:val="00B6582F"/>
    <w:rsid w:val="00B65852"/>
    <w:rsid w:val="00B6596A"/>
    <w:rsid w:val="00B65A6D"/>
    <w:rsid w:val="00B65E66"/>
    <w:rsid w:val="00B65F55"/>
    <w:rsid w:val="00B66067"/>
    <w:rsid w:val="00B66108"/>
    <w:rsid w:val="00B666A6"/>
    <w:rsid w:val="00B66C3E"/>
    <w:rsid w:val="00B66DA4"/>
    <w:rsid w:val="00B66F65"/>
    <w:rsid w:val="00B67048"/>
    <w:rsid w:val="00B67166"/>
    <w:rsid w:val="00B67244"/>
    <w:rsid w:val="00B6725C"/>
    <w:rsid w:val="00B6730B"/>
    <w:rsid w:val="00B67404"/>
    <w:rsid w:val="00B674B6"/>
    <w:rsid w:val="00B675C5"/>
    <w:rsid w:val="00B676B1"/>
    <w:rsid w:val="00B67B0E"/>
    <w:rsid w:val="00B67B91"/>
    <w:rsid w:val="00B67C43"/>
    <w:rsid w:val="00B67C55"/>
    <w:rsid w:val="00B67ED3"/>
    <w:rsid w:val="00B67EF8"/>
    <w:rsid w:val="00B70165"/>
    <w:rsid w:val="00B702B9"/>
    <w:rsid w:val="00B702BB"/>
    <w:rsid w:val="00B705A2"/>
    <w:rsid w:val="00B70821"/>
    <w:rsid w:val="00B70903"/>
    <w:rsid w:val="00B70A8E"/>
    <w:rsid w:val="00B70FAC"/>
    <w:rsid w:val="00B70FC9"/>
    <w:rsid w:val="00B710D1"/>
    <w:rsid w:val="00B711E9"/>
    <w:rsid w:val="00B71218"/>
    <w:rsid w:val="00B71529"/>
    <w:rsid w:val="00B71591"/>
    <w:rsid w:val="00B715F5"/>
    <w:rsid w:val="00B715F9"/>
    <w:rsid w:val="00B7161C"/>
    <w:rsid w:val="00B71A48"/>
    <w:rsid w:val="00B71D70"/>
    <w:rsid w:val="00B72329"/>
    <w:rsid w:val="00B72ACB"/>
    <w:rsid w:val="00B72D93"/>
    <w:rsid w:val="00B72E0D"/>
    <w:rsid w:val="00B73082"/>
    <w:rsid w:val="00B730D3"/>
    <w:rsid w:val="00B73251"/>
    <w:rsid w:val="00B73385"/>
    <w:rsid w:val="00B73551"/>
    <w:rsid w:val="00B73638"/>
    <w:rsid w:val="00B7377F"/>
    <w:rsid w:val="00B73897"/>
    <w:rsid w:val="00B738FE"/>
    <w:rsid w:val="00B73932"/>
    <w:rsid w:val="00B73A40"/>
    <w:rsid w:val="00B73E12"/>
    <w:rsid w:val="00B7406B"/>
    <w:rsid w:val="00B74109"/>
    <w:rsid w:val="00B744A6"/>
    <w:rsid w:val="00B7498E"/>
    <w:rsid w:val="00B74E56"/>
    <w:rsid w:val="00B7500E"/>
    <w:rsid w:val="00B75210"/>
    <w:rsid w:val="00B753B9"/>
    <w:rsid w:val="00B7574D"/>
    <w:rsid w:val="00B7590B"/>
    <w:rsid w:val="00B759E1"/>
    <w:rsid w:val="00B75A7E"/>
    <w:rsid w:val="00B75B13"/>
    <w:rsid w:val="00B75D37"/>
    <w:rsid w:val="00B75EE9"/>
    <w:rsid w:val="00B76003"/>
    <w:rsid w:val="00B767D1"/>
    <w:rsid w:val="00B7686C"/>
    <w:rsid w:val="00B7699B"/>
    <w:rsid w:val="00B76C68"/>
    <w:rsid w:val="00B76D16"/>
    <w:rsid w:val="00B7705C"/>
    <w:rsid w:val="00B770DE"/>
    <w:rsid w:val="00B771A5"/>
    <w:rsid w:val="00B77206"/>
    <w:rsid w:val="00B77466"/>
    <w:rsid w:val="00B77479"/>
    <w:rsid w:val="00B77680"/>
    <w:rsid w:val="00B77759"/>
    <w:rsid w:val="00B778CE"/>
    <w:rsid w:val="00B77AA1"/>
    <w:rsid w:val="00B80064"/>
    <w:rsid w:val="00B8007E"/>
    <w:rsid w:val="00B8053B"/>
    <w:rsid w:val="00B8060F"/>
    <w:rsid w:val="00B806D1"/>
    <w:rsid w:val="00B80CC8"/>
    <w:rsid w:val="00B80D26"/>
    <w:rsid w:val="00B80D3E"/>
    <w:rsid w:val="00B80D9B"/>
    <w:rsid w:val="00B80FB9"/>
    <w:rsid w:val="00B81081"/>
    <w:rsid w:val="00B81225"/>
    <w:rsid w:val="00B8125E"/>
    <w:rsid w:val="00B81596"/>
    <w:rsid w:val="00B815B3"/>
    <w:rsid w:val="00B817FD"/>
    <w:rsid w:val="00B81886"/>
    <w:rsid w:val="00B819D6"/>
    <w:rsid w:val="00B81ABD"/>
    <w:rsid w:val="00B81CC2"/>
    <w:rsid w:val="00B81CD4"/>
    <w:rsid w:val="00B81F0A"/>
    <w:rsid w:val="00B81F86"/>
    <w:rsid w:val="00B825D0"/>
    <w:rsid w:val="00B82954"/>
    <w:rsid w:val="00B82B1A"/>
    <w:rsid w:val="00B82B1F"/>
    <w:rsid w:val="00B82F05"/>
    <w:rsid w:val="00B8304A"/>
    <w:rsid w:val="00B83085"/>
    <w:rsid w:val="00B83118"/>
    <w:rsid w:val="00B8371D"/>
    <w:rsid w:val="00B83C67"/>
    <w:rsid w:val="00B83D6E"/>
    <w:rsid w:val="00B84184"/>
    <w:rsid w:val="00B84487"/>
    <w:rsid w:val="00B845AD"/>
    <w:rsid w:val="00B84729"/>
    <w:rsid w:val="00B84749"/>
    <w:rsid w:val="00B84889"/>
    <w:rsid w:val="00B84CA2"/>
    <w:rsid w:val="00B84F20"/>
    <w:rsid w:val="00B85078"/>
    <w:rsid w:val="00B85159"/>
    <w:rsid w:val="00B8517D"/>
    <w:rsid w:val="00B85204"/>
    <w:rsid w:val="00B853A8"/>
    <w:rsid w:val="00B85423"/>
    <w:rsid w:val="00B85461"/>
    <w:rsid w:val="00B857CD"/>
    <w:rsid w:val="00B8591E"/>
    <w:rsid w:val="00B8595B"/>
    <w:rsid w:val="00B8597F"/>
    <w:rsid w:val="00B85B3E"/>
    <w:rsid w:val="00B85C4E"/>
    <w:rsid w:val="00B85F9A"/>
    <w:rsid w:val="00B8610E"/>
    <w:rsid w:val="00B8615C"/>
    <w:rsid w:val="00B8627C"/>
    <w:rsid w:val="00B864C4"/>
    <w:rsid w:val="00B86846"/>
    <w:rsid w:val="00B86C26"/>
    <w:rsid w:val="00B86C97"/>
    <w:rsid w:val="00B86E2F"/>
    <w:rsid w:val="00B86EB3"/>
    <w:rsid w:val="00B8707E"/>
    <w:rsid w:val="00B870AA"/>
    <w:rsid w:val="00B87181"/>
    <w:rsid w:val="00B871BE"/>
    <w:rsid w:val="00B8748A"/>
    <w:rsid w:val="00B879CC"/>
    <w:rsid w:val="00B879E7"/>
    <w:rsid w:val="00B87A04"/>
    <w:rsid w:val="00B87C38"/>
    <w:rsid w:val="00B87CB2"/>
    <w:rsid w:val="00B87CDE"/>
    <w:rsid w:val="00B87E34"/>
    <w:rsid w:val="00B900B5"/>
    <w:rsid w:val="00B90410"/>
    <w:rsid w:val="00B90968"/>
    <w:rsid w:val="00B90A2B"/>
    <w:rsid w:val="00B90A2E"/>
    <w:rsid w:val="00B90A5D"/>
    <w:rsid w:val="00B90BA6"/>
    <w:rsid w:val="00B90C4D"/>
    <w:rsid w:val="00B90C95"/>
    <w:rsid w:val="00B913A6"/>
    <w:rsid w:val="00B91427"/>
    <w:rsid w:val="00B91587"/>
    <w:rsid w:val="00B918BA"/>
    <w:rsid w:val="00B9213D"/>
    <w:rsid w:val="00B926EA"/>
    <w:rsid w:val="00B92A68"/>
    <w:rsid w:val="00B92B75"/>
    <w:rsid w:val="00B92C84"/>
    <w:rsid w:val="00B93588"/>
    <w:rsid w:val="00B935F3"/>
    <w:rsid w:val="00B938DE"/>
    <w:rsid w:val="00B939BC"/>
    <w:rsid w:val="00B93BFB"/>
    <w:rsid w:val="00B9420F"/>
    <w:rsid w:val="00B94364"/>
    <w:rsid w:val="00B94367"/>
    <w:rsid w:val="00B946AB"/>
    <w:rsid w:val="00B94836"/>
    <w:rsid w:val="00B94EA9"/>
    <w:rsid w:val="00B953C0"/>
    <w:rsid w:val="00B95536"/>
    <w:rsid w:val="00B95566"/>
    <w:rsid w:val="00B95637"/>
    <w:rsid w:val="00B957F6"/>
    <w:rsid w:val="00B958CD"/>
    <w:rsid w:val="00B9591B"/>
    <w:rsid w:val="00B95D40"/>
    <w:rsid w:val="00B95DCF"/>
    <w:rsid w:val="00B962BA"/>
    <w:rsid w:val="00B96539"/>
    <w:rsid w:val="00B96724"/>
    <w:rsid w:val="00B96BDD"/>
    <w:rsid w:val="00B96D6F"/>
    <w:rsid w:val="00B96E78"/>
    <w:rsid w:val="00B96FA0"/>
    <w:rsid w:val="00B9706E"/>
    <w:rsid w:val="00B9710E"/>
    <w:rsid w:val="00B97377"/>
    <w:rsid w:val="00B975C6"/>
    <w:rsid w:val="00B9771D"/>
    <w:rsid w:val="00B979E3"/>
    <w:rsid w:val="00B97BF6"/>
    <w:rsid w:val="00B97DD1"/>
    <w:rsid w:val="00B97E4D"/>
    <w:rsid w:val="00B97F54"/>
    <w:rsid w:val="00B97FC7"/>
    <w:rsid w:val="00BA0043"/>
    <w:rsid w:val="00BA063B"/>
    <w:rsid w:val="00BA0673"/>
    <w:rsid w:val="00BA0708"/>
    <w:rsid w:val="00BA071C"/>
    <w:rsid w:val="00BA0B4B"/>
    <w:rsid w:val="00BA0B99"/>
    <w:rsid w:val="00BA0BFD"/>
    <w:rsid w:val="00BA0C38"/>
    <w:rsid w:val="00BA1193"/>
    <w:rsid w:val="00BA1BDF"/>
    <w:rsid w:val="00BA1D00"/>
    <w:rsid w:val="00BA1D32"/>
    <w:rsid w:val="00BA1EBB"/>
    <w:rsid w:val="00BA2039"/>
    <w:rsid w:val="00BA209C"/>
    <w:rsid w:val="00BA2119"/>
    <w:rsid w:val="00BA2122"/>
    <w:rsid w:val="00BA2304"/>
    <w:rsid w:val="00BA2371"/>
    <w:rsid w:val="00BA255A"/>
    <w:rsid w:val="00BA269A"/>
    <w:rsid w:val="00BA2763"/>
    <w:rsid w:val="00BA2774"/>
    <w:rsid w:val="00BA2777"/>
    <w:rsid w:val="00BA28BF"/>
    <w:rsid w:val="00BA28C1"/>
    <w:rsid w:val="00BA293F"/>
    <w:rsid w:val="00BA2999"/>
    <w:rsid w:val="00BA2C73"/>
    <w:rsid w:val="00BA3040"/>
    <w:rsid w:val="00BA3147"/>
    <w:rsid w:val="00BA3572"/>
    <w:rsid w:val="00BA3582"/>
    <w:rsid w:val="00BA384F"/>
    <w:rsid w:val="00BA3989"/>
    <w:rsid w:val="00BA3DBF"/>
    <w:rsid w:val="00BA400B"/>
    <w:rsid w:val="00BA426A"/>
    <w:rsid w:val="00BA4297"/>
    <w:rsid w:val="00BA45FA"/>
    <w:rsid w:val="00BA47FD"/>
    <w:rsid w:val="00BA5028"/>
    <w:rsid w:val="00BA545D"/>
    <w:rsid w:val="00BA5541"/>
    <w:rsid w:val="00BA5630"/>
    <w:rsid w:val="00BA56AD"/>
    <w:rsid w:val="00BA5F75"/>
    <w:rsid w:val="00BA6211"/>
    <w:rsid w:val="00BA6221"/>
    <w:rsid w:val="00BA6285"/>
    <w:rsid w:val="00BA62D6"/>
    <w:rsid w:val="00BA6746"/>
    <w:rsid w:val="00BA6AB2"/>
    <w:rsid w:val="00BA6D8D"/>
    <w:rsid w:val="00BA6DD7"/>
    <w:rsid w:val="00BA6E5C"/>
    <w:rsid w:val="00BA6EE3"/>
    <w:rsid w:val="00BA72E8"/>
    <w:rsid w:val="00BA751F"/>
    <w:rsid w:val="00BA7671"/>
    <w:rsid w:val="00BA76E6"/>
    <w:rsid w:val="00BA784E"/>
    <w:rsid w:val="00BA7857"/>
    <w:rsid w:val="00BA79AE"/>
    <w:rsid w:val="00BA7A40"/>
    <w:rsid w:val="00BA7CA3"/>
    <w:rsid w:val="00BA7D82"/>
    <w:rsid w:val="00BB0098"/>
    <w:rsid w:val="00BB0290"/>
    <w:rsid w:val="00BB0562"/>
    <w:rsid w:val="00BB077C"/>
    <w:rsid w:val="00BB07DF"/>
    <w:rsid w:val="00BB0831"/>
    <w:rsid w:val="00BB0C54"/>
    <w:rsid w:val="00BB0D3E"/>
    <w:rsid w:val="00BB10F6"/>
    <w:rsid w:val="00BB167E"/>
    <w:rsid w:val="00BB1698"/>
    <w:rsid w:val="00BB180C"/>
    <w:rsid w:val="00BB1A43"/>
    <w:rsid w:val="00BB2034"/>
    <w:rsid w:val="00BB235A"/>
    <w:rsid w:val="00BB24D7"/>
    <w:rsid w:val="00BB2E34"/>
    <w:rsid w:val="00BB2E62"/>
    <w:rsid w:val="00BB2FED"/>
    <w:rsid w:val="00BB30DF"/>
    <w:rsid w:val="00BB3294"/>
    <w:rsid w:val="00BB3A7F"/>
    <w:rsid w:val="00BB3AA1"/>
    <w:rsid w:val="00BB3CEF"/>
    <w:rsid w:val="00BB3F1F"/>
    <w:rsid w:val="00BB4053"/>
    <w:rsid w:val="00BB422F"/>
    <w:rsid w:val="00BB429B"/>
    <w:rsid w:val="00BB4336"/>
    <w:rsid w:val="00BB44BA"/>
    <w:rsid w:val="00BB453F"/>
    <w:rsid w:val="00BB4647"/>
    <w:rsid w:val="00BB47E8"/>
    <w:rsid w:val="00BB4936"/>
    <w:rsid w:val="00BB4B61"/>
    <w:rsid w:val="00BB5379"/>
    <w:rsid w:val="00BB5495"/>
    <w:rsid w:val="00BB574B"/>
    <w:rsid w:val="00BB582A"/>
    <w:rsid w:val="00BB5951"/>
    <w:rsid w:val="00BB597F"/>
    <w:rsid w:val="00BB5CFC"/>
    <w:rsid w:val="00BB5D42"/>
    <w:rsid w:val="00BB5F81"/>
    <w:rsid w:val="00BB6123"/>
    <w:rsid w:val="00BB6284"/>
    <w:rsid w:val="00BB63EC"/>
    <w:rsid w:val="00BB6462"/>
    <w:rsid w:val="00BB64AF"/>
    <w:rsid w:val="00BB6A7D"/>
    <w:rsid w:val="00BB76A9"/>
    <w:rsid w:val="00BB7713"/>
    <w:rsid w:val="00BB790D"/>
    <w:rsid w:val="00BB7A07"/>
    <w:rsid w:val="00BB7E76"/>
    <w:rsid w:val="00BB7E8F"/>
    <w:rsid w:val="00BC008B"/>
    <w:rsid w:val="00BC00F9"/>
    <w:rsid w:val="00BC0512"/>
    <w:rsid w:val="00BC05BB"/>
    <w:rsid w:val="00BC072D"/>
    <w:rsid w:val="00BC0B4D"/>
    <w:rsid w:val="00BC0C2A"/>
    <w:rsid w:val="00BC0D4E"/>
    <w:rsid w:val="00BC0F6C"/>
    <w:rsid w:val="00BC12BE"/>
    <w:rsid w:val="00BC12F3"/>
    <w:rsid w:val="00BC1442"/>
    <w:rsid w:val="00BC15FE"/>
    <w:rsid w:val="00BC160E"/>
    <w:rsid w:val="00BC194F"/>
    <w:rsid w:val="00BC1998"/>
    <w:rsid w:val="00BC1A57"/>
    <w:rsid w:val="00BC1DA5"/>
    <w:rsid w:val="00BC1E79"/>
    <w:rsid w:val="00BC228E"/>
    <w:rsid w:val="00BC2494"/>
    <w:rsid w:val="00BC284A"/>
    <w:rsid w:val="00BC29C1"/>
    <w:rsid w:val="00BC2A59"/>
    <w:rsid w:val="00BC3049"/>
    <w:rsid w:val="00BC3147"/>
    <w:rsid w:val="00BC31C7"/>
    <w:rsid w:val="00BC33CD"/>
    <w:rsid w:val="00BC35E9"/>
    <w:rsid w:val="00BC391F"/>
    <w:rsid w:val="00BC3A4B"/>
    <w:rsid w:val="00BC3A71"/>
    <w:rsid w:val="00BC3B6B"/>
    <w:rsid w:val="00BC3EFC"/>
    <w:rsid w:val="00BC3F3D"/>
    <w:rsid w:val="00BC4133"/>
    <w:rsid w:val="00BC41EB"/>
    <w:rsid w:val="00BC4324"/>
    <w:rsid w:val="00BC471A"/>
    <w:rsid w:val="00BC48AE"/>
    <w:rsid w:val="00BC49A5"/>
    <w:rsid w:val="00BC4A37"/>
    <w:rsid w:val="00BC4C03"/>
    <w:rsid w:val="00BC4C7A"/>
    <w:rsid w:val="00BC4D15"/>
    <w:rsid w:val="00BC4D1D"/>
    <w:rsid w:val="00BC4EF1"/>
    <w:rsid w:val="00BC5786"/>
    <w:rsid w:val="00BC5AF4"/>
    <w:rsid w:val="00BC5C7A"/>
    <w:rsid w:val="00BC6050"/>
    <w:rsid w:val="00BC6259"/>
    <w:rsid w:val="00BC6316"/>
    <w:rsid w:val="00BC685C"/>
    <w:rsid w:val="00BC69E6"/>
    <w:rsid w:val="00BC6B9A"/>
    <w:rsid w:val="00BC6C0A"/>
    <w:rsid w:val="00BC6D27"/>
    <w:rsid w:val="00BC6EA1"/>
    <w:rsid w:val="00BC75C2"/>
    <w:rsid w:val="00BC760A"/>
    <w:rsid w:val="00BC77FC"/>
    <w:rsid w:val="00BC7A4B"/>
    <w:rsid w:val="00BC7AD2"/>
    <w:rsid w:val="00BC7C47"/>
    <w:rsid w:val="00BC7D67"/>
    <w:rsid w:val="00BC7FE0"/>
    <w:rsid w:val="00BD023A"/>
    <w:rsid w:val="00BD0503"/>
    <w:rsid w:val="00BD06A4"/>
    <w:rsid w:val="00BD0889"/>
    <w:rsid w:val="00BD08F5"/>
    <w:rsid w:val="00BD09ED"/>
    <w:rsid w:val="00BD0CA8"/>
    <w:rsid w:val="00BD0D47"/>
    <w:rsid w:val="00BD0D75"/>
    <w:rsid w:val="00BD10DD"/>
    <w:rsid w:val="00BD10F7"/>
    <w:rsid w:val="00BD1169"/>
    <w:rsid w:val="00BD1277"/>
    <w:rsid w:val="00BD129A"/>
    <w:rsid w:val="00BD13B2"/>
    <w:rsid w:val="00BD150C"/>
    <w:rsid w:val="00BD1749"/>
    <w:rsid w:val="00BD1917"/>
    <w:rsid w:val="00BD1A89"/>
    <w:rsid w:val="00BD1AE8"/>
    <w:rsid w:val="00BD1B3D"/>
    <w:rsid w:val="00BD1E16"/>
    <w:rsid w:val="00BD1FF1"/>
    <w:rsid w:val="00BD20CA"/>
    <w:rsid w:val="00BD21DE"/>
    <w:rsid w:val="00BD239E"/>
    <w:rsid w:val="00BD2533"/>
    <w:rsid w:val="00BD2574"/>
    <w:rsid w:val="00BD27A0"/>
    <w:rsid w:val="00BD29B1"/>
    <w:rsid w:val="00BD2DA9"/>
    <w:rsid w:val="00BD2E9D"/>
    <w:rsid w:val="00BD2F23"/>
    <w:rsid w:val="00BD308E"/>
    <w:rsid w:val="00BD3399"/>
    <w:rsid w:val="00BD350D"/>
    <w:rsid w:val="00BD374F"/>
    <w:rsid w:val="00BD3979"/>
    <w:rsid w:val="00BD3C40"/>
    <w:rsid w:val="00BD3C99"/>
    <w:rsid w:val="00BD3CDA"/>
    <w:rsid w:val="00BD3E9F"/>
    <w:rsid w:val="00BD3EB3"/>
    <w:rsid w:val="00BD40CD"/>
    <w:rsid w:val="00BD42FF"/>
    <w:rsid w:val="00BD44B7"/>
    <w:rsid w:val="00BD44EC"/>
    <w:rsid w:val="00BD47B3"/>
    <w:rsid w:val="00BD4A1D"/>
    <w:rsid w:val="00BD4B38"/>
    <w:rsid w:val="00BD4FFE"/>
    <w:rsid w:val="00BD5772"/>
    <w:rsid w:val="00BD6157"/>
    <w:rsid w:val="00BD61E1"/>
    <w:rsid w:val="00BD63BD"/>
    <w:rsid w:val="00BD6444"/>
    <w:rsid w:val="00BD6A51"/>
    <w:rsid w:val="00BD6AD8"/>
    <w:rsid w:val="00BD6E00"/>
    <w:rsid w:val="00BD6EB2"/>
    <w:rsid w:val="00BD70F8"/>
    <w:rsid w:val="00BD7506"/>
    <w:rsid w:val="00BD7593"/>
    <w:rsid w:val="00BD7711"/>
    <w:rsid w:val="00BD775E"/>
    <w:rsid w:val="00BD78A5"/>
    <w:rsid w:val="00BD795A"/>
    <w:rsid w:val="00BD7AFD"/>
    <w:rsid w:val="00BD7BBB"/>
    <w:rsid w:val="00BD7CA8"/>
    <w:rsid w:val="00BE0356"/>
    <w:rsid w:val="00BE03BD"/>
    <w:rsid w:val="00BE06BF"/>
    <w:rsid w:val="00BE07C0"/>
    <w:rsid w:val="00BE089D"/>
    <w:rsid w:val="00BE0A9A"/>
    <w:rsid w:val="00BE0AD4"/>
    <w:rsid w:val="00BE0BBC"/>
    <w:rsid w:val="00BE0C60"/>
    <w:rsid w:val="00BE0D2E"/>
    <w:rsid w:val="00BE0EA9"/>
    <w:rsid w:val="00BE1572"/>
    <w:rsid w:val="00BE1F80"/>
    <w:rsid w:val="00BE205A"/>
    <w:rsid w:val="00BE22BF"/>
    <w:rsid w:val="00BE2421"/>
    <w:rsid w:val="00BE2550"/>
    <w:rsid w:val="00BE277D"/>
    <w:rsid w:val="00BE3154"/>
    <w:rsid w:val="00BE3693"/>
    <w:rsid w:val="00BE36B5"/>
    <w:rsid w:val="00BE3794"/>
    <w:rsid w:val="00BE385B"/>
    <w:rsid w:val="00BE3981"/>
    <w:rsid w:val="00BE3D10"/>
    <w:rsid w:val="00BE41BA"/>
    <w:rsid w:val="00BE420F"/>
    <w:rsid w:val="00BE4225"/>
    <w:rsid w:val="00BE42B4"/>
    <w:rsid w:val="00BE4342"/>
    <w:rsid w:val="00BE436C"/>
    <w:rsid w:val="00BE44ED"/>
    <w:rsid w:val="00BE4612"/>
    <w:rsid w:val="00BE46AF"/>
    <w:rsid w:val="00BE4BAC"/>
    <w:rsid w:val="00BE4F63"/>
    <w:rsid w:val="00BE5136"/>
    <w:rsid w:val="00BE5263"/>
    <w:rsid w:val="00BE55FB"/>
    <w:rsid w:val="00BE5604"/>
    <w:rsid w:val="00BE560E"/>
    <w:rsid w:val="00BE5F6C"/>
    <w:rsid w:val="00BE625E"/>
    <w:rsid w:val="00BE6304"/>
    <w:rsid w:val="00BE63A9"/>
    <w:rsid w:val="00BE63B9"/>
    <w:rsid w:val="00BE64A6"/>
    <w:rsid w:val="00BE64EA"/>
    <w:rsid w:val="00BE653E"/>
    <w:rsid w:val="00BE6661"/>
    <w:rsid w:val="00BE6E13"/>
    <w:rsid w:val="00BE6F43"/>
    <w:rsid w:val="00BE6FFC"/>
    <w:rsid w:val="00BE72A6"/>
    <w:rsid w:val="00BE73C8"/>
    <w:rsid w:val="00BE7471"/>
    <w:rsid w:val="00BE75DB"/>
    <w:rsid w:val="00BE7619"/>
    <w:rsid w:val="00BE7B20"/>
    <w:rsid w:val="00BE7C7E"/>
    <w:rsid w:val="00BE7E18"/>
    <w:rsid w:val="00BE7E31"/>
    <w:rsid w:val="00BE7E56"/>
    <w:rsid w:val="00BE7F8B"/>
    <w:rsid w:val="00BE7FB6"/>
    <w:rsid w:val="00BF01B3"/>
    <w:rsid w:val="00BF01E9"/>
    <w:rsid w:val="00BF0211"/>
    <w:rsid w:val="00BF0368"/>
    <w:rsid w:val="00BF0440"/>
    <w:rsid w:val="00BF0825"/>
    <w:rsid w:val="00BF084A"/>
    <w:rsid w:val="00BF09FA"/>
    <w:rsid w:val="00BF0EC8"/>
    <w:rsid w:val="00BF13AF"/>
    <w:rsid w:val="00BF1432"/>
    <w:rsid w:val="00BF1499"/>
    <w:rsid w:val="00BF17C6"/>
    <w:rsid w:val="00BF1E05"/>
    <w:rsid w:val="00BF1E30"/>
    <w:rsid w:val="00BF2006"/>
    <w:rsid w:val="00BF2063"/>
    <w:rsid w:val="00BF213A"/>
    <w:rsid w:val="00BF2464"/>
    <w:rsid w:val="00BF263A"/>
    <w:rsid w:val="00BF2663"/>
    <w:rsid w:val="00BF27B1"/>
    <w:rsid w:val="00BF2959"/>
    <w:rsid w:val="00BF2A55"/>
    <w:rsid w:val="00BF2AEB"/>
    <w:rsid w:val="00BF2B26"/>
    <w:rsid w:val="00BF2CE2"/>
    <w:rsid w:val="00BF3088"/>
    <w:rsid w:val="00BF32AF"/>
    <w:rsid w:val="00BF3356"/>
    <w:rsid w:val="00BF33C8"/>
    <w:rsid w:val="00BF3509"/>
    <w:rsid w:val="00BF3565"/>
    <w:rsid w:val="00BF35A8"/>
    <w:rsid w:val="00BF35E0"/>
    <w:rsid w:val="00BF379A"/>
    <w:rsid w:val="00BF385D"/>
    <w:rsid w:val="00BF3A62"/>
    <w:rsid w:val="00BF3C2D"/>
    <w:rsid w:val="00BF3D7E"/>
    <w:rsid w:val="00BF40C3"/>
    <w:rsid w:val="00BF44A4"/>
    <w:rsid w:val="00BF4584"/>
    <w:rsid w:val="00BF4BCF"/>
    <w:rsid w:val="00BF4CB1"/>
    <w:rsid w:val="00BF4CBE"/>
    <w:rsid w:val="00BF4F8A"/>
    <w:rsid w:val="00BF50F0"/>
    <w:rsid w:val="00BF5374"/>
    <w:rsid w:val="00BF5527"/>
    <w:rsid w:val="00BF55AD"/>
    <w:rsid w:val="00BF55D5"/>
    <w:rsid w:val="00BF613D"/>
    <w:rsid w:val="00BF6243"/>
    <w:rsid w:val="00BF627B"/>
    <w:rsid w:val="00BF6568"/>
    <w:rsid w:val="00BF6A67"/>
    <w:rsid w:val="00BF6DA4"/>
    <w:rsid w:val="00BF7100"/>
    <w:rsid w:val="00BF7416"/>
    <w:rsid w:val="00BF743C"/>
    <w:rsid w:val="00BF7AE0"/>
    <w:rsid w:val="00BF7B05"/>
    <w:rsid w:val="00BF7CE9"/>
    <w:rsid w:val="00BF7D22"/>
    <w:rsid w:val="00BF7E9A"/>
    <w:rsid w:val="00BF7FC2"/>
    <w:rsid w:val="00C003A8"/>
    <w:rsid w:val="00C006B2"/>
    <w:rsid w:val="00C00C9F"/>
    <w:rsid w:val="00C01057"/>
    <w:rsid w:val="00C011F3"/>
    <w:rsid w:val="00C0127C"/>
    <w:rsid w:val="00C0147C"/>
    <w:rsid w:val="00C01752"/>
    <w:rsid w:val="00C01A1F"/>
    <w:rsid w:val="00C02036"/>
    <w:rsid w:val="00C0252A"/>
    <w:rsid w:val="00C02775"/>
    <w:rsid w:val="00C02B4A"/>
    <w:rsid w:val="00C03084"/>
    <w:rsid w:val="00C03113"/>
    <w:rsid w:val="00C03136"/>
    <w:rsid w:val="00C03423"/>
    <w:rsid w:val="00C03511"/>
    <w:rsid w:val="00C03525"/>
    <w:rsid w:val="00C037AF"/>
    <w:rsid w:val="00C03824"/>
    <w:rsid w:val="00C03A06"/>
    <w:rsid w:val="00C03D8A"/>
    <w:rsid w:val="00C03E62"/>
    <w:rsid w:val="00C03F28"/>
    <w:rsid w:val="00C03F72"/>
    <w:rsid w:val="00C0412C"/>
    <w:rsid w:val="00C041C0"/>
    <w:rsid w:val="00C04268"/>
    <w:rsid w:val="00C0452D"/>
    <w:rsid w:val="00C0463F"/>
    <w:rsid w:val="00C047A7"/>
    <w:rsid w:val="00C047A8"/>
    <w:rsid w:val="00C04AD5"/>
    <w:rsid w:val="00C04C8E"/>
    <w:rsid w:val="00C04F3B"/>
    <w:rsid w:val="00C0512D"/>
    <w:rsid w:val="00C05554"/>
    <w:rsid w:val="00C057C3"/>
    <w:rsid w:val="00C059C2"/>
    <w:rsid w:val="00C05BE6"/>
    <w:rsid w:val="00C05D99"/>
    <w:rsid w:val="00C05EA2"/>
    <w:rsid w:val="00C05EC8"/>
    <w:rsid w:val="00C062B9"/>
    <w:rsid w:val="00C0653B"/>
    <w:rsid w:val="00C06661"/>
    <w:rsid w:val="00C06756"/>
    <w:rsid w:val="00C06806"/>
    <w:rsid w:val="00C0688D"/>
    <w:rsid w:val="00C068E3"/>
    <w:rsid w:val="00C06C79"/>
    <w:rsid w:val="00C06D82"/>
    <w:rsid w:val="00C06DBD"/>
    <w:rsid w:val="00C06EE7"/>
    <w:rsid w:val="00C07432"/>
    <w:rsid w:val="00C074F3"/>
    <w:rsid w:val="00C07879"/>
    <w:rsid w:val="00C07AB1"/>
    <w:rsid w:val="00C07D3B"/>
    <w:rsid w:val="00C07D3E"/>
    <w:rsid w:val="00C07F26"/>
    <w:rsid w:val="00C1016B"/>
    <w:rsid w:val="00C102B0"/>
    <w:rsid w:val="00C103C4"/>
    <w:rsid w:val="00C106B6"/>
    <w:rsid w:val="00C1090E"/>
    <w:rsid w:val="00C109D9"/>
    <w:rsid w:val="00C10A74"/>
    <w:rsid w:val="00C10C13"/>
    <w:rsid w:val="00C11303"/>
    <w:rsid w:val="00C11861"/>
    <w:rsid w:val="00C119C5"/>
    <w:rsid w:val="00C11A86"/>
    <w:rsid w:val="00C120B6"/>
    <w:rsid w:val="00C1240F"/>
    <w:rsid w:val="00C12608"/>
    <w:rsid w:val="00C12E5F"/>
    <w:rsid w:val="00C12EB9"/>
    <w:rsid w:val="00C12F9F"/>
    <w:rsid w:val="00C13431"/>
    <w:rsid w:val="00C13733"/>
    <w:rsid w:val="00C13923"/>
    <w:rsid w:val="00C13B6C"/>
    <w:rsid w:val="00C13B76"/>
    <w:rsid w:val="00C13BE3"/>
    <w:rsid w:val="00C13D2E"/>
    <w:rsid w:val="00C13D5E"/>
    <w:rsid w:val="00C13DDE"/>
    <w:rsid w:val="00C13E0C"/>
    <w:rsid w:val="00C14008"/>
    <w:rsid w:val="00C1405A"/>
    <w:rsid w:val="00C14140"/>
    <w:rsid w:val="00C1459A"/>
    <w:rsid w:val="00C14904"/>
    <w:rsid w:val="00C14AAB"/>
    <w:rsid w:val="00C1529F"/>
    <w:rsid w:val="00C154DA"/>
    <w:rsid w:val="00C1565B"/>
    <w:rsid w:val="00C15669"/>
    <w:rsid w:val="00C15A1B"/>
    <w:rsid w:val="00C15A81"/>
    <w:rsid w:val="00C15BB2"/>
    <w:rsid w:val="00C15BDF"/>
    <w:rsid w:val="00C15E8A"/>
    <w:rsid w:val="00C1611C"/>
    <w:rsid w:val="00C16299"/>
    <w:rsid w:val="00C16441"/>
    <w:rsid w:val="00C16670"/>
    <w:rsid w:val="00C166FD"/>
    <w:rsid w:val="00C1695B"/>
    <w:rsid w:val="00C16B09"/>
    <w:rsid w:val="00C172B7"/>
    <w:rsid w:val="00C175BB"/>
    <w:rsid w:val="00C175D5"/>
    <w:rsid w:val="00C17846"/>
    <w:rsid w:val="00C178E3"/>
    <w:rsid w:val="00C17928"/>
    <w:rsid w:val="00C17936"/>
    <w:rsid w:val="00C17CD7"/>
    <w:rsid w:val="00C17D37"/>
    <w:rsid w:val="00C17F84"/>
    <w:rsid w:val="00C20100"/>
    <w:rsid w:val="00C20385"/>
    <w:rsid w:val="00C207F4"/>
    <w:rsid w:val="00C20CB1"/>
    <w:rsid w:val="00C20CE2"/>
    <w:rsid w:val="00C210FE"/>
    <w:rsid w:val="00C21559"/>
    <w:rsid w:val="00C21628"/>
    <w:rsid w:val="00C216D3"/>
    <w:rsid w:val="00C21A4F"/>
    <w:rsid w:val="00C21AC2"/>
    <w:rsid w:val="00C21BBC"/>
    <w:rsid w:val="00C21D7B"/>
    <w:rsid w:val="00C220ED"/>
    <w:rsid w:val="00C220F0"/>
    <w:rsid w:val="00C2245F"/>
    <w:rsid w:val="00C2248A"/>
    <w:rsid w:val="00C22653"/>
    <w:rsid w:val="00C2295A"/>
    <w:rsid w:val="00C22989"/>
    <w:rsid w:val="00C229FD"/>
    <w:rsid w:val="00C22A31"/>
    <w:rsid w:val="00C22F54"/>
    <w:rsid w:val="00C23093"/>
    <w:rsid w:val="00C2336D"/>
    <w:rsid w:val="00C2343B"/>
    <w:rsid w:val="00C2382A"/>
    <w:rsid w:val="00C23934"/>
    <w:rsid w:val="00C23AA9"/>
    <w:rsid w:val="00C23B58"/>
    <w:rsid w:val="00C23B7C"/>
    <w:rsid w:val="00C23EFB"/>
    <w:rsid w:val="00C24609"/>
    <w:rsid w:val="00C24911"/>
    <w:rsid w:val="00C24CAA"/>
    <w:rsid w:val="00C24D03"/>
    <w:rsid w:val="00C24ED1"/>
    <w:rsid w:val="00C24EFB"/>
    <w:rsid w:val="00C24F1D"/>
    <w:rsid w:val="00C25095"/>
    <w:rsid w:val="00C25096"/>
    <w:rsid w:val="00C250A4"/>
    <w:rsid w:val="00C253A7"/>
    <w:rsid w:val="00C2545B"/>
    <w:rsid w:val="00C254F0"/>
    <w:rsid w:val="00C25786"/>
    <w:rsid w:val="00C257F5"/>
    <w:rsid w:val="00C25AD6"/>
    <w:rsid w:val="00C25E14"/>
    <w:rsid w:val="00C25EF0"/>
    <w:rsid w:val="00C25F92"/>
    <w:rsid w:val="00C25FCE"/>
    <w:rsid w:val="00C26059"/>
    <w:rsid w:val="00C2623E"/>
    <w:rsid w:val="00C269B5"/>
    <w:rsid w:val="00C26CA8"/>
    <w:rsid w:val="00C26E44"/>
    <w:rsid w:val="00C270ED"/>
    <w:rsid w:val="00C27173"/>
    <w:rsid w:val="00C2728B"/>
    <w:rsid w:val="00C272D6"/>
    <w:rsid w:val="00C2775F"/>
    <w:rsid w:val="00C278A5"/>
    <w:rsid w:val="00C279BB"/>
    <w:rsid w:val="00C279C2"/>
    <w:rsid w:val="00C27A06"/>
    <w:rsid w:val="00C27B21"/>
    <w:rsid w:val="00C27BE9"/>
    <w:rsid w:val="00C3024D"/>
    <w:rsid w:val="00C30399"/>
    <w:rsid w:val="00C30A42"/>
    <w:rsid w:val="00C30BD5"/>
    <w:rsid w:val="00C30E23"/>
    <w:rsid w:val="00C30EB9"/>
    <w:rsid w:val="00C30EF7"/>
    <w:rsid w:val="00C30F61"/>
    <w:rsid w:val="00C31037"/>
    <w:rsid w:val="00C31121"/>
    <w:rsid w:val="00C3125E"/>
    <w:rsid w:val="00C312B2"/>
    <w:rsid w:val="00C312B6"/>
    <w:rsid w:val="00C31318"/>
    <w:rsid w:val="00C314E0"/>
    <w:rsid w:val="00C31552"/>
    <w:rsid w:val="00C3157E"/>
    <w:rsid w:val="00C31A28"/>
    <w:rsid w:val="00C31BA2"/>
    <w:rsid w:val="00C32169"/>
    <w:rsid w:val="00C32220"/>
    <w:rsid w:val="00C32537"/>
    <w:rsid w:val="00C326F6"/>
    <w:rsid w:val="00C32712"/>
    <w:rsid w:val="00C329DA"/>
    <w:rsid w:val="00C33069"/>
    <w:rsid w:val="00C332B5"/>
    <w:rsid w:val="00C33690"/>
    <w:rsid w:val="00C3372E"/>
    <w:rsid w:val="00C33A0F"/>
    <w:rsid w:val="00C33A97"/>
    <w:rsid w:val="00C33A9A"/>
    <w:rsid w:val="00C33EC8"/>
    <w:rsid w:val="00C33EDB"/>
    <w:rsid w:val="00C33FE5"/>
    <w:rsid w:val="00C34015"/>
    <w:rsid w:val="00C34063"/>
    <w:rsid w:val="00C341FF"/>
    <w:rsid w:val="00C345D1"/>
    <w:rsid w:val="00C346FB"/>
    <w:rsid w:val="00C34796"/>
    <w:rsid w:val="00C34913"/>
    <w:rsid w:val="00C349D8"/>
    <w:rsid w:val="00C34AFC"/>
    <w:rsid w:val="00C34C70"/>
    <w:rsid w:val="00C34E35"/>
    <w:rsid w:val="00C34F4F"/>
    <w:rsid w:val="00C35057"/>
    <w:rsid w:val="00C350E2"/>
    <w:rsid w:val="00C352CB"/>
    <w:rsid w:val="00C3535E"/>
    <w:rsid w:val="00C3539E"/>
    <w:rsid w:val="00C35414"/>
    <w:rsid w:val="00C35519"/>
    <w:rsid w:val="00C35856"/>
    <w:rsid w:val="00C35A5C"/>
    <w:rsid w:val="00C35C31"/>
    <w:rsid w:val="00C35CB9"/>
    <w:rsid w:val="00C35E47"/>
    <w:rsid w:val="00C35E5D"/>
    <w:rsid w:val="00C35F8F"/>
    <w:rsid w:val="00C35F96"/>
    <w:rsid w:val="00C35FF5"/>
    <w:rsid w:val="00C36116"/>
    <w:rsid w:val="00C361C1"/>
    <w:rsid w:val="00C36564"/>
    <w:rsid w:val="00C366C8"/>
    <w:rsid w:val="00C36702"/>
    <w:rsid w:val="00C36CC5"/>
    <w:rsid w:val="00C36D5B"/>
    <w:rsid w:val="00C36EBF"/>
    <w:rsid w:val="00C36F20"/>
    <w:rsid w:val="00C37124"/>
    <w:rsid w:val="00C371B6"/>
    <w:rsid w:val="00C372CA"/>
    <w:rsid w:val="00C374C7"/>
    <w:rsid w:val="00C377AA"/>
    <w:rsid w:val="00C378A3"/>
    <w:rsid w:val="00C37C57"/>
    <w:rsid w:val="00C401F8"/>
    <w:rsid w:val="00C403AE"/>
    <w:rsid w:val="00C403C8"/>
    <w:rsid w:val="00C40807"/>
    <w:rsid w:val="00C40854"/>
    <w:rsid w:val="00C40A12"/>
    <w:rsid w:val="00C40ACA"/>
    <w:rsid w:val="00C40D22"/>
    <w:rsid w:val="00C41178"/>
    <w:rsid w:val="00C412EC"/>
    <w:rsid w:val="00C414CA"/>
    <w:rsid w:val="00C41766"/>
    <w:rsid w:val="00C417E0"/>
    <w:rsid w:val="00C41A59"/>
    <w:rsid w:val="00C41E60"/>
    <w:rsid w:val="00C422C1"/>
    <w:rsid w:val="00C4252E"/>
    <w:rsid w:val="00C42725"/>
    <w:rsid w:val="00C42981"/>
    <w:rsid w:val="00C42A91"/>
    <w:rsid w:val="00C43177"/>
    <w:rsid w:val="00C4378E"/>
    <w:rsid w:val="00C4390A"/>
    <w:rsid w:val="00C4392E"/>
    <w:rsid w:val="00C43990"/>
    <w:rsid w:val="00C43A27"/>
    <w:rsid w:val="00C43D29"/>
    <w:rsid w:val="00C43FCD"/>
    <w:rsid w:val="00C440E5"/>
    <w:rsid w:val="00C441B9"/>
    <w:rsid w:val="00C4424F"/>
    <w:rsid w:val="00C4430A"/>
    <w:rsid w:val="00C44472"/>
    <w:rsid w:val="00C44487"/>
    <w:rsid w:val="00C44492"/>
    <w:rsid w:val="00C4452A"/>
    <w:rsid w:val="00C445EB"/>
    <w:rsid w:val="00C44B40"/>
    <w:rsid w:val="00C44BD6"/>
    <w:rsid w:val="00C44C8D"/>
    <w:rsid w:val="00C45142"/>
    <w:rsid w:val="00C451DC"/>
    <w:rsid w:val="00C45294"/>
    <w:rsid w:val="00C45567"/>
    <w:rsid w:val="00C4566B"/>
    <w:rsid w:val="00C45B15"/>
    <w:rsid w:val="00C45BBD"/>
    <w:rsid w:val="00C45C6C"/>
    <w:rsid w:val="00C460F7"/>
    <w:rsid w:val="00C462EB"/>
    <w:rsid w:val="00C46415"/>
    <w:rsid w:val="00C46955"/>
    <w:rsid w:val="00C4697A"/>
    <w:rsid w:val="00C46AB0"/>
    <w:rsid w:val="00C46B99"/>
    <w:rsid w:val="00C46C50"/>
    <w:rsid w:val="00C46C51"/>
    <w:rsid w:val="00C46D28"/>
    <w:rsid w:val="00C46D72"/>
    <w:rsid w:val="00C46E5C"/>
    <w:rsid w:val="00C46F24"/>
    <w:rsid w:val="00C4741C"/>
    <w:rsid w:val="00C4765D"/>
    <w:rsid w:val="00C47BD5"/>
    <w:rsid w:val="00C50028"/>
    <w:rsid w:val="00C500FA"/>
    <w:rsid w:val="00C50358"/>
    <w:rsid w:val="00C503E0"/>
    <w:rsid w:val="00C508D3"/>
    <w:rsid w:val="00C50DAF"/>
    <w:rsid w:val="00C50ED9"/>
    <w:rsid w:val="00C50FC4"/>
    <w:rsid w:val="00C511D0"/>
    <w:rsid w:val="00C511F4"/>
    <w:rsid w:val="00C51235"/>
    <w:rsid w:val="00C51472"/>
    <w:rsid w:val="00C51555"/>
    <w:rsid w:val="00C515F9"/>
    <w:rsid w:val="00C5188D"/>
    <w:rsid w:val="00C51DA1"/>
    <w:rsid w:val="00C51E8C"/>
    <w:rsid w:val="00C526D9"/>
    <w:rsid w:val="00C52C0C"/>
    <w:rsid w:val="00C52E9E"/>
    <w:rsid w:val="00C52EEF"/>
    <w:rsid w:val="00C5302E"/>
    <w:rsid w:val="00C530C6"/>
    <w:rsid w:val="00C5314F"/>
    <w:rsid w:val="00C53303"/>
    <w:rsid w:val="00C5339D"/>
    <w:rsid w:val="00C53529"/>
    <w:rsid w:val="00C53634"/>
    <w:rsid w:val="00C53867"/>
    <w:rsid w:val="00C53B3A"/>
    <w:rsid w:val="00C53BFB"/>
    <w:rsid w:val="00C53D44"/>
    <w:rsid w:val="00C53EBC"/>
    <w:rsid w:val="00C54300"/>
    <w:rsid w:val="00C54BA7"/>
    <w:rsid w:val="00C54BCF"/>
    <w:rsid w:val="00C54CE2"/>
    <w:rsid w:val="00C54E1B"/>
    <w:rsid w:val="00C54E99"/>
    <w:rsid w:val="00C55064"/>
    <w:rsid w:val="00C55124"/>
    <w:rsid w:val="00C5571E"/>
    <w:rsid w:val="00C557E5"/>
    <w:rsid w:val="00C55B90"/>
    <w:rsid w:val="00C55EDF"/>
    <w:rsid w:val="00C560EB"/>
    <w:rsid w:val="00C56788"/>
    <w:rsid w:val="00C56811"/>
    <w:rsid w:val="00C56905"/>
    <w:rsid w:val="00C569C6"/>
    <w:rsid w:val="00C56D68"/>
    <w:rsid w:val="00C56EE3"/>
    <w:rsid w:val="00C57328"/>
    <w:rsid w:val="00C5749E"/>
    <w:rsid w:val="00C5758E"/>
    <w:rsid w:val="00C57678"/>
    <w:rsid w:val="00C576E8"/>
    <w:rsid w:val="00C577B4"/>
    <w:rsid w:val="00C579F0"/>
    <w:rsid w:val="00C57C57"/>
    <w:rsid w:val="00C57CB7"/>
    <w:rsid w:val="00C57D35"/>
    <w:rsid w:val="00C57F10"/>
    <w:rsid w:val="00C57FC9"/>
    <w:rsid w:val="00C60078"/>
    <w:rsid w:val="00C6023E"/>
    <w:rsid w:val="00C60259"/>
    <w:rsid w:val="00C602D5"/>
    <w:rsid w:val="00C60332"/>
    <w:rsid w:val="00C603D6"/>
    <w:rsid w:val="00C606A5"/>
    <w:rsid w:val="00C606E4"/>
    <w:rsid w:val="00C606FB"/>
    <w:rsid w:val="00C60BAA"/>
    <w:rsid w:val="00C60BE4"/>
    <w:rsid w:val="00C60C2D"/>
    <w:rsid w:val="00C60D1D"/>
    <w:rsid w:val="00C60D25"/>
    <w:rsid w:val="00C60E07"/>
    <w:rsid w:val="00C60E75"/>
    <w:rsid w:val="00C6129A"/>
    <w:rsid w:val="00C61347"/>
    <w:rsid w:val="00C6169A"/>
    <w:rsid w:val="00C61774"/>
    <w:rsid w:val="00C61869"/>
    <w:rsid w:val="00C61ADD"/>
    <w:rsid w:val="00C61B57"/>
    <w:rsid w:val="00C61B88"/>
    <w:rsid w:val="00C61C65"/>
    <w:rsid w:val="00C61CE7"/>
    <w:rsid w:val="00C61E99"/>
    <w:rsid w:val="00C61EEF"/>
    <w:rsid w:val="00C62179"/>
    <w:rsid w:val="00C62364"/>
    <w:rsid w:val="00C62544"/>
    <w:rsid w:val="00C625FC"/>
    <w:rsid w:val="00C62639"/>
    <w:rsid w:val="00C62691"/>
    <w:rsid w:val="00C62B5C"/>
    <w:rsid w:val="00C62B73"/>
    <w:rsid w:val="00C62C49"/>
    <w:rsid w:val="00C62D15"/>
    <w:rsid w:val="00C62DBE"/>
    <w:rsid w:val="00C63776"/>
    <w:rsid w:val="00C63947"/>
    <w:rsid w:val="00C63E8A"/>
    <w:rsid w:val="00C63F45"/>
    <w:rsid w:val="00C64108"/>
    <w:rsid w:val="00C6418D"/>
    <w:rsid w:val="00C641BE"/>
    <w:rsid w:val="00C64562"/>
    <w:rsid w:val="00C64CFA"/>
    <w:rsid w:val="00C64EF1"/>
    <w:rsid w:val="00C64F95"/>
    <w:rsid w:val="00C64FC9"/>
    <w:rsid w:val="00C65C87"/>
    <w:rsid w:val="00C65E72"/>
    <w:rsid w:val="00C65EED"/>
    <w:rsid w:val="00C6609E"/>
    <w:rsid w:val="00C66173"/>
    <w:rsid w:val="00C6645D"/>
    <w:rsid w:val="00C6655E"/>
    <w:rsid w:val="00C66990"/>
    <w:rsid w:val="00C66B76"/>
    <w:rsid w:val="00C66D24"/>
    <w:rsid w:val="00C670FF"/>
    <w:rsid w:val="00C6724F"/>
    <w:rsid w:val="00C67335"/>
    <w:rsid w:val="00C67361"/>
    <w:rsid w:val="00C675C8"/>
    <w:rsid w:val="00C6768F"/>
    <w:rsid w:val="00C6771B"/>
    <w:rsid w:val="00C67872"/>
    <w:rsid w:val="00C67898"/>
    <w:rsid w:val="00C678A6"/>
    <w:rsid w:val="00C67B8B"/>
    <w:rsid w:val="00C708F8"/>
    <w:rsid w:val="00C70AF4"/>
    <w:rsid w:val="00C70B95"/>
    <w:rsid w:val="00C70C5E"/>
    <w:rsid w:val="00C71311"/>
    <w:rsid w:val="00C7131F"/>
    <w:rsid w:val="00C7170B"/>
    <w:rsid w:val="00C71714"/>
    <w:rsid w:val="00C717C7"/>
    <w:rsid w:val="00C718F3"/>
    <w:rsid w:val="00C71994"/>
    <w:rsid w:val="00C71BA7"/>
    <w:rsid w:val="00C7207B"/>
    <w:rsid w:val="00C723FD"/>
    <w:rsid w:val="00C7243A"/>
    <w:rsid w:val="00C7269E"/>
    <w:rsid w:val="00C72751"/>
    <w:rsid w:val="00C727C5"/>
    <w:rsid w:val="00C72A7A"/>
    <w:rsid w:val="00C731F9"/>
    <w:rsid w:val="00C732F5"/>
    <w:rsid w:val="00C73399"/>
    <w:rsid w:val="00C73622"/>
    <w:rsid w:val="00C73D6D"/>
    <w:rsid w:val="00C73E89"/>
    <w:rsid w:val="00C74224"/>
    <w:rsid w:val="00C744A7"/>
    <w:rsid w:val="00C74504"/>
    <w:rsid w:val="00C7465F"/>
    <w:rsid w:val="00C74730"/>
    <w:rsid w:val="00C7480D"/>
    <w:rsid w:val="00C74A01"/>
    <w:rsid w:val="00C74D5F"/>
    <w:rsid w:val="00C74DB2"/>
    <w:rsid w:val="00C74E4B"/>
    <w:rsid w:val="00C74EC4"/>
    <w:rsid w:val="00C74EE6"/>
    <w:rsid w:val="00C74FA8"/>
    <w:rsid w:val="00C75482"/>
    <w:rsid w:val="00C755BD"/>
    <w:rsid w:val="00C75664"/>
    <w:rsid w:val="00C756F0"/>
    <w:rsid w:val="00C75803"/>
    <w:rsid w:val="00C758B4"/>
    <w:rsid w:val="00C75977"/>
    <w:rsid w:val="00C75C24"/>
    <w:rsid w:val="00C75D26"/>
    <w:rsid w:val="00C76077"/>
    <w:rsid w:val="00C76214"/>
    <w:rsid w:val="00C76224"/>
    <w:rsid w:val="00C768D7"/>
    <w:rsid w:val="00C76964"/>
    <w:rsid w:val="00C769B9"/>
    <w:rsid w:val="00C7725B"/>
    <w:rsid w:val="00C774FE"/>
    <w:rsid w:val="00C77647"/>
    <w:rsid w:val="00C779D5"/>
    <w:rsid w:val="00C77B65"/>
    <w:rsid w:val="00C77C9C"/>
    <w:rsid w:val="00C77E20"/>
    <w:rsid w:val="00C8019F"/>
    <w:rsid w:val="00C808E0"/>
    <w:rsid w:val="00C8093B"/>
    <w:rsid w:val="00C809E7"/>
    <w:rsid w:val="00C80C94"/>
    <w:rsid w:val="00C80F2F"/>
    <w:rsid w:val="00C812A6"/>
    <w:rsid w:val="00C8176D"/>
    <w:rsid w:val="00C81DC8"/>
    <w:rsid w:val="00C821CA"/>
    <w:rsid w:val="00C8225B"/>
    <w:rsid w:val="00C8228F"/>
    <w:rsid w:val="00C82342"/>
    <w:rsid w:val="00C823AD"/>
    <w:rsid w:val="00C82425"/>
    <w:rsid w:val="00C8249F"/>
    <w:rsid w:val="00C82644"/>
    <w:rsid w:val="00C8287D"/>
    <w:rsid w:val="00C83230"/>
    <w:rsid w:val="00C832CE"/>
    <w:rsid w:val="00C837F9"/>
    <w:rsid w:val="00C83D21"/>
    <w:rsid w:val="00C83D35"/>
    <w:rsid w:val="00C83DA0"/>
    <w:rsid w:val="00C83DF2"/>
    <w:rsid w:val="00C83E58"/>
    <w:rsid w:val="00C83EB7"/>
    <w:rsid w:val="00C8435B"/>
    <w:rsid w:val="00C843DB"/>
    <w:rsid w:val="00C84F2D"/>
    <w:rsid w:val="00C84FA7"/>
    <w:rsid w:val="00C84FC4"/>
    <w:rsid w:val="00C852B2"/>
    <w:rsid w:val="00C8545A"/>
    <w:rsid w:val="00C85661"/>
    <w:rsid w:val="00C858CF"/>
    <w:rsid w:val="00C859B9"/>
    <w:rsid w:val="00C85E01"/>
    <w:rsid w:val="00C86413"/>
    <w:rsid w:val="00C868F3"/>
    <w:rsid w:val="00C86AFC"/>
    <w:rsid w:val="00C86D21"/>
    <w:rsid w:val="00C86E43"/>
    <w:rsid w:val="00C86E59"/>
    <w:rsid w:val="00C87132"/>
    <w:rsid w:val="00C873F7"/>
    <w:rsid w:val="00C874F6"/>
    <w:rsid w:val="00C878A6"/>
    <w:rsid w:val="00C87C4D"/>
    <w:rsid w:val="00C9003F"/>
    <w:rsid w:val="00C90093"/>
    <w:rsid w:val="00C90543"/>
    <w:rsid w:val="00C90563"/>
    <w:rsid w:val="00C90634"/>
    <w:rsid w:val="00C9065F"/>
    <w:rsid w:val="00C908BC"/>
    <w:rsid w:val="00C90917"/>
    <w:rsid w:val="00C90A4F"/>
    <w:rsid w:val="00C90F72"/>
    <w:rsid w:val="00C915DD"/>
    <w:rsid w:val="00C917EC"/>
    <w:rsid w:val="00C91980"/>
    <w:rsid w:val="00C91B24"/>
    <w:rsid w:val="00C91BF2"/>
    <w:rsid w:val="00C91C2C"/>
    <w:rsid w:val="00C91F38"/>
    <w:rsid w:val="00C920B7"/>
    <w:rsid w:val="00C92429"/>
    <w:rsid w:val="00C92465"/>
    <w:rsid w:val="00C924E0"/>
    <w:rsid w:val="00C925F0"/>
    <w:rsid w:val="00C9271B"/>
    <w:rsid w:val="00C92784"/>
    <w:rsid w:val="00C92836"/>
    <w:rsid w:val="00C92958"/>
    <w:rsid w:val="00C93123"/>
    <w:rsid w:val="00C9316B"/>
    <w:rsid w:val="00C931D2"/>
    <w:rsid w:val="00C93227"/>
    <w:rsid w:val="00C9351C"/>
    <w:rsid w:val="00C93AA6"/>
    <w:rsid w:val="00C9467A"/>
    <w:rsid w:val="00C94A74"/>
    <w:rsid w:val="00C94A99"/>
    <w:rsid w:val="00C94EAF"/>
    <w:rsid w:val="00C95410"/>
    <w:rsid w:val="00C954D2"/>
    <w:rsid w:val="00C95695"/>
    <w:rsid w:val="00C956C6"/>
    <w:rsid w:val="00C95781"/>
    <w:rsid w:val="00C95793"/>
    <w:rsid w:val="00C95A45"/>
    <w:rsid w:val="00C95AA7"/>
    <w:rsid w:val="00C95D4D"/>
    <w:rsid w:val="00C95DAA"/>
    <w:rsid w:val="00C95E89"/>
    <w:rsid w:val="00C95EE0"/>
    <w:rsid w:val="00C96036"/>
    <w:rsid w:val="00C96047"/>
    <w:rsid w:val="00C96080"/>
    <w:rsid w:val="00C960F6"/>
    <w:rsid w:val="00C9657D"/>
    <w:rsid w:val="00C967FE"/>
    <w:rsid w:val="00C9688B"/>
    <w:rsid w:val="00C96DD3"/>
    <w:rsid w:val="00C96DEF"/>
    <w:rsid w:val="00C971A9"/>
    <w:rsid w:val="00C97EEB"/>
    <w:rsid w:val="00C97F82"/>
    <w:rsid w:val="00CA015A"/>
    <w:rsid w:val="00CA0585"/>
    <w:rsid w:val="00CA0654"/>
    <w:rsid w:val="00CA0721"/>
    <w:rsid w:val="00CA0810"/>
    <w:rsid w:val="00CA0958"/>
    <w:rsid w:val="00CA0A2C"/>
    <w:rsid w:val="00CA0B91"/>
    <w:rsid w:val="00CA0D61"/>
    <w:rsid w:val="00CA0D7B"/>
    <w:rsid w:val="00CA15D1"/>
    <w:rsid w:val="00CA15E7"/>
    <w:rsid w:val="00CA1686"/>
    <w:rsid w:val="00CA16AA"/>
    <w:rsid w:val="00CA17CE"/>
    <w:rsid w:val="00CA1906"/>
    <w:rsid w:val="00CA1AC4"/>
    <w:rsid w:val="00CA1E5E"/>
    <w:rsid w:val="00CA1F7F"/>
    <w:rsid w:val="00CA212B"/>
    <w:rsid w:val="00CA21C1"/>
    <w:rsid w:val="00CA22FD"/>
    <w:rsid w:val="00CA2319"/>
    <w:rsid w:val="00CA23C5"/>
    <w:rsid w:val="00CA23D4"/>
    <w:rsid w:val="00CA24B7"/>
    <w:rsid w:val="00CA26D2"/>
    <w:rsid w:val="00CA29DD"/>
    <w:rsid w:val="00CA3091"/>
    <w:rsid w:val="00CA3107"/>
    <w:rsid w:val="00CA3170"/>
    <w:rsid w:val="00CA3220"/>
    <w:rsid w:val="00CA32BB"/>
    <w:rsid w:val="00CA333E"/>
    <w:rsid w:val="00CA353A"/>
    <w:rsid w:val="00CA36B1"/>
    <w:rsid w:val="00CA3A0C"/>
    <w:rsid w:val="00CA3EAC"/>
    <w:rsid w:val="00CA3F18"/>
    <w:rsid w:val="00CA4495"/>
    <w:rsid w:val="00CA4599"/>
    <w:rsid w:val="00CA45CC"/>
    <w:rsid w:val="00CA4A36"/>
    <w:rsid w:val="00CA4ACA"/>
    <w:rsid w:val="00CA4B8C"/>
    <w:rsid w:val="00CA4C43"/>
    <w:rsid w:val="00CA4D62"/>
    <w:rsid w:val="00CA4ECB"/>
    <w:rsid w:val="00CA54BA"/>
    <w:rsid w:val="00CA5538"/>
    <w:rsid w:val="00CA568A"/>
    <w:rsid w:val="00CA56ED"/>
    <w:rsid w:val="00CA56FA"/>
    <w:rsid w:val="00CA5705"/>
    <w:rsid w:val="00CA5789"/>
    <w:rsid w:val="00CA57C6"/>
    <w:rsid w:val="00CA5A1E"/>
    <w:rsid w:val="00CA5B81"/>
    <w:rsid w:val="00CA5BDC"/>
    <w:rsid w:val="00CA5DDC"/>
    <w:rsid w:val="00CA5FFB"/>
    <w:rsid w:val="00CA66AD"/>
    <w:rsid w:val="00CA680A"/>
    <w:rsid w:val="00CA6B0F"/>
    <w:rsid w:val="00CA6CA0"/>
    <w:rsid w:val="00CA6D73"/>
    <w:rsid w:val="00CA6E31"/>
    <w:rsid w:val="00CA7266"/>
    <w:rsid w:val="00CA727C"/>
    <w:rsid w:val="00CA75BD"/>
    <w:rsid w:val="00CA7722"/>
    <w:rsid w:val="00CA78C8"/>
    <w:rsid w:val="00CA7BEE"/>
    <w:rsid w:val="00CB01B0"/>
    <w:rsid w:val="00CB01CB"/>
    <w:rsid w:val="00CB026C"/>
    <w:rsid w:val="00CB060D"/>
    <w:rsid w:val="00CB09A8"/>
    <w:rsid w:val="00CB09F5"/>
    <w:rsid w:val="00CB0A49"/>
    <w:rsid w:val="00CB0FAB"/>
    <w:rsid w:val="00CB1284"/>
    <w:rsid w:val="00CB12BE"/>
    <w:rsid w:val="00CB1340"/>
    <w:rsid w:val="00CB1395"/>
    <w:rsid w:val="00CB13A1"/>
    <w:rsid w:val="00CB1594"/>
    <w:rsid w:val="00CB15E2"/>
    <w:rsid w:val="00CB16A3"/>
    <w:rsid w:val="00CB1E1F"/>
    <w:rsid w:val="00CB2169"/>
    <w:rsid w:val="00CB228B"/>
    <w:rsid w:val="00CB2590"/>
    <w:rsid w:val="00CB2638"/>
    <w:rsid w:val="00CB27B2"/>
    <w:rsid w:val="00CB294F"/>
    <w:rsid w:val="00CB2AE3"/>
    <w:rsid w:val="00CB2BCD"/>
    <w:rsid w:val="00CB2C4A"/>
    <w:rsid w:val="00CB2E9D"/>
    <w:rsid w:val="00CB2EB6"/>
    <w:rsid w:val="00CB3290"/>
    <w:rsid w:val="00CB3635"/>
    <w:rsid w:val="00CB36E6"/>
    <w:rsid w:val="00CB3835"/>
    <w:rsid w:val="00CB3F13"/>
    <w:rsid w:val="00CB3F3D"/>
    <w:rsid w:val="00CB4744"/>
    <w:rsid w:val="00CB4955"/>
    <w:rsid w:val="00CB4F38"/>
    <w:rsid w:val="00CB5064"/>
    <w:rsid w:val="00CB5440"/>
    <w:rsid w:val="00CB54B6"/>
    <w:rsid w:val="00CB5B68"/>
    <w:rsid w:val="00CB5E4F"/>
    <w:rsid w:val="00CB5EFB"/>
    <w:rsid w:val="00CB5F44"/>
    <w:rsid w:val="00CB5F6E"/>
    <w:rsid w:val="00CB5FDE"/>
    <w:rsid w:val="00CB6221"/>
    <w:rsid w:val="00CB62A0"/>
    <w:rsid w:val="00CB62F8"/>
    <w:rsid w:val="00CB64EB"/>
    <w:rsid w:val="00CB6598"/>
    <w:rsid w:val="00CB6645"/>
    <w:rsid w:val="00CB6945"/>
    <w:rsid w:val="00CB6CE2"/>
    <w:rsid w:val="00CB6E0A"/>
    <w:rsid w:val="00CB6EBD"/>
    <w:rsid w:val="00CB7187"/>
    <w:rsid w:val="00CB723E"/>
    <w:rsid w:val="00CB7304"/>
    <w:rsid w:val="00CB750B"/>
    <w:rsid w:val="00CB756E"/>
    <w:rsid w:val="00CB7B5E"/>
    <w:rsid w:val="00CB7DD3"/>
    <w:rsid w:val="00CB7EE7"/>
    <w:rsid w:val="00CB7F7C"/>
    <w:rsid w:val="00CC0060"/>
    <w:rsid w:val="00CC01E5"/>
    <w:rsid w:val="00CC0599"/>
    <w:rsid w:val="00CC0654"/>
    <w:rsid w:val="00CC06B2"/>
    <w:rsid w:val="00CC0A6E"/>
    <w:rsid w:val="00CC107A"/>
    <w:rsid w:val="00CC11BB"/>
    <w:rsid w:val="00CC11C2"/>
    <w:rsid w:val="00CC13D8"/>
    <w:rsid w:val="00CC1486"/>
    <w:rsid w:val="00CC14A8"/>
    <w:rsid w:val="00CC14B5"/>
    <w:rsid w:val="00CC1A65"/>
    <w:rsid w:val="00CC1D8E"/>
    <w:rsid w:val="00CC1DB7"/>
    <w:rsid w:val="00CC1FEA"/>
    <w:rsid w:val="00CC22F0"/>
    <w:rsid w:val="00CC2449"/>
    <w:rsid w:val="00CC2616"/>
    <w:rsid w:val="00CC2A3B"/>
    <w:rsid w:val="00CC2C17"/>
    <w:rsid w:val="00CC2CC2"/>
    <w:rsid w:val="00CC2E25"/>
    <w:rsid w:val="00CC30B3"/>
    <w:rsid w:val="00CC30DA"/>
    <w:rsid w:val="00CC3259"/>
    <w:rsid w:val="00CC334E"/>
    <w:rsid w:val="00CC33FD"/>
    <w:rsid w:val="00CC34DE"/>
    <w:rsid w:val="00CC372D"/>
    <w:rsid w:val="00CC3C26"/>
    <w:rsid w:val="00CC3C37"/>
    <w:rsid w:val="00CC3CA6"/>
    <w:rsid w:val="00CC3FA1"/>
    <w:rsid w:val="00CC4039"/>
    <w:rsid w:val="00CC407E"/>
    <w:rsid w:val="00CC4164"/>
    <w:rsid w:val="00CC42B3"/>
    <w:rsid w:val="00CC42BE"/>
    <w:rsid w:val="00CC4799"/>
    <w:rsid w:val="00CC4A2C"/>
    <w:rsid w:val="00CC4B89"/>
    <w:rsid w:val="00CC4C6B"/>
    <w:rsid w:val="00CC4F23"/>
    <w:rsid w:val="00CC5064"/>
    <w:rsid w:val="00CC51BE"/>
    <w:rsid w:val="00CC524B"/>
    <w:rsid w:val="00CC5B17"/>
    <w:rsid w:val="00CC61D6"/>
    <w:rsid w:val="00CC6232"/>
    <w:rsid w:val="00CC63D2"/>
    <w:rsid w:val="00CC67AC"/>
    <w:rsid w:val="00CC6CC5"/>
    <w:rsid w:val="00CC6FA2"/>
    <w:rsid w:val="00CC71C5"/>
    <w:rsid w:val="00CC745C"/>
    <w:rsid w:val="00CC751A"/>
    <w:rsid w:val="00CC78E9"/>
    <w:rsid w:val="00CC79DD"/>
    <w:rsid w:val="00CC7AB6"/>
    <w:rsid w:val="00CC7B0C"/>
    <w:rsid w:val="00CC7C07"/>
    <w:rsid w:val="00CC7C95"/>
    <w:rsid w:val="00CC7E07"/>
    <w:rsid w:val="00CD0168"/>
    <w:rsid w:val="00CD040F"/>
    <w:rsid w:val="00CD04C6"/>
    <w:rsid w:val="00CD0552"/>
    <w:rsid w:val="00CD057A"/>
    <w:rsid w:val="00CD08D4"/>
    <w:rsid w:val="00CD0DB2"/>
    <w:rsid w:val="00CD0DC2"/>
    <w:rsid w:val="00CD0E24"/>
    <w:rsid w:val="00CD0FC1"/>
    <w:rsid w:val="00CD0FC6"/>
    <w:rsid w:val="00CD10BA"/>
    <w:rsid w:val="00CD1119"/>
    <w:rsid w:val="00CD11EA"/>
    <w:rsid w:val="00CD1863"/>
    <w:rsid w:val="00CD1B13"/>
    <w:rsid w:val="00CD2045"/>
    <w:rsid w:val="00CD20A7"/>
    <w:rsid w:val="00CD2339"/>
    <w:rsid w:val="00CD2419"/>
    <w:rsid w:val="00CD26D1"/>
    <w:rsid w:val="00CD271C"/>
    <w:rsid w:val="00CD27A3"/>
    <w:rsid w:val="00CD2878"/>
    <w:rsid w:val="00CD29AF"/>
    <w:rsid w:val="00CD2A42"/>
    <w:rsid w:val="00CD2BEB"/>
    <w:rsid w:val="00CD2C5F"/>
    <w:rsid w:val="00CD2CDD"/>
    <w:rsid w:val="00CD2D22"/>
    <w:rsid w:val="00CD2D7F"/>
    <w:rsid w:val="00CD2E73"/>
    <w:rsid w:val="00CD314F"/>
    <w:rsid w:val="00CD31C9"/>
    <w:rsid w:val="00CD325B"/>
    <w:rsid w:val="00CD32DF"/>
    <w:rsid w:val="00CD3456"/>
    <w:rsid w:val="00CD34B0"/>
    <w:rsid w:val="00CD3511"/>
    <w:rsid w:val="00CD36C7"/>
    <w:rsid w:val="00CD37FE"/>
    <w:rsid w:val="00CD390A"/>
    <w:rsid w:val="00CD3AE6"/>
    <w:rsid w:val="00CD3ECA"/>
    <w:rsid w:val="00CD3F05"/>
    <w:rsid w:val="00CD429C"/>
    <w:rsid w:val="00CD42A4"/>
    <w:rsid w:val="00CD4466"/>
    <w:rsid w:val="00CD461D"/>
    <w:rsid w:val="00CD4684"/>
    <w:rsid w:val="00CD48E7"/>
    <w:rsid w:val="00CD4C1E"/>
    <w:rsid w:val="00CD4D71"/>
    <w:rsid w:val="00CD4DAC"/>
    <w:rsid w:val="00CD4EAE"/>
    <w:rsid w:val="00CD4F35"/>
    <w:rsid w:val="00CD5094"/>
    <w:rsid w:val="00CD52A2"/>
    <w:rsid w:val="00CD533C"/>
    <w:rsid w:val="00CD539A"/>
    <w:rsid w:val="00CD5778"/>
    <w:rsid w:val="00CD5C50"/>
    <w:rsid w:val="00CD5D4D"/>
    <w:rsid w:val="00CD6093"/>
    <w:rsid w:val="00CD60E3"/>
    <w:rsid w:val="00CD652D"/>
    <w:rsid w:val="00CD654C"/>
    <w:rsid w:val="00CD6743"/>
    <w:rsid w:val="00CD6CF9"/>
    <w:rsid w:val="00CD7064"/>
    <w:rsid w:val="00CD7518"/>
    <w:rsid w:val="00CD76AD"/>
    <w:rsid w:val="00CD779D"/>
    <w:rsid w:val="00CD782A"/>
    <w:rsid w:val="00CD7A35"/>
    <w:rsid w:val="00CD7B70"/>
    <w:rsid w:val="00CD7BAE"/>
    <w:rsid w:val="00CD7EC2"/>
    <w:rsid w:val="00CE0438"/>
    <w:rsid w:val="00CE0610"/>
    <w:rsid w:val="00CE068D"/>
    <w:rsid w:val="00CE08F9"/>
    <w:rsid w:val="00CE0CBD"/>
    <w:rsid w:val="00CE0CEB"/>
    <w:rsid w:val="00CE12CA"/>
    <w:rsid w:val="00CE12E4"/>
    <w:rsid w:val="00CE1779"/>
    <w:rsid w:val="00CE17AE"/>
    <w:rsid w:val="00CE17F1"/>
    <w:rsid w:val="00CE1806"/>
    <w:rsid w:val="00CE1EC8"/>
    <w:rsid w:val="00CE1F70"/>
    <w:rsid w:val="00CE22DA"/>
    <w:rsid w:val="00CE24FE"/>
    <w:rsid w:val="00CE263A"/>
    <w:rsid w:val="00CE281F"/>
    <w:rsid w:val="00CE28A6"/>
    <w:rsid w:val="00CE29CD"/>
    <w:rsid w:val="00CE2A4D"/>
    <w:rsid w:val="00CE2B63"/>
    <w:rsid w:val="00CE2BCD"/>
    <w:rsid w:val="00CE2E7D"/>
    <w:rsid w:val="00CE2F1D"/>
    <w:rsid w:val="00CE306D"/>
    <w:rsid w:val="00CE318E"/>
    <w:rsid w:val="00CE3245"/>
    <w:rsid w:val="00CE328B"/>
    <w:rsid w:val="00CE33CD"/>
    <w:rsid w:val="00CE3DAE"/>
    <w:rsid w:val="00CE40FC"/>
    <w:rsid w:val="00CE42D9"/>
    <w:rsid w:val="00CE4386"/>
    <w:rsid w:val="00CE45D8"/>
    <w:rsid w:val="00CE4603"/>
    <w:rsid w:val="00CE472B"/>
    <w:rsid w:val="00CE4ACA"/>
    <w:rsid w:val="00CE4D4C"/>
    <w:rsid w:val="00CE5095"/>
    <w:rsid w:val="00CE5162"/>
    <w:rsid w:val="00CE532D"/>
    <w:rsid w:val="00CE541B"/>
    <w:rsid w:val="00CE564A"/>
    <w:rsid w:val="00CE56E0"/>
    <w:rsid w:val="00CE5E00"/>
    <w:rsid w:val="00CE5F79"/>
    <w:rsid w:val="00CE5F99"/>
    <w:rsid w:val="00CE62D1"/>
    <w:rsid w:val="00CE6547"/>
    <w:rsid w:val="00CE6897"/>
    <w:rsid w:val="00CE6961"/>
    <w:rsid w:val="00CE6CE2"/>
    <w:rsid w:val="00CE6D3B"/>
    <w:rsid w:val="00CE6D7A"/>
    <w:rsid w:val="00CE6DF0"/>
    <w:rsid w:val="00CE7266"/>
    <w:rsid w:val="00CE730D"/>
    <w:rsid w:val="00CE735F"/>
    <w:rsid w:val="00CE7523"/>
    <w:rsid w:val="00CE7674"/>
    <w:rsid w:val="00CE768D"/>
    <w:rsid w:val="00CE78C6"/>
    <w:rsid w:val="00CE7E7B"/>
    <w:rsid w:val="00CE7F1F"/>
    <w:rsid w:val="00CE7FD9"/>
    <w:rsid w:val="00CF00F9"/>
    <w:rsid w:val="00CF0420"/>
    <w:rsid w:val="00CF068E"/>
    <w:rsid w:val="00CF06C8"/>
    <w:rsid w:val="00CF1285"/>
    <w:rsid w:val="00CF1296"/>
    <w:rsid w:val="00CF12C2"/>
    <w:rsid w:val="00CF143C"/>
    <w:rsid w:val="00CF14BC"/>
    <w:rsid w:val="00CF15E3"/>
    <w:rsid w:val="00CF176F"/>
    <w:rsid w:val="00CF1784"/>
    <w:rsid w:val="00CF1809"/>
    <w:rsid w:val="00CF19A6"/>
    <w:rsid w:val="00CF19E2"/>
    <w:rsid w:val="00CF1C21"/>
    <w:rsid w:val="00CF1CEA"/>
    <w:rsid w:val="00CF1F79"/>
    <w:rsid w:val="00CF2082"/>
    <w:rsid w:val="00CF2174"/>
    <w:rsid w:val="00CF21A6"/>
    <w:rsid w:val="00CF2347"/>
    <w:rsid w:val="00CF23F8"/>
    <w:rsid w:val="00CF2421"/>
    <w:rsid w:val="00CF274B"/>
    <w:rsid w:val="00CF29C2"/>
    <w:rsid w:val="00CF2B05"/>
    <w:rsid w:val="00CF3161"/>
    <w:rsid w:val="00CF32BC"/>
    <w:rsid w:val="00CF3D68"/>
    <w:rsid w:val="00CF3F3E"/>
    <w:rsid w:val="00CF40B0"/>
    <w:rsid w:val="00CF444A"/>
    <w:rsid w:val="00CF452A"/>
    <w:rsid w:val="00CF4559"/>
    <w:rsid w:val="00CF47EF"/>
    <w:rsid w:val="00CF48D8"/>
    <w:rsid w:val="00CF4A5A"/>
    <w:rsid w:val="00CF4AA3"/>
    <w:rsid w:val="00CF4E55"/>
    <w:rsid w:val="00CF4E89"/>
    <w:rsid w:val="00CF5056"/>
    <w:rsid w:val="00CF52D7"/>
    <w:rsid w:val="00CF52FB"/>
    <w:rsid w:val="00CF585C"/>
    <w:rsid w:val="00CF5971"/>
    <w:rsid w:val="00CF5A9E"/>
    <w:rsid w:val="00CF5B98"/>
    <w:rsid w:val="00CF5EF9"/>
    <w:rsid w:val="00CF5F8E"/>
    <w:rsid w:val="00CF609F"/>
    <w:rsid w:val="00CF61AA"/>
    <w:rsid w:val="00CF6440"/>
    <w:rsid w:val="00CF6605"/>
    <w:rsid w:val="00CF678C"/>
    <w:rsid w:val="00CF7365"/>
    <w:rsid w:val="00CF73B0"/>
    <w:rsid w:val="00CF73CA"/>
    <w:rsid w:val="00CF7583"/>
    <w:rsid w:val="00CF758E"/>
    <w:rsid w:val="00CF7656"/>
    <w:rsid w:val="00CF76A8"/>
    <w:rsid w:val="00CF76ED"/>
    <w:rsid w:val="00CF779B"/>
    <w:rsid w:val="00CF77E1"/>
    <w:rsid w:val="00CF78EC"/>
    <w:rsid w:val="00CF7970"/>
    <w:rsid w:val="00CF7C5D"/>
    <w:rsid w:val="00CF7C5F"/>
    <w:rsid w:val="00CF7D5A"/>
    <w:rsid w:val="00CF7D71"/>
    <w:rsid w:val="00CF7FF7"/>
    <w:rsid w:val="00D0009E"/>
    <w:rsid w:val="00D000BB"/>
    <w:rsid w:val="00D007BA"/>
    <w:rsid w:val="00D00BC3"/>
    <w:rsid w:val="00D01028"/>
    <w:rsid w:val="00D01274"/>
    <w:rsid w:val="00D012FD"/>
    <w:rsid w:val="00D014E8"/>
    <w:rsid w:val="00D015CE"/>
    <w:rsid w:val="00D0175F"/>
    <w:rsid w:val="00D019A0"/>
    <w:rsid w:val="00D01C3D"/>
    <w:rsid w:val="00D01F9D"/>
    <w:rsid w:val="00D02074"/>
    <w:rsid w:val="00D0209D"/>
    <w:rsid w:val="00D020B2"/>
    <w:rsid w:val="00D02119"/>
    <w:rsid w:val="00D023B6"/>
    <w:rsid w:val="00D023F8"/>
    <w:rsid w:val="00D0242D"/>
    <w:rsid w:val="00D02603"/>
    <w:rsid w:val="00D027EB"/>
    <w:rsid w:val="00D02CED"/>
    <w:rsid w:val="00D030EA"/>
    <w:rsid w:val="00D033C2"/>
    <w:rsid w:val="00D0377F"/>
    <w:rsid w:val="00D03B64"/>
    <w:rsid w:val="00D03E7B"/>
    <w:rsid w:val="00D042C4"/>
    <w:rsid w:val="00D0450A"/>
    <w:rsid w:val="00D04797"/>
    <w:rsid w:val="00D047D9"/>
    <w:rsid w:val="00D04899"/>
    <w:rsid w:val="00D04A09"/>
    <w:rsid w:val="00D04AFF"/>
    <w:rsid w:val="00D04B56"/>
    <w:rsid w:val="00D04C6B"/>
    <w:rsid w:val="00D04D0C"/>
    <w:rsid w:val="00D04F6D"/>
    <w:rsid w:val="00D0517A"/>
    <w:rsid w:val="00D051EE"/>
    <w:rsid w:val="00D05603"/>
    <w:rsid w:val="00D056E3"/>
    <w:rsid w:val="00D05801"/>
    <w:rsid w:val="00D05B28"/>
    <w:rsid w:val="00D05B6F"/>
    <w:rsid w:val="00D05EAB"/>
    <w:rsid w:val="00D05F3B"/>
    <w:rsid w:val="00D05F40"/>
    <w:rsid w:val="00D065D4"/>
    <w:rsid w:val="00D06A95"/>
    <w:rsid w:val="00D06AAF"/>
    <w:rsid w:val="00D06B8F"/>
    <w:rsid w:val="00D06C10"/>
    <w:rsid w:val="00D06C35"/>
    <w:rsid w:val="00D06D60"/>
    <w:rsid w:val="00D07006"/>
    <w:rsid w:val="00D07194"/>
    <w:rsid w:val="00D072FA"/>
    <w:rsid w:val="00D0730D"/>
    <w:rsid w:val="00D07347"/>
    <w:rsid w:val="00D073DF"/>
    <w:rsid w:val="00D074AA"/>
    <w:rsid w:val="00D074D2"/>
    <w:rsid w:val="00D07731"/>
    <w:rsid w:val="00D0779B"/>
    <w:rsid w:val="00D079FE"/>
    <w:rsid w:val="00D07C61"/>
    <w:rsid w:val="00D07E0D"/>
    <w:rsid w:val="00D07EAF"/>
    <w:rsid w:val="00D07F7B"/>
    <w:rsid w:val="00D10185"/>
    <w:rsid w:val="00D10450"/>
    <w:rsid w:val="00D1063A"/>
    <w:rsid w:val="00D10780"/>
    <w:rsid w:val="00D107F6"/>
    <w:rsid w:val="00D10819"/>
    <w:rsid w:val="00D109A8"/>
    <w:rsid w:val="00D10AFF"/>
    <w:rsid w:val="00D10C4E"/>
    <w:rsid w:val="00D10CBE"/>
    <w:rsid w:val="00D10DCD"/>
    <w:rsid w:val="00D10F44"/>
    <w:rsid w:val="00D10F89"/>
    <w:rsid w:val="00D11033"/>
    <w:rsid w:val="00D1146D"/>
    <w:rsid w:val="00D11B84"/>
    <w:rsid w:val="00D11EB2"/>
    <w:rsid w:val="00D1229B"/>
    <w:rsid w:val="00D12476"/>
    <w:rsid w:val="00D124B3"/>
    <w:rsid w:val="00D124B9"/>
    <w:rsid w:val="00D12752"/>
    <w:rsid w:val="00D1293B"/>
    <w:rsid w:val="00D12BB4"/>
    <w:rsid w:val="00D13099"/>
    <w:rsid w:val="00D130AF"/>
    <w:rsid w:val="00D131F7"/>
    <w:rsid w:val="00D1388C"/>
    <w:rsid w:val="00D138C9"/>
    <w:rsid w:val="00D13CC8"/>
    <w:rsid w:val="00D13D9C"/>
    <w:rsid w:val="00D1404A"/>
    <w:rsid w:val="00D1426E"/>
    <w:rsid w:val="00D142BA"/>
    <w:rsid w:val="00D1439D"/>
    <w:rsid w:val="00D14686"/>
    <w:rsid w:val="00D146FE"/>
    <w:rsid w:val="00D1494E"/>
    <w:rsid w:val="00D14A31"/>
    <w:rsid w:val="00D14C79"/>
    <w:rsid w:val="00D14FD2"/>
    <w:rsid w:val="00D1508D"/>
    <w:rsid w:val="00D15313"/>
    <w:rsid w:val="00D15436"/>
    <w:rsid w:val="00D15C30"/>
    <w:rsid w:val="00D15E05"/>
    <w:rsid w:val="00D15FD4"/>
    <w:rsid w:val="00D15FFB"/>
    <w:rsid w:val="00D16438"/>
    <w:rsid w:val="00D168FF"/>
    <w:rsid w:val="00D16998"/>
    <w:rsid w:val="00D16C79"/>
    <w:rsid w:val="00D16F3A"/>
    <w:rsid w:val="00D1725A"/>
    <w:rsid w:val="00D17390"/>
    <w:rsid w:val="00D175A1"/>
    <w:rsid w:val="00D17680"/>
    <w:rsid w:val="00D1777D"/>
    <w:rsid w:val="00D179DF"/>
    <w:rsid w:val="00D17DD0"/>
    <w:rsid w:val="00D17DFA"/>
    <w:rsid w:val="00D17EB1"/>
    <w:rsid w:val="00D17F58"/>
    <w:rsid w:val="00D200B9"/>
    <w:rsid w:val="00D2016B"/>
    <w:rsid w:val="00D206C6"/>
    <w:rsid w:val="00D207B2"/>
    <w:rsid w:val="00D209AA"/>
    <w:rsid w:val="00D20A1F"/>
    <w:rsid w:val="00D2101F"/>
    <w:rsid w:val="00D21121"/>
    <w:rsid w:val="00D21201"/>
    <w:rsid w:val="00D21608"/>
    <w:rsid w:val="00D21705"/>
    <w:rsid w:val="00D218AB"/>
    <w:rsid w:val="00D21903"/>
    <w:rsid w:val="00D21AA7"/>
    <w:rsid w:val="00D21CD6"/>
    <w:rsid w:val="00D21D14"/>
    <w:rsid w:val="00D21F38"/>
    <w:rsid w:val="00D223D7"/>
    <w:rsid w:val="00D22517"/>
    <w:rsid w:val="00D226F6"/>
    <w:rsid w:val="00D228C5"/>
    <w:rsid w:val="00D22911"/>
    <w:rsid w:val="00D22E17"/>
    <w:rsid w:val="00D22FEA"/>
    <w:rsid w:val="00D2303C"/>
    <w:rsid w:val="00D2318D"/>
    <w:rsid w:val="00D231BC"/>
    <w:rsid w:val="00D23635"/>
    <w:rsid w:val="00D238AD"/>
    <w:rsid w:val="00D23DE9"/>
    <w:rsid w:val="00D23E35"/>
    <w:rsid w:val="00D23FFE"/>
    <w:rsid w:val="00D242FB"/>
    <w:rsid w:val="00D24759"/>
    <w:rsid w:val="00D24A18"/>
    <w:rsid w:val="00D25091"/>
    <w:rsid w:val="00D251BB"/>
    <w:rsid w:val="00D255D9"/>
    <w:rsid w:val="00D25A09"/>
    <w:rsid w:val="00D25B2B"/>
    <w:rsid w:val="00D25E19"/>
    <w:rsid w:val="00D26017"/>
    <w:rsid w:val="00D260A6"/>
    <w:rsid w:val="00D263E2"/>
    <w:rsid w:val="00D26403"/>
    <w:rsid w:val="00D26506"/>
    <w:rsid w:val="00D26984"/>
    <w:rsid w:val="00D26DE5"/>
    <w:rsid w:val="00D27041"/>
    <w:rsid w:val="00D27144"/>
    <w:rsid w:val="00D271F0"/>
    <w:rsid w:val="00D2765D"/>
    <w:rsid w:val="00D27781"/>
    <w:rsid w:val="00D27AD2"/>
    <w:rsid w:val="00D27F7B"/>
    <w:rsid w:val="00D3011B"/>
    <w:rsid w:val="00D30120"/>
    <w:rsid w:val="00D30416"/>
    <w:rsid w:val="00D304BF"/>
    <w:rsid w:val="00D30650"/>
    <w:rsid w:val="00D30B60"/>
    <w:rsid w:val="00D30E0E"/>
    <w:rsid w:val="00D30E66"/>
    <w:rsid w:val="00D30FBF"/>
    <w:rsid w:val="00D312FB"/>
    <w:rsid w:val="00D31563"/>
    <w:rsid w:val="00D31AA3"/>
    <w:rsid w:val="00D31AD6"/>
    <w:rsid w:val="00D31D6E"/>
    <w:rsid w:val="00D31FC9"/>
    <w:rsid w:val="00D31FF7"/>
    <w:rsid w:val="00D32151"/>
    <w:rsid w:val="00D32256"/>
    <w:rsid w:val="00D32492"/>
    <w:rsid w:val="00D324C2"/>
    <w:rsid w:val="00D32596"/>
    <w:rsid w:val="00D32657"/>
    <w:rsid w:val="00D32717"/>
    <w:rsid w:val="00D32827"/>
    <w:rsid w:val="00D32A6B"/>
    <w:rsid w:val="00D32AE5"/>
    <w:rsid w:val="00D32B7D"/>
    <w:rsid w:val="00D32D23"/>
    <w:rsid w:val="00D330F9"/>
    <w:rsid w:val="00D3395F"/>
    <w:rsid w:val="00D33A93"/>
    <w:rsid w:val="00D33B96"/>
    <w:rsid w:val="00D33C5C"/>
    <w:rsid w:val="00D33EA9"/>
    <w:rsid w:val="00D33EFE"/>
    <w:rsid w:val="00D34095"/>
    <w:rsid w:val="00D34125"/>
    <w:rsid w:val="00D34576"/>
    <w:rsid w:val="00D34612"/>
    <w:rsid w:val="00D3486B"/>
    <w:rsid w:val="00D348E4"/>
    <w:rsid w:val="00D34B00"/>
    <w:rsid w:val="00D34DB0"/>
    <w:rsid w:val="00D34FCD"/>
    <w:rsid w:val="00D35373"/>
    <w:rsid w:val="00D355B7"/>
    <w:rsid w:val="00D35D75"/>
    <w:rsid w:val="00D3603F"/>
    <w:rsid w:val="00D3612D"/>
    <w:rsid w:val="00D3619A"/>
    <w:rsid w:val="00D361CC"/>
    <w:rsid w:val="00D3623D"/>
    <w:rsid w:val="00D362B3"/>
    <w:rsid w:val="00D36348"/>
    <w:rsid w:val="00D3648E"/>
    <w:rsid w:val="00D36B74"/>
    <w:rsid w:val="00D36D94"/>
    <w:rsid w:val="00D36ED6"/>
    <w:rsid w:val="00D36F22"/>
    <w:rsid w:val="00D37041"/>
    <w:rsid w:val="00D3717A"/>
    <w:rsid w:val="00D371C8"/>
    <w:rsid w:val="00D3725B"/>
    <w:rsid w:val="00D3732A"/>
    <w:rsid w:val="00D37371"/>
    <w:rsid w:val="00D374BA"/>
    <w:rsid w:val="00D37581"/>
    <w:rsid w:val="00D37C1F"/>
    <w:rsid w:val="00D40059"/>
    <w:rsid w:val="00D4009B"/>
    <w:rsid w:val="00D4022A"/>
    <w:rsid w:val="00D4079A"/>
    <w:rsid w:val="00D40CB0"/>
    <w:rsid w:val="00D40D3D"/>
    <w:rsid w:val="00D40EA4"/>
    <w:rsid w:val="00D41307"/>
    <w:rsid w:val="00D41365"/>
    <w:rsid w:val="00D41B28"/>
    <w:rsid w:val="00D41CB6"/>
    <w:rsid w:val="00D421B8"/>
    <w:rsid w:val="00D422F8"/>
    <w:rsid w:val="00D42583"/>
    <w:rsid w:val="00D42F2B"/>
    <w:rsid w:val="00D432BA"/>
    <w:rsid w:val="00D4346D"/>
    <w:rsid w:val="00D4391F"/>
    <w:rsid w:val="00D4398B"/>
    <w:rsid w:val="00D43B13"/>
    <w:rsid w:val="00D43CE8"/>
    <w:rsid w:val="00D43EB0"/>
    <w:rsid w:val="00D44224"/>
    <w:rsid w:val="00D442B8"/>
    <w:rsid w:val="00D445F0"/>
    <w:rsid w:val="00D44836"/>
    <w:rsid w:val="00D44CAB"/>
    <w:rsid w:val="00D44D4A"/>
    <w:rsid w:val="00D44F7E"/>
    <w:rsid w:val="00D45263"/>
    <w:rsid w:val="00D45339"/>
    <w:rsid w:val="00D454AF"/>
    <w:rsid w:val="00D454DB"/>
    <w:rsid w:val="00D45531"/>
    <w:rsid w:val="00D45846"/>
    <w:rsid w:val="00D45A62"/>
    <w:rsid w:val="00D45F73"/>
    <w:rsid w:val="00D460C5"/>
    <w:rsid w:val="00D4628A"/>
    <w:rsid w:val="00D46771"/>
    <w:rsid w:val="00D46AEB"/>
    <w:rsid w:val="00D46BE9"/>
    <w:rsid w:val="00D46C5A"/>
    <w:rsid w:val="00D475A4"/>
    <w:rsid w:val="00D475A6"/>
    <w:rsid w:val="00D475E2"/>
    <w:rsid w:val="00D47BBE"/>
    <w:rsid w:val="00D47D27"/>
    <w:rsid w:val="00D47E50"/>
    <w:rsid w:val="00D47F45"/>
    <w:rsid w:val="00D47FD2"/>
    <w:rsid w:val="00D50079"/>
    <w:rsid w:val="00D50314"/>
    <w:rsid w:val="00D503EC"/>
    <w:rsid w:val="00D5088C"/>
    <w:rsid w:val="00D50A36"/>
    <w:rsid w:val="00D51341"/>
    <w:rsid w:val="00D515D4"/>
    <w:rsid w:val="00D517B2"/>
    <w:rsid w:val="00D5181D"/>
    <w:rsid w:val="00D520E6"/>
    <w:rsid w:val="00D52199"/>
    <w:rsid w:val="00D521F9"/>
    <w:rsid w:val="00D525EC"/>
    <w:rsid w:val="00D5292D"/>
    <w:rsid w:val="00D52997"/>
    <w:rsid w:val="00D52AA6"/>
    <w:rsid w:val="00D52AB8"/>
    <w:rsid w:val="00D52AD2"/>
    <w:rsid w:val="00D53082"/>
    <w:rsid w:val="00D5309D"/>
    <w:rsid w:val="00D5313B"/>
    <w:rsid w:val="00D5328B"/>
    <w:rsid w:val="00D53521"/>
    <w:rsid w:val="00D53A7C"/>
    <w:rsid w:val="00D53F23"/>
    <w:rsid w:val="00D53FB2"/>
    <w:rsid w:val="00D53FE3"/>
    <w:rsid w:val="00D5400F"/>
    <w:rsid w:val="00D540A5"/>
    <w:rsid w:val="00D5417A"/>
    <w:rsid w:val="00D541CA"/>
    <w:rsid w:val="00D544BC"/>
    <w:rsid w:val="00D544BE"/>
    <w:rsid w:val="00D544FA"/>
    <w:rsid w:val="00D545EA"/>
    <w:rsid w:val="00D54852"/>
    <w:rsid w:val="00D54CFF"/>
    <w:rsid w:val="00D54FD6"/>
    <w:rsid w:val="00D55066"/>
    <w:rsid w:val="00D55292"/>
    <w:rsid w:val="00D5530F"/>
    <w:rsid w:val="00D553D3"/>
    <w:rsid w:val="00D55759"/>
    <w:rsid w:val="00D558BD"/>
    <w:rsid w:val="00D55A09"/>
    <w:rsid w:val="00D55B66"/>
    <w:rsid w:val="00D56202"/>
    <w:rsid w:val="00D5635D"/>
    <w:rsid w:val="00D563F0"/>
    <w:rsid w:val="00D56451"/>
    <w:rsid w:val="00D5660F"/>
    <w:rsid w:val="00D56731"/>
    <w:rsid w:val="00D56C40"/>
    <w:rsid w:val="00D56D74"/>
    <w:rsid w:val="00D571F2"/>
    <w:rsid w:val="00D5733F"/>
    <w:rsid w:val="00D5740A"/>
    <w:rsid w:val="00D57429"/>
    <w:rsid w:val="00D57A87"/>
    <w:rsid w:val="00D57E4B"/>
    <w:rsid w:val="00D600DC"/>
    <w:rsid w:val="00D602BB"/>
    <w:rsid w:val="00D60836"/>
    <w:rsid w:val="00D608B5"/>
    <w:rsid w:val="00D6094C"/>
    <w:rsid w:val="00D609D4"/>
    <w:rsid w:val="00D60A91"/>
    <w:rsid w:val="00D60C1E"/>
    <w:rsid w:val="00D60D5A"/>
    <w:rsid w:val="00D60DF4"/>
    <w:rsid w:val="00D61120"/>
    <w:rsid w:val="00D61128"/>
    <w:rsid w:val="00D61204"/>
    <w:rsid w:val="00D6176B"/>
    <w:rsid w:val="00D617F2"/>
    <w:rsid w:val="00D6192E"/>
    <w:rsid w:val="00D61F0A"/>
    <w:rsid w:val="00D6226C"/>
    <w:rsid w:val="00D62912"/>
    <w:rsid w:val="00D62926"/>
    <w:rsid w:val="00D62ACF"/>
    <w:rsid w:val="00D62D98"/>
    <w:rsid w:val="00D62EE1"/>
    <w:rsid w:val="00D62F26"/>
    <w:rsid w:val="00D63057"/>
    <w:rsid w:val="00D631A2"/>
    <w:rsid w:val="00D63231"/>
    <w:rsid w:val="00D6323E"/>
    <w:rsid w:val="00D63273"/>
    <w:rsid w:val="00D632CB"/>
    <w:rsid w:val="00D63369"/>
    <w:rsid w:val="00D634C6"/>
    <w:rsid w:val="00D63663"/>
    <w:rsid w:val="00D63B58"/>
    <w:rsid w:val="00D63C99"/>
    <w:rsid w:val="00D63DEC"/>
    <w:rsid w:val="00D63EDC"/>
    <w:rsid w:val="00D6409F"/>
    <w:rsid w:val="00D64561"/>
    <w:rsid w:val="00D64616"/>
    <w:rsid w:val="00D646CB"/>
    <w:rsid w:val="00D647EE"/>
    <w:rsid w:val="00D64829"/>
    <w:rsid w:val="00D64846"/>
    <w:rsid w:val="00D64B71"/>
    <w:rsid w:val="00D64BDE"/>
    <w:rsid w:val="00D65236"/>
    <w:rsid w:val="00D654FE"/>
    <w:rsid w:val="00D65863"/>
    <w:rsid w:val="00D65E5D"/>
    <w:rsid w:val="00D65F35"/>
    <w:rsid w:val="00D660D2"/>
    <w:rsid w:val="00D66D0A"/>
    <w:rsid w:val="00D66F1B"/>
    <w:rsid w:val="00D66F3B"/>
    <w:rsid w:val="00D6743A"/>
    <w:rsid w:val="00D675EF"/>
    <w:rsid w:val="00D676B8"/>
    <w:rsid w:val="00D6794F"/>
    <w:rsid w:val="00D67A70"/>
    <w:rsid w:val="00D67C56"/>
    <w:rsid w:val="00D67CD4"/>
    <w:rsid w:val="00D67DF7"/>
    <w:rsid w:val="00D67FB4"/>
    <w:rsid w:val="00D70198"/>
    <w:rsid w:val="00D702CD"/>
    <w:rsid w:val="00D7066E"/>
    <w:rsid w:val="00D70B3C"/>
    <w:rsid w:val="00D70C66"/>
    <w:rsid w:val="00D70C77"/>
    <w:rsid w:val="00D70F1B"/>
    <w:rsid w:val="00D7111E"/>
    <w:rsid w:val="00D7114B"/>
    <w:rsid w:val="00D71168"/>
    <w:rsid w:val="00D712A9"/>
    <w:rsid w:val="00D712BD"/>
    <w:rsid w:val="00D71677"/>
    <w:rsid w:val="00D716FC"/>
    <w:rsid w:val="00D7193A"/>
    <w:rsid w:val="00D719C1"/>
    <w:rsid w:val="00D719ED"/>
    <w:rsid w:val="00D71AE4"/>
    <w:rsid w:val="00D71AFF"/>
    <w:rsid w:val="00D71C1C"/>
    <w:rsid w:val="00D71FE4"/>
    <w:rsid w:val="00D720B2"/>
    <w:rsid w:val="00D7211F"/>
    <w:rsid w:val="00D721FE"/>
    <w:rsid w:val="00D7225A"/>
    <w:rsid w:val="00D72521"/>
    <w:rsid w:val="00D725A9"/>
    <w:rsid w:val="00D7276C"/>
    <w:rsid w:val="00D7277B"/>
    <w:rsid w:val="00D72A65"/>
    <w:rsid w:val="00D72B6C"/>
    <w:rsid w:val="00D72EDA"/>
    <w:rsid w:val="00D73509"/>
    <w:rsid w:val="00D735F0"/>
    <w:rsid w:val="00D73806"/>
    <w:rsid w:val="00D739F5"/>
    <w:rsid w:val="00D73AA3"/>
    <w:rsid w:val="00D73AF8"/>
    <w:rsid w:val="00D73EE0"/>
    <w:rsid w:val="00D74187"/>
    <w:rsid w:val="00D741DC"/>
    <w:rsid w:val="00D74535"/>
    <w:rsid w:val="00D7470D"/>
    <w:rsid w:val="00D74748"/>
    <w:rsid w:val="00D74FD8"/>
    <w:rsid w:val="00D75167"/>
    <w:rsid w:val="00D752D3"/>
    <w:rsid w:val="00D75627"/>
    <w:rsid w:val="00D75703"/>
    <w:rsid w:val="00D759D6"/>
    <w:rsid w:val="00D75F9E"/>
    <w:rsid w:val="00D761A4"/>
    <w:rsid w:val="00D7620F"/>
    <w:rsid w:val="00D7623D"/>
    <w:rsid w:val="00D76324"/>
    <w:rsid w:val="00D76406"/>
    <w:rsid w:val="00D764AC"/>
    <w:rsid w:val="00D76760"/>
    <w:rsid w:val="00D76764"/>
    <w:rsid w:val="00D76C9E"/>
    <w:rsid w:val="00D76E50"/>
    <w:rsid w:val="00D770E6"/>
    <w:rsid w:val="00D771A6"/>
    <w:rsid w:val="00D771CC"/>
    <w:rsid w:val="00D772F3"/>
    <w:rsid w:val="00D773FE"/>
    <w:rsid w:val="00D7741E"/>
    <w:rsid w:val="00D77574"/>
    <w:rsid w:val="00D7767E"/>
    <w:rsid w:val="00D77962"/>
    <w:rsid w:val="00D77A72"/>
    <w:rsid w:val="00D77B71"/>
    <w:rsid w:val="00D80255"/>
    <w:rsid w:val="00D80A18"/>
    <w:rsid w:val="00D80B96"/>
    <w:rsid w:val="00D80D28"/>
    <w:rsid w:val="00D80DEB"/>
    <w:rsid w:val="00D81045"/>
    <w:rsid w:val="00D81348"/>
    <w:rsid w:val="00D8134D"/>
    <w:rsid w:val="00D8135F"/>
    <w:rsid w:val="00D81464"/>
    <w:rsid w:val="00D814AC"/>
    <w:rsid w:val="00D8161C"/>
    <w:rsid w:val="00D817DD"/>
    <w:rsid w:val="00D81B47"/>
    <w:rsid w:val="00D81D29"/>
    <w:rsid w:val="00D81D4B"/>
    <w:rsid w:val="00D81DA2"/>
    <w:rsid w:val="00D81F75"/>
    <w:rsid w:val="00D8217D"/>
    <w:rsid w:val="00D82446"/>
    <w:rsid w:val="00D8257D"/>
    <w:rsid w:val="00D829ED"/>
    <w:rsid w:val="00D82C13"/>
    <w:rsid w:val="00D82DC9"/>
    <w:rsid w:val="00D833BE"/>
    <w:rsid w:val="00D833EC"/>
    <w:rsid w:val="00D83629"/>
    <w:rsid w:val="00D83740"/>
    <w:rsid w:val="00D83869"/>
    <w:rsid w:val="00D8396F"/>
    <w:rsid w:val="00D839A9"/>
    <w:rsid w:val="00D8415C"/>
    <w:rsid w:val="00D84428"/>
    <w:rsid w:val="00D84539"/>
    <w:rsid w:val="00D8472F"/>
    <w:rsid w:val="00D84765"/>
    <w:rsid w:val="00D849F4"/>
    <w:rsid w:val="00D84CA4"/>
    <w:rsid w:val="00D84CC6"/>
    <w:rsid w:val="00D84EA8"/>
    <w:rsid w:val="00D84EB1"/>
    <w:rsid w:val="00D84FD2"/>
    <w:rsid w:val="00D85252"/>
    <w:rsid w:val="00D856E5"/>
    <w:rsid w:val="00D85B1B"/>
    <w:rsid w:val="00D85DF3"/>
    <w:rsid w:val="00D85E02"/>
    <w:rsid w:val="00D86041"/>
    <w:rsid w:val="00D860E1"/>
    <w:rsid w:val="00D86214"/>
    <w:rsid w:val="00D8628C"/>
    <w:rsid w:val="00D864F9"/>
    <w:rsid w:val="00D8661D"/>
    <w:rsid w:val="00D869BB"/>
    <w:rsid w:val="00D86D4B"/>
    <w:rsid w:val="00D86F8A"/>
    <w:rsid w:val="00D870E2"/>
    <w:rsid w:val="00D87228"/>
    <w:rsid w:val="00D873E3"/>
    <w:rsid w:val="00D87798"/>
    <w:rsid w:val="00D87B9E"/>
    <w:rsid w:val="00D87F98"/>
    <w:rsid w:val="00D901E1"/>
    <w:rsid w:val="00D90455"/>
    <w:rsid w:val="00D904B9"/>
    <w:rsid w:val="00D90547"/>
    <w:rsid w:val="00D906B5"/>
    <w:rsid w:val="00D9075B"/>
    <w:rsid w:val="00D90C65"/>
    <w:rsid w:val="00D90CDE"/>
    <w:rsid w:val="00D90F52"/>
    <w:rsid w:val="00D910B2"/>
    <w:rsid w:val="00D91149"/>
    <w:rsid w:val="00D9119F"/>
    <w:rsid w:val="00D9128F"/>
    <w:rsid w:val="00D91371"/>
    <w:rsid w:val="00D915CA"/>
    <w:rsid w:val="00D9173F"/>
    <w:rsid w:val="00D917AE"/>
    <w:rsid w:val="00D919CE"/>
    <w:rsid w:val="00D91AFD"/>
    <w:rsid w:val="00D91CAE"/>
    <w:rsid w:val="00D9230E"/>
    <w:rsid w:val="00D923F3"/>
    <w:rsid w:val="00D9253D"/>
    <w:rsid w:val="00D925DB"/>
    <w:rsid w:val="00D92911"/>
    <w:rsid w:val="00D9293E"/>
    <w:rsid w:val="00D92940"/>
    <w:rsid w:val="00D92ACB"/>
    <w:rsid w:val="00D92B60"/>
    <w:rsid w:val="00D92BFE"/>
    <w:rsid w:val="00D92C4C"/>
    <w:rsid w:val="00D92E0C"/>
    <w:rsid w:val="00D92ED3"/>
    <w:rsid w:val="00D92FE1"/>
    <w:rsid w:val="00D931A7"/>
    <w:rsid w:val="00D93286"/>
    <w:rsid w:val="00D934C7"/>
    <w:rsid w:val="00D93668"/>
    <w:rsid w:val="00D93A25"/>
    <w:rsid w:val="00D93B57"/>
    <w:rsid w:val="00D93E9B"/>
    <w:rsid w:val="00D93F0A"/>
    <w:rsid w:val="00D940A4"/>
    <w:rsid w:val="00D94236"/>
    <w:rsid w:val="00D94320"/>
    <w:rsid w:val="00D94649"/>
    <w:rsid w:val="00D94AA5"/>
    <w:rsid w:val="00D94CB1"/>
    <w:rsid w:val="00D95110"/>
    <w:rsid w:val="00D9532E"/>
    <w:rsid w:val="00D953BD"/>
    <w:rsid w:val="00D95436"/>
    <w:rsid w:val="00D95499"/>
    <w:rsid w:val="00D955B3"/>
    <w:rsid w:val="00D95685"/>
    <w:rsid w:val="00D95D5D"/>
    <w:rsid w:val="00D95E0D"/>
    <w:rsid w:val="00D96057"/>
    <w:rsid w:val="00D961DB"/>
    <w:rsid w:val="00D9620C"/>
    <w:rsid w:val="00D96245"/>
    <w:rsid w:val="00D963CE"/>
    <w:rsid w:val="00D967C5"/>
    <w:rsid w:val="00D9690C"/>
    <w:rsid w:val="00D96C75"/>
    <w:rsid w:val="00D96EEB"/>
    <w:rsid w:val="00D9714D"/>
    <w:rsid w:val="00D97208"/>
    <w:rsid w:val="00D97649"/>
    <w:rsid w:val="00D976BF"/>
    <w:rsid w:val="00D97737"/>
    <w:rsid w:val="00D97880"/>
    <w:rsid w:val="00D97A5A"/>
    <w:rsid w:val="00D97B14"/>
    <w:rsid w:val="00D97D27"/>
    <w:rsid w:val="00D97E3D"/>
    <w:rsid w:val="00DA0229"/>
    <w:rsid w:val="00DA0F2A"/>
    <w:rsid w:val="00DA10C4"/>
    <w:rsid w:val="00DA1208"/>
    <w:rsid w:val="00DA1636"/>
    <w:rsid w:val="00DA16CD"/>
    <w:rsid w:val="00DA1848"/>
    <w:rsid w:val="00DA194B"/>
    <w:rsid w:val="00DA1A44"/>
    <w:rsid w:val="00DA1EC5"/>
    <w:rsid w:val="00DA1ED1"/>
    <w:rsid w:val="00DA229E"/>
    <w:rsid w:val="00DA2776"/>
    <w:rsid w:val="00DA27CD"/>
    <w:rsid w:val="00DA290F"/>
    <w:rsid w:val="00DA2DE8"/>
    <w:rsid w:val="00DA2E5D"/>
    <w:rsid w:val="00DA309A"/>
    <w:rsid w:val="00DA30B1"/>
    <w:rsid w:val="00DA31F7"/>
    <w:rsid w:val="00DA32E1"/>
    <w:rsid w:val="00DA36DF"/>
    <w:rsid w:val="00DA37ED"/>
    <w:rsid w:val="00DA3945"/>
    <w:rsid w:val="00DA3971"/>
    <w:rsid w:val="00DA3BBE"/>
    <w:rsid w:val="00DA3DCC"/>
    <w:rsid w:val="00DA3DDC"/>
    <w:rsid w:val="00DA3FBF"/>
    <w:rsid w:val="00DA422D"/>
    <w:rsid w:val="00DA4252"/>
    <w:rsid w:val="00DA443B"/>
    <w:rsid w:val="00DA4690"/>
    <w:rsid w:val="00DA4728"/>
    <w:rsid w:val="00DA47E2"/>
    <w:rsid w:val="00DA492B"/>
    <w:rsid w:val="00DA5087"/>
    <w:rsid w:val="00DA52D8"/>
    <w:rsid w:val="00DA54D7"/>
    <w:rsid w:val="00DA55B4"/>
    <w:rsid w:val="00DA58B9"/>
    <w:rsid w:val="00DA591A"/>
    <w:rsid w:val="00DA5AD2"/>
    <w:rsid w:val="00DA5BC5"/>
    <w:rsid w:val="00DA5E63"/>
    <w:rsid w:val="00DA5EF6"/>
    <w:rsid w:val="00DA6166"/>
    <w:rsid w:val="00DA637D"/>
    <w:rsid w:val="00DA6529"/>
    <w:rsid w:val="00DA6576"/>
    <w:rsid w:val="00DA6626"/>
    <w:rsid w:val="00DA685E"/>
    <w:rsid w:val="00DA69CD"/>
    <w:rsid w:val="00DA6D58"/>
    <w:rsid w:val="00DA6FEE"/>
    <w:rsid w:val="00DA7069"/>
    <w:rsid w:val="00DA71E8"/>
    <w:rsid w:val="00DA720B"/>
    <w:rsid w:val="00DA737C"/>
    <w:rsid w:val="00DA74AD"/>
    <w:rsid w:val="00DA7663"/>
    <w:rsid w:val="00DA79A2"/>
    <w:rsid w:val="00DA7E63"/>
    <w:rsid w:val="00DA7E67"/>
    <w:rsid w:val="00DB0183"/>
    <w:rsid w:val="00DB0782"/>
    <w:rsid w:val="00DB08B6"/>
    <w:rsid w:val="00DB0B2F"/>
    <w:rsid w:val="00DB0BB3"/>
    <w:rsid w:val="00DB0D78"/>
    <w:rsid w:val="00DB0E3A"/>
    <w:rsid w:val="00DB0FB7"/>
    <w:rsid w:val="00DB13D2"/>
    <w:rsid w:val="00DB144D"/>
    <w:rsid w:val="00DB144F"/>
    <w:rsid w:val="00DB15DD"/>
    <w:rsid w:val="00DB1686"/>
    <w:rsid w:val="00DB1B03"/>
    <w:rsid w:val="00DB1CE5"/>
    <w:rsid w:val="00DB1DEB"/>
    <w:rsid w:val="00DB1F3C"/>
    <w:rsid w:val="00DB1F99"/>
    <w:rsid w:val="00DB2076"/>
    <w:rsid w:val="00DB20E3"/>
    <w:rsid w:val="00DB217E"/>
    <w:rsid w:val="00DB2407"/>
    <w:rsid w:val="00DB26EF"/>
    <w:rsid w:val="00DB27FF"/>
    <w:rsid w:val="00DB2814"/>
    <w:rsid w:val="00DB2833"/>
    <w:rsid w:val="00DB2A29"/>
    <w:rsid w:val="00DB2BFF"/>
    <w:rsid w:val="00DB3201"/>
    <w:rsid w:val="00DB3369"/>
    <w:rsid w:val="00DB33A5"/>
    <w:rsid w:val="00DB3866"/>
    <w:rsid w:val="00DB3BE7"/>
    <w:rsid w:val="00DB3CD1"/>
    <w:rsid w:val="00DB3DD3"/>
    <w:rsid w:val="00DB3EF6"/>
    <w:rsid w:val="00DB4098"/>
    <w:rsid w:val="00DB40CC"/>
    <w:rsid w:val="00DB45BD"/>
    <w:rsid w:val="00DB4A1D"/>
    <w:rsid w:val="00DB4B42"/>
    <w:rsid w:val="00DB4B51"/>
    <w:rsid w:val="00DB4D8D"/>
    <w:rsid w:val="00DB4FB5"/>
    <w:rsid w:val="00DB51A5"/>
    <w:rsid w:val="00DB5220"/>
    <w:rsid w:val="00DB5279"/>
    <w:rsid w:val="00DB52DE"/>
    <w:rsid w:val="00DB59FB"/>
    <w:rsid w:val="00DB5A3B"/>
    <w:rsid w:val="00DB5C53"/>
    <w:rsid w:val="00DB5F8D"/>
    <w:rsid w:val="00DB5FBB"/>
    <w:rsid w:val="00DB602F"/>
    <w:rsid w:val="00DB6303"/>
    <w:rsid w:val="00DB6702"/>
    <w:rsid w:val="00DB6736"/>
    <w:rsid w:val="00DB687B"/>
    <w:rsid w:val="00DB6901"/>
    <w:rsid w:val="00DB6CB2"/>
    <w:rsid w:val="00DB6FDA"/>
    <w:rsid w:val="00DB701C"/>
    <w:rsid w:val="00DB7117"/>
    <w:rsid w:val="00DB72B3"/>
    <w:rsid w:val="00DB75AD"/>
    <w:rsid w:val="00DB76C4"/>
    <w:rsid w:val="00DB7A36"/>
    <w:rsid w:val="00DB7A7C"/>
    <w:rsid w:val="00DB7E10"/>
    <w:rsid w:val="00DB7F43"/>
    <w:rsid w:val="00DB7FB1"/>
    <w:rsid w:val="00DC0106"/>
    <w:rsid w:val="00DC0201"/>
    <w:rsid w:val="00DC054F"/>
    <w:rsid w:val="00DC05AF"/>
    <w:rsid w:val="00DC09BC"/>
    <w:rsid w:val="00DC0BD4"/>
    <w:rsid w:val="00DC0CFC"/>
    <w:rsid w:val="00DC0D45"/>
    <w:rsid w:val="00DC0D7D"/>
    <w:rsid w:val="00DC0DA7"/>
    <w:rsid w:val="00DC0DE0"/>
    <w:rsid w:val="00DC0E12"/>
    <w:rsid w:val="00DC0E18"/>
    <w:rsid w:val="00DC1075"/>
    <w:rsid w:val="00DC10A9"/>
    <w:rsid w:val="00DC1104"/>
    <w:rsid w:val="00DC126E"/>
    <w:rsid w:val="00DC1496"/>
    <w:rsid w:val="00DC14E3"/>
    <w:rsid w:val="00DC181D"/>
    <w:rsid w:val="00DC1820"/>
    <w:rsid w:val="00DC1E1F"/>
    <w:rsid w:val="00DC21F9"/>
    <w:rsid w:val="00DC224C"/>
    <w:rsid w:val="00DC2388"/>
    <w:rsid w:val="00DC2579"/>
    <w:rsid w:val="00DC2B58"/>
    <w:rsid w:val="00DC2E93"/>
    <w:rsid w:val="00DC2F25"/>
    <w:rsid w:val="00DC31F1"/>
    <w:rsid w:val="00DC33E4"/>
    <w:rsid w:val="00DC34CE"/>
    <w:rsid w:val="00DC39AA"/>
    <w:rsid w:val="00DC3A45"/>
    <w:rsid w:val="00DC3AAC"/>
    <w:rsid w:val="00DC3D31"/>
    <w:rsid w:val="00DC3F27"/>
    <w:rsid w:val="00DC40DD"/>
    <w:rsid w:val="00DC424F"/>
    <w:rsid w:val="00DC449A"/>
    <w:rsid w:val="00DC459F"/>
    <w:rsid w:val="00DC47A1"/>
    <w:rsid w:val="00DC48CB"/>
    <w:rsid w:val="00DC4A07"/>
    <w:rsid w:val="00DC4A97"/>
    <w:rsid w:val="00DC50C7"/>
    <w:rsid w:val="00DC5242"/>
    <w:rsid w:val="00DC52CC"/>
    <w:rsid w:val="00DC57D3"/>
    <w:rsid w:val="00DC5A6F"/>
    <w:rsid w:val="00DC5C52"/>
    <w:rsid w:val="00DC5CD0"/>
    <w:rsid w:val="00DC5CEA"/>
    <w:rsid w:val="00DC5E2A"/>
    <w:rsid w:val="00DC5F00"/>
    <w:rsid w:val="00DC5F6F"/>
    <w:rsid w:val="00DC6245"/>
    <w:rsid w:val="00DC6255"/>
    <w:rsid w:val="00DC6716"/>
    <w:rsid w:val="00DC6747"/>
    <w:rsid w:val="00DC690F"/>
    <w:rsid w:val="00DC69A6"/>
    <w:rsid w:val="00DC6DEE"/>
    <w:rsid w:val="00DC6ECF"/>
    <w:rsid w:val="00DC7120"/>
    <w:rsid w:val="00DC72B1"/>
    <w:rsid w:val="00DC72FE"/>
    <w:rsid w:val="00DC7308"/>
    <w:rsid w:val="00DC74DA"/>
    <w:rsid w:val="00DC76E4"/>
    <w:rsid w:val="00DC774D"/>
    <w:rsid w:val="00DC7762"/>
    <w:rsid w:val="00DC77AB"/>
    <w:rsid w:val="00DC788D"/>
    <w:rsid w:val="00DC7910"/>
    <w:rsid w:val="00DC7AA5"/>
    <w:rsid w:val="00DD0475"/>
    <w:rsid w:val="00DD0579"/>
    <w:rsid w:val="00DD0774"/>
    <w:rsid w:val="00DD097A"/>
    <w:rsid w:val="00DD0C65"/>
    <w:rsid w:val="00DD0CB5"/>
    <w:rsid w:val="00DD0D6A"/>
    <w:rsid w:val="00DD0E15"/>
    <w:rsid w:val="00DD107C"/>
    <w:rsid w:val="00DD144F"/>
    <w:rsid w:val="00DD1771"/>
    <w:rsid w:val="00DD17A4"/>
    <w:rsid w:val="00DD1AA1"/>
    <w:rsid w:val="00DD1BDF"/>
    <w:rsid w:val="00DD1D98"/>
    <w:rsid w:val="00DD1E3A"/>
    <w:rsid w:val="00DD2164"/>
    <w:rsid w:val="00DD23E2"/>
    <w:rsid w:val="00DD24C1"/>
    <w:rsid w:val="00DD2677"/>
    <w:rsid w:val="00DD291B"/>
    <w:rsid w:val="00DD2BD8"/>
    <w:rsid w:val="00DD2BEB"/>
    <w:rsid w:val="00DD2F39"/>
    <w:rsid w:val="00DD2F9C"/>
    <w:rsid w:val="00DD349D"/>
    <w:rsid w:val="00DD3848"/>
    <w:rsid w:val="00DD39AC"/>
    <w:rsid w:val="00DD3A1F"/>
    <w:rsid w:val="00DD3B1C"/>
    <w:rsid w:val="00DD3CEA"/>
    <w:rsid w:val="00DD3F4F"/>
    <w:rsid w:val="00DD43FB"/>
    <w:rsid w:val="00DD4AB5"/>
    <w:rsid w:val="00DD4E77"/>
    <w:rsid w:val="00DD4EFB"/>
    <w:rsid w:val="00DD4F29"/>
    <w:rsid w:val="00DD518B"/>
    <w:rsid w:val="00DD54A5"/>
    <w:rsid w:val="00DD550B"/>
    <w:rsid w:val="00DD5635"/>
    <w:rsid w:val="00DD57AD"/>
    <w:rsid w:val="00DD57CB"/>
    <w:rsid w:val="00DD5862"/>
    <w:rsid w:val="00DD5D81"/>
    <w:rsid w:val="00DD5DFC"/>
    <w:rsid w:val="00DD600E"/>
    <w:rsid w:val="00DD626C"/>
    <w:rsid w:val="00DD62F9"/>
    <w:rsid w:val="00DD648C"/>
    <w:rsid w:val="00DD6766"/>
    <w:rsid w:val="00DD6792"/>
    <w:rsid w:val="00DD68A2"/>
    <w:rsid w:val="00DD6922"/>
    <w:rsid w:val="00DD6AA4"/>
    <w:rsid w:val="00DD6F0B"/>
    <w:rsid w:val="00DD7390"/>
    <w:rsid w:val="00DD759B"/>
    <w:rsid w:val="00DD791D"/>
    <w:rsid w:val="00DD7998"/>
    <w:rsid w:val="00DD7A15"/>
    <w:rsid w:val="00DD7A40"/>
    <w:rsid w:val="00DD7A86"/>
    <w:rsid w:val="00DD7C0E"/>
    <w:rsid w:val="00DD7CD7"/>
    <w:rsid w:val="00DE00C6"/>
    <w:rsid w:val="00DE023A"/>
    <w:rsid w:val="00DE096B"/>
    <w:rsid w:val="00DE0A4C"/>
    <w:rsid w:val="00DE0CDC"/>
    <w:rsid w:val="00DE103E"/>
    <w:rsid w:val="00DE13F4"/>
    <w:rsid w:val="00DE1417"/>
    <w:rsid w:val="00DE14EA"/>
    <w:rsid w:val="00DE154F"/>
    <w:rsid w:val="00DE158E"/>
    <w:rsid w:val="00DE17CB"/>
    <w:rsid w:val="00DE1828"/>
    <w:rsid w:val="00DE191E"/>
    <w:rsid w:val="00DE1C19"/>
    <w:rsid w:val="00DE1C3A"/>
    <w:rsid w:val="00DE208E"/>
    <w:rsid w:val="00DE20BF"/>
    <w:rsid w:val="00DE2101"/>
    <w:rsid w:val="00DE21A5"/>
    <w:rsid w:val="00DE2259"/>
    <w:rsid w:val="00DE23A8"/>
    <w:rsid w:val="00DE26EE"/>
    <w:rsid w:val="00DE2A99"/>
    <w:rsid w:val="00DE30C4"/>
    <w:rsid w:val="00DE30DA"/>
    <w:rsid w:val="00DE3190"/>
    <w:rsid w:val="00DE324B"/>
    <w:rsid w:val="00DE3551"/>
    <w:rsid w:val="00DE3709"/>
    <w:rsid w:val="00DE3796"/>
    <w:rsid w:val="00DE3E94"/>
    <w:rsid w:val="00DE3EC7"/>
    <w:rsid w:val="00DE4254"/>
    <w:rsid w:val="00DE4260"/>
    <w:rsid w:val="00DE4276"/>
    <w:rsid w:val="00DE42FF"/>
    <w:rsid w:val="00DE4375"/>
    <w:rsid w:val="00DE43CD"/>
    <w:rsid w:val="00DE44F2"/>
    <w:rsid w:val="00DE4686"/>
    <w:rsid w:val="00DE477D"/>
    <w:rsid w:val="00DE5426"/>
    <w:rsid w:val="00DE57C4"/>
    <w:rsid w:val="00DE5A0D"/>
    <w:rsid w:val="00DE5B1F"/>
    <w:rsid w:val="00DE5B86"/>
    <w:rsid w:val="00DE5EDE"/>
    <w:rsid w:val="00DE5F33"/>
    <w:rsid w:val="00DE600C"/>
    <w:rsid w:val="00DE65CC"/>
    <w:rsid w:val="00DE67F6"/>
    <w:rsid w:val="00DE687A"/>
    <w:rsid w:val="00DE69D1"/>
    <w:rsid w:val="00DE6A73"/>
    <w:rsid w:val="00DE6DE1"/>
    <w:rsid w:val="00DE6E8C"/>
    <w:rsid w:val="00DE7042"/>
    <w:rsid w:val="00DE705E"/>
    <w:rsid w:val="00DE72EA"/>
    <w:rsid w:val="00DE74F9"/>
    <w:rsid w:val="00DE757A"/>
    <w:rsid w:val="00DE7614"/>
    <w:rsid w:val="00DE77BB"/>
    <w:rsid w:val="00DE7AE3"/>
    <w:rsid w:val="00DF0402"/>
    <w:rsid w:val="00DF050B"/>
    <w:rsid w:val="00DF0511"/>
    <w:rsid w:val="00DF058E"/>
    <w:rsid w:val="00DF0708"/>
    <w:rsid w:val="00DF071E"/>
    <w:rsid w:val="00DF07B5"/>
    <w:rsid w:val="00DF09F4"/>
    <w:rsid w:val="00DF1366"/>
    <w:rsid w:val="00DF1392"/>
    <w:rsid w:val="00DF14CF"/>
    <w:rsid w:val="00DF155E"/>
    <w:rsid w:val="00DF1641"/>
    <w:rsid w:val="00DF170B"/>
    <w:rsid w:val="00DF1722"/>
    <w:rsid w:val="00DF1773"/>
    <w:rsid w:val="00DF182D"/>
    <w:rsid w:val="00DF1917"/>
    <w:rsid w:val="00DF1946"/>
    <w:rsid w:val="00DF1951"/>
    <w:rsid w:val="00DF1BB5"/>
    <w:rsid w:val="00DF1BE9"/>
    <w:rsid w:val="00DF1F0F"/>
    <w:rsid w:val="00DF1F1A"/>
    <w:rsid w:val="00DF2988"/>
    <w:rsid w:val="00DF29D4"/>
    <w:rsid w:val="00DF2CD9"/>
    <w:rsid w:val="00DF2D33"/>
    <w:rsid w:val="00DF2D49"/>
    <w:rsid w:val="00DF2DD4"/>
    <w:rsid w:val="00DF2E2B"/>
    <w:rsid w:val="00DF2E6B"/>
    <w:rsid w:val="00DF32D8"/>
    <w:rsid w:val="00DF35D3"/>
    <w:rsid w:val="00DF372B"/>
    <w:rsid w:val="00DF3971"/>
    <w:rsid w:val="00DF3C1F"/>
    <w:rsid w:val="00DF4073"/>
    <w:rsid w:val="00DF4361"/>
    <w:rsid w:val="00DF4435"/>
    <w:rsid w:val="00DF4453"/>
    <w:rsid w:val="00DF4960"/>
    <w:rsid w:val="00DF4A59"/>
    <w:rsid w:val="00DF4A68"/>
    <w:rsid w:val="00DF4C64"/>
    <w:rsid w:val="00DF4F01"/>
    <w:rsid w:val="00DF514E"/>
    <w:rsid w:val="00DF5157"/>
    <w:rsid w:val="00DF51ED"/>
    <w:rsid w:val="00DF596D"/>
    <w:rsid w:val="00DF5B33"/>
    <w:rsid w:val="00DF5BEC"/>
    <w:rsid w:val="00DF5CBF"/>
    <w:rsid w:val="00DF5E03"/>
    <w:rsid w:val="00DF6064"/>
    <w:rsid w:val="00DF60B2"/>
    <w:rsid w:val="00DF6110"/>
    <w:rsid w:val="00DF62B7"/>
    <w:rsid w:val="00DF6375"/>
    <w:rsid w:val="00DF66B3"/>
    <w:rsid w:val="00DF6B96"/>
    <w:rsid w:val="00DF6D44"/>
    <w:rsid w:val="00DF70AF"/>
    <w:rsid w:val="00DF743A"/>
    <w:rsid w:val="00DF74F3"/>
    <w:rsid w:val="00DF7551"/>
    <w:rsid w:val="00DF7612"/>
    <w:rsid w:val="00DF76A9"/>
    <w:rsid w:val="00DF79DF"/>
    <w:rsid w:val="00DF7FAE"/>
    <w:rsid w:val="00E000C2"/>
    <w:rsid w:val="00E00119"/>
    <w:rsid w:val="00E001A2"/>
    <w:rsid w:val="00E00527"/>
    <w:rsid w:val="00E00945"/>
    <w:rsid w:val="00E00A5E"/>
    <w:rsid w:val="00E00DBB"/>
    <w:rsid w:val="00E00E0E"/>
    <w:rsid w:val="00E00EE7"/>
    <w:rsid w:val="00E00FFB"/>
    <w:rsid w:val="00E0139E"/>
    <w:rsid w:val="00E01454"/>
    <w:rsid w:val="00E01798"/>
    <w:rsid w:val="00E017C0"/>
    <w:rsid w:val="00E01CC9"/>
    <w:rsid w:val="00E01E90"/>
    <w:rsid w:val="00E020E5"/>
    <w:rsid w:val="00E02262"/>
    <w:rsid w:val="00E02275"/>
    <w:rsid w:val="00E02278"/>
    <w:rsid w:val="00E024B8"/>
    <w:rsid w:val="00E02999"/>
    <w:rsid w:val="00E02E29"/>
    <w:rsid w:val="00E032D9"/>
    <w:rsid w:val="00E037AA"/>
    <w:rsid w:val="00E03C4F"/>
    <w:rsid w:val="00E03D6F"/>
    <w:rsid w:val="00E03E98"/>
    <w:rsid w:val="00E03FC8"/>
    <w:rsid w:val="00E04030"/>
    <w:rsid w:val="00E04127"/>
    <w:rsid w:val="00E041F9"/>
    <w:rsid w:val="00E04265"/>
    <w:rsid w:val="00E0427D"/>
    <w:rsid w:val="00E04317"/>
    <w:rsid w:val="00E04459"/>
    <w:rsid w:val="00E04667"/>
    <w:rsid w:val="00E04C94"/>
    <w:rsid w:val="00E04D43"/>
    <w:rsid w:val="00E04E7A"/>
    <w:rsid w:val="00E04EA3"/>
    <w:rsid w:val="00E05038"/>
    <w:rsid w:val="00E05106"/>
    <w:rsid w:val="00E0512B"/>
    <w:rsid w:val="00E0534B"/>
    <w:rsid w:val="00E05431"/>
    <w:rsid w:val="00E05560"/>
    <w:rsid w:val="00E055C0"/>
    <w:rsid w:val="00E056EC"/>
    <w:rsid w:val="00E05744"/>
    <w:rsid w:val="00E05778"/>
    <w:rsid w:val="00E05A3D"/>
    <w:rsid w:val="00E05A55"/>
    <w:rsid w:val="00E05B37"/>
    <w:rsid w:val="00E05CD4"/>
    <w:rsid w:val="00E05E1D"/>
    <w:rsid w:val="00E05FBF"/>
    <w:rsid w:val="00E0602A"/>
    <w:rsid w:val="00E06362"/>
    <w:rsid w:val="00E0639D"/>
    <w:rsid w:val="00E06481"/>
    <w:rsid w:val="00E06875"/>
    <w:rsid w:val="00E06955"/>
    <w:rsid w:val="00E06ADC"/>
    <w:rsid w:val="00E06CD0"/>
    <w:rsid w:val="00E07207"/>
    <w:rsid w:val="00E072C9"/>
    <w:rsid w:val="00E07822"/>
    <w:rsid w:val="00E079F0"/>
    <w:rsid w:val="00E07B7F"/>
    <w:rsid w:val="00E07CAF"/>
    <w:rsid w:val="00E10143"/>
    <w:rsid w:val="00E104D2"/>
    <w:rsid w:val="00E109CE"/>
    <w:rsid w:val="00E10C71"/>
    <w:rsid w:val="00E11604"/>
    <w:rsid w:val="00E1176F"/>
    <w:rsid w:val="00E1185B"/>
    <w:rsid w:val="00E118E5"/>
    <w:rsid w:val="00E11B57"/>
    <w:rsid w:val="00E11BCB"/>
    <w:rsid w:val="00E11C9E"/>
    <w:rsid w:val="00E11DF3"/>
    <w:rsid w:val="00E12014"/>
    <w:rsid w:val="00E126DF"/>
    <w:rsid w:val="00E127B3"/>
    <w:rsid w:val="00E127C7"/>
    <w:rsid w:val="00E12841"/>
    <w:rsid w:val="00E1299B"/>
    <w:rsid w:val="00E12A5F"/>
    <w:rsid w:val="00E12AB2"/>
    <w:rsid w:val="00E12D62"/>
    <w:rsid w:val="00E12E25"/>
    <w:rsid w:val="00E12E8E"/>
    <w:rsid w:val="00E12E8F"/>
    <w:rsid w:val="00E13095"/>
    <w:rsid w:val="00E13255"/>
    <w:rsid w:val="00E13316"/>
    <w:rsid w:val="00E13B36"/>
    <w:rsid w:val="00E13CAD"/>
    <w:rsid w:val="00E13D6C"/>
    <w:rsid w:val="00E13EB2"/>
    <w:rsid w:val="00E14408"/>
    <w:rsid w:val="00E144A2"/>
    <w:rsid w:val="00E146FF"/>
    <w:rsid w:val="00E147C6"/>
    <w:rsid w:val="00E14905"/>
    <w:rsid w:val="00E149A4"/>
    <w:rsid w:val="00E14B24"/>
    <w:rsid w:val="00E14D30"/>
    <w:rsid w:val="00E14D5B"/>
    <w:rsid w:val="00E14DB6"/>
    <w:rsid w:val="00E14EBB"/>
    <w:rsid w:val="00E14EE5"/>
    <w:rsid w:val="00E14EE8"/>
    <w:rsid w:val="00E150F4"/>
    <w:rsid w:val="00E15469"/>
    <w:rsid w:val="00E154A0"/>
    <w:rsid w:val="00E155A6"/>
    <w:rsid w:val="00E15752"/>
    <w:rsid w:val="00E159DD"/>
    <w:rsid w:val="00E15A61"/>
    <w:rsid w:val="00E15E27"/>
    <w:rsid w:val="00E161E4"/>
    <w:rsid w:val="00E162C1"/>
    <w:rsid w:val="00E16363"/>
    <w:rsid w:val="00E1640A"/>
    <w:rsid w:val="00E169DF"/>
    <w:rsid w:val="00E16B61"/>
    <w:rsid w:val="00E16BF8"/>
    <w:rsid w:val="00E173A8"/>
    <w:rsid w:val="00E173E6"/>
    <w:rsid w:val="00E175DF"/>
    <w:rsid w:val="00E178BD"/>
    <w:rsid w:val="00E178F2"/>
    <w:rsid w:val="00E178FE"/>
    <w:rsid w:val="00E1797A"/>
    <w:rsid w:val="00E17F86"/>
    <w:rsid w:val="00E20259"/>
    <w:rsid w:val="00E20379"/>
    <w:rsid w:val="00E204BB"/>
    <w:rsid w:val="00E205BA"/>
    <w:rsid w:val="00E20AE8"/>
    <w:rsid w:val="00E20D61"/>
    <w:rsid w:val="00E212B8"/>
    <w:rsid w:val="00E2132C"/>
    <w:rsid w:val="00E213C0"/>
    <w:rsid w:val="00E214AA"/>
    <w:rsid w:val="00E21998"/>
    <w:rsid w:val="00E21A4A"/>
    <w:rsid w:val="00E21ABF"/>
    <w:rsid w:val="00E21BC9"/>
    <w:rsid w:val="00E22078"/>
    <w:rsid w:val="00E224BF"/>
    <w:rsid w:val="00E22613"/>
    <w:rsid w:val="00E22AA1"/>
    <w:rsid w:val="00E22D1E"/>
    <w:rsid w:val="00E22DDF"/>
    <w:rsid w:val="00E235A4"/>
    <w:rsid w:val="00E23725"/>
    <w:rsid w:val="00E2385D"/>
    <w:rsid w:val="00E2389D"/>
    <w:rsid w:val="00E23BDB"/>
    <w:rsid w:val="00E23DC3"/>
    <w:rsid w:val="00E245F6"/>
    <w:rsid w:val="00E24668"/>
    <w:rsid w:val="00E24796"/>
    <w:rsid w:val="00E247F8"/>
    <w:rsid w:val="00E24A32"/>
    <w:rsid w:val="00E24A80"/>
    <w:rsid w:val="00E24C25"/>
    <w:rsid w:val="00E24DA8"/>
    <w:rsid w:val="00E24E33"/>
    <w:rsid w:val="00E24F41"/>
    <w:rsid w:val="00E24F4A"/>
    <w:rsid w:val="00E25432"/>
    <w:rsid w:val="00E25455"/>
    <w:rsid w:val="00E25CDF"/>
    <w:rsid w:val="00E25D8B"/>
    <w:rsid w:val="00E26315"/>
    <w:rsid w:val="00E2648F"/>
    <w:rsid w:val="00E26705"/>
    <w:rsid w:val="00E2672D"/>
    <w:rsid w:val="00E2676C"/>
    <w:rsid w:val="00E268F8"/>
    <w:rsid w:val="00E269CA"/>
    <w:rsid w:val="00E26BA8"/>
    <w:rsid w:val="00E26C26"/>
    <w:rsid w:val="00E26D3F"/>
    <w:rsid w:val="00E26DF0"/>
    <w:rsid w:val="00E26DF4"/>
    <w:rsid w:val="00E26EA4"/>
    <w:rsid w:val="00E272F1"/>
    <w:rsid w:val="00E27557"/>
    <w:rsid w:val="00E2761D"/>
    <w:rsid w:val="00E2788E"/>
    <w:rsid w:val="00E2789C"/>
    <w:rsid w:val="00E2798A"/>
    <w:rsid w:val="00E27AA5"/>
    <w:rsid w:val="00E27D07"/>
    <w:rsid w:val="00E27E36"/>
    <w:rsid w:val="00E27E99"/>
    <w:rsid w:val="00E30018"/>
    <w:rsid w:val="00E3005D"/>
    <w:rsid w:val="00E301B0"/>
    <w:rsid w:val="00E30322"/>
    <w:rsid w:val="00E30359"/>
    <w:rsid w:val="00E30381"/>
    <w:rsid w:val="00E307A5"/>
    <w:rsid w:val="00E3095E"/>
    <w:rsid w:val="00E30A56"/>
    <w:rsid w:val="00E30DEE"/>
    <w:rsid w:val="00E31084"/>
    <w:rsid w:val="00E31335"/>
    <w:rsid w:val="00E3190C"/>
    <w:rsid w:val="00E31935"/>
    <w:rsid w:val="00E31A8A"/>
    <w:rsid w:val="00E31D86"/>
    <w:rsid w:val="00E31DD8"/>
    <w:rsid w:val="00E321E8"/>
    <w:rsid w:val="00E32379"/>
    <w:rsid w:val="00E3277A"/>
    <w:rsid w:val="00E327D0"/>
    <w:rsid w:val="00E32A0C"/>
    <w:rsid w:val="00E32AB2"/>
    <w:rsid w:val="00E32BB2"/>
    <w:rsid w:val="00E333F7"/>
    <w:rsid w:val="00E335FA"/>
    <w:rsid w:val="00E33802"/>
    <w:rsid w:val="00E33E61"/>
    <w:rsid w:val="00E33F53"/>
    <w:rsid w:val="00E33F62"/>
    <w:rsid w:val="00E33F80"/>
    <w:rsid w:val="00E34170"/>
    <w:rsid w:val="00E34175"/>
    <w:rsid w:val="00E341CE"/>
    <w:rsid w:val="00E3442C"/>
    <w:rsid w:val="00E34744"/>
    <w:rsid w:val="00E347ED"/>
    <w:rsid w:val="00E348A7"/>
    <w:rsid w:val="00E34916"/>
    <w:rsid w:val="00E34B10"/>
    <w:rsid w:val="00E34EB1"/>
    <w:rsid w:val="00E354B0"/>
    <w:rsid w:val="00E357D4"/>
    <w:rsid w:val="00E35A39"/>
    <w:rsid w:val="00E35ADA"/>
    <w:rsid w:val="00E3623B"/>
    <w:rsid w:val="00E36478"/>
    <w:rsid w:val="00E3663F"/>
    <w:rsid w:val="00E36716"/>
    <w:rsid w:val="00E36A07"/>
    <w:rsid w:val="00E36E62"/>
    <w:rsid w:val="00E36F6D"/>
    <w:rsid w:val="00E37051"/>
    <w:rsid w:val="00E37091"/>
    <w:rsid w:val="00E37232"/>
    <w:rsid w:val="00E37340"/>
    <w:rsid w:val="00E3787D"/>
    <w:rsid w:val="00E3796E"/>
    <w:rsid w:val="00E37DB3"/>
    <w:rsid w:val="00E37FAA"/>
    <w:rsid w:val="00E40003"/>
    <w:rsid w:val="00E40170"/>
    <w:rsid w:val="00E40538"/>
    <w:rsid w:val="00E406BD"/>
    <w:rsid w:val="00E40849"/>
    <w:rsid w:val="00E40967"/>
    <w:rsid w:val="00E410C3"/>
    <w:rsid w:val="00E41120"/>
    <w:rsid w:val="00E41232"/>
    <w:rsid w:val="00E415B0"/>
    <w:rsid w:val="00E41682"/>
    <w:rsid w:val="00E41787"/>
    <w:rsid w:val="00E41836"/>
    <w:rsid w:val="00E41A27"/>
    <w:rsid w:val="00E424DC"/>
    <w:rsid w:val="00E42646"/>
    <w:rsid w:val="00E4294E"/>
    <w:rsid w:val="00E4297D"/>
    <w:rsid w:val="00E42A61"/>
    <w:rsid w:val="00E42C86"/>
    <w:rsid w:val="00E42D71"/>
    <w:rsid w:val="00E42E4F"/>
    <w:rsid w:val="00E4320F"/>
    <w:rsid w:val="00E43570"/>
    <w:rsid w:val="00E43A56"/>
    <w:rsid w:val="00E43AC8"/>
    <w:rsid w:val="00E43B85"/>
    <w:rsid w:val="00E43E7F"/>
    <w:rsid w:val="00E43F10"/>
    <w:rsid w:val="00E443C1"/>
    <w:rsid w:val="00E445BC"/>
    <w:rsid w:val="00E44689"/>
    <w:rsid w:val="00E44847"/>
    <w:rsid w:val="00E44BDB"/>
    <w:rsid w:val="00E44C4F"/>
    <w:rsid w:val="00E45364"/>
    <w:rsid w:val="00E45389"/>
    <w:rsid w:val="00E454EF"/>
    <w:rsid w:val="00E456D6"/>
    <w:rsid w:val="00E45948"/>
    <w:rsid w:val="00E45A58"/>
    <w:rsid w:val="00E45CF5"/>
    <w:rsid w:val="00E45FB7"/>
    <w:rsid w:val="00E46317"/>
    <w:rsid w:val="00E467FF"/>
    <w:rsid w:val="00E46940"/>
    <w:rsid w:val="00E46986"/>
    <w:rsid w:val="00E46B40"/>
    <w:rsid w:val="00E46C69"/>
    <w:rsid w:val="00E46CE7"/>
    <w:rsid w:val="00E46E3E"/>
    <w:rsid w:val="00E470E1"/>
    <w:rsid w:val="00E47A97"/>
    <w:rsid w:val="00E5017C"/>
    <w:rsid w:val="00E5051B"/>
    <w:rsid w:val="00E5076A"/>
    <w:rsid w:val="00E50CC5"/>
    <w:rsid w:val="00E50DC2"/>
    <w:rsid w:val="00E50E77"/>
    <w:rsid w:val="00E50E94"/>
    <w:rsid w:val="00E50F54"/>
    <w:rsid w:val="00E51053"/>
    <w:rsid w:val="00E5109C"/>
    <w:rsid w:val="00E511F8"/>
    <w:rsid w:val="00E51483"/>
    <w:rsid w:val="00E5185E"/>
    <w:rsid w:val="00E518DE"/>
    <w:rsid w:val="00E51AA7"/>
    <w:rsid w:val="00E51CD8"/>
    <w:rsid w:val="00E52206"/>
    <w:rsid w:val="00E52500"/>
    <w:rsid w:val="00E52533"/>
    <w:rsid w:val="00E52551"/>
    <w:rsid w:val="00E52617"/>
    <w:rsid w:val="00E52893"/>
    <w:rsid w:val="00E52B59"/>
    <w:rsid w:val="00E52B83"/>
    <w:rsid w:val="00E52B92"/>
    <w:rsid w:val="00E53040"/>
    <w:rsid w:val="00E53181"/>
    <w:rsid w:val="00E531A8"/>
    <w:rsid w:val="00E53357"/>
    <w:rsid w:val="00E537CF"/>
    <w:rsid w:val="00E53930"/>
    <w:rsid w:val="00E53A05"/>
    <w:rsid w:val="00E53E65"/>
    <w:rsid w:val="00E53E7B"/>
    <w:rsid w:val="00E54197"/>
    <w:rsid w:val="00E5425D"/>
    <w:rsid w:val="00E54358"/>
    <w:rsid w:val="00E5462B"/>
    <w:rsid w:val="00E54705"/>
    <w:rsid w:val="00E54799"/>
    <w:rsid w:val="00E548DB"/>
    <w:rsid w:val="00E54AA5"/>
    <w:rsid w:val="00E54D38"/>
    <w:rsid w:val="00E54DF6"/>
    <w:rsid w:val="00E55270"/>
    <w:rsid w:val="00E554D4"/>
    <w:rsid w:val="00E55688"/>
    <w:rsid w:val="00E5568D"/>
    <w:rsid w:val="00E5579C"/>
    <w:rsid w:val="00E55B7A"/>
    <w:rsid w:val="00E55BCE"/>
    <w:rsid w:val="00E55BF8"/>
    <w:rsid w:val="00E55EC1"/>
    <w:rsid w:val="00E55F89"/>
    <w:rsid w:val="00E56121"/>
    <w:rsid w:val="00E56168"/>
    <w:rsid w:val="00E561C6"/>
    <w:rsid w:val="00E56529"/>
    <w:rsid w:val="00E56762"/>
    <w:rsid w:val="00E56B9B"/>
    <w:rsid w:val="00E56D32"/>
    <w:rsid w:val="00E56E65"/>
    <w:rsid w:val="00E5728D"/>
    <w:rsid w:val="00E5766E"/>
    <w:rsid w:val="00E57A61"/>
    <w:rsid w:val="00E57AB8"/>
    <w:rsid w:val="00E57ACC"/>
    <w:rsid w:val="00E57AF1"/>
    <w:rsid w:val="00E57D3F"/>
    <w:rsid w:val="00E600C1"/>
    <w:rsid w:val="00E60390"/>
    <w:rsid w:val="00E6042B"/>
    <w:rsid w:val="00E60551"/>
    <w:rsid w:val="00E6057E"/>
    <w:rsid w:val="00E6060A"/>
    <w:rsid w:val="00E60803"/>
    <w:rsid w:val="00E61074"/>
    <w:rsid w:val="00E610D3"/>
    <w:rsid w:val="00E6146B"/>
    <w:rsid w:val="00E614A9"/>
    <w:rsid w:val="00E615BD"/>
    <w:rsid w:val="00E61626"/>
    <w:rsid w:val="00E61642"/>
    <w:rsid w:val="00E616D1"/>
    <w:rsid w:val="00E61711"/>
    <w:rsid w:val="00E618AD"/>
    <w:rsid w:val="00E61B09"/>
    <w:rsid w:val="00E61C0A"/>
    <w:rsid w:val="00E61D06"/>
    <w:rsid w:val="00E61E1D"/>
    <w:rsid w:val="00E620B0"/>
    <w:rsid w:val="00E620BC"/>
    <w:rsid w:val="00E62181"/>
    <w:rsid w:val="00E62343"/>
    <w:rsid w:val="00E62385"/>
    <w:rsid w:val="00E6289A"/>
    <w:rsid w:val="00E62EDF"/>
    <w:rsid w:val="00E632E5"/>
    <w:rsid w:val="00E6338B"/>
    <w:rsid w:val="00E633FE"/>
    <w:rsid w:val="00E634BF"/>
    <w:rsid w:val="00E63AB1"/>
    <w:rsid w:val="00E63C4F"/>
    <w:rsid w:val="00E63EC2"/>
    <w:rsid w:val="00E64079"/>
    <w:rsid w:val="00E64319"/>
    <w:rsid w:val="00E644AE"/>
    <w:rsid w:val="00E646DE"/>
    <w:rsid w:val="00E646E9"/>
    <w:rsid w:val="00E647D3"/>
    <w:rsid w:val="00E64909"/>
    <w:rsid w:val="00E64C1C"/>
    <w:rsid w:val="00E64D75"/>
    <w:rsid w:val="00E64E41"/>
    <w:rsid w:val="00E64F32"/>
    <w:rsid w:val="00E64F52"/>
    <w:rsid w:val="00E650FF"/>
    <w:rsid w:val="00E6517C"/>
    <w:rsid w:val="00E6542C"/>
    <w:rsid w:val="00E6544B"/>
    <w:rsid w:val="00E65451"/>
    <w:rsid w:val="00E6553B"/>
    <w:rsid w:val="00E65751"/>
    <w:rsid w:val="00E657DF"/>
    <w:rsid w:val="00E6595C"/>
    <w:rsid w:val="00E65A8B"/>
    <w:rsid w:val="00E65FC2"/>
    <w:rsid w:val="00E662D2"/>
    <w:rsid w:val="00E66600"/>
    <w:rsid w:val="00E66644"/>
    <w:rsid w:val="00E66B29"/>
    <w:rsid w:val="00E66D92"/>
    <w:rsid w:val="00E67053"/>
    <w:rsid w:val="00E67172"/>
    <w:rsid w:val="00E67191"/>
    <w:rsid w:val="00E6725B"/>
    <w:rsid w:val="00E6766D"/>
    <w:rsid w:val="00E6785E"/>
    <w:rsid w:val="00E67AA6"/>
    <w:rsid w:val="00E67DE3"/>
    <w:rsid w:val="00E67EB8"/>
    <w:rsid w:val="00E701D3"/>
    <w:rsid w:val="00E7029F"/>
    <w:rsid w:val="00E70410"/>
    <w:rsid w:val="00E70B49"/>
    <w:rsid w:val="00E70D94"/>
    <w:rsid w:val="00E71000"/>
    <w:rsid w:val="00E710EC"/>
    <w:rsid w:val="00E71120"/>
    <w:rsid w:val="00E711F1"/>
    <w:rsid w:val="00E71319"/>
    <w:rsid w:val="00E713A5"/>
    <w:rsid w:val="00E71440"/>
    <w:rsid w:val="00E71740"/>
    <w:rsid w:val="00E71EA1"/>
    <w:rsid w:val="00E7247E"/>
    <w:rsid w:val="00E72612"/>
    <w:rsid w:val="00E726F8"/>
    <w:rsid w:val="00E72726"/>
    <w:rsid w:val="00E7277D"/>
    <w:rsid w:val="00E72C64"/>
    <w:rsid w:val="00E72CAD"/>
    <w:rsid w:val="00E72D03"/>
    <w:rsid w:val="00E730DE"/>
    <w:rsid w:val="00E731EF"/>
    <w:rsid w:val="00E73848"/>
    <w:rsid w:val="00E73951"/>
    <w:rsid w:val="00E73966"/>
    <w:rsid w:val="00E739D7"/>
    <w:rsid w:val="00E73B52"/>
    <w:rsid w:val="00E73D0F"/>
    <w:rsid w:val="00E73E07"/>
    <w:rsid w:val="00E73EA7"/>
    <w:rsid w:val="00E7412F"/>
    <w:rsid w:val="00E74181"/>
    <w:rsid w:val="00E742DE"/>
    <w:rsid w:val="00E74380"/>
    <w:rsid w:val="00E7452D"/>
    <w:rsid w:val="00E74656"/>
    <w:rsid w:val="00E7467B"/>
    <w:rsid w:val="00E748B4"/>
    <w:rsid w:val="00E74D9C"/>
    <w:rsid w:val="00E74DE2"/>
    <w:rsid w:val="00E750F8"/>
    <w:rsid w:val="00E7516F"/>
    <w:rsid w:val="00E751C5"/>
    <w:rsid w:val="00E753DD"/>
    <w:rsid w:val="00E75542"/>
    <w:rsid w:val="00E757E3"/>
    <w:rsid w:val="00E758B3"/>
    <w:rsid w:val="00E75A8C"/>
    <w:rsid w:val="00E75B13"/>
    <w:rsid w:val="00E75C55"/>
    <w:rsid w:val="00E75F97"/>
    <w:rsid w:val="00E762DF"/>
    <w:rsid w:val="00E76342"/>
    <w:rsid w:val="00E763E4"/>
    <w:rsid w:val="00E76423"/>
    <w:rsid w:val="00E76884"/>
    <w:rsid w:val="00E76978"/>
    <w:rsid w:val="00E769C5"/>
    <w:rsid w:val="00E76B6E"/>
    <w:rsid w:val="00E76CE6"/>
    <w:rsid w:val="00E76E5F"/>
    <w:rsid w:val="00E77283"/>
    <w:rsid w:val="00E772E3"/>
    <w:rsid w:val="00E772FC"/>
    <w:rsid w:val="00E777FD"/>
    <w:rsid w:val="00E778B8"/>
    <w:rsid w:val="00E779D9"/>
    <w:rsid w:val="00E77C69"/>
    <w:rsid w:val="00E80385"/>
    <w:rsid w:val="00E804C5"/>
    <w:rsid w:val="00E8080D"/>
    <w:rsid w:val="00E80AA4"/>
    <w:rsid w:val="00E80BFD"/>
    <w:rsid w:val="00E81212"/>
    <w:rsid w:val="00E81550"/>
    <w:rsid w:val="00E81708"/>
    <w:rsid w:val="00E81773"/>
    <w:rsid w:val="00E8186A"/>
    <w:rsid w:val="00E8190A"/>
    <w:rsid w:val="00E81972"/>
    <w:rsid w:val="00E81AD2"/>
    <w:rsid w:val="00E81D34"/>
    <w:rsid w:val="00E820CF"/>
    <w:rsid w:val="00E821DB"/>
    <w:rsid w:val="00E82A54"/>
    <w:rsid w:val="00E82A64"/>
    <w:rsid w:val="00E82BC9"/>
    <w:rsid w:val="00E82C5A"/>
    <w:rsid w:val="00E82D2A"/>
    <w:rsid w:val="00E82D44"/>
    <w:rsid w:val="00E82DC4"/>
    <w:rsid w:val="00E831A2"/>
    <w:rsid w:val="00E833FB"/>
    <w:rsid w:val="00E836FC"/>
    <w:rsid w:val="00E8390B"/>
    <w:rsid w:val="00E8395B"/>
    <w:rsid w:val="00E83987"/>
    <w:rsid w:val="00E839CC"/>
    <w:rsid w:val="00E83B4B"/>
    <w:rsid w:val="00E83BCB"/>
    <w:rsid w:val="00E83D8F"/>
    <w:rsid w:val="00E84075"/>
    <w:rsid w:val="00E84292"/>
    <w:rsid w:val="00E84D77"/>
    <w:rsid w:val="00E84E27"/>
    <w:rsid w:val="00E84F09"/>
    <w:rsid w:val="00E85505"/>
    <w:rsid w:val="00E855F4"/>
    <w:rsid w:val="00E8573F"/>
    <w:rsid w:val="00E85989"/>
    <w:rsid w:val="00E85BFB"/>
    <w:rsid w:val="00E85F2E"/>
    <w:rsid w:val="00E86657"/>
    <w:rsid w:val="00E866D1"/>
    <w:rsid w:val="00E86800"/>
    <w:rsid w:val="00E868D3"/>
    <w:rsid w:val="00E871D8"/>
    <w:rsid w:val="00E872A8"/>
    <w:rsid w:val="00E87559"/>
    <w:rsid w:val="00E87640"/>
    <w:rsid w:val="00E877C1"/>
    <w:rsid w:val="00E87943"/>
    <w:rsid w:val="00E87B06"/>
    <w:rsid w:val="00E87FB1"/>
    <w:rsid w:val="00E90110"/>
    <w:rsid w:val="00E901AD"/>
    <w:rsid w:val="00E9037D"/>
    <w:rsid w:val="00E903BD"/>
    <w:rsid w:val="00E90550"/>
    <w:rsid w:val="00E905C4"/>
    <w:rsid w:val="00E90731"/>
    <w:rsid w:val="00E907F3"/>
    <w:rsid w:val="00E90891"/>
    <w:rsid w:val="00E90994"/>
    <w:rsid w:val="00E90EAB"/>
    <w:rsid w:val="00E9104A"/>
    <w:rsid w:val="00E9105D"/>
    <w:rsid w:val="00E9135E"/>
    <w:rsid w:val="00E91580"/>
    <w:rsid w:val="00E91774"/>
    <w:rsid w:val="00E9178C"/>
    <w:rsid w:val="00E917EB"/>
    <w:rsid w:val="00E919A2"/>
    <w:rsid w:val="00E91BFB"/>
    <w:rsid w:val="00E91E29"/>
    <w:rsid w:val="00E91F04"/>
    <w:rsid w:val="00E9222D"/>
    <w:rsid w:val="00E9246E"/>
    <w:rsid w:val="00E925B7"/>
    <w:rsid w:val="00E92627"/>
    <w:rsid w:val="00E927BF"/>
    <w:rsid w:val="00E9286A"/>
    <w:rsid w:val="00E92951"/>
    <w:rsid w:val="00E929DA"/>
    <w:rsid w:val="00E92A91"/>
    <w:rsid w:val="00E92D66"/>
    <w:rsid w:val="00E92DBF"/>
    <w:rsid w:val="00E92EB2"/>
    <w:rsid w:val="00E92F29"/>
    <w:rsid w:val="00E92FDB"/>
    <w:rsid w:val="00E93458"/>
    <w:rsid w:val="00E9358A"/>
    <w:rsid w:val="00E935E3"/>
    <w:rsid w:val="00E9362D"/>
    <w:rsid w:val="00E937F4"/>
    <w:rsid w:val="00E938DB"/>
    <w:rsid w:val="00E93A44"/>
    <w:rsid w:val="00E93FEB"/>
    <w:rsid w:val="00E94215"/>
    <w:rsid w:val="00E94298"/>
    <w:rsid w:val="00E943C9"/>
    <w:rsid w:val="00E94497"/>
    <w:rsid w:val="00E94550"/>
    <w:rsid w:val="00E947B2"/>
    <w:rsid w:val="00E94980"/>
    <w:rsid w:val="00E95438"/>
    <w:rsid w:val="00E95466"/>
    <w:rsid w:val="00E95635"/>
    <w:rsid w:val="00E9568F"/>
    <w:rsid w:val="00E95A26"/>
    <w:rsid w:val="00E95B18"/>
    <w:rsid w:val="00E95CB6"/>
    <w:rsid w:val="00E95D00"/>
    <w:rsid w:val="00E95D82"/>
    <w:rsid w:val="00E96350"/>
    <w:rsid w:val="00E9643B"/>
    <w:rsid w:val="00E96464"/>
    <w:rsid w:val="00E96610"/>
    <w:rsid w:val="00E96613"/>
    <w:rsid w:val="00E96627"/>
    <w:rsid w:val="00E9664C"/>
    <w:rsid w:val="00E96758"/>
    <w:rsid w:val="00E96831"/>
    <w:rsid w:val="00E96AC3"/>
    <w:rsid w:val="00E96C1B"/>
    <w:rsid w:val="00E97023"/>
    <w:rsid w:val="00E97101"/>
    <w:rsid w:val="00E97189"/>
    <w:rsid w:val="00E97793"/>
    <w:rsid w:val="00E977C0"/>
    <w:rsid w:val="00E97996"/>
    <w:rsid w:val="00E97B4E"/>
    <w:rsid w:val="00E97BED"/>
    <w:rsid w:val="00E97D55"/>
    <w:rsid w:val="00E97D81"/>
    <w:rsid w:val="00EA00EE"/>
    <w:rsid w:val="00EA037B"/>
    <w:rsid w:val="00EA045C"/>
    <w:rsid w:val="00EA0484"/>
    <w:rsid w:val="00EA067D"/>
    <w:rsid w:val="00EA06BB"/>
    <w:rsid w:val="00EA08B5"/>
    <w:rsid w:val="00EA098E"/>
    <w:rsid w:val="00EA0A8D"/>
    <w:rsid w:val="00EA0B0A"/>
    <w:rsid w:val="00EA0BE3"/>
    <w:rsid w:val="00EA0CC3"/>
    <w:rsid w:val="00EA0D36"/>
    <w:rsid w:val="00EA0DCA"/>
    <w:rsid w:val="00EA0F29"/>
    <w:rsid w:val="00EA0F68"/>
    <w:rsid w:val="00EA1979"/>
    <w:rsid w:val="00EA19E0"/>
    <w:rsid w:val="00EA1F20"/>
    <w:rsid w:val="00EA206A"/>
    <w:rsid w:val="00EA258D"/>
    <w:rsid w:val="00EA2A37"/>
    <w:rsid w:val="00EA2BCD"/>
    <w:rsid w:val="00EA2BE7"/>
    <w:rsid w:val="00EA2E34"/>
    <w:rsid w:val="00EA3013"/>
    <w:rsid w:val="00EA31F3"/>
    <w:rsid w:val="00EA32D4"/>
    <w:rsid w:val="00EA3686"/>
    <w:rsid w:val="00EA38FA"/>
    <w:rsid w:val="00EA4394"/>
    <w:rsid w:val="00EA44EF"/>
    <w:rsid w:val="00EA49E2"/>
    <w:rsid w:val="00EA4BEF"/>
    <w:rsid w:val="00EA4DA5"/>
    <w:rsid w:val="00EA4DAB"/>
    <w:rsid w:val="00EA5179"/>
    <w:rsid w:val="00EA57E4"/>
    <w:rsid w:val="00EA58B0"/>
    <w:rsid w:val="00EA6033"/>
    <w:rsid w:val="00EA61B1"/>
    <w:rsid w:val="00EA6266"/>
    <w:rsid w:val="00EA6420"/>
    <w:rsid w:val="00EA66F3"/>
    <w:rsid w:val="00EA67BD"/>
    <w:rsid w:val="00EA6843"/>
    <w:rsid w:val="00EA697A"/>
    <w:rsid w:val="00EA7008"/>
    <w:rsid w:val="00EA7034"/>
    <w:rsid w:val="00EA7250"/>
    <w:rsid w:val="00EA73D5"/>
    <w:rsid w:val="00EA7432"/>
    <w:rsid w:val="00EA74B9"/>
    <w:rsid w:val="00EA7939"/>
    <w:rsid w:val="00EA79A1"/>
    <w:rsid w:val="00EA7EDB"/>
    <w:rsid w:val="00EA7EEA"/>
    <w:rsid w:val="00EA7F1C"/>
    <w:rsid w:val="00EB00BD"/>
    <w:rsid w:val="00EB0226"/>
    <w:rsid w:val="00EB0538"/>
    <w:rsid w:val="00EB0969"/>
    <w:rsid w:val="00EB0D38"/>
    <w:rsid w:val="00EB0F26"/>
    <w:rsid w:val="00EB1203"/>
    <w:rsid w:val="00EB1798"/>
    <w:rsid w:val="00EB17BD"/>
    <w:rsid w:val="00EB1BEB"/>
    <w:rsid w:val="00EB1CDD"/>
    <w:rsid w:val="00EB1CE4"/>
    <w:rsid w:val="00EB1CF3"/>
    <w:rsid w:val="00EB1D84"/>
    <w:rsid w:val="00EB1EA3"/>
    <w:rsid w:val="00EB1FF0"/>
    <w:rsid w:val="00EB21B1"/>
    <w:rsid w:val="00EB239B"/>
    <w:rsid w:val="00EB23B3"/>
    <w:rsid w:val="00EB27C6"/>
    <w:rsid w:val="00EB2890"/>
    <w:rsid w:val="00EB2A49"/>
    <w:rsid w:val="00EB2AA1"/>
    <w:rsid w:val="00EB2CD9"/>
    <w:rsid w:val="00EB2EA6"/>
    <w:rsid w:val="00EB323D"/>
    <w:rsid w:val="00EB32AB"/>
    <w:rsid w:val="00EB32DA"/>
    <w:rsid w:val="00EB3368"/>
    <w:rsid w:val="00EB34B2"/>
    <w:rsid w:val="00EB38C3"/>
    <w:rsid w:val="00EB3D74"/>
    <w:rsid w:val="00EB3E26"/>
    <w:rsid w:val="00EB40AC"/>
    <w:rsid w:val="00EB415A"/>
    <w:rsid w:val="00EB43A3"/>
    <w:rsid w:val="00EB441F"/>
    <w:rsid w:val="00EB4594"/>
    <w:rsid w:val="00EB4861"/>
    <w:rsid w:val="00EB488A"/>
    <w:rsid w:val="00EB4B66"/>
    <w:rsid w:val="00EB4E6B"/>
    <w:rsid w:val="00EB5410"/>
    <w:rsid w:val="00EB5711"/>
    <w:rsid w:val="00EB5997"/>
    <w:rsid w:val="00EB5A44"/>
    <w:rsid w:val="00EB5A45"/>
    <w:rsid w:val="00EB623A"/>
    <w:rsid w:val="00EB63DB"/>
    <w:rsid w:val="00EB6484"/>
    <w:rsid w:val="00EB6878"/>
    <w:rsid w:val="00EB6C48"/>
    <w:rsid w:val="00EB6D8D"/>
    <w:rsid w:val="00EB7329"/>
    <w:rsid w:val="00EB7482"/>
    <w:rsid w:val="00EB7506"/>
    <w:rsid w:val="00EB7940"/>
    <w:rsid w:val="00EB7A18"/>
    <w:rsid w:val="00EB7B56"/>
    <w:rsid w:val="00EB7B6B"/>
    <w:rsid w:val="00EB7CC8"/>
    <w:rsid w:val="00EC0158"/>
    <w:rsid w:val="00EC01CB"/>
    <w:rsid w:val="00EC065C"/>
    <w:rsid w:val="00EC08A0"/>
    <w:rsid w:val="00EC0AF6"/>
    <w:rsid w:val="00EC0BC1"/>
    <w:rsid w:val="00EC0BE9"/>
    <w:rsid w:val="00EC0F9A"/>
    <w:rsid w:val="00EC10F5"/>
    <w:rsid w:val="00EC157A"/>
    <w:rsid w:val="00EC1774"/>
    <w:rsid w:val="00EC17B9"/>
    <w:rsid w:val="00EC18C0"/>
    <w:rsid w:val="00EC1905"/>
    <w:rsid w:val="00EC1986"/>
    <w:rsid w:val="00EC19E6"/>
    <w:rsid w:val="00EC1EB3"/>
    <w:rsid w:val="00EC1FF2"/>
    <w:rsid w:val="00EC2031"/>
    <w:rsid w:val="00EC2247"/>
    <w:rsid w:val="00EC24BA"/>
    <w:rsid w:val="00EC298C"/>
    <w:rsid w:val="00EC29CA"/>
    <w:rsid w:val="00EC2ABF"/>
    <w:rsid w:val="00EC2D18"/>
    <w:rsid w:val="00EC3002"/>
    <w:rsid w:val="00EC32A6"/>
    <w:rsid w:val="00EC3716"/>
    <w:rsid w:val="00EC3993"/>
    <w:rsid w:val="00EC3B6C"/>
    <w:rsid w:val="00EC3CCF"/>
    <w:rsid w:val="00EC3DDF"/>
    <w:rsid w:val="00EC439F"/>
    <w:rsid w:val="00EC444F"/>
    <w:rsid w:val="00EC47C8"/>
    <w:rsid w:val="00EC4A3C"/>
    <w:rsid w:val="00EC4EEA"/>
    <w:rsid w:val="00EC516C"/>
    <w:rsid w:val="00EC54F7"/>
    <w:rsid w:val="00EC550F"/>
    <w:rsid w:val="00EC5531"/>
    <w:rsid w:val="00EC55FA"/>
    <w:rsid w:val="00EC55FD"/>
    <w:rsid w:val="00EC597E"/>
    <w:rsid w:val="00EC5ACC"/>
    <w:rsid w:val="00EC5D44"/>
    <w:rsid w:val="00EC5E53"/>
    <w:rsid w:val="00EC5E97"/>
    <w:rsid w:val="00EC5F6A"/>
    <w:rsid w:val="00EC5FBE"/>
    <w:rsid w:val="00EC6368"/>
    <w:rsid w:val="00EC66BD"/>
    <w:rsid w:val="00EC679E"/>
    <w:rsid w:val="00EC6A94"/>
    <w:rsid w:val="00EC6C64"/>
    <w:rsid w:val="00EC6DCE"/>
    <w:rsid w:val="00EC6E71"/>
    <w:rsid w:val="00EC7080"/>
    <w:rsid w:val="00EC70EB"/>
    <w:rsid w:val="00EC7104"/>
    <w:rsid w:val="00EC7875"/>
    <w:rsid w:val="00EC7AE5"/>
    <w:rsid w:val="00EC7B5F"/>
    <w:rsid w:val="00EC7BB4"/>
    <w:rsid w:val="00EC7D60"/>
    <w:rsid w:val="00ED021F"/>
    <w:rsid w:val="00ED084B"/>
    <w:rsid w:val="00ED0A94"/>
    <w:rsid w:val="00ED0B4E"/>
    <w:rsid w:val="00ED0C8B"/>
    <w:rsid w:val="00ED0DD7"/>
    <w:rsid w:val="00ED0E07"/>
    <w:rsid w:val="00ED0E4E"/>
    <w:rsid w:val="00ED11EF"/>
    <w:rsid w:val="00ED1209"/>
    <w:rsid w:val="00ED1480"/>
    <w:rsid w:val="00ED157C"/>
    <w:rsid w:val="00ED1630"/>
    <w:rsid w:val="00ED1B13"/>
    <w:rsid w:val="00ED1B49"/>
    <w:rsid w:val="00ED1D2F"/>
    <w:rsid w:val="00ED1F68"/>
    <w:rsid w:val="00ED201F"/>
    <w:rsid w:val="00ED222D"/>
    <w:rsid w:val="00ED28C2"/>
    <w:rsid w:val="00ED2C72"/>
    <w:rsid w:val="00ED2C8E"/>
    <w:rsid w:val="00ED2DE0"/>
    <w:rsid w:val="00ED2E88"/>
    <w:rsid w:val="00ED3010"/>
    <w:rsid w:val="00ED3373"/>
    <w:rsid w:val="00ED3A40"/>
    <w:rsid w:val="00ED3A44"/>
    <w:rsid w:val="00ED451F"/>
    <w:rsid w:val="00ED45CC"/>
    <w:rsid w:val="00ED492C"/>
    <w:rsid w:val="00ED4AEF"/>
    <w:rsid w:val="00ED4AF0"/>
    <w:rsid w:val="00ED4BA5"/>
    <w:rsid w:val="00ED4E0B"/>
    <w:rsid w:val="00ED4E16"/>
    <w:rsid w:val="00ED5230"/>
    <w:rsid w:val="00ED523B"/>
    <w:rsid w:val="00ED532F"/>
    <w:rsid w:val="00ED552E"/>
    <w:rsid w:val="00ED5632"/>
    <w:rsid w:val="00ED5A40"/>
    <w:rsid w:val="00ED5C0C"/>
    <w:rsid w:val="00ED5D0C"/>
    <w:rsid w:val="00ED5D1C"/>
    <w:rsid w:val="00ED5ECF"/>
    <w:rsid w:val="00ED619F"/>
    <w:rsid w:val="00ED635A"/>
    <w:rsid w:val="00ED6920"/>
    <w:rsid w:val="00ED69B8"/>
    <w:rsid w:val="00ED6B49"/>
    <w:rsid w:val="00ED6EEF"/>
    <w:rsid w:val="00ED6F9E"/>
    <w:rsid w:val="00ED701C"/>
    <w:rsid w:val="00ED7076"/>
    <w:rsid w:val="00ED753B"/>
    <w:rsid w:val="00ED75E3"/>
    <w:rsid w:val="00ED7620"/>
    <w:rsid w:val="00ED78BB"/>
    <w:rsid w:val="00ED796D"/>
    <w:rsid w:val="00ED7EE6"/>
    <w:rsid w:val="00ED7FE5"/>
    <w:rsid w:val="00EE001A"/>
    <w:rsid w:val="00EE00E6"/>
    <w:rsid w:val="00EE0179"/>
    <w:rsid w:val="00EE03B9"/>
    <w:rsid w:val="00EE0414"/>
    <w:rsid w:val="00EE07B5"/>
    <w:rsid w:val="00EE07FC"/>
    <w:rsid w:val="00EE08BF"/>
    <w:rsid w:val="00EE08DF"/>
    <w:rsid w:val="00EE0EC6"/>
    <w:rsid w:val="00EE0ECE"/>
    <w:rsid w:val="00EE0F52"/>
    <w:rsid w:val="00EE0FFF"/>
    <w:rsid w:val="00EE1000"/>
    <w:rsid w:val="00EE102A"/>
    <w:rsid w:val="00EE103D"/>
    <w:rsid w:val="00EE1513"/>
    <w:rsid w:val="00EE16A3"/>
    <w:rsid w:val="00EE1976"/>
    <w:rsid w:val="00EE19FE"/>
    <w:rsid w:val="00EE1A05"/>
    <w:rsid w:val="00EE1A0C"/>
    <w:rsid w:val="00EE1BD7"/>
    <w:rsid w:val="00EE20D2"/>
    <w:rsid w:val="00EE2310"/>
    <w:rsid w:val="00EE24B9"/>
    <w:rsid w:val="00EE271B"/>
    <w:rsid w:val="00EE2A5E"/>
    <w:rsid w:val="00EE2B50"/>
    <w:rsid w:val="00EE2E3A"/>
    <w:rsid w:val="00EE2F90"/>
    <w:rsid w:val="00EE3073"/>
    <w:rsid w:val="00EE30CB"/>
    <w:rsid w:val="00EE3B3C"/>
    <w:rsid w:val="00EE3D24"/>
    <w:rsid w:val="00EE3D67"/>
    <w:rsid w:val="00EE3F06"/>
    <w:rsid w:val="00EE3F74"/>
    <w:rsid w:val="00EE3F95"/>
    <w:rsid w:val="00EE3FB2"/>
    <w:rsid w:val="00EE4153"/>
    <w:rsid w:val="00EE4344"/>
    <w:rsid w:val="00EE4392"/>
    <w:rsid w:val="00EE43B0"/>
    <w:rsid w:val="00EE4815"/>
    <w:rsid w:val="00EE4818"/>
    <w:rsid w:val="00EE4E8A"/>
    <w:rsid w:val="00EE4F13"/>
    <w:rsid w:val="00EE5028"/>
    <w:rsid w:val="00EE508B"/>
    <w:rsid w:val="00EE50C5"/>
    <w:rsid w:val="00EE50EB"/>
    <w:rsid w:val="00EE50FE"/>
    <w:rsid w:val="00EE5185"/>
    <w:rsid w:val="00EE52F4"/>
    <w:rsid w:val="00EE578B"/>
    <w:rsid w:val="00EE5D14"/>
    <w:rsid w:val="00EE5E24"/>
    <w:rsid w:val="00EE5F04"/>
    <w:rsid w:val="00EE68E7"/>
    <w:rsid w:val="00EE695B"/>
    <w:rsid w:val="00EE6A7A"/>
    <w:rsid w:val="00EE6B36"/>
    <w:rsid w:val="00EE7591"/>
    <w:rsid w:val="00EE76A7"/>
    <w:rsid w:val="00EE77EB"/>
    <w:rsid w:val="00EE792A"/>
    <w:rsid w:val="00EE79CB"/>
    <w:rsid w:val="00EF00E7"/>
    <w:rsid w:val="00EF04E2"/>
    <w:rsid w:val="00EF06FE"/>
    <w:rsid w:val="00EF0748"/>
    <w:rsid w:val="00EF0BD6"/>
    <w:rsid w:val="00EF0BED"/>
    <w:rsid w:val="00EF0C4D"/>
    <w:rsid w:val="00EF0D2E"/>
    <w:rsid w:val="00EF0E24"/>
    <w:rsid w:val="00EF125F"/>
    <w:rsid w:val="00EF1E10"/>
    <w:rsid w:val="00EF1E40"/>
    <w:rsid w:val="00EF1F3E"/>
    <w:rsid w:val="00EF2168"/>
    <w:rsid w:val="00EF24EF"/>
    <w:rsid w:val="00EF2624"/>
    <w:rsid w:val="00EF2898"/>
    <w:rsid w:val="00EF297E"/>
    <w:rsid w:val="00EF2C24"/>
    <w:rsid w:val="00EF2F36"/>
    <w:rsid w:val="00EF2FCD"/>
    <w:rsid w:val="00EF30C7"/>
    <w:rsid w:val="00EF314C"/>
    <w:rsid w:val="00EF3267"/>
    <w:rsid w:val="00EF35B1"/>
    <w:rsid w:val="00EF3785"/>
    <w:rsid w:val="00EF38E1"/>
    <w:rsid w:val="00EF3925"/>
    <w:rsid w:val="00EF39E0"/>
    <w:rsid w:val="00EF3B1E"/>
    <w:rsid w:val="00EF40A1"/>
    <w:rsid w:val="00EF4294"/>
    <w:rsid w:val="00EF44DC"/>
    <w:rsid w:val="00EF47CF"/>
    <w:rsid w:val="00EF497E"/>
    <w:rsid w:val="00EF49B7"/>
    <w:rsid w:val="00EF4D8A"/>
    <w:rsid w:val="00EF4E9C"/>
    <w:rsid w:val="00EF4F73"/>
    <w:rsid w:val="00EF4FBF"/>
    <w:rsid w:val="00EF5129"/>
    <w:rsid w:val="00EF5136"/>
    <w:rsid w:val="00EF516D"/>
    <w:rsid w:val="00EF5221"/>
    <w:rsid w:val="00EF55AF"/>
    <w:rsid w:val="00EF55DD"/>
    <w:rsid w:val="00EF568D"/>
    <w:rsid w:val="00EF5788"/>
    <w:rsid w:val="00EF57F1"/>
    <w:rsid w:val="00EF58A7"/>
    <w:rsid w:val="00EF597D"/>
    <w:rsid w:val="00EF5B64"/>
    <w:rsid w:val="00EF5D5D"/>
    <w:rsid w:val="00EF5D67"/>
    <w:rsid w:val="00EF62C7"/>
    <w:rsid w:val="00EF62D7"/>
    <w:rsid w:val="00EF62D9"/>
    <w:rsid w:val="00EF6355"/>
    <w:rsid w:val="00EF650D"/>
    <w:rsid w:val="00EF6594"/>
    <w:rsid w:val="00EF682E"/>
    <w:rsid w:val="00EF68B7"/>
    <w:rsid w:val="00EF6C5C"/>
    <w:rsid w:val="00EF6C95"/>
    <w:rsid w:val="00EF6E18"/>
    <w:rsid w:val="00EF6EE5"/>
    <w:rsid w:val="00EF72D1"/>
    <w:rsid w:val="00EF7394"/>
    <w:rsid w:val="00EF73AD"/>
    <w:rsid w:val="00EF7504"/>
    <w:rsid w:val="00EF77E0"/>
    <w:rsid w:val="00EF7A3E"/>
    <w:rsid w:val="00EF7C20"/>
    <w:rsid w:val="00EF7DCE"/>
    <w:rsid w:val="00EF7E25"/>
    <w:rsid w:val="00EF7F53"/>
    <w:rsid w:val="00F001F1"/>
    <w:rsid w:val="00F00387"/>
    <w:rsid w:val="00F0049C"/>
    <w:rsid w:val="00F009CF"/>
    <w:rsid w:val="00F00A1C"/>
    <w:rsid w:val="00F00A91"/>
    <w:rsid w:val="00F00CD3"/>
    <w:rsid w:val="00F00D58"/>
    <w:rsid w:val="00F00E35"/>
    <w:rsid w:val="00F011BA"/>
    <w:rsid w:val="00F013E8"/>
    <w:rsid w:val="00F01C21"/>
    <w:rsid w:val="00F01CE5"/>
    <w:rsid w:val="00F01F07"/>
    <w:rsid w:val="00F025CC"/>
    <w:rsid w:val="00F02799"/>
    <w:rsid w:val="00F02CB0"/>
    <w:rsid w:val="00F02E20"/>
    <w:rsid w:val="00F02EA7"/>
    <w:rsid w:val="00F02F41"/>
    <w:rsid w:val="00F02FD8"/>
    <w:rsid w:val="00F03145"/>
    <w:rsid w:val="00F0373C"/>
    <w:rsid w:val="00F038AC"/>
    <w:rsid w:val="00F03B9A"/>
    <w:rsid w:val="00F03D0C"/>
    <w:rsid w:val="00F03DA5"/>
    <w:rsid w:val="00F040B7"/>
    <w:rsid w:val="00F042E4"/>
    <w:rsid w:val="00F04389"/>
    <w:rsid w:val="00F044C3"/>
    <w:rsid w:val="00F04513"/>
    <w:rsid w:val="00F045C0"/>
    <w:rsid w:val="00F045D9"/>
    <w:rsid w:val="00F046BB"/>
    <w:rsid w:val="00F048F7"/>
    <w:rsid w:val="00F04DB5"/>
    <w:rsid w:val="00F04E7E"/>
    <w:rsid w:val="00F04F1F"/>
    <w:rsid w:val="00F04F78"/>
    <w:rsid w:val="00F04FD8"/>
    <w:rsid w:val="00F051EA"/>
    <w:rsid w:val="00F05262"/>
    <w:rsid w:val="00F0552D"/>
    <w:rsid w:val="00F05753"/>
    <w:rsid w:val="00F058F9"/>
    <w:rsid w:val="00F059D4"/>
    <w:rsid w:val="00F05A9E"/>
    <w:rsid w:val="00F05BFC"/>
    <w:rsid w:val="00F0604E"/>
    <w:rsid w:val="00F060C6"/>
    <w:rsid w:val="00F06255"/>
    <w:rsid w:val="00F0649F"/>
    <w:rsid w:val="00F066FE"/>
    <w:rsid w:val="00F06819"/>
    <w:rsid w:val="00F06B71"/>
    <w:rsid w:val="00F06DBC"/>
    <w:rsid w:val="00F070D7"/>
    <w:rsid w:val="00F07353"/>
    <w:rsid w:val="00F073A7"/>
    <w:rsid w:val="00F0743D"/>
    <w:rsid w:val="00F07579"/>
    <w:rsid w:val="00F078F0"/>
    <w:rsid w:val="00F079BF"/>
    <w:rsid w:val="00F07E35"/>
    <w:rsid w:val="00F1055F"/>
    <w:rsid w:val="00F108C3"/>
    <w:rsid w:val="00F10A02"/>
    <w:rsid w:val="00F10A82"/>
    <w:rsid w:val="00F10ACF"/>
    <w:rsid w:val="00F10C05"/>
    <w:rsid w:val="00F10C14"/>
    <w:rsid w:val="00F10EFF"/>
    <w:rsid w:val="00F10F03"/>
    <w:rsid w:val="00F10F95"/>
    <w:rsid w:val="00F11232"/>
    <w:rsid w:val="00F1124D"/>
    <w:rsid w:val="00F1136E"/>
    <w:rsid w:val="00F11853"/>
    <w:rsid w:val="00F119F0"/>
    <w:rsid w:val="00F11F6F"/>
    <w:rsid w:val="00F1227A"/>
    <w:rsid w:val="00F1246B"/>
    <w:rsid w:val="00F1253F"/>
    <w:rsid w:val="00F1283E"/>
    <w:rsid w:val="00F128F1"/>
    <w:rsid w:val="00F12949"/>
    <w:rsid w:val="00F12A42"/>
    <w:rsid w:val="00F12D7B"/>
    <w:rsid w:val="00F12E3F"/>
    <w:rsid w:val="00F12F92"/>
    <w:rsid w:val="00F1309A"/>
    <w:rsid w:val="00F130E9"/>
    <w:rsid w:val="00F133A3"/>
    <w:rsid w:val="00F134A7"/>
    <w:rsid w:val="00F13A45"/>
    <w:rsid w:val="00F13C96"/>
    <w:rsid w:val="00F13EBE"/>
    <w:rsid w:val="00F14359"/>
    <w:rsid w:val="00F143DD"/>
    <w:rsid w:val="00F14581"/>
    <w:rsid w:val="00F14613"/>
    <w:rsid w:val="00F1463E"/>
    <w:rsid w:val="00F14EE1"/>
    <w:rsid w:val="00F15436"/>
    <w:rsid w:val="00F15562"/>
    <w:rsid w:val="00F1561F"/>
    <w:rsid w:val="00F156DA"/>
    <w:rsid w:val="00F15DBA"/>
    <w:rsid w:val="00F160D9"/>
    <w:rsid w:val="00F16274"/>
    <w:rsid w:val="00F16AAD"/>
    <w:rsid w:val="00F16D0F"/>
    <w:rsid w:val="00F16D87"/>
    <w:rsid w:val="00F170C6"/>
    <w:rsid w:val="00F17B82"/>
    <w:rsid w:val="00F17B9A"/>
    <w:rsid w:val="00F17C0A"/>
    <w:rsid w:val="00F17F6C"/>
    <w:rsid w:val="00F20012"/>
    <w:rsid w:val="00F201A1"/>
    <w:rsid w:val="00F20224"/>
    <w:rsid w:val="00F2031A"/>
    <w:rsid w:val="00F2046B"/>
    <w:rsid w:val="00F20480"/>
    <w:rsid w:val="00F204A9"/>
    <w:rsid w:val="00F2081A"/>
    <w:rsid w:val="00F20907"/>
    <w:rsid w:val="00F20D01"/>
    <w:rsid w:val="00F20E3E"/>
    <w:rsid w:val="00F2103B"/>
    <w:rsid w:val="00F210A2"/>
    <w:rsid w:val="00F2114F"/>
    <w:rsid w:val="00F21175"/>
    <w:rsid w:val="00F2117D"/>
    <w:rsid w:val="00F2131E"/>
    <w:rsid w:val="00F218A2"/>
    <w:rsid w:val="00F21970"/>
    <w:rsid w:val="00F21A0E"/>
    <w:rsid w:val="00F21DD4"/>
    <w:rsid w:val="00F22022"/>
    <w:rsid w:val="00F22355"/>
    <w:rsid w:val="00F22506"/>
    <w:rsid w:val="00F22539"/>
    <w:rsid w:val="00F2256B"/>
    <w:rsid w:val="00F226C4"/>
    <w:rsid w:val="00F22761"/>
    <w:rsid w:val="00F227BF"/>
    <w:rsid w:val="00F22840"/>
    <w:rsid w:val="00F22FB0"/>
    <w:rsid w:val="00F230BF"/>
    <w:rsid w:val="00F23554"/>
    <w:rsid w:val="00F2387F"/>
    <w:rsid w:val="00F23BE5"/>
    <w:rsid w:val="00F23F39"/>
    <w:rsid w:val="00F2425D"/>
    <w:rsid w:val="00F243AB"/>
    <w:rsid w:val="00F2445F"/>
    <w:rsid w:val="00F24ACB"/>
    <w:rsid w:val="00F24DD6"/>
    <w:rsid w:val="00F24E00"/>
    <w:rsid w:val="00F24EA1"/>
    <w:rsid w:val="00F25172"/>
    <w:rsid w:val="00F2559F"/>
    <w:rsid w:val="00F25878"/>
    <w:rsid w:val="00F25BC6"/>
    <w:rsid w:val="00F25BDF"/>
    <w:rsid w:val="00F25C07"/>
    <w:rsid w:val="00F25D4B"/>
    <w:rsid w:val="00F25D6C"/>
    <w:rsid w:val="00F25F77"/>
    <w:rsid w:val="00F26348"/>
    <w:rsid w:val="00F2636D"/>
    <w:rsid w:val="00F26387"/>
    <w:rsid w:val="00F263D4"/>
    <w:rsid w:val="00F264A3"/>
    <w:rsid w:val="00F265CB"/>
    <w:rsid w:val="00F2669E"/>
    <w:rsid w:val="00F26708"/>
    <w:rsid w:val="00F269F6"/>
    <w:rsid w:val="00F26BA0"/>
    <w:rsid w:val="00F26BE0"/>
    <w:rsid w:val="00F2718F"/>
    <w:rsid w:val="00F27446"/>
    <w:rsid w:val="00F27587"/>
    <w:rsid w:val="00F27857"/>
    <w:rsid w:val="00F27C2A"/>
    <w:rsid w:val="00F27C84"/>
    <w:rsid w:val="00F30103"/>
    <w:rsid w:val="00F3012F"/>
    <w:rsid w:val="00F3036F"/>
    <w:rsid w:val="00F3048F"/>
    <w:rsid w:val="00F30691"/>
    <w:rsid w:val="00F307F8"/>
    <w:rsid w:val="00F3086A"/>
    <w:rsid w:val="00F309D1"/>
    <w:rsid w:val="00F30F8D"/>
    <w:rsid w:val="00F30FFD"/>
    <w:rsid w:val="00F311B0"/>
    <w:rsid w:val="00F311BD"/>
    <w:rsid w:val="00F314B3"/>
    <w:rsid w:val="00F315D1"/>
    <w:rsid w:val="00F31879"/>
    <w:rsid w:val="00F318A0"/>
    <w:rsid w:val="00F31CEE"/>
    <w:rsid w:val="00F31F63"/>
    <w:rsid w:val="00F320C1"/>
    <w:rsid w:val="00F32298"/>
    <w:rsid w:val="00F3235D"/>
    <w:rsid w:val="00F3261D"/>
    <w:rsid w:val="00F32745"/>
    <w:rsid w:val="00F327C8"/>
    <w:rsid w:val="00F3287A"/>
    <w:rsid w:val="00F328B0"/>
    <w:rsid w:val="00F32988"/>
    <w:rsid w:val="00F32A61"/>
    <w:rsid w:val="00F32B8A"/>
    <w:rsid w:val="00F32C81"/>
    <w:rsid w:val="00F32ECE"/>
    <w:rsid w:val="00F32F06"/>
    <w:rsid w:val="00F330FC"/>
    <w:rsid w:val="00F335A4"/>
    <w:rsid w:val="00F33689"/>
    <w:rsid w:val="00F33A6B"/>
    <w:rsid w:val="00F33F5A"/>
    <w:rsid w:val="00F341E2"/>
    <w:rsid w:val="00F342BD"/>
    <w:rsid w:val="00F342FB"/>
    <w:rsid w:val="00F345D5"/>
    <w:rsid w:val="00F34BBC"/>
    <w:rsid w:val="00F34C3A"/>
    <w:rsid w:val="00F34DD9"/>
    <w:rsid w:val="00F34E1C"/>
    <w:rsid w:val="00F34E57"/>
    <w:rsid w:val="00F34EDB"/>
    <w:rsid w:val="00F3506D"/>
    <w:rsid w:val="00F35081"/>
    <w:rsid w:val="00F3519D"/>
    <w:rsid w:val="00F352B9"/>
    <w:rsid w:val="00F35379"/>
    <w:rsid w:val="00F353C4"/>
    <w:rsid w:val="00F35477"/>
    <w:rsid w:val="00F354F4"/>
    <w:rsid w:val="00F3565E"/>
    <w:rsid w:val="00F35C7F"/>
    <w:rsid w:val="00F35CFC"/>
    <w:rsid w:val="00F35DF5"/>
    <w:rsid w:val="00F35E14"/>
    <w:rsid w:val="00F3609B"/>
    <w:rsid w:val="00F362B7"/>
    <w:rsid w:val="00F3644D"/>
    <w:rsid w:val="00F3647A"/>
    <w:rsid w:val="00F364B2"/>
    <w:rsid w:val="00F3654A"/>
    <w:rsid w:val="00F3658E"/>
    <w:rsid w:val="00F36AA0"/>
    <w:rsid w:val="00F36BC4"/>
    <w:rsid w:val="00F36E79"/>
    <w:rsid w:val="00F36F1B"/>
    <w:rsid w:val="00F37101"/>
    <w:rsid w:val="00F3736B"/>
    <w:rsid w:val="00F374C1"/>
    <w:rsid w:val="00F375BF"/>
    <w:rsid w:val="00F37800"/>
    <w:rsid w:val="00F37977"/>
    <w:rsid w:val="00F37FC6"/>
    <w:rsid w:val="00F401D9"/>
    <w:rsid w:val="00F40219"/>
    <w:rsid w:val="00F40231"/>
    <w:rsid w:val="00F402FC"/>
    <w:rsid w:val="00F4056A"/>
    <w:rsid w:val="00F40C4D"/>
    <w:rsid w:val="00F41115"/>
    <w:rsid w:val="00F41293"/>
    <w:rsid w:val="00F4134E"/>
    <w:rsid w:val="00F41450"/>
    <w:rsid w:val="00F414CB"/>
    <w:rsid w:val="00F416BF"/>
    <w:rsid w:val="00F41B02"/>
    <w:rsid w:val="00F41B16"/>
    <w:rsid w:val="00F41D97"/>
    <w:rsid w:val="00F41E51"/>
    <w:rsid w:val="00F41F4D"/>
    <w:rsid w:val="00F41FAD"/>
    <w:rsid w:val="00F421F8"/>
    <w:rsid w:val="00F42579"/>
    <w:rsid w:val="00F4276A"/>
    <w:rsid w:val="00F428C2"/>
    <w:rsid w:val="00F42C73"/>
    <w:rsid w:val="00F42EF5"/>
    <w:rsid w:val="00F43891"/>
    <w:rsid w:val="00F43947"/>
    <w:rsid w:val="00F439D5"/>
    <w:rsid w:val="00F43A1F"/>
    <w:rsid w:val="00F43A74"/>
    <w:rsid w:val="00F4404A"/>
    <w:rsid w:val="00F44203"/>
    <w:rsid w:val="00F44809"/>
    <w:rsid w:val="00F44A1E"/>
    <w:rsid w:val="00F44C4A"/>
    <w:rsid w:val="00F44D00"/>
    <w:rsid w:val="00F44D3A"/>
    <w:rsid w:val="00F44F8A"/>
    <w:rsid w:val="00F450C5"/>
    <w:rsid w:val="00F451A3"/>
    <w:rsid w:val="00F458FA"/>
    <w:rsid w:val="00F45914"/>
    <w:rsid w:val="00F45A7E"/>
    <w:rsid w:val="00F45B94"/>
    <w:rsid w:val="00F45D2F"/>
    <w:rsid w:val="00F45EA3"/>
    <w:rsid w:val="00F45FC3"/>
    <w:rsid w:val="00F46034"/>
    <w:rsid w:val="00F465F1"/>
    <w:rsid w:val="00F466C6"/>
    <w:rsid w:val="00F46A28"/>
    <w:rsid w:val="00F46D9C"/>
    <w:rsid w:val="00F46E99"/>
    <w:rsid w:val="00F4702D"/>
    <w:rsid w:val="00F4725C"/>
    <w:rsid w:val="00F47342"/>
    <w:rsid w:val="00F473DA"/>
    <w:rsid w:val="00F477C7"/>
    <w:rsid w:val="00F47902"/>
    <w:rsid w:val="00F47A40"/>
    <w:rsid w:val="00F47C34"/>
    <w:rsid w:val="00F47D72"/>
    <w:rsid w:val="00F47D82"/>
    <w:rsid w:val="00F500E5"/>
    <w:rsid w:val="00F5024D"/>
    <w:rsid w:val="00F502A7"/>
    <w:rsid w:val="00F502CA"/>
    <w:rsid w:val="00F50336"/>
    <w:rsid w:val="00F505AC"/>
    <w:rsid w:val="00F5062B"/>
    <w:rsid w:val="00F50721"/>
    <w:rsid w:val="00F50B6C"/>
    <w:rsid w:val="00F50BB9"/>
    <w:rsid w:val="00F50CDB"/>
    <w:rsid w:val="00F50E24"/>
    <w:rsid w:val="00F51351"/>
    <w:rsid w:val="00F51565"/>
    <w:rsid w:val="00F5158C"/>
    <w:rsid w:val="00F51619"/>
    <w:rsid w:val="00F51638"/>
    <w:rsid w:val="00F51788"/>
    <w:rsid w:val="00F51B71"/>
    <w:rsid w:val="00F51DBF"/>
    <w:rsid w:val="00F52450"/>
    <w:rsid w:val="00F52768"/>
    <w:rsid w:val="00F52AB4"/>
    <w:rsid w:val="00F52ADF"/>
    <w:rsid w:val="00F52CE4"/>
    <w:rsid w:val="00F52D88"/>
    <w:rsid w:val="00F52DD1"/>
    <w:rsid w:val="00F52EDC"/>
    <w:rsid w:val="00F53219"/>
    <w:rsid w:val="00F534EA"/>
    <w:rsid w:val="00F535C8"/>
    <w:rsid w:val="00F535EE"/>
    <w:rsid w:val="00F5386B"/>
    <w:rsid w:val="00F53C5F"/>
    <w:rsid w:val="00F53DD1"/>
    <w:rsid w:val="00F53F2D"/>
    <w:rsid w:val="00F54295"/>
    <w:rsid w:val="00F542D2"/>
    <w:rsid w:val="00F544E1"/>
    <w:rsid w:val="00F547D2"/>
    <w:rsid w:val="00F54F2A"/>
    <w:rsid w:val="00F54F45"/>
    <w:rsid w:val="00F54F66"/>
    <w:rsid w:val="00F5525D"/>
    <w:rsid w:val="00F55269"/>
    <w:rsid w:val="00F554E0"/>
    <w:rsid w:val="00F5574E"/>
    <w:rsid w:val="00F55823"/>
    <w:rsid w:val="00F55A6D"/>
    <w:rsid w:val="00F55CF1"/>
    <w:rsid w:val="00F55E78"/>
    <w:rsid w:val="00F55F22"/>
    <w:rsid w:val="00F56127"/>
    <w:rsid w:val="00F5614E"/>
    <w:rsid w:val="00F561C8"/>
    <w:rsid w:val="00F56454"/>
    <w:rsid w:val="00F566A1"/>
    <w:rsid w:val="00F568C3"/>
    <w:rsid w:val="00F56A77"/>
    <w:rsid w:val="00F56AC8"/>
    <w:rsid w:val="00F56C4A"/>
    <w:rsid w:val="00F56DBC"/>
    <w:rsid w:val="00F56F23"/>
    <w:rsid w:val="00F573F3"/>
    <w:rsid w:val="00F575B9"/>
    <w:rsid w:val="00F57635"/>
    <w:rsid w:val="00F57A6E"/>
    <w:rsid w:val="00F57B1C"/>
    <w:rsid w:val="00F57CC6"/>
    <w:rsid w:val="00F57FF3"/>
    <w:rsid w:val="00F60023"/>
    <w:rsid w:val="00F60123"/>
    <w:rsid w:val="00F60166"/>
    <w:rsid w:val="00F60313"/>
    <w:rsid w:val="00F603DC"/>
    <w:rsid w:val="00F60483"/>
    <w:rsid w:val="00F605C9"/>
    <w:rsid w:val="00F606FF"/>
    <w:rsid w:val="00F60A1B"/>
    <w:rsid w:val="00F60A42"/>
    <w:rsid w:val="00F60A9F"/>
    <w:rsid w:val="00F60D86"/>
    <w:rsid w:val="00F60F69"/>
    <w:rsid w:val="00F6124E"/>
    <w:rsid w:val="00F613F5"/>
    <w:rsid w:val="00F6177B"/>
    <w:rsid w:val="00F61B2C"/>
    <w:rsid w:val="00F61BE9"/>
    <w:rsid w:val="00F61F3F"/>
    <w:rsid w:val="00F6203A"/>
    <w:rsid w:val="00F623AC"/>
    <w:rsid w:val="00F624FB"/>
    <w:rsid w:val="00F6267B"/>
    <w:rsid w:val="00F6284E"/>
    <w:rsid w:val="00F62B6D"/>
    <w:rsid w:val="00F62D3D"/>
    <w:rsid w:val="00F62E3A"/>
    <w:rsid w:val="00F62FAB"/>
    <w:rsid w:val="00F63124"/>
    <w:rsid w:val="00F63506"/>
    <w:rsid w:val="00F6371F"/>
    <w:rsid w:val="00F637F4"/>
    <w:rsid w:val="00F637FE"/>
    <w:rsid w:val="00F63B10"/>
    <w:rsid w:val="00F63B83"/>
    <w:rsid w:val="00F64312"/>
    <w:rsid w:val="00F64514"/>
    <w:rsid w:val="00F64533"/>
    <w:rsid w:val="00F64CEF"/>
    <w:rsid w:val="00F64DBA"/>
    <w:rsid w:val="00F64E92"/>
    <w:rsid w:val="00F650C0"/>
    <w:rsid w:val="00F65158"/>
    <w:rsid w:val="00F6599F"/>
    <w:rsid w:val="00F65A21"/>
    <w:rsid w:val="00F65D50"/>
    <w:rsid w:val="00F65DDB"/>
    <w:rsid w:val="00F6604F"/>
    <w:rsid w:val="00F6625A"/>
    <w:rsid w:val="00F6646C"/>
    <w:rsid w:val="00F66666"/>
    <w:rsid w:val="00F6691E"/>
    <w:rsid w:val="00F66BCA"/>
    <w:rsid w:val="00F66DA7"/>
    <w:rsid w:val="00F66F8B"/>
    <w:rsid w:val="00F673A4"/>
    <w:rsid w:val="00F673AA"/>
    <w:rsid w:val="00F674C5"/>
    <w:rsid w:val="00F6768F"/>
    <w:rsid w:val="00F677FC"/>
    <w:rsid w:val="00F67A4A"/>
    <w:rsid w:val="00F67EB3"/>
    <w:rsid w:val="00F70232"/>
    <w:rsid w:val="00F7059F"/>
    <w:rsid w:val="00F708FD"/>
    <w:rsid w:val="00F70923"/>
    <w:rsid w:val="00F709CB"/>
    <w:rsid w:val="00F70B46"/>
    <w:rsid w:val="00F70BAB"/>
    <w:rsid w:val="00F70D7B"/>
    <w:rsid w:val="00F70EA5"/>
    <w:rsid w:val="00F70F8A"/>
    <w:rsid w:val="00F71142"/>
    <w:rsid w:val="00F712A8"/>
    <w:rsid w:val="00F712E8"/>
    <w:rsid w:val="00F71439"/>
    <w:rsid w:val="00F715AD"/>
    <w:rsid w:val="00F71603"/>
    <w:rsid w:val="00F7198F"/>
    <w:rsid w:val="00F71A27"/>
    <w:rsid w:val="00F71AC8"/>
    <w:rsid w:val="00F71C9D"/>
    <w:rsid w:val="00F72113"/>
    <w:rsid w:val="00F722DB"/>
    <w:rsid w:val="00F72411"/>
    <w:rsid w:val="00F7249C"/>
    <w:rsid w:val="00F725FE"/>
    <w:rsid w:val="00F729CB"/>
    <w:rsid w:val="00F72AE7"/>
    <w:rsid w:val="00F72D0C"/>
    <w:rsid w:val="00F72DB1"/>
    <w:rsid w:val="00F7301A"/>
    <w:rsid w:val="00F73594"/>
    <w:rsid w:val="00F7364E"/>
    <w:rsid w:val="00F73E19"/>
    <w:rsid w:val="00F73E6D"/>
    <w:rsid w:val="00F73EC3"/>
    <w:rsid w:val="00F74365"/>
    <w:rsid w:val="00F745B8"/>
    <w:rsid w:val="00F74630"/>
    <w:rsid w:val="00F74BA2"/>
    <w:rsid w:val="00F75045"/>
    <w:rsid w:val="00F75192"/>
    <w:rsid w:val="00F7530E"/>
    <w:rsid w:val="00F75555"/>
    <w:rsid w:val="00F75AC2"/>
    <w:rsid w:val="00F75B3E"/>
    <w:rsid w:val="00F75C14"/>
    <w:rsid w:val="00F75E13"/>
    <w:rsid w:val="00F75E4C"/>
    <w:rsid w:val="00F75EA5"/>
    <w:rsid w:val="00F75F0B"/>
    <w:rsid w:val="00F7644C"/>
    <w:rsid w:val="00F76834"/>
    <w:rsid w:val="00F76A85"/>
    <w:rsid w:val="00F76B00"/>
    <w:rsid w:val="00F76DB6"/>
    <w:rsid w:val="00F7733D"/>
    <w:rsid w:val="00F77955"/>
    <w:rsid w:val="00F77B4E"/>
    <w:rsid w:val="00F77C41"/>
    <w:rsid w:val="00F77FF1"/>
    <w:rsid w:val="00F80470"/>
    <w:rsid w:val="00F80584"/>
    <w:rsid w:val="00F807C0"/>
    <w:rsid w:val="00F809E7"/>
    <w:rsid w:val="00F80DFB"/>
    <w:rsid w:val="00F80E72"/>
    <w:rsid w:val="00F81184"/>
    <w:rsid w:val="00F81393"/>
    <w:rsid w:val="00F8153D"/>
    <w:rsid w:val="00F81996"/>
    <w:rsid w:val="00F81A0F"/>
    <w:rsid w:val="00F81D03"/>
    <w:rsid w:val="00F81D53"/>
    <w:rsid w:val="00F81E43"/>
    <w:rsid w:val="00F82102"/>
    <w:rsid w:val="00F82107"/>
    <w:rsid w:val="00F8230C"/>
    <w:rsid w:val="00F82354"/>
    <w:rsid w:val="00F82420"/>
    <w:rsid w:val="00F82436"/>
    <w:rsid w:val="00F824FA"/>
    <w:rsid w:val="00F8294C"/>
    <w:rsid w:val="00F82A45"/>
    <w:rsid w:val="00F830A5"/>
    <w:rsid w:val="00F834E0"/>
    <w:rsid w:val="00F83535"/>
    <w:rsid w:val="00F83684"/>
    <w:rsid w:val="00F83B58"/>
    <w:rsid w:val="00F83DF3"/>
    <w:rsid w:val="00F83F34"/>
    <w:rsid w:val="00F83FCE"/>
    <w:rsid w:val="00F84135"/>
    <w:rsid w:val="00F8425C"/>
    <w:rsid w:val="00F843C2"/>
    <w:rsid w:val="00F84433"/>
    <w:rsid w:val="00F8471F"/>
    <w:rsid w:val="00F849A6"/>
    <w:rsid w:val="00F84D80"/>
    <w:rsid w:val="00F84E58"/>
    <w:rsid w:val="00F854E3"/>
    <w:rsid w:val="00F85550"/>
    <w:rsid w:val="00F855D2"/>
    <w:rsid w:val="00F85795"/>
    <w:rsid w:val="00F8588E"/>
    <w:rsid w:val="00F859AF"/>
    <w:rsid w:val="00F859D0"/>
    <w:rsid w:val="00F859F1"/>
    <w:rsid w:val="00F8610A"/>
    <w:rsid w:val="00F86141"/>
    <w:rsid w:val="00F86529"/>
    <w:rsid w:val="00F86820"/>
    <w:rsid w:val="00F868B5"/>
    <w:rsid w:val="00F86ABE"/>
    <w:rsid w:val="00F86AD9"/>
    <w:rsid w:val="00F86B14"/>
    <w:rsid w:val="00F86D55"/>
    <w:rsid w:val="00F86D93"/>
    <w:rsid w:val="00F86FBF"/>
    <w:rsid w:val="00F8723F"/>
    <w:rsid w:val="00F87253"/>
    <w:rsid w:val="00F87303"/>
    <w:rsid w:val="00F874AC"/>
    <w:rsid w:val="00F87741"/>
    <w:rsid w:val="00F87A0E"/>
    <w:rsid w:val="00F87BA1"/>
    <w:rsid w:val="00F87E0E"/>
    <w:rsid w:val="00F87EE5"/>
    <w:rsid w:val="00F90381"/>
    <w:rsid w:val="00F90389"/>
    <w:rsid w:val="00F903A5"/>
    <w:rsid w:val="00F906E5"/>
    <w:rsid w:val="00F9077B"/>
    <w:rsid w:val="00F90855"/>
    <w:rsid w:val="00F90B98"/>
    <w:rsid w:val="00F90D02"/>
    <w:rsid w:val="00F90EEC"/>
    <w:rsid w:val="00F9120A"/>
    <w:rsid w:val="00F91226"/>
    <w:rsid w:val="00F913C4"/>
    <w:rsid w:val="00F9142A"/>
    <w:rsid w:val="00F914BC"/>
    <w:rsid w:val="00F91564"/>
    <w:rsid w:val="00F9157E"/>
    <w:rsid w:val="00F91983"/>
    <w:rsid w:val="00F919A3"/>
    <w:rsid w:val="00F919EF"/>
    <w:rsid w:val="00F91A8F"/>
    <w:rsid w:val="00F91D01"/>
    <w:rsid w:val="00F91D15"/>
    <w:rsid w:val="00F91FFD"/>
    <w:rsid w:val="00F9203A"/>
    <w:rsid w:val="00F920F5"/>
    <w:rsid w:val="00F921C3"/>
    <w:rsid w:val="00F928B3"/>
    <w:rsid w:val="00F92C11"/>
    <w:rsid w:val="00F92D73"/>
    <w:rsid w:val="00F936F3"/>
    <w:rsid w:val="00F93E09"/>
    <w:rsid w:val="00F940EC"/>
    <w:rsid w:val="00F942FB"/>
    <w:rsid w:val="00F945A0"/>
    <w:rsid w:val="00F9460F"/>
    <w:rsid w:val="00F946FC"/>
    <w:rsid w:val="00F94721"/>
    <w:rsid w:val="00F9474F"/>
    <w:rsid w:val="00F94888"/>
    <w:rsid w:val="00F9496B"/>
    <w:rsid w:val="00F94CDC"/>
    <w:rsid w:val="00F94EE0"/>
    <w:rsid w:val="00F94F34"/>
    <w:rsid w:val="00F9508F"/>
    <w:rsid w:val="00F95186"/>
    <w:rsid w:val="00F95404"/>
    <w:rsid w:val="00F95415"/>
    <w:rsid w:val="00F95446"/>
    <w:rsid w:val="00F95542"/>
    <w:rsid w:val="00F9590D"/>
    <w:rsid w:val="00F95C17"/>
    <w:rsid w:val="00F95C1D"/>
    <w:rsid w:val="00F95C6B"/>
    <w:rsid w:val="00F95DF1"/>
    <w:rsid w:val="00F95E00"/>
    <w:rsid w:val="00F9606A"/>
    <w:rsid w:val="00F9636B"/>
    <w:rsid w:val="00F963B8"/>
    <w:rsid w:val="00F964E7"/>
    <w:rsid w:val="00F9656A"/>
    <w:rsid w:val="00F9701A"/>
    <w:rsid w:val="00F9702F"/>
    <w:rsid w:val="00F97076"/>
    <w:rsid w:val="00F97360"/>
    <w:rsid w:val="00F97545"/>
    <w:rsid w:val="00F97684"/>
    <w:rsid w:val="00F97951"/>
    <w:rsid w:val="00F9797D"/>
    <w:rsid w:val="00F97A0B"/>
    <w:rsid w:val="00F97C70"/>
    <w:rsid w:val="00F97DCB"/>
    <w:rsid w:val="00F97DFE"/>
    <w:rsid w:val="00F97E30"/>
    <w:rsid w:val="00F97EC5"/>
    <w:rsid w:val="00F97FC5"/>
    <w:rsid w:val="00FA0038"/>
    <w:rsid w:val="00FA0374"/>
    <w:rsid w:val="00FA0460"/>
    <w:rsid w:val="00FA072E"/>
    <w:rsid w:val="00FA07D5"/>
    <w:rsid w:val="00FA0B3E"/>
    <w:rsid w:val="00FA0BFC"/>
    <w:rsid w:val="00FA0EFF"/>
    <w:rsid w:val="00FA0F63"/>
    <w:rsid w:val="00FA155E"/>
    <w:rsid w:val="00FA1699"/>
    <w:rsid w:val="00FA1A47"/>
    <w:rsid w:val="00FA1CCD"/>
    <w:rsid w:val="00FA1E04"/>
    <w:rsid w:val="00FA2074"/>
    <w:rsid w:val="00FA25B6"/>
    <w:rsid w:val="00FA287D"/>
    <w:rsid w:val="00FA29D2"/>
    <w:rsid w:val="00FA2AA3"/>
    <w:rsid w:val="00FA2D27"/>
    <w:rsid w:val="00FA2EA8"/>
    <w:rsid w:val="00FA33AC"/>
    <w:rsid w:val="00FA370B"/>
    <w:rsid w:val="00FA3910"/>
    <w:rsid w:val="00FA3A53"/>
    <w:rsid w:val="00FA3C17"/>
    <w:rsid w:val="00FA3CB3"/>
    <w:rsid w:val="00FA4731"/>
    <w:rsid w:val="00FA489C"/>
    <w:rsid w:val="00FA4A09"/>
    <w:rsid w:val="00FA4B17"/>
    <w:rsid w:val="00FA4D4B"/>
    <w:rsid w:val="00FA4DFB"/>
    <w:rsid w:val="00FA54AD"/>
    <w:rsid w:val="00FA595D"/>
    <w:rsid w:val="00FA60D3"/>
    <w:rsid w:val="00FA61D8"/>
    <w:rsid w:val="00FA6452"/>
    <w:rsid w:val="00FA64C5"/>
    <w:rsid w:val="00FA6843"/>
    <w:rsid w:val="00FA6A99"/>
    <w:rsid w:val="00FA6B37"/>
    <w:rsid w:val="00FA6EE4"/>
    <w:rsid w:val="00FA7276"/>
    <w:rsid w:val="00FA75D9"/>
    <w:rsid w:val="00FA75F2"/>
    <w:rsid w:val="00FA77A9"/>
    <w:rsid w:val="00FA7EB2"/>
    <w:rsid w:val="00FA7EC4"/>
    <w:rsid w:val="00FB03D4"/>
    <w:rsid w:val="00FB08AE"/>
    <w:rsid w:val="00FB0933"/>
    <w:rsid w:val="00FB0A1A"/>
    <w:rsid w:val="00FB0AE8"/>
    <w:rsid w:val="00FB0C1F"/>
    <w:rsid w:val="00FB0F6B"/>
    <w:rsid w:val="00FB136A"/>
    <w:rsid w:val="00FB13B7"/>
    <w:rsid w:val="00FB1434"/>
    <w:rsid w:val="00FB174D"/>
    <w:rsid w:val="00FB1A2D"/>
    <w:rsid w:val="00FB1B88"/>
    <w:rsid w:val="00FB1F0E"/>
    <w:rsid w:val="00FB2105"/>
    <w:rsid w:val="00FB215E"/>
    <w:rsid w:val="00FB2370"/>
    <w:rsid w:val="00FB253A"/>
    <w:rsid w:val="00FB2713"/>
    <w:rsid w:val="00FB293F"/>
    <w:rsid w:val="00FB2A78"/>
    <w:rsid w:val="00FB2C3F"/>
    <w:rsid w:val="00FB34AA"/>
    <w:rsid w:val="00FB3755"/>
    <w:rsid w:val="00FB37F4"/>
    <w:rsid w:val="00FB3844"/>
    <w:rsid w:val="00FB3A1E"/>
    <w:rsid w:val="00FB3A88"/>
    <w:rsid w:val="00FB3B6D"/>
    <w:rsid w:val="00FB3B73"/>
    <w:rsid w:val="00FB3DFF"/>
    <w:rsid w:val="00FB3F62"/>
    <w:rsid w:val="00FB42C7"/>
    <w:rsid w:val="00FB468C"/>
    <w:rsid w:val="00FB47B3"/>
    <w:rsid w:val="00FB4A3F"/>
    <w:rsid w:val="00FB4D7F"/>
    <w:rsid w:val="00FB4E58"/>
    <w:rsid w:val="00FB4EE4"/>
    <w:rsid w:val="00FB4F38"/>
    <w:rsid w:val="00FB55F3"/>
    <w:rsid w:val="00FB5692"/>
    <w:rsid w:val="00FB57C3"/>
    <w:rsid w:val="00FB5F23"/>
    <w:rsid w:val="00FB625B"/>
    <w:rsid w:val="00FB6363"/>
    <w:rsid w:val="00FB6597"/>
    <w:rsid w:val="00FB6612"/>
    <w:rsid w:val="00FB685C"/>
    <w:rsid w:val="00FB691C"/>
    <w:rsid w:val="00FB6977"/>
    <w:rsid w:val="00FB6C10"/>
    <w:rsid w:val="00FB6E15"/>
    <w:rsid w:val="00FB7172"/>
    <w:rsid w:val="00FB7185"/>
    <w:rsid w:val="00FB7435"/>
    <w:rsid w:val="00FB76A9"/>
    <w:rsid w:val="00FB76AC"/>
    <w:rsid w:val="00FB78EB"/>
    <w:rsid w:val="00FB799E"/>
    <w:rsid w:val="00FB7D89"/>
    <w:rsid w:val="00FB7E55"/>
    <w:rsid w:val="00FC0034"/>
    <w:rsid w:val="00FC023A"/>
    <w:rsid w:val="00FC027D"/>
    <w:rsid w:val="00FC0288"/>
    <w:rsid w:val="00FC049A"/>
    <w:rsid w:val="00FC0553"/>
    <w:rsid w:val="00FC0595"/>
    <w:rsid w:val="00FC06A8"/>
    <w:rsid w:val="00FC06E3"/>
    <w:rsid w:val="00FC104D"/>
    <w:rsid w:val="00FC125B"/>
    <w:rsid w:val="00FC13F9"/>
    <w:rsid w:val="00FC1648"/>
    <w:rsid w:val="00FC16BE"/>
    <w:rsid w:val="00FC191E"/>
    <w:rsid w:val="00FC1A26"/>
    <w:rsid w:val="00FC1BC7"/>
    <w:rsid w:val="00FC2093"/>
    <w:rsid w:val="00FC2216"/>
    <w:rsid w:val="00FC2538"/>
    <w:rsid w:val="00FC263C"/>
    <w:rsid w:val="00FC27ED"/>
    <w:rsid w:val="00FC2BFA"/>
    <w:rsid w:val="00FC2D2D"/>
    <w:rsid w:val="00FC2DDE"/>
    <w:rsid w:val="00FC2F38"/>
    <w:rsid w:val="00FC3058"/>
    <w:rsid w:val="00FC39B8"/>
    <w:rsid w:val="00FC3A3D"/>
    <w:rsid w:val="00FC3A56"/>
    <w:rsid w:val="00FC3C43"/>
    <w:rsid w:val="00FC3E19"/>
    <w:rsid w:val="00FC3FCA"/>
    <w:rsid w:val="00FC4063"/>
    <w:rsid w:val="00FC4595"/>
    <w:rsid w:val="00FC46B8"/>
    <w:rsid w:val="00FC497E"/>
    <w:rsid w:val="00FC4FC1"/>
    <w:rsid w:val="00FC508F"/>
    <w:rsid w:val="00FC56E9"/>
    <w:rsid w:val="00FC5A27"/>
    <w:rsid w:val="00FC5A2F"/>
    <w:rsid w:val="00FC5C4E"/>
    <w:rsid w:val="00FC5C81"/>
    <w:rsid w:val="00FC5D66"/>
    <w:rsid w:val="00FC604F"/>
    <w:rsid w:val="00FC60F5"/>
    <w:rsid w:val="00FC6105"/>
    <w:rsid w:val="00FC6278"/>
    <w:rsid w:val="00FC6480"/>
    <w:rsid w:val="00FC64ED"/>
    <w:rsid w:val="00FC652B"/>
    <w:rsid w:val="00FC68F3"/>
    <w:rsid w:val="00FC6D1B"/>
    <w:rsid w:val="00FC6E7F"/>
    <w:rsid w:val="00FC75C8"/>
    <w:rsid w:val="00FC785E"/>
    <w:rsid w:val="00FC794D"/>
    <w:rsid w:val="00FC7A24"/>
    <w:rsid w:val="00FC7ABA"/>
    <w:rsid w:val="00FC7B14"/>
    <w:rsid w:val="00FC7B76"/>
    <w:rsid w:val="00FC7E0E"/>
    <w:rsid w:val="00FC7E4F"/>
    <w:rsid w:val="00FD01C4"/>
    <w:rsid w:val="00FD062B"/>
    <w:rsid w:val="00FD0630"/>
    <w:rsid w:val="00FD08C5"/>
    <w:rsid w:val="00FD09CF"/>
    <w:rsid w:val="00FD0BD2"/>
    <w:rsid w:val="00FD0C86"/>
    <w:rsid w:val="00FD0D09"/>
    <w:rsid w:val="00FD0D87"/>
    <w:rsid w:val="00FD133A"/>
    <w:rsid w:val="00FD1862"/>
    <w:rsid w:val="00FD18DA"/>
    <w:rsid w:val="00FD1A26"/>
    <w:rsid w:val="00FD1AA9"/>
    <w:rsid w:val="00FD1AAF"/>
    <w:rsid w:val="00FD1AC8"/>
    <w:rsid w:val="00FD1DB9"/>
    <w:rsid w:val="00FD2259"/>
    <w:rsid w:val="00FD2410"/>
    <w:rsid w:val="00FD25A7"/>
    <w:rsid w:val="00FD29EA"/>
    <w:rsid w:val="00FD29FC"/>
    <w:rsid w:val="00FD2BE5"/>
    <w:rsid w:val="00FD2C64"/>
    <w:rsid w:val="00FD2E9A"/>
    <w:rsid w:val="00FD2F40"/>
    <w:rsid w:val="00FD3038"/>
    <w:rsid w:val="00FD3078"/>
    <w:rsid w:val="00FD3155"/>
    <w:rsid w:val="00FD343D"/>
    <w:rsid w:val="00FD3A8E"/>
    <w:rsid w:val="00FD3A9F"/>
    <w:rsid w:val="00FD40B6"/>
    <w:rsid w:val="00FD40F7"/>
    <w:rsid w:val="00FD41FA"/>
    <w:rsid w:val="00FD41FF"/>
    <w:rsid w:val="00FD429B"/>
    <w:rsid w:val="00FD4584"/>
    <w:rsid w:val="00FD45CE"/>
    <w:rsid w:val="00FD4625"/>
    <w:rsid w:val="00FD497A"/>
    <w:rsid w:val="00FD49A5"/>
    <w:rsid w:val="00FD4A3C"/>
    <w:rsid w:val="00FD4C82"/>
    <w:rsid w:val="00FD4D8E"/>
    <w:rsid w:val="00FD4DA4"/>
    <w:rsid w:val="00FD4DA7"/>
    <w:rsid w:val="00FD4F94"/>
    <w:rsid w:val="00FD525F"/>
    <w:rsid w:val="00FD5324"/>
    <w:rsid w:val="00FD543F"/>
    <w:rsid w:val="00FD5468"/>
    <w:rsid w:val="00FD5637"/>
    <w:rsid w:val="00FD57E9"/>
    <w:rsid w:val="00FD58E2"/>
    <w:rsid w:val="00FD5B9A"/>
    <w:rsid w:val="00FD5BC4"/>
    <w:rsid w:val="00FD5D03"/>
    <w:rsid w:val="00FD5EE5"/>
    <w:rsid w:val="00FD60F1"/>
    <w:rsid w:val="00FD60F2"/>
    <w:rsid w:val="00FD61FA"/>
    <w:rsid w:val="00FD63D3"/>
    <w:rsid w:val="00FD6456"/>
    <w:rsid w:val="00FD6721"/>
    <w:rsid w:val="00FD6DEA"/>
    <w:rsid w:val="00FD6E33"/>
    <w:rsid w:val="00FD6F52"/>
    <w:rsid w:val="00FD722B"/>
    <w:rsid w:val="00FD72BB"/>
    <w:rsid w:val="00FD74CC"/>
    <w:rsid w:val="00FD75A8"/>
    <w:rsid w:val="00FD7680"/>
    <w:rsid w:val="00FD7764"/>
    <w:rsid w:val="00FD7798"/>
    <w:rsid w:val="00FD792C"/>
    <w:rsid w:val="00FD7981"/>
    <w:rsid w:val="00FD79F3"/>
    <w:rsid w:val="00FD79F5"/>
    <w:rsid w:val="00FD7F47"/>
    <w:rsid w:val="00FE0157"/>
    <w:rsid w:val="00FE05AE"/>
    <w:rsid w:val="00FE06CD"/>
    <w:rsid w:val="00FE0B26"/>
    <w:rsid w:val="00FE0BE1"/>
    <w:rsid w:val="00FE0CAD"/>
    <w:rsid w:val="00FE0CFF"/>
    <w:rsid w:val="00FE0E8C"/>
    <w:rsid w:val="00FE1020"/>
    <w:rsid w:val="00FE10CA"/>
    <w:rsid w:val="00FE1487"/>
    <w:rsid w:val="00FE154D"/>
    <w:rsid w:val="00FE1717"/>
    <w:rsid w:val="00FE1766"/>
    <w:rsid w:val="00FE17C8"/>
    <w:rsid w:val="00FE1952"/>
    <w:rsid w:val="00FE1AC3"/>
    <w:rsid w:val="00FE1AD7"/>
    <w:rsid w:val="00FE1CD7"/>
    <w:rsid w:val="00FE1D75"/>
    <w:rsid w:val="00FE1FF0"/>
    <w:rsid w:val="00FE21AF"/>
    <w:rsid w:val="00FE236C"/>
    <w:rsid w:val="00FE23B0"/>
    <w:rsid w:val="00FE24FF"/>
    <w:rsid w:val="00FE2768"/>
    <w:rsid w:val="00FE2969"/>
    <w:rsid w:val="00FE2C4A"/>
    <w:rsid w:val="00FE2D99"/>
    <w:rsid w:val="00FE2DCD"/>
    <w:rsid w:val="00FE2DCF"/>
    <w:rsid w:val="00FE2E1D"/>
    <w:rsid w:val="00FE303C"/>
    <w:rsid w:val="00FE3174"/>
    <w:rsid w:val="00FE3680"/>
    <w:rsid w:val="00FE3695"/>
    <w:rsid w:val="00FE3D52"/>
    <w:rsid w:val="00FE3D58"/>
    <w:rsid w:val="00FE3E9C"/>
    <w:rsid w:val="00FE3F71"/>
    <w:rsid w:val="00FE40C7"/>
    <w:rsid w:val="00FE4227"/>
    <w:rsid w:val="00FE4289"/>
    <w:rsid w:val="00FE4359"/>
    <w:rsid w:val="00FE4420"/>
    <w:rsid w:val="00FE45A9"/>
    <w:rsid w:val="00FE4713"/>
    <w:rsid w:val="00FE4AC2"/>
    <w:rsid w:val="00FE4BA1"/>
    <w:rsid w:val="00FE5069"/>
    <w:rsid w:val="00FE51A8"/>
    <w:rsid w:val="00FE54BD"/>
    <w:rsid w:val="00FE5890"/>
    <w:rsid w:val="00FE5B06"/>
    <w:rsid w:val="00FE6103"/>
    <w:rsid w:val="00FE63FB"/>
    <w:rsid w:val="00FE6846"/>
    <w:rsid w:val="00FE69A9"/>
    <w:rsid w:val="00FE6BB3"/>
    <w:rsid w:val="00FE6CB5"/>
    <w:rsid w:val="00FE6CD6"/>
    <w:rsid w:val="00FE6D00"/>
    <w:rsid w:val="00FE6D67"/>
    <w:rsid w:val="00FE707F"/>
    <w:rsid w:val="00FE720E"/>
    <w:rsid w:val="00FE74F9"/>
    <w:rsid w:val="00FE7740"/>
    <w:rsid w:val="00FE7902"/>
    <w:rsid w:val="00FE7A29"/>
    <w:rsid w:val="00FE7F6E"/>
    <w:rsid w:val="00FF012B"/>
    <w:rsid w:val="00FF01CE"/>
    <w:rsid w:val="00FF051A"/>
    <w:rsid w:val="00FF06E1"/>
    <w:rsid w:val="00FF0805"/>
    <w:rsid w:val="00FF0E3E"/>
    <w:rsid w:val="00FF0F95"/>
    <w:rsid w:val="00FF1280"/>
    <w:rsid w:val="00FF12B7"/>
    <w:rsid w:val="00FF19B2"/>
    <w:rsid w:val="00FF1A67"/>
    <w:rsid w:val="00FF1ADF"/>
    <w:rsid w:val="00FF1BBC"/>
    <w:rsid w:val="00FF220D"/>
    <w:rsid w:val="00FF28B0"/>
    <w:rsid w:val="00FF2ABE"/>
    <w:rsid w:val="00FF3013"/>
    <w:rsid w:val="00FF303A"/>
    <w:rsid w:val="00FF30B6"/>
    <w:rsid w:val="00FF3192"/>
    <w:rsid w:val="00FF3A76"/>
    <w:rsid w:val="00FF3E8A"/>
    <w:rsid w:val="00FF428D"/>
    <w:rsid w:val="00FF455F"/>
    <w:rsid w:val="00FF4C54"/>
    <w:rsid w:val="00FF4DA5"/>
    <w:rsid w:val="00FF4EFA"/>
    <w:rsid w:val="00FF5175"/>
    <w:rsid w:val="00FF5752"/>
    <w:rsid w:val="00FF5891"/>
    <w:rsid w:val="00FF5D82"/>
    <w:rsid w:val="00FF5E9F"/>
    <w:rsid w:val="00FF5FB7"/>
    <w:rsid w:val="00FF6AE6"/>
    <w:rsid w:val="00FF6AFD"/>
    <w:rsid w:val="00FF6B87"/>
    <w:rsid w:val="00FF6F64"/>
    <w:rsid w:val="00FF6F6F"/>
    <w:rsid w:val="00FF7092"/>
    <w:rsid w:val="00FF726F"/>
    <w:rsid w:val="00FF7405"/>
    <w:rsid w:val="00FF74B1"/>
    <w:rsid w:val="00FF78D3"/>
    <w:rsid w:val="00FF791C"/>
    <w:rsid w:val="00FF7BCF"/>
    <w:rsid w:val="00FF7E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3399A"/>
  <w15:docId w15:val="{C8DD5F9D-4AF9-40DB-B178-E844705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7D"/>
    <w:pPr>
      <w:spacing w:after="0" w:line="240" w:lineRule="auto"/>
    </w:pPr>
    <w:rPr>
      <w:rFonts w:ascii="Times New Roman" w:hAnsi="Times New Roman" w:cs="Times New Roman"/>
      <w:sz w:val="24"/>
      <w:szCs w:val="24"/>
      <w:lang w:eastAsia="pt-BR"/>
    </w:rPr>
  </w:style>
  <w:style w:type="paragraph" w:styleId="Ttulo1">
    <w:name w:val="heading 1"/>
    <w:aliases w:val="«H1 Título»"/>
    <w:basedOn w:val="Normal"/>
    <w:next w:val="Normal"/>
    <w:link w:val="Ttulo1Char"/>
    <w:uiPriority w:val="99"/>
    <w:qFormat/>
    <w:rsid w:val="00831984"/>
    <w:pPr>
      <w:keepNext/>
      <w:spacing w:before="240" w:after="240"/>
      <w:outlineLvl w:val="0"/>
    </w:pPr>
    <w:rPr>
      <w:rFonts w:ascii="Arial" w:hAnsi="Arial" w:cs="Arial"/>
      <w:b/>
      <w:bCs/>
      <w:kern w:val="28"/>
      <w:sz w:val="28"/>
      <w:szCs w:val="28"/>
    </w:rPr>
  </w:style>
  <w:style w:type="paragraph" w:styleId="Ttulo2">
    <w:name w:val="heading 2"/>
    <w:aliases w:val="«H2 Subtítulo»"/>
    <w:basedOn w:val="Normal"/>
    <w:next w:val="Normal"/>
    <w:link w:val="Ttulo2Char"/>
    <w:uiPriority w:val="99"/>
    <w:qFormat/>
    <w:rsid w:val="00831984"/>
    <w:pPr>
      <w:keepNext/>
      <w:tabs>
        <w:tab w:val="right" w:pos="284"/>
        <w:tab w:val="left" w:pos="340"/>
      </w:tabs>
      <w:spacing w:before="240" w:after="240"/>
      <w:outlineLvl w:val="1"/>
    </w:pPr>
    <w:rPr>
      <w:b/>
      <w:bCs/>
      <w:sz w:val="22"/>
      <w:szCs w:val="22"/>
    </w:rPr>
  </w:style>
  <w:style w:type="paragraph" w:styleId="Ttulo3">
    <w:name w:val="heading 3"/>
    <w:aliases w:val="«H3 Intertítulos»"/>
    <w:basedOn w:val="Normal"/>
    <w:next w:val="Normal"/>
    <w:link w:val="Ttulo3Char"/>
    <w:uiPriority w:val="99"/>
    <w:qFormat/>
    <w:rsid w:val="00831984"/>
    <w:pPr>
      <w:keepNext/>
      <w:spacing w:before="120" w:after="240"/>
      <w:outlineLvl w:val="2"/>
    </w:pPr>
    <w:rPr>
      <w:rFonts w:ascii="Arial" w:hAnsi="Arial" w:cs="Arial"/>
    </w:rPr>
  </w:style>
  <w:style w:type="paragraph" w:styleId="Ttulo4">
    <w:name w:val="heading 4"/>
    <w:aliases w:val="«H4 Intertítulo»"/>
    <w:basedOn w:val="Normal"/>
    <w:next w:val="Normal"/>
    <w:link w:val="Ttulo4Char"/>
    <w:uiPriority w:val="99"/>
    <w:qFormat/>
    <w:rsid w:val="00831984"/>
    <w:pPr>
      <w:keepNext/>
      <w:tabs>
        <w:tab w:val="left" w:pos="567"/>
      </w:tabs>
      <w:spacing w:before="240" w:after="240"/>
      <w:outlineLvl w:val="3"/>
    </w:pPr>
    <w:rPr>
      <w:b/>
      <w:bCs/>
      <w:sz w:val="22"/>
      <w:szCs w:val="22"/>
    </w:rPr>
  </w:style>
  <w:style w:type="paragraph" w:styleId="Ttulo5">
    <w:name w:val="heading 5"/>
    <w:basedOn w:val="Normal"/>
    <w:next w:val="Normal"/>
    <w:link w:val="Ttulo5Char"/>
    <w:qFormat/>
    <w:rsid w:val="00831984"/>
    <w:pPr>
      <w:tabs>
        <w:tab w:val="num" w:pos="0"/>
      </w:tabs>
      <w:suppressAutoHyphens/>
      <w:spacing w:before="200" w:line="276" w:lineRule="auto"/>
      <w:ind w:left="1008" w:hanging="1008"/>
      <w:outlineLvl w:val="4"/>
    </w:pPr>
    <w:rPr>
      <w:rFonts w:ascii="Calibri" w:hAnsi="Calibri"/>
      <w:smallCaps/>
      <w:color w:val="943634"/>
      <w:spacing w:val="10"/>
      <w:sz w:val="22"/>
      <w:szCs w:val="26"/>
      <w:lang w:val="en-US" w:eastAsia="en-US"/>
    </w:rPr>
  </w:style>
  <w:style w:type="paragraph" w:styleId="Ttulo6">
    <w:name w:val="heading 6"/>
    <w:basedOn w:val="Normal"/>
    <w:next w:val="Normal"/>
    <w:link w:val="Ttulo6Char"/>
    <w:qFormat/>
    <w:rsid w:val="00831984"/>
    <w:pPr>
      <w:tabs>
        <w:tab w:val="num" w:pos="0"/>
      </w:tabs>
      <w:suppressAutoHyphens/>
      <w:spacing w:line="276" w:lineRule="auto"/>
      <w:ind w:left="1152" w:hanging="1152"/>
      <w:outlineLvl w:val="5"/>
    </w:pPr>
    <w:rPr>
      <w:rFonts w:ascii="Calibri" w:hAnsi="Calibri"/>
      <w:smallCaps/>
      <w:color w:val="C0504D"/>
      <w:spacing w:val="5"/>
      <w:sz w:val="22"/>
      <w:szCs w:val="20"/>
      <w:lang w:val="en-US" w:eastAsia="en-US"/>
    </w:rPr>
  </w:style>
  <w:style w:type="paragraph" w:styleId="Ttulo7">
    <w:name w:val="heading 7"/>
    <w:basedOn w:val="Normal"/>
    <w:next w:val="Normal"/>
    <w:link w:val="Ttulo7Char"/>
    <w:qFormat/>
    <w:rsid w:val="00831984"/>
    <w:pPr>
      <w:tabs>
        <w:tab w:val="num" w:pos="0"/>
      </w:tabs>
      <w:suppressAutoHyphens/>
      <w:spacing w:line="276" w:lineRule="auto"/>
      <w:ind w:left="1296" w:hanging="1296"/>
      <w:outlineLvl w:val="6"/>
    </w:pPr>
    <w:rPr>
      <w:rFonts w:ascii="Calibri" w:hAnsi="Calibri"/>
      <w:b/>
      <w:smallCaps/>
      <w:color w:val="C0504D"/>
      <w:spacing w:val="10"/>
      <w:sz w:val="20"/>
      <w:szCs w:val="20"/>
      <w:lang w:val="en-US" w:eastAsia="en-US"/>
    </w:rPr>
  </w:style>
  <w:style w:type="paragraph" w:styleId="Ttulo8">
    <w:name w:val="heading 8"/>
    <w:basedOn w:val="Normal"/>
    <w:next w:val="Normal"/>
    <w:link w:val="Ttulo8Char"/>
    <w:qFormat/>
    <w:rsid w:val="00831984"/>
    <w:pPr>
      <w:tabs>
        <w:tab w:val="num" w:pos="0"/>
      </w:tabs>
      <w:suppressAutoHyphens/>
      <w:spacing w:line="276" w:lineRule="auto"/>
      <w:ind w:left="1440" w:hanging="1440"/>
      <w:outlineLvl w:val="7"/>
    </w:pPr>
    <w:rPr>
      <w:rFonts w:ascii="Calibri" w:hAnsi="Calibri"/>
      <w:b/>
      <w:i/>
      <w:smallCaps/>
      <w:color w:val="943634"/>
      <w:sz w:val="20"/>
      <w:szCs w:val="20"/>
      <w:lang w:val="en-US" w:eastAsia="en-US"/>
    </w:rPr>
  </w:style>
  <w:style w:type="paragraph" w:styleId="Ttulo9">
    <w:name w:val="heading 9"/>
    <w:basedOn w:val="Normal"/>
    <w:next w:val="Normal"/>
    <w:link w:val="Ttulo9Char"/>
    <w:qFormat/>
    <w:rsid w:val="00831984"/>
    <w:pPr>
      <w:tabs>
        <w:tab w:val="num" w:pos="0"/>
      </w:tabs>
      <w:suppressAutoHyphens/>
      <w:spacing w:line="276" w:lineRule="auto"/>
      <w:ind w:left="1584" w:hanging="1584"/>
      <w:outlineLvl w:val="8"/>
    </w:pPr>
    <w:rPr>
      <w:rFonts w:ascii="Calibri" w:hAnsi="Calibri"/>
      <w:b/>
      <w:i/>
      <w:smallCaps/>
      <w:color w:val="622423"/>
      <w:sz w:val="20"/>
      <w:szCs w:val="2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1 Título» Char"/>
    <w:basedOn w:val="Fontepargpadro"/>
    <w:link w:val="Ttulo1"/>
    <w:uiPriority w:val="99"/>
    <w:locked/>
    <w:rsid w:val="00831984"/>
    <w:rPr>
      <w:rFonts w:ascii="Arial" w:hAnsi="Arial" w:cs="Arial"/>
      <w:b/>
      <w:bCs/>
      <w:kern w:val="28"/>
      <w:sz w:val="28"/>
      <w:szCs w:val="28"/>
      <w:lang w:eastAsia="pt-BR"/>
    </w:rPr>
  </w:style>
  <w:style w:type="character" w:customStyle="1" w:styleId="Ttulo2Char">
    <w:name w:val="Título 2 Char"/>
    <w:aliases w:val="«H2 Subtítulo» Char"/>
    <w:basedOn w:val="Fontepargpadro"/>
    <w:link w:val="Ttulo2"/>
    <w:uiPriority w:val="99"/>
    <w:locked/>
    <w:rsid w:val="00831984"/>
    <w:rPr>
      <w:rFonts w:ascii="Times New Roman" w:hAnsi="Times New Roman" w:cs="Times New Roman"/>
      <w:b/>
      <w:bCs/>
      <w:lang w:eastAsia="pt-BR"/>
    </w:rPr>
  </w:style>
  <w:style w:type="character" w:customStyle="1" w:styleId="Ttulo3Char">
    <w:name w:val="Título 3 Char"/>
    <w:aliases w:val="«H3 Intertítulos» Char"/>
    <w:basedOn w:val="Fontepargpadro"/>
    <w:link w:val="Ttulo3"/>
    <w:uiPriority w:val="99"/>
    <w:locked/>
    <w:rsid w:val="00831984"/>
    <w:rPr>
      <w:rFonts w:ascii="Arial" w:hAnsi="Arial" w:cs="Arial"/>
      <w:sz w:val="24"/>
      <w:szCs w:val="24"/>
      <w:lang w:eastAsia="pt-BR"/>
    </w:rPr>
  </w:style>
  <w:style w:type="character" w:customStyle="1" w:styleId="Ttulo4Char">
    <w:name w:val="Título 4 Char"/>
    <w:aliases w:val="«H4 Intertítulo» Char"/>
    <w:basedOn w:val="Fontepargpadro"/>
    <w:link w:val="Ttulo4"/>
    <w:uiPriority w:val="99"/>
    <w:locked/>
    <w:rsid w:val="00831984"/>
    <w:rPr>
      <w:rFonts w:ascii="Times New Roman" w:hAnsi="Times New Roman" w:cs="Times New Roman"/>
      <w:b/>
      <w:bCs/>
      <w:lang w:eastAsia="pt-BR"/>
    </w:rPr>
  </w:style>
  <w:style w:type="character" w:customStyle="1" w:styleId="Ttulo5Char">
    <w:name w:val="Título 5 Char"/>
    <w:basedOn w:val="Fontepargpadro"/>
    <w:link w:val="Ttulo5"/>
    <w:uiPriority w:val="99"/>
    <w:locked/>
    <w:rsid w:val="00831984"/>
    <w:rPr>
      <w:rFonts w:ascii="Calibri" w:hAnsi="Calibri" w:cs="Times New Roman"/>
      <w:smallCaps/>
      <w:color w:val="943634"/>
      <w:spacing w:val="10"/>
      <w:sz w:val="26"/>
      <w:szCs w:val="26"/>
      <w:lang w:val="en-US"/>
    </w:rPr>
  </w:style>
  <w:style w:type="character" w:customStyle="1" w:styleId="Ttulo6Char">
    <w:name w:val="Título 6 Char"/>
    <w:basedOn w:val="Fontepargpadro"/>
    <w:link w:val="Ttulo6"/>
    <w:locked/>
    <w:rsid w:val="00831984"/>
    <w:rPr>
      <w:rFonts w:ascii="Calibri" w:hAnsi="Calibri" w:cs="Times New Roman"/>
      <w:smallCaps/>
      <w:color w:val="C0504D"/>
      <w:spacing w:val="5"/>
      <w:sz w:val="20"/>
      <w:szCs w:val="20"/>
      <w:lang w:val="en-US"/>
    </w:rPr>
  </w:style>
  <w:style w:type="character" w:customStyle="1" w:styleId="Ttulo7Char">
    <w:name w:val="Título 7 Char"/>
    <w:basedOn w:val="Fontepargpadro"/>
    <w:link w:val="Ttulo7"/>
    <w:uiPriority w:val="99"/>
    <w:locked/>
    <w:rsid w:val="00831984"/>
    <w:rPr>
      <w:rFonts w:ascii="Calibri" w:hAnsi="Calibri" w:cs="Times New Roman"/>
      <w:b/>
      <w:smallCaps/>
      <w:color w:val="C0504D"/>
      <w:spacing w:val="10"/>
      <w:sz w:val="20"/>
      <w:szCs w:val="20"/>
      <w:lang w:val="en-US"/>
    </w:rPr>
  </w:style>
  <w:style w:type="character" w:customStyle="1" w:styleId="Ttulo8Char">
    <w:name w:val="Título 8 Char"/>
    <w:basedOn w:val="Fontepargpadro"/>
    <w:link w:val="Ttulo8"/>
    <w:uiPriority w:val="99"/>
    <w:locked/>
    <w:rsid w:val="00831984"/>
    <w:rPr>
      <w:rFonts w:ascii="Calibri" w:hAnsi="Calibri" w:cs="Times New Roman"/>
      <w:b/>
      <w:i/>
      <w:smallCaps/>
      <w:color w:val="943634"/>
      <w:sz w:val="20"/>
      <w:szCs w:val="20"/>
      <w:lang w:val="en-US"/>
    </w:rPr>
  </w:style>
  <w:style w:type="character" w:customStyle="1" w:styleId="Ttulo9Char">
    <w:name w:val="Título 9 Char"/>
    <w:basedOn w:val="Fontepargpadro"/>
    <w:link w:val="Ttulo9"/>
    <w:uiPriority w:val="99"/>
    <w:locked/>
    <w:rsid w:val="00831984"/>
    <w:rPr>
      <w:rFonts w:ascii="Calibri" w:hAnsi="Calibri" w:cs="Times New Roman"/>
      <w:b/>
      <w:i/>
      <w:smallCaps/>
      <w:color w:val="622423"/>
      <w:sz w:val="20"/>
      <w:szCs w:val="20"/>
      <w:lang w:val="en-US"/>
    </w:rPr>
  </w:style>
  <w:style w:type="paragraph" w:styleId="Corpodetexto">
    <w:name w:val="Body Text"/>
    <w:basedOn w:val="Normal"/>
    <w:link w:val="CorpodetextoChar"/>
    <w:uiPriority w:val="99"/>
    <w:rsid w:val="00831984"/>
    <w:pPr>
      <w:keepLines/>
      <w:tabs>
        <w:tab w:val="left" w:pos="851"/>
      </w:tabs>
      <w:spacing w:before="120" w:after="120"/>
      <w:jc w:val="both"/>
    </w:pPr>
    <w:rPr>
      <w:sz w:val="22"/>
      <w:szCs w:val="22"/>
    </w:rPr>
  </w:style>
  <w:style w:type="character" w:customStyle="1" w:styleId="CorpodetextoChar">
    <w:name w:val="Corpo de texto Char"/>
    <w:basedOn w:val="Fontepargpadro"/>
    <w:link w:val="Corpodetexto"/>
    <w:uiPriority w:val="99"/>
    <w:locked/>
    <w:rsid w:val="00831984"/>
    <w:rPr>
      <w:rFonts w:ascii="Times New Roman" w:hAnsi="Times New Roman" w:cs="Times New Roman"/>
      <w:lang w:eastAsia="pt-BR"/>
    </w:rPr>
  </w:style>
  <w:style w:type="paragraph" w:customStyle="1" w:styleId="CG-DblSp">
    <w:name w:val="CG-Dbl Sp"/>
    <w:aliases w:val="d1"/>
    <w:basedOn w:val="Normal"/>
    <w:uiPriority w:val="99"/>
    <w:rsid w:val="00831984"/>
    <w:pPr>
      <w:tabs>
        <w:tab w:val="left" w:pos="340"/>
      </w:tabs>
      <w:spacing w:before="120" w:after="120"/>
    </w:pPr>
    <w:rPr>
      <w:sz w:val="22"/>
      <w:szCs w:val="22"/>
    </w:rPr>
  </w:style>
  <w:style w:type="character" w:customStyle="1" w:styleId="iManageFooter">
    <w:name w:val="iManage Footer"/>
    <w:basedOn w:val="Fontepargpadro"/>
    <w:uiPriority w:val="99"/>
    <w:rsid w:val="00831984"/>
    <w:rPr>
      <w:rFonts w:cs="Times New Roman"/>
      <w:sz w:val="16"/>
      <w:szCs w:val="16"/>
      <w:lang w:val="en-US"/>
    </w:rPr>
  </w:style>
  <w:style w:type="character" w:styleId="Nmerodepgina">
    <w:name w:val="page number"/>
    <w:basedOn w:val="Fontepargpadro"/>
    <w:rsid w:val="00831984"/>
    <w:rPr>
      <w:rFonts w:cs="Times New Roman"/>
      <w:lang w:val="en-US"/>
    </w:rPr>
  </w:style>
  <w:style w:type="paragraph" w:styleId="Cabealho">
    <w:name w:val="header"/>
    <w:aliases w:val="even,EY Header"/>
    <w:basedOn w:val="Normal"/>
    <w:link w:val="CabealhoChar"/>
    <w:rsid w:val="00831984"/>
    <w:pPr>
      <w:tabs>
        <w:tab w:val="center" w:pos="4320"/>
        <w:tab w:val="right" w:pos="8640"/>
      </w:tabs>
    </w:pPr>
    <w:rPr>
      <w:sz w:val="20"/>
      <w:szCs w:val="20"/>
    </w:rPr>
  </w:style>
  <w:style w:type="character" w:customStyle="1" w:styleId="CabealhoChar">
    <w:name w:val="Cabeçalho Char"/>
    <w:aliases w:val="even Char,EY Header Char"/>
    <w:basedOn w:val="Fontepargpadro"/>
    <w:link w:val="Cabealho"/>
    <w:locked/>
    <w:rsid w:val="00831984"/>
    <w:rPr>
      <w:rFonts w:ascii="Times New Roman" w:hAnsi="Times New Roman" w:cs="Times New Roman"/>
      <w:sz w:val="20"/>
      <w:szCs w:val="20"/>
      <w:lang w:eastAsia="pt-BR"/>
    </w:rPr>
  </w:style>
  <w:style w:type="paragraph" w:styleId="Rodap">
    <w:name w:val="footer"/>
    <w:basedOn w:val="Normal"/>
    <w:link w:val="RodapChar"/>
    <w:uiPriority w:val="99"/>
    <w:rsid w:val="00831984"/>
    <w:pPr>
      <w:tabs>
        <w:tab w:val="center" w:pos="4320"/>
        <w:tab w:val="right" w:pos="8640"/>
      </w:tabs>
    </w:pPr>
    <w:rPr>
      <w:sz w:val="20"/>
      <w:szCs w:val="20"/>
    </w:rPr>
  </w:style>
  <w:style w:type="character" w:customStyle="1" w:styleId="RodapChar">
    <w:name w:val="Rodapé Char"/>
    <w:basedOn w:val="Fontepargpadro"/>
    <w:link w:val="Rodap"/>
    <w:uiPriority w:val="99"/>
    <w:locked/>
    <w:rsid w:val="00831984"/>
    <w:rPr>
      <w:rFonts w:ascii="Times New Roman" w:hAnsi="Times New Roman" w:cs="Times New Roman"/>
      <w:sz w:val="20"/>
      <w:szCs w:val="20"/>
      <w:lang w:eastAsia="pt-BR"/>
    </w:rPr>
  </w:style>
  <w:style w:type="character" w:customStyle="1" w:styleId="FooterRightSideText">
    <w:name w:val="FooterRightSideText"/>
    <w:basedOn w:val="Fontepargpadro"/>
    <w:uiPriority w:val="99"/>
    <w:rsid w:val="00831984"/>
    <w:rPr>
      <w:rFonts w:cs="Times New Roman"/>
      <w:lang w:val="en-US"/>
    </w:rPr>
  </w:style>
  <w:style w:type="paragraph" w:customStyle="1" w:styleId="centerheadbold">
    <w:name w:val="center head bold"/>
    <w:basedOn w:val="Normal"/>
    <w:uiPriority w:val="99"/>
    <w:rsid w:val="00831984"/>
    <w:pPr>
      <w:keepNext/>
      <w:widowControl w:val="0"/>
      <w:spacing w:after="240"/>
      <w:jc w:val="center"/>
    </w:pPr>
    <w:rPr>
      <w:b/>
      <w:bCs/>
      <w:sz w:val="22"/>
      <w:szCs w:val="22"/>
    </w:rPr>
  </w:style>
  <w:style w:type="paragraph" w:styleId="Textodecomentrio">
    <w:name w:val="annotation text"/>
    <w:basedOn w:val="Normal"/>
    <w:link w:val="TextodecomentrioChar"/>
    <w:uiPriority w:val="99"/>
    <w:semiHidden/>
    <w:rsid w:val="00831984"/>
    <w:rPr>
      <w:sz w:val="20"/>
      <w:szCs w:val="20"/>
    </w:rPr>
  </w:style>
  <w:style w:type="character" w:customStyle="1" w:styleId="TextodecomentrioChar">
    <w:name w:val="Texto de comentário Char"/>
    <w:basedOn w:val="Fontepargpadro"/>
    <w:link w:val="Textodecomentrio"/>
    <w:uiPriority w:val="99"/>
    <w:locked/>
    <w:rsid w:val="00831984"/>
    <w:rPr>
      <w:rFonts w:ascii="Times New Roman" w:hAnsi="Times New Roman" w:cs="Times New Roman"/>
      <w:sz w:val="20"/>
      <w:szCs w:val="20"/>
      <w:lang w:eastAsia="pt-BR"/>
    </w:rPr>
  </w:style>
  <w:style w:type="table" w:styleId="Tabelacomgrade">
    <w:name w:val="Table Grid"/>
    <w:basedOn w:val="Tabelanormal"/>
    <w:rsid w:val="0083198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ENDEREOCarta">
    <w:name w:val="09 - «ENDEREÇO» Carta"/>
    <w:basedOn w:val="Normal"/>
    <w:uiPriority w:val="99"/>
    <w:rsid w:val="00831984"/>
    <w:pPr>
      <w:spacing w:line="260" w:lineRule="atLeast"/>
    </w:pPr>
    <w:rPr>
      <w:sz w:val="22"/>
      <w:szCs w:val="22"/>
      <w:lang w:eastAsia="en-US"/>
    </w:rPr>
  </w:style>
  <w:style w:type="paragraph" w:customStyle="1" w:styleId="17TEXTOcorpojustificado">
    <w:name w:val="17. «TEXTO» corpo justificado"/>
    <w:basedOn w:val="Normal"/>
    <w:uiPriority w:val="99"/>
    <w:rsid w:val="00831984"/>
    <w:pPr>
      <w:spacing w:line="260" w:lineRule="atLeast"/>
      <w:jc w:val="both"/>
    </w:pPr>
    <w:rPr>
      <w:rFonts w:ascii="Times" w:hAnsi="Times" w:cs="Times"/>
      <w:sz w:val="22"/>
      <w:szCs w:val="22"/>
    </w:rPr>
  </w:style>
  <w:style w:type="paragraph" w:customStyle="1" w:styleId="CG-Title-Left-Bold">
    <w:name w:val="CG-Title-Left-Bold"/>
    <w:aliases w:val="t3"/>
    <w:basedOn w:val="Normal"/>
    <w:next w:val="CG-SingleSp1"/>
    <w:uiPriority w:val="99"/>
    <w:rsid w:val="00831984"/>
    <w:pPr>
      <w:keepNext/>
      <w:spacing w:after="120"/>
    </w:pPr>
    <w:rPr>
      <w:b/>
      <w:bCs/>
      <w:sz w:val="22"/>
      <w:szCs w:val="22"/>
    </w:rPr>
  </w:style>
  <w:style w:type="paragraph" w:customStyle="1" w:styleId="CG-SingleSp1">
    <w:name w:val="CG-Single Sp 1"/>
    <w:aliases w:val="s3"/>
    <w:basedOn w:val="Normal"/>
    <w:uiPriority w:val="99"/>
    <w:rsid w:val="00831984"/>
    <w:pPr>
      <w:spacing w:after="240"/>
      <w:ind w:firstLine="1440"/>
    </w:pPr>
    <w:rPr>
      <w:sz w:val="20"/>
      <w:szCs w:val="20"/>
    </w:rPr>
  </w:style>
  <w:style w:type="paragraph" w:customStyle="1" w:styleId="CG-Bullet">
    <w:name w:val="CG-Bullet"/>
    <w:aliases w:val="b1"/>
    <w:basedOn w:val="Normal"/>
    <w:uiPriority w:val="99"/>
    <w:rsid w:val="00831984"/>
    <w:pPr>
      <w:tabs>
        <w:tab w:val="num" w:pos="360"/>
      </w:tabs>
      <w:ind w:left="360" w:hanging="360"/>
    </w:pPr>
    <w:rPr>
      <w:sz w:val="20"/>
      <w:szCs w:val="20"/>
    </w:rPr>
  </w:style>
  <w:style w:type="paragraph" w:styleId="Corpodetexto2">
    <w:name w:val="Body Text 2"/>
    <w:basedOn w:val="Normal"/>
    <w:link w:val="Corpodetexto2Char"/>
    <w:uiPriority w:val="99"/>
    <w:rsid w:val="00831984"/>
    <w:pPr>
      <w:spacing w:before="120" w:after="120" w:line="480" w:lineRule="auto"/>
    </w:pPr>
    <w:rPr>
      <w:sz w:val="20"/>
      <w:szCs w:val="20"/>
    </w:rPr>
  </w:style>
  <w:style w:type="character" w:customStyle="1" w:styleId="Corpodetexto2Char">
    <w:name w:val="Corpo de texto 2 Char"/>
    <w:basedOn w:val="Fontepargpadro"/>
    <w:link w:val="Corpodetexto2"/>
    <w:uiPriority w:val="99"/>
    <w:locked/>
    <w:rsid w:val="00831984"/>
    <w:rPr>
      <w:rFonts w:ascii="Times New Roman" w:hAnsi="Times New Roman" w:cs="Times New Roman"/>
      <w:sz w:val="20"/>
      <w:szCs w:val="20"/>
      <w:lang w:eastAsia="pt-BR"/>
    </w:rPr>
  </w:style>
  <w:style w:type="paragraph" w:styleId="Corpodetexto3">
    <w:name w:val="Body Text 3"/>
    <w:basedOn w:val="Normal"/>
    <w:link w:val="Corpodetexto3Char"/>
    <w:uiPriority w:val="99"/>
    <w:rsid w:val="00831984"/>
    <w:pPr>
      <w:spacing w:after="120"/>
    </w:pPr>
    <w:rPr>
      <w:sz w:val="16"/>
      <w:szCs w:val="16"/>
    </w:rPr>
  </w:style>
  <w:style w:type="character" w:customStyle="1" w:styleId="Corpodetexto3Char">
    <w:name w:val="Corpo de texto 3 Char"/>
    <w:basedOn w:val="Fontepargpadro"/>
    <w:link w:val="Corpodetexto3"/>
    <w:uiPriority w:val="99"/>
    <w:locked/>
    <w:rsid w:val="00831984"/>
    <w:rPr>
      <w:rFonts w:ascii="Times New Roman" w:hAnsi="Times New Roman" w:cs="Times New Roman"/>
      <w:sz w:val="16"/>
      <w:szCs w:val="16"/>
      <w:lang w:eastAsia="pt-BR"/>
    </w:rPr>
  </w:style>
  <w:style w:type="paragraph" w:customStyle="1" w:styleId="16FOOTERrodap">
    <w:name w:val="16. «FOOTER» rodapé"/>
    <w:basedOn w:val="Normal"/>
    <w:uiPriority w:val="99"/>
    <w:rsid w:val="00831984"/>
    <w:pPr>
      <w:tabs>
        <w:tab w:val="center" w:pos="4320"/>
      </w:tabs>
      <w:spacing w:before="260"/>
      <w:jc w:val="center"/>
    </w:pPr>
    <w:rPr>
      <w:rFonts w:ascii="Times" w:hAnsi="Times" w:cs="Times"/>
      <w:sz w:val="22"/>
      <w:szCs w:val="22"/>
    </w:rPr>
  </w:style>
  <w:style w:type="paragraph" w:customStyle="1" w:styleId="CG-Title-Left-Underscore">
    <w:name w:val="CG-Title-Left-Underscore"/>
    <w:aliases w:val="t4"/>
    <w:basedOn w:val="Normal"/>
    <w:next w:val="Normal"/>
    <w:uiPriority w:val="99"/>
    <w:rsid w:val="00831984"/>
    <w:pPr>
      <w:keepNext/>
      <w:spacing w:after="240"/>
    </w:pPr>
    <w:rPr>
      <w:sz w:val="20"/>
      <w:szCs w:val="20"/>
      <w:u w:val="single"/>
    </w:rPr>
  </w:style>
  <w:style w:type="paragraph" w:customStyle="1" w:styleId="rulecutoff">
    <w:name w:val="rulecutoff"/>
    <w:basedOn w:val="Normal"/>
    <w:uiPriority w:val="99"/>
    <w:rsid w:val="00831984"/>
    <w:pPr>
      <w:tabs>
        <w:tab w:val="left" w:leader="underscore" w:pos="1440"/>
      </w:tabs>
      <w:spacing w:after="180"/>
      <w:jc w:val="center"/>
    </w:pPr>
    <w:rPr>
      <w:sz w:val="20"/>
      <w:szCs w:val="20"/>
    </w:rPr>
  </w:style>
  <w:style w:type="paragraph" w:customStyle="1" w:styleId="SingleSpace">
    <w:name w:val="SingleSpace"/>
    <w:basedOn w:val="Normal"/>
    <w:uiPriority w:val="99"/>
    <w:rsid w:val="00831984"/>
    <w:pPr>
      <w:spacing w:after="240"/>
      <w:ind w:firstLine="720"/>
      <w:jc w:val="both"/>
    </w:pPr>
    <w:rPr>
      <w:sz w:val="22"/>
      <w:szCs w:val="22"/>
    </w:rPr>
  </w:style>
  <w:style w:type="paragraph" w:customStyle="1" w:styleId="Leftheading">
    <w:name w:val="Left heading"/>
    <w:basedOn w:val="Normal"/>
    <w:uiPriority w:val="99"/>
    <w:rsid w:val="00831984"/>
    <w:pPr>
      <w:keepNext/>
      <w:widowControl w:val="0"/>
      <w:tabs>
        <w:tab w:val="left" w:pos="900"/>
      </w:tabs>
      <w:spacing w:after="120"/>
    </w:pPr>
    <w:rPr>
      <w:b/>
      <w:bCs/>
      <w:sz w:val="22"/>
      <w:szCs w:val="22"/>
    </w:rPr>
  </w:style>
  <w:style w:type="character" w:styleId="Hyperlink">
    <w:name w:val="Hyperlink"/>
    <w:basedOn w:val="Fontepargpadro"/>
    <w:uiPriority w:val="99"/>
    <w:rsid w:val="00831984"/>
    <w:rPr>
      <w:rFonts w:cs="Times New Roman"/>
      <w:color w:val="auto"/>
      <w:u w:val="none"/>
      <w:effect w:val="none"/>
    </w:rPr>
  </w:style>
  <w:style w:type="character" w:customStyle="1" w:styleId="Estilo11pt">
    <w:name w:val="Estilo 11 pt"/>
    <w:basedOn w:val="Fontepargpadro"/>
    <w:uiPriority w:val="99"/>
    <w:rsid w:val="00831984"/>
    <w:rPr>
      <w:rFonts w:cs="Times New Roman"/>
      <w:sz w:val="24"/>
      <w:szCs w:val="24"/>
    </w:rPr>
  </w:style>
  <w:style w:type="paragraph" w:customStyle="1" w:styleId="EstiloCorpodetextoAntes0ptDepoisde0pt">
    <w:name w:val="Estilo Corpo de texto + Antes:  0 pt Depois de:  0 pt"/>
    <w:basedOn w:val="Corpodetexto"/>
    <w:uiPriority w:val="99"/>
    <w:rsid w:val="00831984"/>
    <w:pPr>
      <w:spacing w:before="0" w:after="0"/>
    </w:pPr>
    <w:rPr>
      <w:sz w:val="24"/>
      <w:szCs w:val="24"/>
    </w:rPr>
  </w:style>
  <w:style w:type="paragraph" w:styleId="Textodebalo">
    <w:name w:val="Balloon Text"/>
    <w:basedOn w:val="Normal"/>
    <w:link w:val="TextodebaloChar"/>
    <w:uiPriority w:val="99"/>
    <w:rsid w:val="00831984"/>
    <w:rPr>
      <w:rFonts w:ascii="Tahoma" w:hAnsi="Tahoma" w:cs="Tahoma"/>
      <w:sz w:val="16"/>
      <w:szCs w:val="16"/>
    </w:rPr>
  </w:style>
  <w:style w:type="character" w:customStyle="1" w:styleId="TextodebaloChar">
    <w:name w:val="Texto de balão Char"/>
    <w:basedOn w:val="Fontepargpadro"/>
    <w:link w:val="Textodebalo"/>
    <w:uiPriority w:val="99"/>
    <w:locked/>
    <w:rsid w:val="00831984"/>
    <w:rPr>
      <w:rFonts w:ascii="Tahoma" w:hAnsi="Tahoma" w:cs="Tahoma"/>
      <w:sz w:val="16"/>
      <w:szCs w:val="16"/>
      <w:lang w:eastAsia="pt-BR"/>
    </w:rPr>
  </w:style>
  <w:style w:type="paragraph" w:customStyle="1" w:styleId="Default">
    <w:name w:val="Default"/>
    <w:rsid w:val="00831984"/>
    <w:pPr>
      <w:autoSpaceDE w:val="0"/>
      <w:autoSpaceDN w:val="0"/>
      <w:adjustRightInd w:val="0"/>
      <w:spacing w:after="0" w:line="240" w:lineRule="auto"/>
    </w:pPr>
    <w:rPr>
      <w:rFonts w:ascii="Arial" w:hAnsi="Arial" w:cs="Arial"/>
      <w:color w:val="000000"/>
      <w:sz w:val="24"/>
      <w:szCs w:val="24"/>
      <w:lang w:eastAsia="pt-BR"/>
    </w:rPr>
  </w:style>
  <w:style w:type="paragraph" w:customStyle="1" w:styleId="PargrafodaLista1">
    <w:name w:val="Parágrafo da Lista1"/>
    <w:basedOn w:val="Normal"/>
    <w:uiPriority w:val="99"/>
    <w:rsid w:val="00831984"/>
    <w:pPr>
      <w:ind w:left="708"/>
    </w:pPr>
    <w:rPr>
      <w:sz w:val="20"/>
      <w:szCs w:val="20"/>
    </w:rPr>
  </w:style>
  <w:style w:type="paragraph" w:customStyle="1" w:styleId="Normal1">
    <w:name w:val="Normal 1"/>
    <w:basedOn w:val="Normal"/>
    <w:uiPriority w:val="99"/>
    <w:rsid w:val="00831984"/>
    <w:pPr>
      <w:spacing w:after="240" w:line="280" w:lineRule="atLeast"/>
      <w:ind w:left="454"/>
      <w:jc w:val="both"/>
    </w:pPr>
    <w:rPr>
      <w:lang w:val="en-US" w:eastAsia="en-US"/>
    </w:rPr>
  </w:style>
  <w:style w:type="paragraph" w:styleId="Recuodecorpodetexto">
    <w:name w:val="Body Text Indent"/>
    <w:basedOn w:val="Normal"/>
    <w:link w:val="RecuodecorpodetextoChar"/>
    <w:uiPriority w:val="99"/>
    <w:rsid w:val="00831984"/>
    <w:pPr>
      <w:spacing w:after="120"/>
      <w:ind w:left="283"/>
    </w:pPr>
    <w:rPr>
      <w:sz w:val="20"/>
      <w:szCs w:val="20"/>
    </w:rPr>
  </w:style>
  <w:style w:type="character" w:customStyle="1" w:styleId="RecuodecorpodetextoChar">
    <w:name w:val="Recuo de corpo de texto Char"/>
    <w:basedOn w:val="Fontepargpadro"/>
    <w:link w:val="Recuodecorpodetexto"/>
    <w:uiPriority w:val="99"/>
    <w:locked/>
    <w:rsid w:val="00831984"/>
    <w:rPr>
      <w:rFonts w:ascii="Times New Roman" w:hAnsi="Times New Roman" w:cs="Times New Roman"/>
      <w:sz w:val="20"/>
      <w:szCs w:val="20"/>
      <w:lang w:eastAsia="pt-BR"/>
    </w:rPr>
  </w:style>
  <w:style w:type="paragraph" w:styleId="Recuodecorpodetexto3">
    <w:name w:val="Body Text Indent 3"/>
    <w:basedOn w:val="Normal"/>
    <w:link w:val="Recuodecorpodetexto3Char"/>
    <w:uiPriority w:val="99"/>
    <w:rsid w:val="0083198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831984"/>
    <w:rPr>
      <w:rFonts w:ascii="Times New Roman" w:hAnsi="Times New Roman" w:cs="Times New Roman"/>
      <w:sz w:val="16"/>
      <w:szCs w:val="16"/>
      <w:lang w:eastAsia="pt-BR"/>
    </w:rPr>
  </w:style>
  <w:style w:type="paragraph" w:customStyle="1" w:styleId="Contedodetabela">
    <w:name w:val="Conteúdo de tabela"/>
    <w:basedOn w:val="Normal"/>
    <w:uiPriority w:val="99"/>
    <w:rsid w:val="00831984"/>
    <w:pPr>
      <w:suppressLineNumbers/>
      <w:suppressAutoHyphens/>
    </w:pPr>
    <w:rPr>
      <w:rFonts w:cs="Calibri"/>
      <w:sz w:val="20"/>
      <w:szCs w:val="20"/>
      <w:lang w:eastAsia="ar-SA"/>
    </w:rPr>
  </w:style>
  <w:style w:type="character" w:customStyle="1" w:styleId="H3InterttulosCharChar">
    <w:name w:val="«H3 Intertítulos» Char Char"/>
    <w:basedOn w:val="Fontepargpadro"/>
    <w:uiPriority w:val="99"/>
    <w:rsid w:val="00831984"/>
    <w:rPr>
      <w:rFonts w:ascii="Arial" w:hAnsi="Arial" w:cs="Arial"/>
      <w:sz w:val="20"/>
      <w:szCs w:val="20"/>
    </w:rPr>
  </w:style>
  <w:style w:type="character" w:customStyle="1" w:styleId="Ttulo3Char1">
    <w:name w:val="Título 3 Char1"/>
    <w:basedOn w:val="Fontepargpadro"/>
    <w:uiPriority w:val="99"/>
    <w:locked/>
    <w:rsid w:val="00831984"/>
    <w:rPr>
      <w:rFonts w:ascii="Arial" w:hAnsi="Arial" w:cs="Calibri"/>
      <w:bCs/>
      <w:sz w:val="24"/>
      <w:lang w:eastAsia="ar-SA" w:bidi="ar-SA"/>
    </w:rPr>
  </w:style>
  <w:style w:type="paragraph" w:customStyle="1" w:styleId="CorpodetextoLatimArial">
    <w:name w:val="Corpo de texto + (Latim) Arial"/>
    <w:aliases w:val="10 pt,Justificado,Primeira linha:  2,5 cm,..."/>
    <w:basedOn w:val="Corpodetexto"/>
    <w:uiPriority w:val="99"/>
    <w:rsid w:val="00831984"/>
    <w:pPr>
      <w:keepLines w:val="0"/>
      <w:tabs>
        <w:tab w:val="clear" w:pos="851"/>
      </w:tabs>
      <w:suppressAutoHyphens/>
      <w:spacing w:before="0" w:after="0"/>
      <w:ind w:firstLine="1418"/>
    </w:pPr>
    <w:rPr>
      <w:rFonts w:ascii="Arial" w:hAnsi="Arial" w:cs="Arial"/>
      <w:sz w:val="20"/>
      <w:szCs w:val="20"/>
      <w:lang w:eastAsia="ar-SA"/>
    </w:rPr>
  </w:style>
  <w:style w:type="paragraph" w:customStyle="1" w:styleId="Standard">
    <w:name w:val="Standard"/>
    <w:uiPriority w:val="99"/>
    <w:rsid w:val="00831984"/>
    <w:pPr>
      <w:widowControl w:val="0"/>
      <w:tabs>
        <w:tab w:val="left" w:pos="709"/>
      </w:tabs>
      <w:suppressAutoHyphens/>
      <w:spacing w:after="0" w:line="240" w:lineRule="auto"/>
    </w:pPr>
    <w:rPr>
      <w:rFonts w:ascii="Times New Roman" w:eastAsia="SimSun" w:hAnsi="Times New Roman" w:cs="Tahoma"/>
      <w:color w:val="00000A"/>
      <w:sz w:val="24"/>
      <w:szCs w:val="24"/>
      <w:lang w:eastAsia="hi-IN" w:bidi="hi-IN"/>
    </w:rPr>
  </w:style>
  <w:style w:type="paragraph" w:customStyle="1" w:styleId="estilocorpodetextoantes0ptdepoisde0pt0">
    <w:name w:val="estilocorpodetextoantes0ptdepoisde0pt"/>
    <w:basedOn w:val="Normal"/>
    <w:uiPriority w:val="99"/>
    <w:rsid w:val="00831984"/>
    <w:pPr>
      <w:spacing w:before="100" w:beforeAutospacing="1" w:after="100" w:afterAutospacing="1"/>
    </w:pPr>
  </w:style>
  <w:style w:type="paragraph" w:customStyle="1" w:styleId="padro">
    <w:name w:val="padro"/>
    <w:basedOn w:val="Normal"/>
    <w:uiPriority w:val="99"/>
    <w:rsid w:val="00831984"/>
    <w:pPr>
      <w:spacing w:before="100" w:beforeAutospacing="1" w:after="100" w:afterAutospacing="1"/>
    </w:pPr>
  </w:style>
  <w:style w:type="paragraph" w:customStyle="1" w:styleId="singlespace0">
    <w:name w:val="singlespace"/>
    <w:basedOn w:val="Normal"/>
    <w:uiPriority w:val="99"/>
    <w:rsid w:val="00831984"/>
    <w:pPr>
      <w:spacing w:before="100" w:beforeAutospacing="1" w:after="100" w:afterAutospacing="1"/>
    </w:pPr>
  </w:style>
  <w:style w:type="character" w:customStyle="1" w:styleId="object">
    <w:name w:val="object"/>
    <w:basedOn w:val="Fontepargpadro"/>
    <w:rsid w:val="00831984"/>
    <w:rPr>
      <w:rFonts w:cs="Times New Roman"/>
    </w:rPr>
  </w:style>
  <w:style w:type="character" w:styleId="Forte">
    <w:name w:val="Strong"/>
    <w:basedOn w:val="Fontepargpadro"/>
    <w:uiPriority w:val="22"/>
    <w:qFormat/>
    <w:rsid w:val="00831984"/>
    <w:rPr>
      <w:rFonts w:cs="Times New Roman"/>
      <w:b/>
    </w:rPr>
  </w:style>
  <w:style w:type="paragraph" w:customStyle="1" w:styleId="Corpo-TR">
    <w:name w:val="Corpo-TR"/>
    <w:basedOn w:val="Normal"/>
    <w:uiPriority w:val="99"/>
    <w:rsid w:val="00831984"/>
    <w:pPr>
      <w:widowControl w:val="0"/>
      <w:suppressAutoHyphens/>
      <w:spacing w:before="120" w:after="120"/>
      <w:ind w:firstLine="708"/>
      <w:jc w:val="both"/>
    </w:pPr>
    <w:rPr>
      <w:rFonts w:ascii="Verdana" w:eastAsia="WenQuanYi Micro Hei" w:hAnsi="Verdana" w:cs="Arial"/>
      <w:kern w:val="1"/>
      <w:lang w:eastAsia="hi-IN" w:bidi="hi-IN"/>
    </w:rPr>
  </w:style>
  <w:style w:type="paragraph" w:customStyle="1" w:styleId="TextodeTabela">
    <w:name w:val="Texto de Tabela"/>
    <w:basedOn w:val="Normal"/>
    <w:uiPriority w:val="99"/>
    <w:rsid w:val="00831984"/>
    <w:pPr>
      <w:spacing w:before="40" w:after="40"/>
    </w:pPr>
    <w:rPr>
      <w:rFonts w:ascii="Arial" w:hAnsi="Arial" w:cs="Arial"/>
      <w:sz w:val="20"/>
      <w:szCs w:val="20"/>
      <w:lang w:eastAsia="en-US"/>
    </w:rPr>
  </w:style>
  <w:style w:type="paragraph" w:customStyle="1" w:styleId="TextodaTabela">
    <w:name w:val="Texto da Tabela"/>
    <w:basedOn w:val="Normal"/>
    <w:link w:val="TextodaTabelaChar"/>
    <w:uiPriority w:val="99"/>
    <w:rsid w:val="00831984"/>
    <w:pPr>
      <w:spacing w:before="40" w:after="40"/>
    </w:pPr>
    <w:rPr>
      <w:rFonts w:ascii="Arial" w:hAnsi="Arial" w:cs="Arial"/>
      <w:sz w:val="22"/>
      <w:szCs w:val="20"/>
      <w:lang w:eastAsia="en-US"/>
    </w:rPr>
  </w:style>
  <w:style w:type="character" w:customStyle="1" w:styleId="TextodaTabelaChar">
    <w:name w:val="Texto da Tabela Char"/>
    <w:basedOn w:val="Fontepargpadro"/>
    <w:link w:val="TextodaTabela"/>
    <w:uiPriority w:val="99"/>
    <w:locked/>
    <w:rsid w:val="00831984"/>
    <w:rPr>
      <w:rFonts w:ascii="Arial" w:hAnsi="Arial" w:cs="Arial"/>
      <w:sz w:val="20"/>
      <w:szCs w:val="20"/>
    </w:rPr>
  </w:style>
  <w:style w:type="paragraph" w:customStyle="1" w:styleId="TextodoTtulodaTabela">
    <w:name w:val="Texto do Título da Tabela"/>
    <w:basedOn w:val="Normal"/>
    <w:uiPriority w:val="99"/>
    <w:rsid w:val="00831984"/>
    <w:pPr>
      <w:spacing w:before="60" w:after="60"/>
    </w:pPr>
    <w:rPr>
      <w:rFonts w:ascii="Arial Black" w:hAnsi="Arial Black"/>
      <w:sz w:val="18"/>
      <w:szCs w:val="20"/>
      <w:lang w:eastAsia="en-US"/>
    </w:rPr>
  </w:style>
  <w:style w:type="character" w:customStyle="1" w:styleId="BaseChar">
    <w:name w:val="Base Char"/>
    <w:basedOn w:val="Fontepargpadro"/>
    <w:uiPriority w:val="99"/>
    <w:rsid w:val="00831984"/>
    <w:rPr>
      <w:rFonts w:ascii="Arial" w:hAnsi="Arial" w:cs="Arial"/>
      <w:sz w:val="16"/>
      <w:lang w:val="pt-BR" w:eastAsia="en-US" w:bidi="ar-SA"/>
    </w:rPr>
  </w:style>
  <w:style w:type="character" w:customStyle="1" w:styleId="WW8Num2z1">
    <w:name w:val="WW8Num2z1"/>
    <w:uiPriority w:val="99"/>
    <w:rsid w:val="00831984"/>
    <w:rPr>
      <w:rFonts w:ascii="Symbol" w:hAnsi="Symbol"/>
      <w:sz w:val="22"/>
    </w:rPr>
  </w:style>
  <w:style w:type="character" w:customStyle="1" w:styleId="WW8Num3z2">
    <w:name w:val="WW8Num3z2"/>
    <w:uiPriority w:val="99"/>
    <w:rsid w:val="00831984"/>
    <w:rPr>
      <w:rFonts w:ascii="Times New Roman" w:hAnsi="Times New Roman"/>
      <w:b/>
      <w:i/>
    </w:rPr>
  </w:style>
  <w:style w:type="character" w:customStyle="1" w:styleId="WW8Num5z0">
    <w:name w:val="WW8Num5z0"/>
    <w:uiPriority w:val="99"/>
    <w:rsid w:val="00831984"/>
    <w:rPr>
      <w:rFonts w:ascii="Symbol" w:hAnsi="Symbol"/>
    </w:rPr>
  </w:style>
  <w:style w:type="character" w:customStyle="1" w:styleId="WW8Num6z0">
    <w:name w:val="WW8Num6z0"/>
    <w:uiPriority w:val="99"/>
    <w:rsid w:val="00831984"/>
    <w:rPr>
      <w:rFonts w:ascii="Symbol" w:hAnsi="Symbol"/>
    </w:rPr>
  </w:style>
  <w:style w:type="character" w:customStyle="1" w:styleId="Absatz-Standardschriftart">
    <w:name w:val="Absatz-Standardschriftart"/>
    <w:uiPriority w:val="99"/>
    <w:rsid w:val="00831984"/>
  </w:style>
  <w:style w:type="character" w:customStyle="1" w:styleId="WW-Absatz-Standardschriftart">
    <w:name w:val="WW-Absatz-Standardschriftart"/>
    <w:uiPriority w:val="99"/>
    <w:rsid w:val="00831984"/>
  </w:style>
  <w:style w:type="character" w:customStyle="1" w:styleId="WW-Absatz-Standardschriftart1">
    <w:name w:val="WW-Absatz-Standardschriftart1"/>
    <w:uiPriority w:val="99"/>
    <w:rsid w:val="00831984"/>
  </w:style>
  <w:style w:type="character" w:customStyle="1" w:styleId="WW-Absatz-Standardschriftart11">
    <w:name w:val="WW-Absatz-Standardschriftart11"/>
    <w:uiPriority w:val="99"/>
    <w:rsid w:val="00831984"/>
  </w:style>
  <w:style w:type="character" w:customStyle="1" w:styleId="WW-Absatz-Standardschriftart111">
    <w:name w:val="WW-Absatz-Standardschriftart111"/>
    <w:uiPriority w:val="99"/>
    <w:rsid w:val="00831984"/>
  </w:style>
  <w:style w:type="character" w:customStyle="1" w:styleId="WW-Absatz-Standardschriftart1111">
    <w:name w:val="WW-Absatz-Standardschriftart1111"/>
    <w:uiPriority w:val="99"/>
    <w:rsid w:val="00831984"/>
  </w:style>
  <w:style w:type="character" w:customStyle="1" w:styleId="WW-Absatz-Standardschriftart11111">
    <w:name w:val="WW-Absatz-Standardschriftart11111"/>
    <w:uiPriority w:val="99"/>
    <w:rsid w:val="00831984"/>
  </w:style>
  <w:style w:type="character" w:customStyle="1" w:styleId="WW8Num2z0">
    <w:name w:val="WW8Num2z0"/>
    <w:uiPriority w:val="99"/>
    <w:rsid w:val="00831984"/>
    <w:rPr>
      <w:rFonts w:ascii="Symbol" w:hAnsi="Symbol"/>
    </w:rPr>
  </w:style>
  <w:style w:type="character" w:customStyle="1" w:styleId="WW8Num3z0">
    <w:name w:val="WW8Num3z0"/>
    <w:uiPriority w:val="99"/>
    <w:rsid w:val="00831984"/>
    <w:rPr>
      <w:rFonts w:ascii="Symbol" w:hAnsi="Symbol"/>
      <w:sz w:val="24"/>
    </w:rPr>
  </w:style>
  <w:style w:type="character" w:customStyle="1" w:styleId="WW8Num4z0">
    <w:name w:val="WW8Num4z0"/>
    <w:uiPriority w:val="99"/>
    <w:rsid w:val="00831984"/>
    <w:rPr>
      <w:rFonts w:ascii="Symbol" w:hAnsi="Symbol"/>
    </w:rPr>
  </w:style>
  <w:style w:type="character" w:customStyle="1" w:styleId="WW8Num5z1">
    <w:name w:val="WW8Num5z1"/>
    <w:uiPriority w:val="99"/>
    <w:rsid w:val="00831984"/>
    <w:rPr>
      <w:rFonts w:ascii="OpenSymbol" w:hAnsi="OpenSymbol"/>
    </w:rPr>
  </w:style>
  <w:style w:type="character" w:customStyle="1" w:styleId="WW8Num6z1">
    <w:name w:val="WW8Num6z1"/>
    <w:uiPriority w:val="99"/>
    <w:rsid w:val="00831984"/>
    <w:rPr>
      <w:rFonts w:ascii="OpenSymbol" w:hAnsi="OpenSymbol"/>
    </w:rPr>
  </w:style>
  <w:style w:type="character" w:customStyle="1" w:styleId="WW8Num7z0">
    <w:name w:val="WW8Num7z0"/>
    <w:uiPriority w:val="99"/>
    <w:rsid w:val="00831984"/>
    <w:rPr>
      <w:rFonts w:ascii="Symbol" w:hAnsi="Symbol"/>
    </w:rPr>
  </w:style>
  <w:style w:type="character" w:customStyle="1" w:styleId="WW8Num8z0">
    <w:name w:val="WW8Num8z0"/>
    <w:uiPriority w:val="99"/>
    <w:rsid w:val="00831984"/>
    <w:rPr>
      <w:rFonts w:ascii="Symbol" w:hAnsi="Symbol"/>
    </w:rPr>
  </w:style>
  <w:style w:type="character" w:customStyle="1" w:styleId="WW8Num8z1">
    <w:name w:val="WW8Num8z1"/>
    <w:uiPriority w:val="99"/>
    <w:rsid w:val="00831984"/>
    <w:rPr>
      <w:rFonts w:ascii="Courier New" w:hAnsi="Courier New"/>
    </w:rPr>
  </w:style>
  <w:style w:type="character" w:customStyle="1" w:styleId="WW8Num8z2">
    <w:name w:val="WW8Num8z2"/>
    <w:uiPriority w:val="99"/>
    <w:rsid w:val="00831984"/>
    <w:rPr>
      <w:rFonts w:ascii="Wingdings" w:hAnsi="Wingdings"/>
    </w:rPr>
  </w:style>
  <w:style w:type="character" w:customStyle="1" w:styleId="WW8Num9z0">
    <w:name w:val="WW8Num9z0"/>
    <w:uiPriority w:val="99"/>
    <w:rsid w:val="00831984"/>
    <w:rPr>
      <w:b/>
    </w:rPr>
  </w:style>
  <w:style w:type="character" w:customStyle="1" w:styleId="WW8Num10z0">
    <w:name w:val="WW8Num10z0"/>
    <w:uiPriority w:val="99"/>
    <w:rsid w:val="00831984"/>
    <w:rPr>
      <w:rFonts w:ascii="Symbol" w:hAnsi="Symbol"/>
    </w:rPr>
  </w:style>
  <w:style w:type="character" w:customStyle="1" w:styleId="WW8Num10z1">
    <w:name w:val="WW8Num10z1"/>
    <w:uiPriority w:val="99"/>
    <w:rsid w:val="00831984"/>
    <w:rPr>
      <w:rFonts w:ascii="Courier New" w:hAnsi="Courier New"/>
    </w:rPr>
  </w:style>
  <w:style w:type="character" w:customStyle="1" w:styleId="WW8Num10z2">
    <w:name w:val="WW8Num10z2"/>
    <w:uiPriority w:val="99"/>
    <w:rsid w:val="00831984"/>
    <w:rPr>
      <w:rFonts w:ascii="Wingdings" w:hAnsi="Wingdings"/>
    </w:rPr>
  </w:style>
  <w:style w:type="character" w:customStyle="1" w:styleId="WW8Num11z0">
    <w:name w:val="WW8Num11z0"/>
    <w:uiPriority w:val="99"/>
    <w:rsid w:val="00831984"/>
    <w:rPr>
      <w:b/>
    </w:rPr>
  </w:style>
  <w:style w:type="character" w:customStyle="1" w:styleId="WW8Num12z0">
    <w:name w:val="WW8Num12z0"/>
    <w:uiPriority w:val="99"/>
    <w:rsid w:val="00831984"/>
    <w:rPr>
      <w:b/>
    </w:rPr>
  </w:style>
  <w:style w:type="character" w:customStyle="1" w:styleId="WW8Num13z1">
    <w:name w:val="WW8Num13z1"/>
    <w:uiPriority w:val="99"/>
    <w:rsid w:val="00831984"/>
    <w:rPr>
      <w:rFonts w:ascii="Symbol" w:hAnsi="Symbol"/>
      <w:sz w:val="22"/>
    </w:rPr>
  </w:style>
  <w:style w:type="character" w:customStyle="1" w:styleId="WW8Num14z0">
    <w:name w:val="WW8Num14z0"/>
    <w:uiPriority w:val="99"/>
    <w:rsid w:val="00831984"/>
    <w:rPr>
      <w:rFonts w:ascii="Symbol" w:hAnsi="Symbol"/>
    </w:rPr>
  </w:style>
  <w:style w:type="character" w:customStyle="1" w:styleId="WW8Num14z1">
    <w:name w:val="WW8Num14z1"/>
    <w:uiPriority w:val="99"/>
    <w:rsid w:val="00831984"/>
    <w:rPr>
      <w:rFonts w:ascii="Courier New" w:hAnsi="Courier New"/>
    </w:rPr>
  </w:style>
  <w:style w:type="character" w:customStyle="1" w:styleId="WW8Num14z2">
    <w:name w:val="WW8Num14z2"/>
    <w:uiPriority w:val="99"/>
    <w:rsid w:val="00831984"/>
    <w:rPr>
      <w:rFonts w:ascii="Wingdings" w:hAnsi="Wingdings"/>
    </w:rPr>
  </w:style>
  <w:style w:type="character" w:customStyle="1" w:styleId="WW8Num15z0">
    <w:name w:val="WW8Num15z0"/>
    <w:uiPriority w:val="99"/>
    <w:rsid w:val="00831984"/>
    <w:rPr>
      <w:b/>
    </w:rPr>
  </w:style>
  <w:style w:type="character" w:customStyle="1" w:styleId="WW8Num17z0">
    <w:name w:val="WW8Num17z0"/>
    <w:uiPriority w:val="99"/>
    <w:rsid w:val="00831984"/>
    <w:rPr>
      <w:rFonts w:ascii="Symbol" w:hAnsi="Symbol"/>
    </w:rPr>
  </w:style>
  <w:style w:type="character" w:customStyle="1" w:styleId="WW8Num17z1">
    <w:name w:val="WW8Num17z1"/>
    <w:uiPriority w:val="99"/>
    <w:rsid w:val="00831984"/>
    <w:rPr>
      <w:rFonts w:ascii="Courier New" w:hAnsi="Courier New"/>
    </w:rPr>
  </w:style>
  <w:style w:type="character" w:customStyle="1" w:styleId="WW8Num17z2">
    <w:name w:val="WW8Num17z2"/>
    <w:uiPriority w:val="99"/>
    <w:rsid w:val="00831984"/>
    <w:rPr>
      <w:rFonts w:ascii="Wingdings" w:hAnsi="Wingdings"/>
    </w:rPr>
  </w:style>
  <w:style w:type="character" w:customStyle="1" w:styleId="WW8Num18z0">
    <w:name w:val="WW8Num18z0"/>
    <w:uiPriority w:val="99"/>
    <w:rsid w:val="00831984"/>
    <w:rPr>
      <w:rFonts w:ascii="Symbol" w:hAnsi="Symbol"/>
    </w:rPr>
  </w:style>
  <w:style w:type="character" w:customStyle="1" w:styleId="WW8Num19z0">
    <w:name w:val="WW8Num19z0"/>
    <w:uiPriority w:val="99"/>
    <w:rsid w:val="00831984"/>
    <w:rPr>
      <w:rFonts w:ascii="Symbol" w:hAnsi="Symbol"/>
    </w:rPr>
  </w:style>
  <w:style w:type="character" w:customStyle="1" w:styleId="WW8Num19z1">
    <w:name w:val="WW8Num19z1"/>
    <w:uiPriority w:val="99"/>
    <w:rsid w:val="00831984"/>
    <w:rPr>
      <w:rFonts w:ascii="Courier New" w:hAnsi="Courier New"/>
    </w:rPr>
  </w:style>
  <w:style w:type="character" w:customStyle="1" w:styleId="WW8Num19z2">
    <w:name w:val="WW8Num19z2"/>
    <w:uiPriority w:val="99"/>
    <w:rsid w:val="00831984"/>
    <w:rPr>
      <w:rFonts w:ascii="Wingdings" w:hAnsi="Wingdings"/>
    </w:rPr>
  </w:style>
  <w:style w:type="character" w:customStyle="1" w:styleId="WW8Num20z0">
    <w:name w:val="WW8Num20z0"/>
    <w:uiPriority w:val="99"/>
    <w:rsid w:val="00831984"/>
    <w:rPr>
      <w:rFonts w:ascii="Wingdings" w:hAnsi="Wingdings"/>
    </w:rPr>
  </w:style>
  <w:style w:type="character" w:customStyle="1" w:styleId="WW8Num22z0">
    <w:name w:val="WW8Num22z0"/>
    <w:uiPriority w:val="99"/>
    <w:rsid w:val="00831984"/>
    <w:rPr>
      <w:rFonts w:ascii="Symbol" w:hAnsi="Symbol"/>
    </w:rPr>
  </w:style>
  <w:style w:type="character" w:customStyle="1" w:styleId="WW8Num23z0">
    <w:name w:val="WW8Num23z0"/>
    <w:uiPriority w:val="99"/>
    <w:rsid w:val="00831984"/>
    <w:rPr>
      <w:rFonts w:ascii="Symbol" w:hAnsi="Symbol"/>
    </w:rPr>
  </w:style>
  <w:style w:type="character" w:customStyle="1" w:styleId="WW8Num23z1">
    <w:name w:val="WW8Num23z1"/>
    <w:uiPriority w:val="99"/>
    <w:rsid w:val="00831984"/>
    <w:rPr>
      <w:rFonts w:ascii="Courier New" w:hAnsi="Courier New"/>
    </w:rPr>
  </w:style>
  <w:style w:type="character" w:customStyle="1" w:styleId="WW8Num23z2">
    <w:name w:val="WW8Num23z2"/>
    <w:uiPriority w:val="99"/>
    <w:rsid w:val="00831984"/>
    <w:rPr>
      <w:rFonts w:ascii="Wingdings" w:hAnsi="Wingdings"/>
    </w:rPr>
  </w:style>
  <w:style w:type="character" w:customStyle="1" w:styleId="WW8Num24z0">
    <w:name w:val="WW8Num24z0"/>
    <w:uiPriority w:val="99"/>
    <w:rsid w:val="00831984"/>
    <w:rPr>
      <w:rFonts w:ascii="Symbol" w:hAnsi="Symbol"/>
    </w:rPr>
  </w:style>
  <w:style w:type="character" w:customStyle="1" w:styleId="WW8Num24z1">
    <w:name w:val="WW8Num24z1"/>
    <w:uiPriority w:val="99"/>
    <w:rsid w:val="00831984"/>
    <w:rPr>
      <w:rFonts w:ascii="Courier New" w:hAnsi="Courier New"/>
    </w:rPr>
  </w:style>
  <w:style w:type="character" w:customStyle="1" w:styleId="WW8Num24z2">
    <w:name w:val="WW8Num24z2"/>
    <w:uiPriority w:val="99"/>
    <w:rsid w:val="00831984"/>
    <w:rPr>
      <w:rFonts w:ascii="Wingdings" w:hAnsi="Wingdings"/>
    </w:rPr>
  </w:style>
  <w:style w:type="character" w:customStyle="1" w:styleId="WW8Num25z0">
    <w:name w:val="WW8Num25z0"/>
    <w:uiPriority w:val="99"/>
    <w:rsid w:val="00831984"/>
    <w:rPr>
      <w:b/>
    </w:rPr>
  </w:style>
  <w:style w:type="character" w:customStyle="1" w:styleId="WW8Num26z0">
    <w:name w:val="WW8Num26z0"/>
    <w:uiPriority w:val="99"/>
    <w:rsid w:val="00831984"/>
    <w:rPr>
      <w:sz w:val="22"/>
    </w:rPr>
  </w:style>
  <w:style w:type="character" w:customStyle="1" w:styleId="WW8Num27z0">
    <w:name w:val="WW8Num27z0"/>
    <w:uiPriority w:val="99"/>
    <w:rsid w:val="00831984"/>
    <w:rPr>
      <w:b/>
      <w:i/>
    </w:rPr>
  </w:style>
  <w:style w:type="character" w:customStyle="1" w:styleId="WW8Num28z0">
    <w:name w:val="WW8Num28z0"/>
    <w:uiPriority w:val="99"/>
    <w:rsid w:val="00831984"/>
    <w:rPr>
      <w:rFonts w:ascii="Symbol" w:hAnsi="Symbol"/>
    </w:rPr>
  </w:style>
  <w:style w:type="character" w:customStyle="1" w:styleId="WW8Num28z1">
    <w:name w:val="WW8Num28z1"/>
    <w:uiPriority w:val="99"/>
    <w:rsid w:val="00831984"/>
    <w:rPr>
      <w:rFonts w:ascii="Courier New" w:hAnsi="Courier New"/>
    </w:rPr>
  </w:style>
  <w:style w:type="character" w:customStyle="1" w:styleId="WW8Num28z2">
    <w:name w:val="WW8Num28z2"/>
    <w:uiPriority w:val="99"/>
    <w:rsid w:val="00831984"/>
    <w:rPr>
      <w:rFonts w:ascii="Wingdings" w:hAnsi="Wingdings"/>
    </w:rPr>
  </w:style>
  <w:style w:type="character" w:customStyle="1" w:styleId="WW8Num29z0">
    <w:name w:val="WW8Num29z0"/>
    <w:uiPriority w:val="99"/>
    <w:rsid w:val="00831984"/>
    <w:rPr>
      <w:b/>
    </w:rPr>
  </w:style>
  <w:style w:type="character" w:customStyle="1" w:styleId="WW8Num31z0">
    <w:name w:val="WW8Num31z0"/>
    <w:uiPriority w:val="99"/>
    <w:rsid w:val="00831984"/>
    <w:rPr>
      <w:rFonts w:ascii="Symbol" w:hAnsi="Symbol"/>
      <w:sz w:val="24"/>
    </w:rPr>
  </w:style>
  <w:style w:type="character" w:customStyle="1" w:styleId="WW8Num32z0">
    <w:name w:val="WW8Num32z0"/>
    <w:uiPriority w:val="99"/>
    <w:rsid w:val="00831984"/>
    <w:rPr>
      <w:rFonts w:ascii="Symbol" w:hAnsi="Symbol"/>
    </w:rPr>
  </w:style>
  <w:style w:type="character" w:customStyle="1" w:styleId="WW8Num32z1">
    <w:name w:val="WW8Num32z1"/>
    <w:uiPriority w:val="99"/>
    <w:rsid w:val="00831984"/>
    <w:rPr>
      <w:rFonts w:ascii="Courier New" w:hAnsi="Courier New"/>
    </w:rPr>
  </w:style>
  <w:style w:type="character" w:customStyle="1" w:styleId="WW8Num32z2">
    <w:name w:val="WW8Num32z2"/>
    <w:uiPriority w:val="99"/>
    <w:rsid w:val="00831984"/>
    <w:rPr>
      <w:rFonts w:ascii="Wingdings" w:hAnsi="Wingdings"/>
    </w:rPr>
  </w:style>
  <w:style w:type="character" w:customStyle="1" w:styleId="WW8Num33z0">
    <w:name w:val="WW8Num33z0"/>
    <w:uiPriority w:val="99"/>
    <w:rsid w:val="00831984"/>
    <w:rPr>
      <w:rFonts w:ascii="Symbol" w:hAnsi="Symbol"/>
    </w:rPr>
  </w:style>
  <w:style w:type="character" w:customStyle="1" w:styleId="WW8Num33z1">
    <w:name w:val="WW8Num33z1"/>
    <w:uiPriority w:val="99"/>
    <w:rsid w:val="00831984"/>
    <w:rPr>
      <w:rFonts w:ascii="Courier New" w:hAnsi="Courier New"/>
    </w:rPr>
  </w:style>
  <w:style w:type="character" w:customStyle="1" w:styleId="WW8Num33z2">
    <w:name w:val="WW8Num33z2"/>
    <w:uiPriority w:val="99"/>
    <w:rsid w:val="00831984"/>
    <w:rPr>
      <w:rFonts w:ascii="Wingdings" w:hAnsi="Wingdings"/>
    </w:rPr>
  </w:style>
  <w:style w:type="character" w:customStyle="1" w:styleId="WW8Num34z2">
    <w:name w:val="WW8Num34z2"/>
    <w:uiPriority w:val="99"/>
    <w:rsid w:val="00831984"/>
    <w:rPr>
      <w:rFonts w:ascii="Times New Roman" w:hAnsi="Times New Roman"/>
      <w:b/>
      <w:i/>
    </w:rPr>
  </w:style>
  <w:style w:type="character" w:customStyle="1" w:styleId="WW8Num36z0">
    <w:name w:val="WW8Num36z0"/>
    <w:uiPriority w:val="99"/>
    <w:rsid w:val="00831984"/>
    <w:rPr>
      <w:rFonts w:ascii="Symbol" w:hAnsi="Symbol"/>
    </w:rPr>
  </w:style>
  <w:style w:type="character" w:customStyle="1" w:styleId="WW8Num36z1">
    <w:name w:val="WW8Num36z1"/>
    <w:uiPriority w:val="99"/>
    <w:rsid w:val="00831984"/>
    <w:rPr>
      <w:rFonts w:ascii="Courier New" w:hAnsi="Courier New"/>
    </w:rPr>
  </w:style>
  <w:style w:type="character" w:customStyle="1" w:styleId="WW8Num36z2">
    <w:name w:val="WW8Num36z2"/>
    <w:uiPriority w:val="99"/>
    <w:rsid w:val="00831984"/>
    <w:rPr>
      <w:rFonts w:ascii="Wingdings" w:hAnsi="Wingdings"/>
    </w:rPr>
  </w:style>
  <w:style w:type="character" w:customStyle="1" w:styleId="WW8Num37z0">
    <w:name w:val="WW8Num37z0"/>
    <w:uiPriority w:val="99"/>
    <w:rsid w:val="00831984"/>
    <w:rPr>
      <w:rFonts w:ascii="Symbol" w:hAnsi="Symbol"/>
    </w:rPr>
  </w:style>
  <w:style w:type="character" w:customStyle="1" w:styleId="WW8Num38z0">
    <w:name w:val="WW8Num38z0"/>
    <w:uiPriority w:val="99"/>
    <w:rsid w:val="00831984"/>
    <w:rPr>
      <w:rFonts w:ascii="Symbol" w:hAnsi="Symbol"/>
      <w:sz w:val="24"/>
    </w:rPr>
  </w:style>
  <w:style w:type="character" w:customStyle="1" w:styleId="WW8Num39z0">
    <w:name w:val="WW8Num39z0"/>
    <w:uiPriority w:val="99"/>
    <w:rsid w:val="00831984"/>
    <w:rPr>
      <w:rFonts w:ascii="Symbol" w:hAnsi="Symbol"/>
    </w:rPr>
  </w:style>
  <w:style w:type="character" w:customStyle="1" w:styleId="WW8Num39z1">
    <w:name w:val="WW8Num39z1"/>
    <w:uiPriority w:val="99"/>
    <w:rsid w:val="00831984"/>
    <w:rPr>
      <w:rFonts w:ascii="Courier New" w:hAnsi="Courier New"/>
    </w:rPr>
  </w:style>
  <w:style w:type="character" w:customStyle="1" w:styleId="WW8Num39z2">
    <w:name w:val="WW8Num39z2"/>
    <w:uiPriority w:val="99"/>
    <w:rsid w:val="00831984"/>
    <w:rPr>
      <w:rFonts w:ascii="Wingdings" w:hAnsi="Wingdings"/>
    </w:rPr>
  </w:style>
  <w:style w:type="character" w:customStyle="1" w:styleId="WW8Num40z0">
    <w:name w:val="WW8Num40z0"/>
    <w:uiPriority w:val="99"/>
    <w:rsid w:val="00831984"/>
    <w:rPr>
      <w:rFonts w:ascii="Symbol" w:hAnsi="Symbol"/>
    </w:rPr>
  </w:style>
  <w:style w:type="character" w:customStyle="1" w:styleId="WW8Num40z1">
    <w:name w:val="WW8Num40z1"/>
    <w:uiPriority w:val="99"/>
    <w:rsid w:val="00831984"/>
    <w:rPr>
      <w:rFonts w:ascii="Courier New" w:hAnsi="Courier New"/>
    </w:rPr>
  </w:style>
  <w:style w:type="character" w:customStyle="1" w:styleId="WW8Num40z2">
    <w:name w:val="WW8Num40z2"/>
    <w:uiPriority w:val="99"/>
    <w:rsid w:val="00831984"/>
    <w:rPr>
      <w:rFonts w:ascii="Wingdings" w:hAnsi="Wingdings"/>
    </w:rPr>
  </w:style>
  <w:style w:type="character" w:customStyle="1" w:styleId="WW8Num41z0">
    <w:name w:val="WW8Num41z0"/>
    <w:uiPriority w:val="99"/>
    <w:rsid w:val="00831984"/>
    <w:rPr>
      <w:rFonts w:ascii="Symbol" w:hAnsi="Symbol"/>
    </w:rPr>
  </w:style>
  <w:style w:type="character" w:customStyle="1" w:styleId="WW8Num43z0">
    <w:name w:val="WW8Num43z0"/>
    <w:uiPriority w:val="99"/>
    <w:rsid w:val="00831984"/>
    <w:rPr>
      <w:rFonts w:ascii="Symbol" w:hAnsi="Symbol"/>
    </w:rPr>
  </w:style>
  <w:style w:type="character" w:customStyle="1" w:styleId="WW8Num45z0">
    <w:name w:val="WW8Num45z0"/>
    <w:uiPriority w:val="99"/>
    <w:rsid w:val="00831984"/>
    <w:rPr>
      <w:rFonts w:ascii="Symbol" w:hAnsi="Symbol"/>
    </w:rPr>
  </w:style>
  <w:style w:type="character" w:customStyle="1" w:styleId="WW8Num45z1">
    <w:name w:val="WW8Num45z1"/>
    <w:uiPriority w:val="99"/>
    <w:rsid w:val="00831984"/>
    <w:rPr>
      <w:rFonts w:ascii="Courier New" w:hAnsi="Courier New"/>
    </w:rPr>
  </w:style>
  <w:style w:type="character" w:customStyle="1" w:styleId="WW8Num45z2">
    <w:name w:val="WW8Num45z2"/>
    <w:uiPriority w:val="99"/>
    <w:rsid w:val="00831984"/>
    <w:rPr>
      <w:rFonts w:ascii="Wingdings" w:hAnsi="Wingdings"/>
    </w:rPr>
  </w:style>
  <w:style w:type="character" w:customStyle="1" w:styleId="WW8Num46z0">
    <w:name w:val="WW8Num46z0"/>
    <w:uiPriority w:val="99"/>
    <w:rsid w:val="00831984"/>
    <w:rPr>
      <w:rFonts w:ascii="Symbol" w:hAnsi="Symbol"/>
    </w:rPr>
  </w:style>
  <w:style w:type="character" w:customStyle="1" w:styleId="WW8NumSt4z0">
    <w:name w:val="WW8NumSt4z0"/>
    <w:uiPriority w:val="99"/>
    <w:rsid w:val="00831984"/>
    <w:rPr>
      <w:rFonts w:ascii="Symbol" w:hAnsi="Symbol"/>
    </w:rPr>
  </w:style>
  <w:style w:type="character" w:customStyle="1" w:styleId="WW8NumSt5z0">
    <w:name w:val="WW8NumSt5z0"/>
    <w:uiPriority w:val="99"/>
    <w:rsid w:val="00831984"/>
    <w:rPr>
      <w:rFonts w:ascii="Symbol" w:hAnsi="Symbol"/>
    </w:rPr>
  </w:style>
  <w:style w:type="character" w:customStyle="1" w:styleId="Fontepargpadro1">
    <w:name w:val="Fonte parág. padrão1"/>
    <w:uiPriority w:val="99"/>
    <w:rsid w:val="00831984"/>
  </w:style>
  <w:style w:type="character" w:customStyle="1" w:styleId="TtuloChar">
    <w:name w:val="Título Char"/>
    <w:basedOn w:val="Fontepargpadro1"/>
    <w:uiPriority w:val="99"/>
    <w:rsid w:val="00831984"/>
    <w:rPr>
      <w:rFonts w:cs="Times New Roman"/>
      <w:smallCaps/>
      <w:sz w:val="48"/>
      <w:szCs w:val="48"/>
    </w:rPr>
  </w:style>
  <w:style w:type="character" w:customStyle="1" w:styleId="TextodenotaderodapChar">
    <w:name w:val="Texto de nota de rodapé Char"/>
    <w:basedOn w:val="Fontepargpadro1"/>
    <w:uiPriority w:val="99"/>
    <w:rsid w:val="00831984"/>
    <w:rPr>
      <w:rFonts w:ascii="Times New Roman" w:hAnsi="Times New Roman" w:cs="Times New Roman"/>
      <w:sz w:val="20"/>
      <w:szCs w:val="20"/>
    </w:rPr>
  </w:style>
  <w:style w:type="character" w:customStyle="1" w:styleId="Caracteresdenotaderodap">
    <w:name w:val="Caracteres de nota de rodapé"/>
    <w:basedOn w:val="Fontepargpadro1"/>
    <w:uiPriority w:val="99"/>
    <w:rsid w:val="00831984"/>
    <w:rPr>
      <w:rFonts w:cs="Times New Roman"/>
      <w:vertAlign w:val="superscript"/>
    </w:rPr>
  </w:style>
  <w:style w:type="character" w:customStyle="1" w:styleId="DeltaViewDeletion">
    <w:name w:val="DeltaView Deletion"/>
    <w:uiPriority w:val="99"/>
    <w:rsid w:val="00831984"/>
    <w:rPr>
      <w:strike/>
      <w:color w:val="FF0000"/>
      <w:spacing w:val="0"/>
    </w:rPr>
  </w:style>
  <w:style w:type="character" w:styleId="nfase">
    <w:name w:val="Emphasis"/>
    <w:basedOn w:val="Fontepargpadro"/>
    <w:uiPriority w:val="20"/>
    <w:qFormat/>
    <w:rsid w:val="00831984"/>
    <w:rPr>
      <w:rFonts w:ascii="Tahoma" w:hAnsi="Tahoma" w:cs="Times New Roman"/>
      <w:b/>
      <w:spacing w:val="10"/>
      <w:sz w:val="18"/>
    </w:rPr>
  </w:style>
  <w:style w:type="character" w:customStyle="1" w:styleId="Recuodecorpodetexto2Char">
    <w:name w:val="Recuo de corpo de texto 2 Char"/>
    <w:basedOn w:val="Fontepargpadro1"/>
    <w:uiPriority w:val="99"/>
    <w:rsid w:val="00831984"/>
    <w:rPr>
      <w:rFonts w:ascii="Times New Roman" w:hAnsi="Times New Roman" w:cs="Times New Roman"/>
      <w:sz w:val="24"/>
      <w:szCs w:val="24"/>
    </w:rPr>
  </w:style>
  <w:style w:type="character" w:customStyle="1" w:styleId="DeltaViewInsertion">
    <w:name w:val="DeltaView Insertion"/>
    <w:uiPriority w:val="99"/>
    <w:rsid w:val="00831984"/>
    <w:rPr>
      <w:b/>
      <w:color w:val="0000FF"/>
      <w:spacing w:val="0"/>
      <w:u w:val="double"/>
    </w:rPr>
  </w:style>
  <w:style w:type="character" w:customStyle="1" w:styleId="SubttuloChar">
    <w:name w:val="Subtítulo Char"/>
    <w:basedOn w:val="Fontepargpadro1"/>
    <w:uiPriority w:val="99"/>
    <w:rsid w:val="00831984"/>
    <w:rPr>
      <w:rFonts w:ascii="Cambria" w:hAnsi="Cambria" w:cs="Times New Roman"/>
      <w:sz w:val="22"/>
      <w:szCs w:val="22"/>
    </w:rPr>
  </w:style>
  <w:style w:type="character" w:customStyle="1" w:styleId="SemEspaamentoChar">
    <w:name w:val="Sem Espaçamento Char"/>
    <w:basedOn w:val="Fontepargpadro1"/>
    <w:uiPriority w:val="99"/>
    <w:rsid w:val="00831984"/>
    <w:rPr>
      <w:rFonts w:cs="Times New Roman"/>
    </w:rPr>
  </w:style>
  <w:style w:type="character" w:customStyle="1" w:styleId="CitaoChar">
    <w:name w:val="Citação Char"/>
    <w:basedOn w:val="Fontepargpadro1"/>
    <w:uiPriority w:val="29"/>
    <w:rsid w:val="00831984"/>
    <w:rPr>
      <w:rFonts w:cs="Times New Roman"/>
      <w:i/>
    </w:rPr>
  </w:style>
  <w:style w:type="character" w:customStyle="1" w:styleId="CitaoIntensaChar">
    <w:name w:val="Citação Intensa Char"/>
    <w:basedOn w:val="Fontepargpadro1"/>
    <w:uiPriority w:val="99"/>
    <w:rsid w:val="00831984"/>
    <w:rPr>
      <w:rFonts w:cs="Times New Roman"/>
      <w:b/>
      <w:i/>
      <w:color w:val="FFFFFF"/>
      <w:shd w:val="clear" w:color="auto" w:fill="C0504D"/>
    </w:rPr>
  </w:style>
  <w:style w:type="character" w:styleId="nfaseSutil">
    <w:name w:val="Subtle Emphasis"/>
    <w:basedOn w:val="Fontepargpadro"/>
    <w:uiPriority w:val="99"/>
    <w:qFormat/>
    <w:rsid w:val="00831984"/>
    <w:rPr>
      <w:rFonts w:cs="Times New Roman"/>
      <w:i/>
    </w:rPr>
  </w:style>
  <w:style w:type="character" w:styleId="nfaseIntensa">
    <w:name w:val="Intense Emphasis"/>
    <w:basedOn w:val="Fontepargpadro"/>
    <w:uiPriority w:val="99"/>
    <w:qFormat/>
    <w:rsid w:val="00831984"/>
    <w:rPr>
      <w:rFonts w:cs="Times New Roman"/>
      <w:b/>
      <w:i/>
      <w:color w:val="C0504D"/>
      <w:spacing w:val="10"/>
    </w:rPr>
  </w:style>
  <w:style w:type="character" w:styleId="RefernciaSutil">
    <w:name w:val="Subtle Reference"/>
    <w:basedOn w:val="Fontepargpadro"/>
    <w:uiPriority w:val="99"/>
    <w:qFormat/>
    <w:rsid w:val="00831984"/>
    <w:rPr>
      <w:rFonts w:ascii="Tahoma" w:hAnsi="Tahoma" w:cs="Times New Roman"/>
      <w:b/>
      <w:sz w:val="18"/>
    </w:rPr>
  </w:style>
  <w:style w:type="character" w:styleId="RefernciaIntensa">
    <w:name w:val="Intense Reference"/>
    <w:basedOn w:val="Fontepargpadro"/>
    <w:uiPriority w:val="32"/>
    <w:qFormat/>
    <w:rsid w:val="00831984"/>
    <w:rPr>
      <w:rFonts w:cs="Times New Roman"/>
      <w:b/>
      <w:smallCaps/>
      <w:spacing w:val="5"/>
      <w:sz w:val="22"/>
      <w:u w:val="single"/>
    </w:rPr>
  </w:style>
  <w:style w:type="character" w:styleId="TtulodoLivro">
    <w:name w:val="Book Title"/>
    <w:basedOn w:val="Fontepargpadro"/>
    <w:uiPriority w:val="99"/>
    <w:qFormat/>
    <w:rsid w:val="00831984"/>
    <w:rPr>
      <w:rFonts w:ascii="Cambria" w:hAnsi="Cambria" w:cs="Times New Roman"/>
      <w:i/>
      <w:sz w:val="20"/>
    </w:rPr>
  </w:style>
  <w:style w:type="character" w:customStyle="1" w:styleId="Smbolosdenumerao">
    <w:name w:val="Símbolos de numeração"/>
    <w:uiPriority w:val="99"/>
    <w:rsid w:val="00831984"/>
  </w:style>
  <w:style w:type="paragraph" w:customStyle="1" w:styleId="Ttulo10">
    <w:name w:val="Título1"/>
    <w:basedOn w:val="Normal"/>
    <w:next w:val="Normal"/>
    <w:uiPriority w:val="99"/>
    <w:rsid w:val="00831984"/>
    <w:pPr>
      <w:suppressAutoHyphens/>
      <w:spacing w:after="200"/>
      <w:jc w:val="right"/>
    </w:pPr>
    <w:rPr>
      <w:rFonts w:ascii="Calibri" w:hAnsi="Calibri"/>
      <w:smallCaps/>
      <w:sz w:val="48"/>
      <w:szCs w:val="48"/>
      <w:lang w:val="en-US" w:eastAsia="en-US"/>
    </w:rPr>
  </w:style>
  <w:style w:type="paragraph" w:styleId="Lista">
    <w:name w:val="List"/>
    <w:basedOn w:val="Corpodetexto"/>
    <w:uiPriority w:val="99"/>
    <w:rsid w:val="00831984"/>
    <w:pPr>
      <w:keepLines w:val="0"/>
      <w:tabs>
        <w:tab w:val="clear" w:pos="851"/>
      </w:tabs>
      <w:suppressAutoHyphens/>
      <w:spacing w:before="0" w:after="200" w:line="312" w:lineRule="auto"/>
    </w:pPr>
    <w:rPr>
      <w:rFonts w:ascii="Calibri" w:hAnsi="Calibri" w:cs="Lohit Hindi"/>
      <w:sz w:val="20"/>
      <w:szCs w:val="20"/>
      <w:lang w:val="en-US" w:eastAsia="en-US"/>
    </w:rPr>
  </w:style>
  <w:style w:type="paragraph" w:customStyle="1" w:styleId="Legenda1">
    <w:name w:val="Legenda1"/>
    <w:basedOn w:val="Normal"/>
    <w:next w:val="Normal"/>
    <w:uiPriority w:val="99"/>
    <w:rsid w:val="00831984"/>
    <w:pPr>
      <w:suppressAutoHyphens/>
      <w:spacing w:after="200" w:line="276" w:lineRule="auto"/>
      <w:jc w:val="both"/>
    </w:pPr>
    <w:rPr>
      <w:rFonts w:ascii="Calibri" w:hAnsi="Calibri"/>
      <w:b/>
      <w:bCs/>
      <w:caps/>
      <w:sz w:val="16"/>
      <w:szCs w:val="18"/>
      <w:lang w:val="en-US" w:eastAsia="en-US"/>
    </w:rPr>
  </w:style>
  <w:style w:type="paragraph" w:customStyle="1" w:styleId="ndice">
    <w:name w:val="Índice"/>
    <w:basedOn w:val="Normal"/>
    <w:uiPriority w:val="99"/>
    <w:rsid w:val="00831984"/>
    <w:pPr>
      <w:suppressLineNumbers/>
      <w:suppressAutoHyphens/>
      <w:spacing w:after="200" w:line="276" w:lineRule="auto"/>
      <w:jc w:val="both"/>
    </w:pPr>
    <w:rPr>
      <w:rFonts w:ascii="Calibri" w:hAnsi="Calibri" w:cs="Lohit Hindi"/>
      <w:sz w:val="20"/>
      <w:szCs w:val="20"/>
      <w:lang w:val="en-US" w:eastAsia="en-US"/>
    </w:rPr>
  </w:style>
  <w:style w:type="paragraph" w:styleId="Textodenotaderodap">
    <w:name w:val="footnote text"/>
    <w:basedOn w:val="Normal"/>
    <w:link w:val="TextodenotaderodapChar1"/>
    <w:uiPriority w:val="99"/>
    <w:rsid w:val="00831984"/>
    <w:pPr>
      <w:suppressAutoHyphens/>
      <w:spacing w:after="200" w:line="276" w:lineRule="auto"/>
      <w:jc w:val="both"/>
    </w:pPr>
    <w:rPr>
      <w:rFonts w:ascii="Calibri" w:hAnsi="Calibri"/>
      <w:sz w:val="20"/>
      <w:szCs w:val="20"/>
      <w:lang w:val="en-US" w:eastAsia="en-US"/>
    </w:rPr>
  </w:style>
  <w:style w:type="character" w:customStyle="1" w:styleId="TextodenotaderodapChar1">
    <w:name w:val="Texto de nota de rodapé Char1"/>
    <w:basedOn w:val="Fontepargpadro"/>
    <w:link w:val="Textodenotaderodap"/>
    <w:uiPriority w:val="99"/>
    <w:locked/>
    <w:rsid w:val="00831984"/>
    <w:rPr>
      <w:rFonts w:ascii="Calibri" w:hAnsi="Calibri" w:cs="Times New Roman"/>
      <w:sz w:val="20"/>
      <w:szCs w:val="20"/>
      <w:lang w:val="en-US"/>
    </w:rPr>
  </w:style>
  <w:style w:type="paragraph" w:styleId="NormalWeb">
    <w:name w:val="Normal (Web)"/>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Recuodecorpodetexto31">
    <w:name w:val="Recuo de corpo de texto 31"/>
    <w:basedOn w:val="Normal"/>
    <w:uiPriority w:val="99"/>
    <w:rsid w:val="00831984"/>
    <w:pPr>
      <w:suppressAutoHyphens/>
      <w:spacing w:after="120" w:line="276" w:lineRule="auto"/>
      <w:ind w:left="283"/>
      <w:jc w:val="both"/>
    </w:pPr>
    <w:rPr>
      <w:rFonts w:ascii="Calibri" w:hAnsi="Calibri"/>
      <w:sz w:val="16"/>
      <w:szCs w:val="16"/>
      <w:lang w:val="en-US" w:eastAsia="en-US"/>
    </w:rPr>
  </w:style>
  <w:style w:type="paragraph" w:customStyle="1" w:styleId="Recuodecorpodetexto21">
    <w:name w:val="Recuo de corpo de texto 21"/>
    <w:basedOn w:val="Normal"/>
    <w:uiPriority w:val="99"/>
    <w:rsid w:val="00831984"/>
    <w:pPr>
      <w:suppressAutoHyphens/>
      <w:spacing w:after="120" w:line="480" w:lineRule="auto"/>
      <w:ind w:left="360"/>
      <w:jc w:val="both"/>
    </w:pPr>
    <w:rPr>
      <w:rFonts w:ascii="Calibri" w:hAnsi="Calibri"/>
      <w:sz w:val="20"/>
      <w:szCs w:val="20"/>
      <w:lang w:val="en-US" w:eastAsia="en-US"/>
    </w:rPr>
  </w:style>
  <w:style w:type="paragraph" w:customStyle="1" w:styleId="Normal10">
    <w:name w:val="Normal1"/>
    <w:rsid w:val="00831984"/>
    <w:pPr>
      <w:suppressAutoHyphens/>
      <w:autoSpaceDE w:val="0"/>
      <w:jc w:val="both"/>
    </w:pPr>
    <w:rPr>
      <w:rFonts w:ascii="Times New Roman" w:hAnsi="Times New Roman" w:cs="Times New Roman"/>
      <w:color w:val="000000"/>
      <w:sz w:val="24"/>
      <w:szCs w:val="24"/>
      <w:lang w:val="en-US"/>
    </w:rPr>
  </w:style>
  <w:style w:type="paragraph" w:customStyle="1" w:styleId="SDM">
    <w:name w:val="SDM"/>
    <w:basedOn w:val="Normal"/>
    <w:uiPriority w:val="99"/>
    <w:rsid w:val="00831984"/>
    <w:pPr>
      <w:suppressAutoHyphens/>
      <w:spacing w:after="200" w:line="276" w:lineRule="auto"/>
      <w:jc w:val="both"/>
    </w:pPr>
    <w:rPr>
      <w:rFonts w:ascii="Calibri" w:hAnsi="Calibri"/>
      <w:bCs/>
      <w:sz w:val="20"/>
      <w:szCs w:val="20"/>
      <w:lang w:val="en-US" w:eastAsia="en-US"/>
    </w:rPr>
  </w:style>
  <w:style w:type="paragraph" w:customStyle="1" w:styleId="Corpodetexto21">
    <w:name w:val="Corpo de texto 21"/>
    <w:basedOn w:val="Normal"/>
    <w:uiPriority w:val="99"/>
    <w:rsid w:val="00831984"/>
    <w:pPr>
      <w:suppressAutoHyphens/>
      <w:spacing w:after="200" w:line="276" w:lineRule="auto"/>
      <w:jc w:val="center"/>
    </w:pPr>
    <w:rPr>
      <w:rFonts w:ascii="Calibri" w:hAnsi="Calibri"/>
      <w:sz w:val="20"/>
      <w:szCs w:val="20"/>
      <w:lang w:val="en-US" w:eastAsia="en-US"/>
    </w:rPr>
  </w:style>
  <w:style w:type="paragraph" w:customStyle="1" w:styleId="Corpodetexto32">
    <w:name w:val="Corpo de texto 32"/>
    <w:basedOn w:val="Normal"/>
    <w:uiPriority w:val="99"/>
    <w:rsid w:val="00831984"/>
    <w:pPr>
      <w:suppressAutoHyphens/>
      <w:spacing w:after="120" w:line="276" w:lineRule="auto"/>
      <w:jc w:val="both"/>
    </w:pPr>
    <w:rPr>
      <w:rFonts w:ascii="Calibri" w:hAnsi="Calibri"/>
      <w:sz w:val="16"/>
      <w:szCs w:val="16"/>
      <w:lang w:val="en-US" w:eastAsia="en-US"/>
    </w:rPr>
  </w:style>
  <w:style w:type="paragraph" w:styleId="PargrafodaLista">
    <w:name w:val="List Paragraph"/>
    <w:basedOn w:val="Normal"/>
    <w:link w:val="PargrafodaListaChar"/>
    <w:uiPriority w:val="34"/>
    <w:qFormat/>
    <w:rsid w:val="00831984"/>
    <w:pPr>
      <w:suppressAutoHyphens/>
      <w:spacing w:after="200" w:line="276" w:lineRule="auto"/>
      <w:ind w:left="720"/>
      <w:jc w:val="both"/>
    </w:pPr>
    <w:rPr>
      <w:rFonts w:ascii="Calibri" w:hAnsi="Calibri"/>
      <w:sz w:val="20"/>
      <w:szCs w:val="20"/>
      <w:lang w:val="en-US" w:eastAsia="en-US"/>
    </w:rPr>
  </w:style>
  <w:style w:type="paragraph" w:customStyle="1" w:styleId="NormalWeb0">
    <w:name w:val="Normal(Web)"/>
    <w:basedOn w:val="Normal"/>
    <w:uiPriority w:val="99"/>
    <w:rsid w:val="00831984"/>
    <w:pPr>
      <w:widowControl w:val="0"/>
      <w:suppressAutoHyphens/>
      <w:autoSpaceDE w:val="0"/>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pargrafodalista0">
    <w:name w:val="pargrafodalista"/>
    <w:basedOn w:val="Normal"/>
    <w:uiPriority w:val="99"/>
    <w:rsid w:val="00831984"/>
    <w:pPr>
      <w:suppressAutoHyphens/>
      <w:spacing w:before="280" w:after="280" w:line="276" w:lineRule="auto"/>
      <w:jc w:val="both"/>
    </w:pPr>
    <w:rPr>
      <w:rFonts w:ascii="Arial Unicode MS" w:eastAsia="Arial Unicode MS" w:hAnsi="Arial Unicode MS" w:cs="Arial Unicode MS"/>
      <w:color w:val="000000"/>
      <w:sz w:val="20"/>
      <w:szCs w:val="20"/>
      <w:lang w:val="en-US" w:eastAsia="en-US"/>
    </w:rPr>
  </w:style>
  <w:style w:type="paragraph" w:customStyle="1" w:styleId="CG-SingleSps1">
    <w:name w:val="CG-Single Sp.s1"/>
    <w:basedOn w:val="Normal"/>
    <w:uiPriority w:val="99"/>
    <w:rsid w:val="00831984"/>
    <w:pPr>
      <w:suppressAutoHyphens/>
      <w:spacing w:after="240" w:line="276" w:lineRule="auto"/>
      <w:jc w:val="both"/>
    </w:pPr>
    <w:rPr>
      <w:rFonts w:ascii="Calibri" w:hAnsi="Calibri"/>
      <w:color w:val="000000"/>
      <w:sz w:val="22"/>
      <w:szCs w:val="20"/>
      <w:lang w:val="en-US" w:eastAsia="en-US"/>
    </w:rPr>
  </w:style>
  <w:style w:type="paragraph" w:customStyle="1" w:styleId="CG-Title-Center-Boldt1">
    <w:name w:val="CG-Title-Center-Bold.t1"/>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G-Title-Left-Italic">
    <w:name w:val="CG-Title-Left-Italic"/>
    <w:basedOn w:val="Normal"/>
    <w:next w:val="Normal"/>
    <w:uiPriority w:val="99"/>
    <w:rsid w:val="00831984"/>
    <w:pPr>
      <w:keepNext/>
      <w:suppressAutoHyphens/>
      <w:spacing w:after="240" w:line="276" w:lineRule="auto"/>
      <w:jc w:val="both"/>
    </w:pPr>
    <w:rPr>
      <w:rFonts w:ascii="Calibri" w:hAnsi="Calibri"/>
      <w:i/>
      <w:color w:val="000000"/>
      <w:sz w:val="22"/>
      <w:szCs w:val="20"/>
      <w:lang w:val="en-US" w:eastAsia="en-US"/>
    </w:rPr>
  </w:style>
  <w:style w:type="paragraph" w:customStyle="1" w:styleId="CG-SingleSp05">
    <w:name w:val="CG-Single Sp 0.5"/>
    <w:basedOn w:val="Normal"/>
    <w:uiPriority w:val="99"/>
    <w:rsid w:val="00831984"/>
    <w:pPr>
      <w:suppressAutoHyphens/>
      <w:spacing w:after="120" w:line="276" w:lineRule="auto"/>
      <w:ind w:firstLine="720"/>
      <w:jc w:val="both"/>
    </w:pPr>
    <w:rPr>
      <w:rFonts w:ascii="Calibri" w:hAnsi="Calibri"/>
      <w:color w:val="000000"/>
      <w:sz w:val="22"/>
      <w:szCs w:val="20"/>
      <w:lang w:val="en-US" w:eastAsia="en-US"/>
    </w:rPr>
  </w:style>
  <w:style w:type="paragraph" w:customStyle="1" w:styleId="SingleSpace1">
    <w:name w:val="Single Space"/>
    <w:basedOn w:val="Normal"/>
    <w:uiPriority w:val="99"/>
    <w:rsid w:val="00831984"/>
    <w:pPr>
      <w:suppressAutoHyphens/>
      <w:spacing w:after="240" w:line="276" w:lineRule="auto"/>
      <w:ind w:firstLine="720"/>
      <w:jc w:val="both"/>
    </w:pPr>
    <w:rPr>
      <w:rFonts w:ascii="Calibri" w:hAnsi="Calibri"/>
      <w:color w:val="000000"/>
      <w:sz w:val="22"/>
      <w:szCs w:val="20"/>
      <w:lang w:val="en-US" w:eastAsia="en-US"/>
    </w:rPr>
  </w:style>
  <w:style w:type="paragraph" w:customStyle="1" w:styleId="leftheadbold">
    <w:name w:val="left head bold"/>
    <w:basedOn w:val="Normal"/>
    <w:next w:val="SingleSpace1"/>
    <w:uiPriority w:val="99"/>
    <w:rsid w:val="00831984"/>
    <w:pPr>
      <w:keepNext/>
      <w:widowControl w:val="0"/>
      <w:suppressAutoHyphens/>
      <w:spacing w:after="240" w:line="276" w:lineRule="auto"/>
      <w:jc w:val="both"/>
    </w:pPr>
    <w:rPr>
      <w:rFonts w:ascii="Calibri" w:hAnsi="Calibri"/>
      <w:b/>
      <w:color w:val="000000"/>
      <w:sz w:val="20"/>
      <w:szCs w:val="20"/>
      <w:lang w:val="en-US" w:eastAsia="en-US"/>
    </w:rPr>
  </w:style>
  <w:style w:type="paragraph" w:customStyle="1" w:styleId="Commarcadores41">
    <w:name w:val="Com marcadores 41"/>
    <w:basedOn w:val="Normal"/>
    <w:uiPriority w:val="99"/>
    <w:rsid w:val="00831984"/>
    <w:pPr>
      <w:suppressAutoHyphens/>
      <w:spacing w:after="120" w:line="276" w:lineRule="auto"/>
      <w:ind w:firstLine="567"/>
      <w:jc w:val="both"/>
    </w:pPr>
    <w:rPr>
      <w:rFonts w:ascii="Calibri" w:hAnsi="Calibri"/>
      <w:color w:val="000000"/>
      <w:sz w:val="22"/>
      <w:szCs w:val="20"/>
      <w:lang w:eastAsia="en-US"/>
    </w:rPr>
  </w:style>
  <w:style w:type="paragraph" w:customStyle="1" w:styleId="CG-Title-Center-Bold">
    <w:name w:val="CG-Title-Center-Bold"/>
    <w:basedOn w:val="Normal"/>
    <w:next w:val="Normal"/>
    <w:uiPriority w:val="99"/>
    <w:rsid w:val="00831984"/>
    <w:pPr>
      <w:keepNext/>
      <w:suppressAutoHyphens/>
      <w:spacing w:after="240" w:line="276" w:lineRule="auto"/>
      <w:jc w:val="center"/>
    </w:pPr>
    <w:rPr>
      <w:rFonts w:ascii="Calibri" w:hAnsi="Calibri"/>
      <w:b/>
      <w:color w:val="000000"/>
      <w:sz w:val="20"/>
      <w:szCs w:val="20"/>
      <w:lang w:val="en-US" w:eastAsia="en-US"/>
    </w:rPr>
  </w:style>
  <w:style w:type="paragraph" w:customStyle="1" w:styleId="CM104">
    <w:name w:val="CM104"/>
    <w:basedOn w:val="Normal10"/>
    <w:next w:val="Normal10"/>
    <w:uiPriority w:val="99"/>
    <w:rsid w:val="00831984"/>
    <w:pPr>
      <w:widowControl w:val="0"/>
    </w:pPr>
    <w:rPr>
      <w:rFonts w:ascii="Tahoma" w:hAnsi="Tahoma" w:cs="Tahoma"/>
      <w:color w:val="auto"/>
    </w:rPr>
  </w:style>
  <w:style w:type="paragraph" w:customStyle="1" w:styleId="CM106">
    <w:name w:val="CM106"/>
    <w:basedOn w:val="Normal10"/>
    <w:next w:val="Normal10"/>
    <w:uiPriority w:val="99"/>
    <w:rsid w:val="00831984"/>
    <w:pPr>
      <w:widowControl w:val="0"/>
    </w:pPr>
    <w:rPr>
      <w:rFonts w:ascii="Tahoma" w:hAnsi="Tahoma" w:cs="Tahoma"/>
      <w:color w:val="auto"/>
    </w:rPr>
  </w:style>
  <w:style w:type="paragraph" w:customStyle="1" w:styleId="CM103">
    <w:name w:val="CM103"/>
    <w:basedOn w:val="Normal10"/>
    <w:next w:val="Normal10"/>
    <w:uiPriority w:val="99"/>
    <w:rsid w:val="00831984"/>
    <w:pPr>
      <w:widowControl w:val="0"/>
    </w:pPr>
    <w:rPr>
      <w:rFonts w:ascii="Tahoma" w:hAnsi="Tahoma" w:cs="Tahoma"/>
      <w:color w:val="auto"/>
    </w:rPr>
  </w:style>
  <w:style w:type="paragraph" w:customStyle="1" w:styleId="CM115">
    <w:name w:val="CM115"/>
    <w:basedOn w:val="Normal10"/>
    <w:next w:val="Normal10"/>
    <w:uiPriority w:val="99"/>
    <w:rsid w:val="00831984"/>
    <w:pPr>
      <w:widowControl w:val="0"/>
    </w:pPr>
    <w:rPr>
      <w:rFonts w:ascii="Tahoma" w:hAnsi="Tahoma" w:cs="Tahoma"/>
      <w:color w:val="auto"/>
    </w:rPr>
  </w:style>
  <w:style w:type="paragraph" w:customStyle="1" w:styleId="CM14">
    <w:name w:val="CM14"/>
    <w:basedOn w:val="Normal10"/>
    <w:next w:val="Normal10"/>
    <w:uiPriority w:val="99"/>
    <w:rsid w:val="00831984"/>
    <w:pPr>
      <w:widowControl w:val="0"/>
    </w:pPr>
    <w:rPr>
      <w:rFonts w:ascii="Tahoma" w:hAnsi="Tahoma" w:cs="Tahoma"/>
      <w:color w:val="auto"/>
    </w:rPr>
  </w:style>
  <w:style w:type="paragraph" w:customStyle="1" w:styleId="CM4">
    <w:name w:val="CM4"/>
    <w:basedOn w:val="Normal10"/>
    <w:next w:val="Normal10"/>
    <w:uiPriority w:val="99"/>
    <w:rsid w:val="00831984"/>
    <w:pPr>
      <w:widowControl w:val="0"/>
      <w:spacing w:line="223" w:lineRule="atLeast"/>
    </w:pPr>
    <w:rPr>
      <w:rFonts w:ascii="Tahoma" w:hAnsi="Tahoma" w:cs="Tahoma"/>
      <w:color w:val="auto"/>
    </w:rPr>
  </w:style>
  <w:style w:type="paragraph" w:customStyle="1" w:styleId="CM102">
    <w:name w:val="CM102"/>
    <w:basedOn w:val="Normal10"/>
    <w:next w:val="Normal10"/>
    <w:uiPriority w:val="99"/>
    <w:rsid w:val="00831984"/>
    <w:pPr>
      <w:widowControl w:val="0"/>
    </w:pPr>
    <w:rPr>
      <w:rFonts w:ascii="Tahoma" w:hAnsi="Tahoma" w:cs="Tahoma"/>
      <w:color w:val="auto"/>
    </w:rPr>
  </w:style>
  <w:style w:type="paragraph" w:customStyle="1" w:styleId="CM127">
    <w:name w:val="CM127"/>
    <w:basedOn w:val="Normal10"/>
    <w:next w:val="Normal10"/>
    <w:uiPriority w:val="99"/>
    <w:rsid w:val="00831984"/>
    <w:pPr>
      <w:widowControl w:val="0"/>
    </w:pPr>
    <w:rPr>
      <w:rFonts w:ascii="Tahoma" w:hAnsi="Tahoma" w:cs="Tahoma"/>
      <w:color w:val="auto"/>
    </w:rPr>
  </w:style>
  <w:style w:type="paragraph" w:customStyle="1" w:styleId="CM105">
    <w:name w:val="CM105"/>
    <w:basedOn w:val="Normal10"/>
    <w:next w:val="Normal10"/>
    <w:uiPriority w:val="99"/>
    <w:rsid w:val="00831984"/>
    <w:pPr>
      <w:widowControl w:val="0"/>
    </w:pPr>
    <w:rPr>
      <w:rFonts w:ascii="Tahoma" w:hAnsi="Tahoma" w:cs="Tahoma"/>
      <w:color w:val="auto"/>
    </w:rPr>
  </w:style>
  <w:style w:type="paragraph" w:customStyle="1" w:styleId="CM2">
    <w:name w:val="CM2"/>
    <w:basedOn w:val="Normal10"/>
    <w:next w:val="Normal10"/>
    <w:uiPriority w:val="99"/>
    <w:rsid w:val="00831984"/>
    <w:pPr>
      <w:widowControl w:val="0"/>
      <w:spacing w:line="218" w:lineRule="atLeast"/>
    </w:pPr>
    <w:rPr>
      <w:rFonts w:ascii="Tahoma" w:hAnsi="Tahoma" w:cs="Tahoma"/>
      <w:color w:val="auto"/>
    </w:rPr>
  </w:style>
  <w:style w:type="paragraph" w:customStyle="1" w:styleId="CM107">
    <w:name w:val="CM107"/>
    <w:basedOn w:val="Normal10"/>
    <w:next w:val="Normal10"/>
    <w:uiPriority w:val="99"/>
    <w:rsid w:val="00831984"/>
    <w:pPr>
      <w:widowControl w:val="0"/>
    </w:pPr>
    <w:rPr>
      <w:rFonts w:ascii="Tahoma" w:hAnsi="Tahoma" w:cs="Tahoma"/>
      <w:color w:val="auto"/>
    </w:rPr>
  </w:style>
  <w:style w:type="paragraph" w:customStyle="1" w:styleId="CM108">
    <w:name w:val="CM108"/>
    <w:basedOn w:val="Normal10"/>
    <w:next w:val="Normal10"/>
    <w:uiPriority w:val="99"/>
    <w:rsid w:val="00831984"/>
    <w:pPr>
      <w:widowControl w:val="0"/>
    </w:pPr>
    <w:rPr>
      <w:rFonts w:ascii="Tahoma" w:hAnsi="Tahoma" w:cs="Tahoma"/>
      <w:color w:val="auto"/>
    </w:rPr>
  </w:style>
  <w:style w:type="paragraph" w:customStyle="1" w:styleId="CM111">
    <w:name w:val="CM111"/>
    <w:basedOn w:val="Normal10"/>
    <w:next w:val="Normal10"/>
    <w:uiPriority w:val="99"/>
    <w:rsid w:val="00831984"/>
    <w:pPr>
      <w:widowControl w:val="0"/>
    </w:pPr>
    <w:rPr>
      <w:rFonts w:ascii="Tahoma" w:hAnsi="Tahoma" w:cs="Tahoma"/>
      <w:color w:val="auto"/>
    </w:rPr>
  </w:style>
  <w:style w:type="paragraph" w:customStyle="1" w:styleId="CM6">
    <w:name w:val="CM6"/>
    <w:basedOn w:val="Normal10"/>
    <w:next w:val="Normal10"/>
    <w:uiPriority w:val="99"/>
    <w:rsid w:val="00831984"/>
    <w:pPr>
      <w:widowControl w:val="0"/>
      <w:spacing w:line="231" w:lineRule="atLeast"/>
    </w:pPr>
    <w:rPr>
      <w:rFonts w:ascii="Tahoma" w:hAnsi="Tahoma" w:cs="Tahoma"/>
      <w:color w:val="auto"/>
    </w:rPr>
  </w:style>
  <w:style w:type="paragraph" w:customStyle="1" w:styleId="CM124">
    <w:name w:val="CM124"/>
    <w:basedOn w:val="Normal10"/>
    <w:next w:val="Normal10"/>
    <w:uiPriority w:val="99"/>
    <w:rsid w:val="00831984"/>
    <w:pPr>
      <w:widowControl w:val="0"/>
    </w:pPr>
    <w:rPr>
      <w:rFonts w:ascii="Tahoma" w:hAnsi="Tahoma" w:cs="Tahoma"/>
      <w:color w:val="auto"/>
    </w:rPr>
  </w:style>
  <w:style w:type="paragraph" w:customStyle="1" w:styleId="Ttulodendicedeautoridades1">
    <w:name w:val="Título de índice de autoridades1"/>
    <w:basedOn w:val="Normal"/>
    <w:next w:val="Normal"/>
    <w:uiPriority w:val="99"/>
    <w:rsid w:val="00831984"/>
    <w:pPr>
      <w:suppressAutoHyphens/>
      <w:spacing w:before="120" w:after="200" w:line="276" w:lineRule="auto"/>
      <w:jc w:val="both"/>
    </w:pPr>
    <w:rPr>
      <w:rFonts w:ascii="Cambria" w:hAnsi="Cambria" w:cs="Cambria"/>
      <w:b/>
      <w:bCs/>
      <w:sz w:val="20"/>
      <w:szCs w:val="20"/>
      <w:lang w:val="en-US" w:eastAsia="en-US"/>
    </w:rPr>
  </w:style>
  <w:style w:type="paragraph" w:styleId="CabealhodoSumrio">
    <w:name w:val="TOC Heading"/>
    <w:basedOn w:val="Ttulo1"/>
    <w:next w:val="Normal"/>
    <w:uiPriority w:val="99"/>
    <w:qFormat/>
    <w:rsid w:val="00831984"/>
    <w:pPr>
      <w:keepNext w:val="0"/>
      <w:suppressAutoHyphens/>
      <w:spacing w:before="300" w:after="40" w:line="276" w:lineRule="auto"/>
      <w:ind w:left="851"/>
    </w:pPr>
    <w:rPr>
      <w:rFonts w:ascii="Tahoma" w:hAnsi="Tahoma" w:cs="Tahoma"/>
      <w:bCs w:val="0"/>
      <w:smallCaps/>
      <w:spacing w:val="5"/>
      <w:kern w:val="0"/>
      <w:sz w:val="20"/>
      <w:szCs w:val="32"/>
      <w:lang w:val="en-US" w:eastAsia="en-US"/>
    </w:rPr>
  </w:style>
  <w:style w:type="paragraph" w:styleId="Sumrio1">
    <w:name w:val="toc 1"/>
    <w:basedOn w:val="Normal"/>
    <w:next w:val="Normal"/>
    <w:uiPriority w:val="99"/>
    <w:rsid w:val="00831984"/>
    <w:pPr>
      <w:pBdr>
        <w:between w:val="double" w:sz="6" w:space="0" w:color="auto"/>
      </w:pBdr>
      <w:spacing w:before="120" w:after="120"/>
      <w:jc w:val="center"/>
    </w:pPr>
    <w:rPr>
      <w:rFonts w:asciiTheme="minorHAnsi" w:hAnsiTheme="minorHAnsi"/>
      <w:b/>
      <w:bCs/>
      <w:i/>
      <w:iCs/>
    </w:rPr>
  </w:style>
  <w:style w:type="paragraph" w:styleId="Sumrio3">
    <w:name w:val="toc 3"/>
    <w:basedOn w:val="Normal"/>
    <w:next w:val="Normal"/>
    <w:uiPriority w:val="99"/>
    <w:rsid w:val="00831984"/>
    <w:pPr>
      <w:pBdr>
        <w:between w:val="double" w:sz="6" w:space="0" w:color="auto"/>
      </w:pBdr>
      <w:spacing w:before="120" w:after="120"/>
      <w:ind w:left="200"/>
      <w:jc w:val="center"/>
    </w:pPr>
    <w:rPr>
      <w:rFonts w:asciiTheme="minorHAnsi" w:hAnsiTheme="minorHAnsi"/>
      <w:sz w:val="20"/>
      <w:szCs w:val="20"/>
    </w:rPr>
  </w:style>
  <w:style w:type="paragraph" w:styleId="Sumrio2">
    <w:name w:val="toc 2"/>
    <w:basedOn w:val="Normal"/>
    <w:next w:val="Normal"/>
    <w:uiPriority w:val="99"/>
    <w:rsid w:val="00831984"/>
    <w:pPr>
      <w:pBdr>
        <w:between w:val="double" w:sz="6" w:space="0" w:color="auto"/>
      </w:pBdr>
      <w:spacing w:before="120" w:after="120"/>
      <w:jc w:val="center"/>
    </w:pPr>
    <w:rPr>
      <w:rFonts w:asciiTheme="minorHAnsi" w:hAnsiTheme="minorHAnsi"/>
      <w:i/>
      <w:iCs/>
      <w:sz w:val="20"/>
      <w:szCs w:val="20"/>
    </w:rPr>
  </w:style>
  <w:style w:type="paragraph" w:styleId="Sumrio4">
    <w:name w:val="toc 4"/>
    <w:basedOn w:val="Normal"/>
    <w:next w:val="Normal"/>
    <w:uiPriority w:val="99"/>
    <w:rsid w:val="00831984"/>
    <w:pPr>
      <w:pBdr>
        <w:between w:val="double" w:sz="6" w:space="0" w:color="auto"/>
      </w:pBdr>
      <w:spacing w:before="120" w:after="120"/>
      <w:ind w:left="400"/>
      <w:jc w:val="center"/>
    </w:pPr>
    <w:rPr>
      <w:rFonts w:asciiTheme="minorHAnsi" w:hAnsiTheme="minorHAnsi"/>
      <w:sz w:val="20"/>
      <w:szCs w:val="20"/>
    </w:rPr>
  </w:style>
  <w:style w:type="paragraph" w:styleId="Sumrio5">
    <w:name w:val="toc 5"/>
    <w:basedOn w:val="Normal"/>
    <w:next w:val="Normal"/>
    <w:uiPriority w:val="99"/>
    <w:rsid w:val="00831984"/>
    <w:pPr>
      <w:pBdr>
        <w:between w:val="double" w:sz="6" w:space="0" w:color="auto"/>
      </w:pBdr>
      <w:spacing w:before="120" w:after="120"/>
      <w:ind w:left="600"/>
      <w:jc w:val="center"/>
    </w:pPr>
    <w:rPr>
      <w:rFonts w:asciiTheme="minorHAnsi" w:hAnsiTheme="minorHAnsi"/>
      <w:sz w:val="20"/>
      <w:szCs w:val="20"/>
    </w:rPr>
  </w:style>
  <w:style w:type="paragraph" w:styleId="Sumrio6">
    <w:name w:val="toc 6"/>
    <w:basedOn w:val="Normal"/>
    <w:next w:val="Normal"/>
    <w:uiPriority w:val="99"/>
    <w:rsid w:val="00831984"/>
    <w:pPr>
      <w:pBdr>
        <w:between w:val="double" w:sz="6" w:space="0" w:color="auto"/>
      </w:pBdr>
      <w:spacing w:before="120" w:after="120"/>
      <w:ind w:left="800"/>
      <w:jc w:val="center"/>
    </w:pPr>
    <w:rPr>
      <w:rFonts w:asciiTheme="minorHAnsi" w:hAnsiTheme="minorHAnsi"/>
      <w:sz w:val="20"/>
      <w:szCs w:val="20"/>
    </w:rPr>
  </w:style>
  <w:style w:type="paragraph" w:styleId="Sumrio7">
    <w:name w:val="toc 7"/>
    <w:basedOn w:val="Normal"/>
    <w:next w:val="Normal"/>
    <w:uiPriority w:val="99"/>
    <w:rsid w:val="00831984"/>
    <w:pPr>
      <w:pBdr>
        <w:between w:val="double" w:sz="6" w:space="0" w:color="auto"/>
      </w:pBdr>
      <w:spacing w:before="120" w:after="120"/>
      <w:ind w:left="1000"/>
      <w:jc w:val="center"/>
    </w:pPr>
    <w:rPr>
      <w:rFonts w:asciiTheme="minorHAnsi" w:hAnsiTheme="minorHAnsi"/>
      <w:sz w:val="20"/>
      <w:szCs w:val="20"/>
    </w:rPr>
  </w:style>
  <w:style w:type="paragraph" w:styleId="Sumrio8">
    <w:name w:val="toc 8"/>
    <w:basedOn w:val="Normal"/>
    <w:next w:val="Normal"/>
    <w:uiPriority w:val="99"/>
    <w:rsid w:val="00831984"/>
    <w:pPr>
      <w:pBdr>
        <w:between w:val="double" w:sz="6" w:space="0" w:color="auto"/>
      </w:pBdr>
      <w:spacing w:before="120" w:after="120"/>
      <w:ind w:left="1200"/>
      <w:jc w:val="center"/>
    </w:pPr>
    <w:rPr>
      <w:rFonts w:asciiTheme="minorHAnsi" w:hAnsiTheme="minorHAnsi"/>
      <w:sz w:val="20"/>
      <w:szCs w:val="20"/>
    </w:rPr>
  </w:style>
  <w:style w:type="paragraph" w:styleId="Sumrio9">
    <w:name w:val="toc 9"/>
    <w:basedOn w:val="Normal"/>
    <w:next w:val="Normal"/>
    <w:uiPriority w:val="99"/>
    <w:rsid w:val="00831984"/>
    <w:pPr>
      <w:pBdr>
        <w:between w:val="double" w:sz="6" w:space="0" w:color="auto"/>
      </w:pBdr>
      <w:spacing w:before="120" w:after="120"/>
      <w:ind w:left="1400"/>
      <w:jc w:val="center"/>
    </w:pPr>
    <w:rPr>
      <w:rFonts w:asciiTheme="minorHAnsi" w:hAnsiTheme="minorHAnsi"/>
      <w:sz w:val="20"/>
      <w:szCs w:val="20"/>
    </w:rPr>
  </w:style>
  <w:style w:type="paragraph" w:styleId="Subttulo">
    <w:name w:val="Subtitle"/>
    <w:basedOn w:val="Normal"/>
    <w:next w:val="Normal"/>
    <w:link w:val="SubttuloChar1"/>
    <w:qFormat/>
    <w:rsid w:val="00831984"/>
    <w:pPr>
      <w:suppressAutoHyphens/>
      <w:spacing w:after="720"/>
      <w:jc w:val="right"/>
    </w:pPr>
    <w:rPr>
      <w:rFonts w:ascii="Cambria" w:hAnsi="Cambria" w:cs="Cambria"/>
      <w:sz w:val="20"/>
      <w:szCs w:val="22"/>
      <w:lang w:val="en-US" w:eastAsia="en-US"/>
    </w:rPr>
  </w:style>
  <w:style w:type="character" w:customStyle="1" w:styleId="SubttuloChar1">
    <w:name w:val="Subtítulo Char1"/>
    <w:basedOn w:val="Fontepargpadro"/>
    <w:link w:val="Subttulo"/>
    <w:uiPriority w:val="99"/>
    <w:locked/>
    <w:rsid w:val="00831984"/>
    <w:rPr>
      <w:rFonts w:ascii="Cambria" w:hAnsi="Cambria" w:cs="Cambria"/>
      <w:sz w:val="20"/>
      <w:lang w:val="en-US"/>
    </w:rPr>
  </w:style>
  <w:style w:type="paragraph" w:styleId="SemEspaamento">
    <w:name w:val="No Spacing"/>
    <w:basedOn w:val="Normal"/>
    <w:uiPriority w:val="1"/>
    <w:qFormat/>
    <w:rsid w:val="00831984"/>
    <w:pPr>
      <w:suppressAutoHyphens/>
      <w:jc w:val="both"/>
    </w:pPr>
    <w:rPr>
      <w:rFonts w:ascii="Calibri" w:hAnsi="Calibri"/>
      <w:sz w:val="20"/>
      <w:szCs w:val="20"/>
      <w:lang w:val="en-US" w:eastAsia="en-US"/>
    </w:rPr>
  </w:style>
  <w:style w:type="paragraph" w:styleId="Citao">
    <w:name w:val="Quote"/>
    <w:basedOn w:val="Normal"/>
    <w:next w:val="Normal"/>
    <w:link w:val="CitaoChar1"/>
    <w:uiPriority w:val="29"/>
    <w:qFormat/>
    <w:rsid w:val="00831984"/>
    <w:pPr>
      <w:suppressAutoHyphens/>
      <w:spacing w:after="200" w:line="276" w:lineRule="auto"/>
      <w:jc w:val="both"/>
    </w:pPr>
    <w:rPr>
      <w:rFonts w:ascii="Calibri" w:hAnsi="Calibri"/>
      <w:i/>
      <w:sz w:val="20"/>
      <w:szCs w:val="20"/>
      <w:lang w:val="en-US" w:eastAsia="en-US"/>
    </w:rPr>
  </w:style>
  <w:style w:type="character" w:customStyle="1" w:styleId="CitaoChar1">
    <w:name w:val="Citação Char1"/>
    <w:basedOn w:val="Fontepargpadro"/>
    <w:link w:val="Citao"/>
    <w:uiPriority w:val="99"/>
    <w:locked/>
    <w:rsid w:val="00831984"/>
    <w:rPr>
      <w:rFonts w:ascii="Calibri" w:hAnsi="Calibri" w:cs="Times New Roman"/>
      <w:i/>
      <w:sz w:val="20"/>
      <w:szCs w:val="20"/>
      <w:lang w:val="en-US"/>
    </w:rPr>
  </w:style>
  <w:style w:type="paragraph" w:styleId="CitaoIntensa">
    <w:name w:val="Intense Quote"/>
    <w:basedOn w:val="Normal"/>
    <w:next w:val="Normal"/>
    <w:link w:val="CitaoIntensaChar1"/>
    <w:uiPriority w:val="99"/>
    <w:qFormat/>
    <w:rsid w:val="00831984"/>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CitaoIntensaChar1">
    <w:name w:val="Citação Intensa Char1"/>
    <w:basedOn w:val="Fontepargpadro"/>
    <w:link w:val="CitaoIntensa"/>
    <w:uiPriority w:val="99"/>
    <w:locked/>
    <w:rsid w:val="00831984"/>
    <w:rPr>
      <w:rFonts w:ascii="Calibri" w:hAnsi="Calibri" w:cs="Times New Roman"/>
      <w:b/>
      <w:i/>
      <w:color w:val="FFFFFF"/>
      <w:sz w:val="20"/>
      <w:szCs w:val="20"/>
      <w:shd w:val="clear" w:color="auto" w:fill="C0504D"/>
      <w:lang w:val="en-US"/>
    </w:rPr>
  </w:style>
  <w:style w:type="paragraph" w:customStyle="1" w:styleId="Estilo1">
    <w:name w:val="Estilo1"/>
    <w:basedOn w:val="Ttulo2"/>
    <w:link w:val="Estilo1Char"/>
    <w:uiPriority w:val="99"/>
    <w:qFormat/>
    <w:rsid w:val="00831984"/>
    <w:pPr>
      <w:keepNext w:val="0"/>
      <w:tabs>
        <w:tab w:val="clear" w:pos="284"/>
        <w:tab w:val="clear" w:pos="340"/>
      </w:tabs>
      <w:suppressAutoHyphens/>
      <w:spacing w:line="276" w:lineRule="auto"/>
      <w:ind w:left="851"/>
    </w:pPr>
    <w:rPr>
      <w:rFonts w:ascii="Tahoma" w:hAnsi="Tahoma" w:cs="Tahoma"/>
      <w:bCs w:val="0"/>
      <w:i/>
      <w:smallCaps/>
      <w:spacing w:val="5"/>
      <w:sz w:val="16"/>
      <w:szCs w:val="28"/>
      <w:lang w:val="en-US" w:eastAsia="en-US"/>
    </w:rPr>
  </w:style>
  <w:style w:type="paragraph" w:customStyle="1" w:styleId="Textodecomentrio1">
    <w:name w:val="Texto de comentário1"/>
    <w:basedOn w:val="Normal"/>
    <w:uiPriority w:val="99"/>
    <w:rsid w:val="00831984"/>
    <w:pPr>
      <w:suppressAutoHyphens/>
    </w:pPr>
    <w:rPr>
      <w:sz w:val="20"/>
      <w:szCs w:val="20"/>
      <w:lang w:eastAsia="ar-SA"/>
    </w:rPr>
  </w:style>
  <w:style w:type="paragraph" w:customStyle="1" w:styleId="PargrafodaLista11">
    <w:name w:val="Parágrafo da Lista11"/>
    <w:basedOn w:val="Normal"/>
    <w:uiPriority w:val="99"/>
    <w:rsid w:val="00831984"/>
    <w:pPr>
      <w:suppressAutoHyphens/>
      <w:ind w:left="708"/>
    </w:pPr>
    <w:rPr>
      <w:sz w:val="20"/>
      <w:szCs w:val="20"/>
      <w:lang w:eastAsia="ar-SA"/>
    </w:rPr>
  </w:style>
  <w:style w:type="paragraph" w:customStyle="1" w:styleId="Corpodetexto31">
    <w:name w:val="Corpo de texto 31"/>
    <w:basedOn w:val="Normal"/>
    <w:uiPriority w:val="99"/>
    <w:rsid w:val="00831984"/>
    <w:pPr>
      <w:suppressAutoHyphens/>
      <w:jc w:val="both"/>
    </w:pPr>
    <w:rPr>
      <w:rFonts w:ascii="Arial" w:hAnsi="Arial" w:cs="Arial"/>
      <w:sz w:val="20"/>
      <w:lang w:eastAsia="ar-SA"/>
    </w:rPr>
  </w:style>
  <w:style w:type="paragraph" w:customStyle="1" w:styleId="Sumrio10">
    <w:name w:val="Sumário 10"/>
    <w:basedOn w:val="ndice"/>
    <w:uiPriority w:val="99"/>
    <w:rsid w:val="00831984"/>
    <w:pPr>
      <w:tabs>
        <w:tab w:val="right" w:leader="dot" w:pos="7091"/>
      </w:tabs>
      <w:ind w:left="2547"/>
    </w:pPr>
  </w:style>
  <w:style w:type="paragraph" w:customStyle="1" w:styleId="Ttulodetabela">
    <w:name w:val="Título de tabela"/>
    <w:basedOn w:val="Contedodetabela"/>
    <w:uiPriority w:val="99"/>
    <w:rsid w:val="00831984"/>
    <w:pPr>
      <w:jc w:val="center"/>
    </w:pPr>
    <w:rPr>
      <w:b/>
      <w:bCs/>
    </w:rPr>
  </w:style>
  <w:style w:type="paragraph" w:customStyle="1" w:styleId="PargrafodaLista2">
    <w:name w:val="Parágrafo da Lista2"/>
    <w:basedOn w:val="Normal"/>
    <w:uiPriority w:val="99"/>
    <w:rsid w:val="00831984"/>
    <w:pPr>
      <w:ind w:left="708"/>
    </w:pPr>
    <w:rPr>
      <w:sz w:val="20"/>
      <w:szCs w:val="20"/>
    </w:rPr>
  </w:style>
  <w:style w:type="paragraph" w:customStyle="1" w:styleId="PargrafodaLista3">
    <w:name w:val="Parágrafo da Lista3"/>
    <w:basedOn w:val="Normal"/>
    <w:uiPriority w:val="99"/>
    <w:rsid w:val="00831984"/>
    <w:pPr>
      <w:ind w:left="708"/>
    </w:pPr>
    <w:rPr>
      <w:sz w:val="20"/>
      <w:szCs w:val="20"/>
    </w:rPr>
  </w:style>
  <w:style w:type="paragraph" w:customStyle="1" w:styleId="tptexto">
    <w:name w:val="tptexto"/>
    <w:basedOn w:val="Normal"/>
    <w:uiPriority w:val="99"/>
    <w:rsid w:val="00831984"/>
    <w:pPr>
      <w:spacing w:before="100" w:beforeAutospacing="1" w:after="100" w:afterAutospacing="1"/>
    </w:pPr>
  </w:style>
  <w:style w:type="character" w:customStyle="1" w:styleId="object3">
    <w:name w:val="object3"/>
    <w:basedOn w:val="Fontepargpadro"/>
    <w:uiPriority w:val="99"/>
    <w:rsid w:val="00831984"/>
    <w:rPr>
      <w:rFonts w:cs="Times New Roman"/>
      <w:color w:val="00008B"/>
      <w:u w:val="none"/>
      <w:effect w:val="none"/>
    </w:rPr>
  </w:style>
  <w:style w:type="character" w:customStyle="1" w:styleId="object4">
    <w:name w:val="object4"/>
    <w:basedOn w:val="Fontepargpadro"/>
    <w:uiPriority w:val="99"/>
    <w:rsid w:val="00831984"/>
    <w:rPr>
      <w:rFonts w:cs="Times New Roman"/>
      <w:color w:val="00008B"/>
      <w:u w:val="none"/>
      <w:effect w:val="none"/>
    </w:rPr>
  </w:style>
  <w:style w:type="character" w:customStyle="1" w:styleId="object5">
    <w:name w:val="object5"/>
    <w:basedOn w:val="Fontepargpadro"/>
    <w:uiPriority w:val="99"/>
    <w:rsid w:val="00831984"/>
    <w:rPr>
      <w:rFonts w:cs="Times New Roman"/>
      <w:color w:val="00008B"/>
      <w:u w:val="none"/>
      <w:effect w:val="none"/>
    </w:rPr>
  </w:style>
  <w:style w:type="character" w:customStyle="1" w:styleId="object6">
    <w:name w:val="object6"/>
    <w:basedOn w:val="Fontepargpadro"/>
    <w:uiPriority w:val="99"/>
    <w:rsid w:val="00831984"/>
    <w:rPr>
      <w:rFonts w:cs="Times New Roman"/>
      <w:color w:val="00008B"/>
      <w:u w:val="none"/>
      <w:effect w:val="none"/>
    </w:rPr>
  </w:style>
  <w:style w:type="character" w:customStyle="1" w:styleId="object7">
    <w:name w:val="object7"/>
    <w:basedOn w:val="Fontepargpadro"/>
    <w:uiPriority w:val="99"/>
    <w:rsid w:val="00831984"/>
    <w:rPr>
      <w:rFonts w:cs="Times New Roman"/>
      <w:color w:val="00008B"/>
      <w:u w:val="none"/>
      <w:effect w:val="none"/>
    </w:rPr>
  </w:style>
  <w:style w:type="character" w:customStyle="1" w:styleId="object2">
    <w:name w:val="object2"/>
    <w:basedOn w:val="Fontepargpadro"/>
    <w:uiPriority w:val="99"/>
    <w:rsid w:val="00831984"/>
    <w:rPr>
      <w:rFonts w:cs="Times New Roman"/>
      <w:color w:val="00008B"/>
      <w:u w:val="none"/>
      <w:effect w:val="none"/>
    </w:rPr>
  </w:style>
  <w:style w:type="paragraph" w:styleId="Reviso">
    <w:name w:val="Revision"/>
    <w:hidden/>
    <w:uiPriority w:val="99"/>
    <w:semiHidden/>
    <w:rsid w:val="00831984"/>
    <w:pPr>
      <w:spacing w:after="0" w:line="240" w:lineRule="auto"/>
    </w:pPr>
    <w:rPr>
      <w:rFonts w:ascii="Times New Roman" w:hAnsi="Times New Roman" w:cs="Times New Roman"/>
      <w:sz w:val="20"/>
      <w:szCs w:val="20"/>
      <w:lang w:eastAsia="pt-BR"/>
    </w:rPr>
  </w:style>
  <w:style w:type="paragraph" w:customStyle="1" w:styleId="standard0">
    <w:name w:val="standard"/>
    <w:basedOn w:val="Normal"/>
    <w:uiPriority w:val="99"/>
    <w:rsid w:val="00831984"/>
    <w:pPr>
      <w:spacing w:before="100" w:beforeAutospacing="1" w:after="100" w:afterAutospacing="1"/>
      <w:jc w:val="both"/>
    </w:pPr>
    <w:rPr>
      <w:rFonts w:ascii="Arial" w:hAnsi="Arial"/>
      <w:sz w:val="22"/>
    </w:rPr>
  </w:style>
  <w:style w:type="paragraph" w:customStyle="1" w:styleId="Style11ptFirstline125cm">
    <w:name w:val="Style 11 pt First line:  125 cm"/>
    <w:basedOn w:val="Normal"/>
    <w:uiPriority w:val="99"/>
    <w:rsid w:val="00831984"/>
    <w:pPr>
      <w:spacing w:before="240"/>
      <w:ind w:firstLine="709"/>
      <w:jc w:val="both"/>
    </w:pPr>
    <w:rPr>
      <w:rFonts w:ascii="Arial" w:hAnsi="Arial"/>
      <w:noProof/>
      <w:sz w:val="22"/>
      <w:szCs w:val="20"/>
    </w:rPr>
  </w:style>
  <w:style w:type="paragraph" w:customStyle="1" w:styleId="StyleFirstline102cm">
    <w:name w:val="Style First line:  102 cm"/>
    <w:basedOn w:val="Normal"/>
    <w:uiPriority w:val="99"/>
    <w:rsid w:val="00831984"/>
    <w:pPr>
      <w:spacing w:before="120"/>
      <w:ind w:firstLine="576"/>
      <w:jc w:val="both"/>
    </w:pPr>
    <w:rPr>
      <w:rFonts w:ascii="Arial" w:hAnsi="Arial"/>
      <w:noProof/>
      <w:sz w:val="22"/>
      <w:szCs w:val="20"/>
    </w:rPr>
  </w:style>
  <w:style w:type="character" w:styleId="Refdecomentrio">
    <w:name w:val="annotation reference"/>
    <w:basedOn w:val="Fontepargpadro"/>
    <w:uiPriority w:val="99"/>
    <w:semiHidden/>
    <w:unhideWhenUsed/>
    <w:rsid w:val="001C3D7C"/>
    <w:rPr>
      <w:sz w:val="16"/>
      <w:szCs w:val="16"/>
    </w:rPr>
  </w:style>
  <w:style w:type="paragraph" w:styleId="Assuntodocomentrio">
    <w:name w:val="annotation subject"/>
    <w:basedOn w:val="Textodecomentrio"/>
    <w:next w:val="Textodecomentrio"/>
    <w:link w:val="AssuntodocomentrioChar"/>
    <w:uiPriority w:val="99"/>
    <w:semiHidden/>
    <w:unhideWhenUsed/>
    <w:rsid w:val="001C3D7C"/>
    <w:rPr>
      <w:b/>
      <w:bCs/>
    </w:rPr>
  </w:style>
  <w:style w:type="character" w:customStyle="1" w:styleId="AssuntodocomentrioChar">
    <w:name w:val="Assunto do comentário Char"/>
    <w:basedOn w:val="TextodecomentrioChar"/>
    <w:link w:val="Assuntodocomentrio"/>
    <w:uiPriority w:val="99"/>
    <w:semiHidden/>
    <w:rsid w:val="001C3D7C"/>
    <w:rPr>
      <w:rFonts w:ascii="Times New Roman" w:hAnsi="Times New Roman" w:cs="Times New Roman"/>
      <w:b/>
      <w:bCs/>
      <w:sz w:val="20"/>
      <w:szCs w:val="20"/>
      <w:lang w:eastAsia="pt-BR"/>
    </w:rPr>
  </w:style>
  <w:style w:type="character" w:customStyle="1" w:styleId="CorpodetextoChar1">
    <w:name w:val="Corpo de texto Char1"/>
    <w:basedOn w:val="Fontepargpadro"/>
    <w:uiPriority w:val="99"/>
    <w:locked/>
    <w:rsid w:val="00F34DD9"/>
    <w:rPr>
      <w:rFonts w:ascii="Times New Roman" w:hAnsi="Times New Roman" w:cs="Times New Roman"/>
      <w:sz w:val="20"/>
      <w:szCs w:val="20"/>
      <w:lang w:eastAsia="pt-BR"/>
    </w:rPr>
  </w:style>
  <w:style w:type="character" w:customStyle="1" w:styleId="st">
    <w:name w:val="st"/>
    <w:basedOn w:val="Fontepargpadro"/>
    <w:rsid w:val="00362EA7"/>
  </w:style>
  <w:style w:type="paragraph" w:customStyle="1" w:styleId="textocrecuo">
    <w:name w:val="texto c/ recuo"/>
    <w:basedOn w:val="Normal"/>
    <w:qFormat/>
    <w:rsid w:val="00365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N w:val="0"/>
      <w:spacing w:line="280" w:lineRule="atLeast"/>
      <w:textAlignment w:val="baseline"/>
    </w:pPr>
    <w:rPr>
      <w:rFonts w:ascii="Arial" w:hAnsi="Arial"/>
      <w:color w:val="000000"/>
      <w:sz w:val="22"/>
      <w:szCs w:val="20"/>
      <w:lang w:eastAsia="en-US"/>
    </w:rPr>
  </w:style>
  <w:style w:type="character" w:customStyle="1" w:styleId="PargrafodaListaChar">
    <w:name w:val="Parágrafo da Lista Char"/>
    <w:basedOn w:val="Fontepargpadro"/>
    <w:link w:val="PargrafodaLista"/>
    <w:uiPriority w:val="34"/>
    <w:rsid w:val="003F218B"/>
    <w:rPr>
      <w:rFonts w:ascii="Calibri" w:hAnsi="Calibri" w:cs="Times New Roman"/>
      <w:sz w:val="20"/>
      <w:szCs w:val="20"/>
      <w:lang w:val="en-US"/>
    </w:rPr>
  </w:style>
  <w:style w:type="paragraph" w:customStyle="1" w:styleId="corpodotextodf">
    <w:name w:val="corpo do texto df"/>
    <w:basedOn w:val="Normal"/>
    <w:uiPriority w:val="99"/>
    <w:rsid w:val="006C4A56"/>
    <w:pPr>
      <w:keepLines/>
      <w:widowControl w:val="0"/>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jc w:val="both"/>
    </w:pPr>
    <w:rPr>
      <w:sz w:val="22"/>
      <w:szCs w:val="22"/>
      <w:lang w:eastAsia="en-US"/>
    </w:rPr>
  </w:style>
  <w:style w:type="character" w:customStyle="1" w:styleId="Estilo1Char">
    <w:name w:val="Estilo1 Char"/>
    <w:basedOn w:val="Fontepargpadro"/>
    <w:link w:val="Estilo1"/>
    <w:rsid w:val="002F0DA1"/>
    <w:rPr>
      <w:rFonts w:ascii="Tahoma" w:hAnsi="Tahoma" w:cs="Tahoma"/>
      <w:b/>
      <w:i/>
      <w:smallCaps/>
      <w:spacing w:val="5"/>
      <w:sz w:val="16"/>
      <w:szCs w:val="28"/>
      <w:lang w:val="en-US"/>
    </w:rPr>
  </w:style>
  <w:style w:type="paragraph" w:customStyle="1" w:styleId="MediumGrid1-Accent21">
    <w:name w:val="Medium Grid 1 - Accent 21"/>
    <w:basedOn w:val="Normal"/>
    <w:uiPriority w:val="99"/>
    <w:qFormat/>
    <w:rsid w:val="003651EB"/>
    <w:pPr>
      <w:suppressAutoHyphens/>
      <w:spacing w:after="200" w:line="276" w:lineRule="auto"/>
      <w:ind w:left="720"/>
      <w:jc w:val="both"/>
    </w:pPr>
    <w:rPr>
      <w:rFonts w:ascii="Calibri" w:hAnsi="Calibri"/>
      <w:sz w:val="20"/>
      <w:szCs w:val="20"/>
      <w:lang w:val="en-US" w:eastAsia="en-US"/>
    </w:rPr>
  </w:style>
  <w:style w:type="paragraph" w:customStyle="1" w:styleId="MediumShading1-Accent11">
    <w:name w:val="Medium Shading 1 - Accent 11"/>
    <w:basedOn w:val="Normal"/>
    <w:uiPriority w:val="99"/>
    <w:qFormat/>
    <w:rsid w:val="003651EB"/>
    <w:pPr>
      <w:suppressAutoHyphens/>
      <w:jc w:val="both"/>
    </w:pPr>
    <w:rPr>
      <w:rFonts w:ascii="Calibri" w:hAnsi="Calibri"/>
      <w:sz w:val="20"/>
      <w:szCs w:val="20"/>
      <w:lang w:val="en-US" w:eastAsia="en-US"/>
    </w:rPr>
  </w:style>
  <w:style w:type="paragraph" w:customStyle="1" w:styleId="MediumGrid2-Accent21">
    <w:name w:val="Medium Grid 2 - Accent 21"/>
    <w:basedOn w:val="Normal"/>
    <w:next w:val="Normal"/>
    <w:link w:val="MediumGrid2-Accent2Char"/>
    <w:uiPriority w:val="99"/>
    <w:qFormat/>
    <w:rsid w:val="003651EB"/>
    <w:pPr>
      <w:suppressAutoHyphens/>
      <w:spacing w:after="200" w:line="276" w:lineRule="auto"/>
      <w:jc w:val="both"/>
    </w:pPr>
    <w:rPr>
      <w:rFonts w:ascii="Calibri" w:hAnsi="Calibri"/>
      <w:i/>
      <w:sz w:val="20"/>
      <w:szCs w:val="20"/>
      <w:lang w:val="en-US" w:eastAsia="en-US"/>
    </w:rPr>
  </w:style>
  <w:style w:type="character" w:customStyle="1" w:styleId="MediumGrid2-Accent2Char">
    <w:name w:val="Medium Grid 2 - Accent 2 Char"/>
    <w:link w:val="MediumGrid2-Accent21"/>
    <w:uiPriority w:val="99"/>
    <w:locked/>
    <w:rsid w:val="003651EB"/>
    <w:rPr>
      <w:rFonts w:ascii="Calibri" w:hAnsi="Calibri" w:cs="Times New Roman"/>
      <w:i/>
      <w:sz w:val="20"/>
      <w:szCs w:val="20"/>
      <w:lang w:val="en-US"/>
    </w:rPr>
  </w:style>
  <w:style w:type="paragraph" w:customStyle="1" w:styleId="MediumGrid3-Accent21">
    <w:name w:val="Medium Grid 3 - Accent 21"/>
    <w:basedOn w:val="Normal"/>
    <w:next w:val="Normal"/>
    <w:link w:val="MediumGrid3-Accent2Char"/>
    <w:uiPriority w:val="99"/>
    <w:qFormat/>
    <w:rsid w:val="003651EB"/>
    <w:pPr>
      <w:shd w:val="clear" w:color="auto" w:fill="C0504D"/>
      <w:suppressAutoHyphens/>
      <w:spacing w:before="140" w:after="140" w:line="276" w:lineRule="auto"/>
      <w:ind w:left="1440" w:right="1440"/>
      <w:jc w:val="both"/>
    </w:pPr>
    <w:rPr>
      <w:rFonts w:ascii="Calibri" w:hAnsi="Calibri"/>
      <w:b/>
      <w:i/>
      <w:color w:val="FFFFFF"/>
      <w:sz w:val="20"/>
      <w:szCs w:val="20"/>
      <w:lang w:val="en-US" w:eastAsia="en-US"/>
    </w:rPr>
  </w:style>
  <w:style w:type="character" w:customStyle="1" w:styleId="MediumGrid3-Accent2Char">
    <w:name w:val="Medium Grid 3 - Accent 2 Char"/>
    <w:link w:val="MediumGrid3-Accent21"/>
    <w:uiPriority w:val="99"/>
    <w:locked/>
    <w:rsid w:val="003651EB"/>
    <w:rPr>
      <w:rFonts w:ascii="Calibri" w:hAnsi="Calibri" w:cs="Times New Roman"/>
      <w:b/>
      <w:i/>
      <w:color w:val="FFFFFF"/>
      <w:sz w:val="20"/>
      <w:szCs w:val="20"/>
      <w:shd w:val="clear" w:color="auto" w:fill="C0504D"/>
      <w:lang w:val="en-US"/>
    </w:rPr>
  </w:style>
  <w:style w:type="paragraph" w:customStyle="1" w:styleId="MediumList2-Accent21">
    <w:name w:val="Medium List 2 - Accent 21"/>
    <w:hidden/>
    <w:uiPriority w:val="99"/>
    <w:semiHidden/>
    <w:rsid w:val="003651EB"/>
    <w:pPr>
      <w:spacing w:after="0" w:line="240" w:lineRule="auto"/>
    </w:pPr>
    <w:rPr>
      <w:rFonts w:ascii="Times New Roman" w:hAnsi="Times New Roman" w:cs="Times New Roman"/>
      <w:sz w:val="20"/>
      <w:szCs w:val="20"/>
      <w:lang w:eastAsia="pt-BR"/>
    </w:rPr>
  </w:style>
  <w:style w:type="paragraph" w:customStyle="1" w:styleId="ColorfulList-Accent11">
    <w:name w:val="Colorful List - Accent 11"/>
    <w:basedOn w:val="Normal"/>
    <w:uiPriority w:val="34"/>
    <w:qFormat/>
    <w:rsid w:val="003651E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3651EB"/>
  </w:style>
  <w:style w:type="table" w:customStyle="1" w:styleId="ListaMdia11">
    <w:name w:val="Lista Média 11"/>
    <w:basedOn w:val="Tabelanormal"/>
    <w:uiPriority w:val="60"/>
    <w:rsid w:val="003651EB"/>
    <w:pPr>
      <w:spacing w:after="0" w:line="240" w:lineRule="auto"/>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mentoClaro-nfase1">
    <w:name w:val="Light Shading Accent 1"/>
    <w:basedOn w:val="Tabelanormal"/>
    <w:uiPriority w:val="30"/>
    <w:qFormat/>
    <w:rsid w:val="003651EB"/>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Spacing1">
    <w:name w:val="No Spacing1"/>
    <w:qFormat/>
    <w:rsid w:val="00EF0748"/>
    <w:pPr>
      <w:spacing w:after="0" w:line="240" w:lineRule="auto"/>
    </w:pPr>
    <w:rPr>
      <w:rFonts w:ascii="Calibri" w:eastAsia="SimSun" w:hAnsi="Calibri" w:cs="Calibri"/>
      <w:lang w:eastAsia="pt-BR"/>
    </w:rPr>
  </w:style>
  <w:style w:type="character" w:styleId="TextodoEspaoReservado">
    <w:name w:val="Placeholder Text"/>
    <w:basedOn w:val="Fontepargpadro"/>
    <w:uiPriority w:val="99"/>
    <w:semiHidden/>
    <w:rsid w:val="00190C5B"/>
    <w:rPr>
      <w:color w:val="808080"/>
    </w:rPr>
  </w:style>
  <w:style w:type="paragraph" w:styleId="Recuodecorpodetexto2">
    <w:name w:val="Body Text Indent 2"/>
    <w:basedOn w:val="Normal"/>
    <w:link w:val="Recuodecorpodetexto2Char1"/>
    <w:uiPriority w:val="99"/>
    <w:semiHidden/>
    <w:unhideWhenUsed/>
    <w:rsid w:val="00B03612"/>
    <w:pPr>
      <w:spacing w:after="120" w:line="480" w:lineRule="auto"/>
      <w:ind w:left="283"/>
    </w:pPr>
    <w:rPr>
      <w:sz w:val="20"/>
      <w:szCs w:val="20"/>
    </w:rPr>
  </w:style>
  <w:style w:type="character" w:customStyle="1" w:styleId="Recuodecorpodetexto2Char1">
    <w:name w:val="Recuo de corpo de texto 2 Char1"/>
    <w:basedOn w:val="Fontepargpadro"/>
    <w:link w:val="Recuodecorpodetexto2"/>
    <w:uiPriority w:val="99"/>
    <w:semiHidden/>
    <w:rsid w:val="00B03612"/>
    <w:rPr>
      <w:rFonts w:ascii="Times New Roman" w:hAnsi="Times New Roman" w:cs="Times New Roman"/>
      <w:sz w:val="20"/>
      <w:szCs w:val="20"/>
      <w:lang w:eastAsia="pt-BR"/>
    </w:rPr>
  </w:style>
  <w:style w:type="paragraph" w:customStyle="1" w:styleId="western">
    <w:name w:val="western"/>
    <w:basedOn w:val="Normal"/>
    <w:rsid w:val="006842FF"/>
    <w:pPr>
      <w:spacing w:before="100" w:beforeAutospacing="1" w:after="100" w:afterAutospacing="1"/>
    </w:pPr>
  </w:style>
  <w:style w:type="paragraph" w:customStyle="1" w:styleId="Body">
    <w:name w:val="Body"/>
    <w:basedOn w:val="Normal"/>
    <w:link w:val="BodyChar"/>
    <w:uiPriority w:val="99"/>
    <w:rsid w:val="00E04D43"/>
    <w:pPr>
      <w:spacing w:before="130" w:after="130" w:line="260" w:lineRule="exact"/>
    </w:pPr>
    <w:rPr>
      <w:color w:val="000000"/>
      <w:sz w:val="22"/>
      <w:szCs w:val="20"/>
      <w:lang w:val="en-US"/>
    </w:rPr>
  </w:style>
  <w:style w:type="character" w:customStyle="1" w:styleId="BodyChar">
    <w:name w:val="Body Char"/>
    <w:basedOn w:val="Fontepargpadro"/>
    <w:link w:val="Body"/>
    <w:uiPriority w:val="99"/>
    <w:rsid w:val="00E04D43"/>
    <w:rPr>
      <w:rFonts w:ascii="Times New Roman" w:hAnsi="Times New Roman" w:cs="Times New Roman"/>
      <w:color w:val="000000"/>
      <w:szCs w:val="20"/>
      <w:lang w:val="en-US" w:eastAsia="pt-BR"/>
    </w:rPr>
  </w:style>
  <w:style w:type="paragraph" w:customStyle="1" w:styleId="Style2">
    <w:name w:val="Style2"/>
    <w:basedOn w:val="Normal"/>
    <w:rsid w:val="004527D2"/>
    <w:pPr>
      <w:keepLines/>
      <w:tabs>
        <w:tab w:val="num"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outlineLvl w:val="0"/>
    </w:pPr>
    <w:rPr>
      <w:rFonts w:ascii="Arial" w:hAnsi="Arial"/>
      <w:b/>
      <w:caps/>
      <w:szCs w:val="20"/>
      <w:lang w:eastAsia="en-US"/>
    </w:rPr>
  </w:style>
  <w:style w:type="character" w:styleId="Refdenotaderodap">
    <w:name w:val="footnote reference"/>
    <w:basedOn w:val="Fontepargpadro"/>
    <w:uiPriority w:val="99"/>
    <w:semiHidden/>
    <w:unhideWhenUsed/>
    <w:rsid w:val="000A5EBC"/>
    <w:rPr>
      <w:vertAlign w:val="superscript"/>
    </w:rPr>
  </w:style>
  <w:style w:type="paragraph" w:customStyle="1" w:styleId="style3">
    <w:name w:val="style3"/>
    <w:basedOn w:val="Normal"/>
    <w:rsid w:val="00F352B9"/>
    <w:pPr>
      <w:spacing w:before="100" w:beforeAutospacing="1" w:after="100" w:afterAutospacing="1"/>
    </w:pPr>
  </w:style>
  <w:style w:type="character" w:customStyle="1" w:styleId="normaltextrun">
    <w:name w:val="normaltextrun"/>
    <w:basedOn w:val="Fontepargpadro"/>
    <w:rsid w:val="00CF7D5A"/>
  </w:style>
  <w:style w:type="character" w:customStyle="1" w:styleId="markedcontent">
    <w:name w:val="markedcontent"/>
    <w:basedOn w:val="Fontepargpadro"/>
    <w:rsid w:val="00411CD0"/>
  </w:style>
  <w:style w:type="character" w:customStyle="1" w:styleId="ui-provider">
    <w:name w:val="ui-provider"/>
    <w:basedOn w:val="Fontepargpadro"/>
    <w:rsid w:val="00B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08">
      <w:bodyDiv w:val="1"/>
      <w:marLeft w:val="0"/>
      <w:marRight w:val="0"/>
      <w:marTop w:val="0"/>
      <w:marBottom w:val="0"/>
      <w:divBdr>
        <w:top w:val="none" w:sz="0" w:space="0" w:color="auto"/>
        <w:left w:val="none" w:sz="0" w:space="0" w:color="auto"/>
        <w:bottom w:val="none" w:sz="0" w:space="0" w:color="auto"/>
        <w:right w:val="none" w:sz="0" w:space="0" w:color="auto"/>
      </w:divBdr>
    </w:div>
    <w:div w:id="3214120">
      <w:bodyDiv w:val="1"/>
      <w:marLeft w:val="0"/>
      <w:marRight w:val="0"/>
      <w:marTop w:val="0"/>
      <w:marBottom w:val="0"/>
      <w:divBdr>
        <w:top w:val="none" w:sz="0" w:space="0" w:color="auto"/>
        <w:left w:val="none" w:sz="0" w:space="0" w:color="auto"/>
        <w:bottom w:val="none" w:sz="0" w:space="0" w:color="auto"/>
        <w:right w:val="none" w:sz="0" w:space="0" w:color="auto"/>
      </w:divBdr>
    </w:div>
    <w:div w:id="3751998">
      <w:bodyDiv w:val="1"/>
      <w:marLeft w:val="0"/>
      <w:marRight w:val="0"/>
      <w:marTop w:val="0"/>
      <w:marBottom w:val="0"/>
      <w:divBdr>
        <w:top w:val="none" w:sz="0" w:space="0" w:color="auto"/>
        <w:left w:val="none" w:sz="0" w:space="0" w:color="auto"/>
        <w:bottom w:val="none" w:sz="0" w:space="0" w:color="auto"/>
        <w:right w:val="none" w:sz="0" w:space="0" w:color="auto"/>
      </w:divBdr>
    </w:div>
    <w:div w:id="4208794">
      <w:bodyDiv w:val="1"/>
      <w:marLeft w:val="0"/>
      <w:marRight w:val="0"/>
      <w:marTop w:val="0"/>
      <w:marBottom w:val="0"/>
      <w:divBdr>
        <w:top w:val="none" w:sz="0" w:space="0" w:color="auto"/>
        <w:left w:val="none" w:sz="0" w:space="0" w:color="auto"/>
        <w:bottom w:val="none" w:sz="0" w:space="0" w:color="auto"/>
        <w:right w:val="none" w:sz="0" w:space="0" w:color="auto"/>
      </w:divBdr>
    </w:div>
    <w:div w:id="4404303">
      <w:bodyDiv w:val="1"/>
      <w:marLeft w:val="0"/>
      <w:marRight w:val="0"/>
      <w:marTop w:val="0"/>
      <w:marBottom w:val="0"/>
      <w:divBdr>
        <w:top w:val="none" w:sz="0" w:space="0" w:color="auto"/>
        <w:left w:val="none" w:sz="0" w:space="0" w:color="auto"/>
        <w:bottom w:val="none" w:sz="0" w:space="0" w:color="auto"/>
        <w:right w:val="none" w:sz="0" w:space="0" w:color="auto"/>
      </w:divBdr>
    </w:div>
    <w:div w:id="5177689">
      <w:bodyDiv w:val="1"/>
      <w:marLeft w:val="0"/>
      <w:marRight w:val="0"/>
      <w:marTop w:val="0"/>
      <w:marBottom w:val="0"/>
      <w:divBdr>
        <w:top w:val="none" w:sz="0" w:space="0" w:color="auto"/>
        <w:left w:val="none" w:sz="0" w:space="0" w:color="auto"/>
        <w:bottom w:val="none" w:sz="0" w:space="0" w:color="auto"/>
        <w:right w:val="none" w:sz="0" w:space="0" w:color="auto"/>
      </w:divBdr>
    </w:div>
    <w:div w:id="6567559">
      <w:bodyDiv w:val="1"/>
      <w:marLeft w:val="0"/>
      <w:marRight w:val="0"/>
      <w:marTop w:val="0"/>
      <w:marBottom w:val="0"/>
      <w:divBdr>
        <w:top w:val="none" w:sz="0" w:space="0" w:color="auto"/>
        <w:left w:val="none" w:sz="0" w:space="0" w:color="auto"/>
        <w:bottom w:val="none" w:sz="0" w:space="0" w:color="auto"/>
        <w:right w:val="none" w:sz="0" w:space="0" w:color="auto"/>
      </w:divBdr>
    </w:div>
    <w:div w:id="6760993">
      <w:bodyDiv w:val="1"/>
      <w:marLeft w:val="0"/>
      <w:marRight w:val="0"/>
      <w:marTop w:val="0"/>
      <w:marBottom w:val="0"/>
      <w:divBdr>
        <w:top w:val="none" w:sz="0" w:space="0" w:color="auto"/>
        <w:left w:val="none" w:sz="0" w:space="0" w:color="auto"/>
        <w:bottom w:val="none" w:sz="0" w:space="0" w:color="auto"/>
        <w:right w:val="none" w:sz="0" w:space="0" w:color="auto"/>
      </w:divBdr>
    </w:div>
    <w:div w:id="8414177">
      <w:bodyDiv w:val="1"/>
      <w:marLeft w:val="0"/>
      <w:marRight w:val="0"/>
      <w:marTop w:val="0"/>
      <w:marBottom w:val="0"/>
      <w:divBdr>
        <w:top w:val="none" w:sz="0" w:space="0" w:color="auto"/>
        <w:left w:val="none" w:sz="0" w:space="0" w:color="auto"/>
        <w:bottom w:val="none" w:sz="0" w:space="0" w:color="auto"/>
        <w:right w:val="none" w:sz="0" w:space="0" w:color="auto"/>
      </w:divBdr>
    </w:div>
    <w:div w:id="9114129">
      <w:bodyDiv w:val="1"/>
      <w:marLeft w:val="0"/>
      <w:marRight w:val="0"/>
      <w:marTop w:val="0"/>
      <w:marBottom w:val="0"/>
      <w:divBdr>
        <w:top w:val="none" w:sz="0" w:space="0" w:color="auto"/>
        <w:left w:val="none" w:sz="0" w:space="0" w:color="auto"/>
        <w:bottom w:val="none" w:sz="0" w:space="0" w:color="auto"/>
        <w:right w:val="none" w:sz="0" w:space="0" w:color="auto"/>
      </w:divBdr>
    </w:div>
    <w:div w:id="11108304">
      <w:bodyDiv w:val="1"/>
      <w:marLeft w:val="0"/>
      <w:marRight w:val="0"/>
      <w:marTop w:val="0"/>
      <w:marBottom w:val="0"/>
      <w:divBdr>
        <w:top w:val="none" w:sz="0" w:space="0" w:color="auto"/>
        <w:left w:val="none" w:sz="0" w:space="0" w:color="auto"/>
        <w:bottom w:val="none" w:sz="0" w:space="0" w:color="auto"/>
        <w:right w:val="none" w:sz="0" w:space="0" w:color="auto"/>
      </w:divBdr>
    </w:div>
    <w:div w:id="13657533">
      <w:bodyDiv w:val="1"/>
      <w:marLeft w:val="0"/>
      <w:marRight w:val="0"/>
      <w:marTop w:val="0"/>
      <w:marBottom w:val="0"/>
      <w:divBdr>
        <w:top w:val="none" w:sz="0" w:space="0" w:color="auto"/>
        <w:left w:val="none" w:sz="0" w:space="0" w:color="auto"/>
        <w:bottom w:val="none" w:sz="0" w:space="0" w:color="auto"/>
        <w:right w:val="none" w:sz="0" w:space="0" w:color="auto"/>
      </w:divBdr>
    </w:div>
    <w:div w:id="15617252">
      <w:bodyDiv w:val="1"/>
      <w:marLeft w:val="0"/>
      <w:marRight w:val="0"/>
      <w:marTop w:val="0"/>
      <w:marBottom w:val="0"/>
      <w:divBdr>
        <w:top w:val="none" w:sz="0" w:space="0" w:color="auto"/>
        <w:left w:val="none" w:sz="0" w:space="0" w:color="auto"/>
        <w:bottom w:val="none" w:sz="0" w:space="0" w:color="auto"/>
        <w:right w:val="none" w:sz="0" w:space="0" w:color="auto"/>
      </w:divBdr>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16464063">
      <w:bodyDiv w:val="1"/>
      <w:marLeft w:val="0"/>
      <w:marRight w:val="0"/>
      <w:marTop w:val="0"/>
      <w:marBottom w:val="0"/>
      <w:divBdr>
        <w:top w:val="none" w:sz="0" w:space="0" w:color="auto"/>
        <w:left w:val="none" w:sz="0" w:space="0" w:color="auto"/>
        <w:bottom w:val="none" w:sz="0" w:space="0" w:color="auto"/>
        <w:right w:val="none" w:sz="0" w:space="0" w:color="auto"/>
      </w:divBdr>
    </w:div>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17244589">
      <w:bodyDiv w:val="1"/>
      <w:marLeft w:val="0"/>
      <w:marRight w:val="0"/>
      <w:marTop w:val="0"/>
      <w:marBottom w:val="0"/>
      <w:divBdr>
        <w:top w:val="none" w:sz="0" w:space="0" w:color="auto"/>
        <w:left w:val="none" w:sz="0" w:space="0" w:color="auto"/>
        <w:bottom w:val="none" w:sz="0" w:space="0" w:color="auto"/>
        <w:right w:val="none" w:sz="0" w:space="0" w:color="auto"/>
      </w:divBdr>
    </w:div>
    <w:div w:id="18548459">
      <w:bodyDiv w:val="1"/>
      <w:marLeft w:val="0"/>
      <w:marRight w:val="0"/>
      <w:marTop w:val="0"/>
      <w:marBottom w:val="0"/>
      <w:divBdr>
        <w:top w:val="none" w:sz="0" w:space="0" w:color="auto"/>
        <w:left w:val="none" w:sz="0" w:space="0" w:color="auto"/>
        <w:bottom w:val="none" w:sz="0" w:space="0" w:color="auto"/>
        <w:right w:val="none" w:sz="0" w:space="0" w:color="auto"/>
      </w:divBdr>
    </w:div>
    <w:div w:id="19280182">
      <w:bodyDiv w:val="1"/>
      <w:marLeft w:val="0"/>
      <w:marRight w:val="0"/>
      <w:marTop w:val="0"/>
      <w:marBottom w:val="0"/>
      <w:divBdr>
        <w:top w:val="none" w:sz="0" w:space="0" w:color="auto"/>
        <w:left w:val="none" w:sz="0" w:space="0" w:color="auto"/>
        <w:bottom w:val="none" w:sz="0" w:space="0" w:color="auto"/>
        <w:right w:val="none" w:sz="0" w:space="0" w:color="auto"/>
      </w:divBdr>
    </w:div>
    <w:div w:id="20009965">
      <w:bodyDiv w:val="1"/>
      <w:marLeft w:val="0"/>
      <w:marRight w:val="0"/>
      <w:marTop w:val="0"/>
      <w:marBottom w:val="0"/>
      <w:divBdr>
        <w:top w:val="none" w:sz="0" w:space="0" w:color="auto"/>
        <w:left w:val="none" w:sz="0" w:space="0" w:color="auto"/>
        <w:bottom w:val="none" w:sz="0" w:space="0" w:color="auto"/>
        <w:right w:val="none" w:sz="0" w:space="0" w:color="auto"/>
      </w:divBdr>
    </w:div>
    <w:div w:id="21783644">
      <w:bodyDiv w:val="1"/>
      <w:marLeft w:val="0"/>
      <w:marRight w:val="0"/>
      <w:marTop w:val="0"/>
      <w:marBottom w:val="0"/>
      <w:divBdr>
        <w:top w:val="none" w:sz="0" w:space="0" w:color="auto"/>
        <w:left w:val="none" w:sz="0" w:space="0" w:color="auto"/>
        <w:bottom w:val="none" w:sz="0" w:space="0" w:color="auto"/>
        <w:right w:val="none" w:sz="0" w:space="0" w:color="auto"/>
      </w:divBdr>
    </w:div>
    <w:div w:id="23677149">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6491232">
      <w:bodyDiv w:val="1"/>
      <w:marLeft w:val="0"/>
      <w:marRight w:val="0"/>
      <w:marTop w:val="0"/>
      <w:marBottom w:val="0"/>
      <w:divBdr>
        <w:top w:val="none" w:sz="0" w:space="0" w:color="auto"/>
        <w:left w:val="none" w:sz="0" w:space="0" w:color="auto"/>
        <w:bottom w:val="none" w:sz="0" w:space="0" w:color="auto"/>
        <w:right w:val="none" w:sz="0" w:space="0" w:color="auto"/>
      </w:divBdr>
    </w:div>
    <w:div w:id="26951873">
      <w:bodyDiv w:val="1"/>
      <w:marLeft w:val="0"/>
      <w:marRight w:val="0"/>
      <w:marTop w:val="0"/>
      <w:marBottom w:val="0"/>
      <w:divBdr>
        <w:top w:val="none" w:sz="0" w:space="0" w:color="auto"/>
        <w:left w:val="none" w:sz="0" w:space="0" w:color="auto"/>
        <w:bottom w:val="none" w:sz="0" w:space="0" w:color="auto"/>
        <w:right w:val="none" w:sz="0" w:space="0" w:color="auto"/>
      </w:divBdr>
    </w:div>
    <w:div w:id="29501573">
      <w:marLeft w:val="0"/>
      <w:marRight w:val="0"/>
      <w:marTop w:val="0"/>
      <w:marBottom w:val="0"/>
      <w:divBdr>
        <w:top w:val="none" w:sz="0" w:space="0" w:color="auto"/>
        <w:left w:val="none" w:sz="0" w:space="0" w:color="auto"/>
        <w:bottom w:val="none" w:sz="0" w:space="0" w:color="auto"/>
        <w:right w:val="none" w:sz="0" w:space="0" w:color="auto"/>
      </w:divBdr>
    </w:div>
    <w:div w:id="29653603">
      <w:bodyDiv w:val="1"/>
      <w:marLeft w:val="0"/>
      <w:marRight w:val="0"/>
      <w:marTop w:val="0"/>
      <w:marBottom w:val="0"/>
      <w:divBdr>
        <w:top w:val="none" w:sz="0" w:space="0" w:color="auto"/>
        <w:left w:val="none" w:sz="0" w:space="0" w:color="auto"/>
        <w:bottom w:val="none" w:sz="0" w:space="0" w:color="auto"/>
        <w:right w:val="none" w:sz="0" w:space="0" w:color="auto"/>
      </w:divBdr>
    </w:div>
    <w:div w:id="29960708">
      <w:bodyDiv w:val="1"/>
      <w:marLeft w:val="0"/>
      <w:marRight w:val="0"/>
      <w:marTop w:val="0"/>
      <w:marBottom w:val="0"/>
      <w:divBdr>
        <w:top w:val="none" w:sz="0" w:space="0" w:color="auto"/>
        <w:left w:val="none" w:sz="0" w:space="0" w:color="auto"/>
        <w:bottom w:val="none" w:sz="0" w:space="0" w:color="auto"/>
        <w:right w:val="none" w:sz="0" w:space="0" w:color="auto"/>
      </w:divBdr>
    </w:div>
    <w:div w:id="29963747">
      <w:bodyDiv w:val="1"/>
      <w:marLeft w:val="0"/>
      <w:marRight w:val="0"/>
      <w:marTop w:val="0"/>
      <w:marBottom w:val="0"/>
      <w:divBdr>
        <w:top w:val="none" w:sz="0" w:space="0" w:color="auto"/>
        <w:left w:val="none" w:sz="0" w:space="0" w:color="auto"/>
        <w:bottom w:val="none" w:sz="0" w:space="0" w:color="auto"/>
        <w:right w:val="none" w:sz="0" w:space="0" w:color="auto"/>
      </w:divBdr>
    </w:div>
    <w:div w:id="30039839">
      <w:bodyDiv w:val="1"/>
      <w:marLeft w:val="0"/>
      <w:marRight w:val="0"/>
      <w:marTop w:val="0"/>
      <w:marBottom w:val="0"/>
      <w:divBdr>
        <w:top w:val="none" w:sz="0" w:space="0" w:color="auto"/>
        <w:left w:val="none" w:sz="0" w:space="0" w:color="auto"/>
        <w:bottom w:val="none" w:sz="0" w:space="0" w:color="auto"/>
        <w:right w:val="none" w:sz="0" w:space="0" w:color="auto"/>
      </w:divBdr>
    </w:div>
    <w:div w:id="31155072">
      <w:bodyDiv w:val="1"/>
      <w:marLeft w:val="0"/>
      <w:marRight w:val="0"/>
      <w:marTop w:val="0"/>
      <w:marBottom w:val="0"/>
      <w:divBdr>
        <w:top w:val="none" w:sz="0" w:space="0" w:color="auto"/>
        <w:left w:val="none" w:sz="0" w:space="0" w:color="auto"/>
        <w:bottom w:val="none" w:sz="0" w:space="0" w:color="auto"/>
        <w:right w:val="none" w:sz="0" w:space="0" w:color="auto"/>
      </w:divBdr>
    </w:div>
    <w:div w:id="31269257">
      <w:bodyDiv w:val="1"/>
      <w:marLeft w:val="0"/>
      <w:marRight w:val="0"/>
      <w:marTop w:val="0"/>
      <w:marBottom w:val="0"/>
      <w:divBdr>
        <w:top w:val="none" w:sz="0" w:space="0" w:color="auto"/>
        <w:left w:val="none" w:sz="0" w:space="0" w:color="auto"/>
        <w:bottom w:val="none" w:sz="0" w:space="0" w:color="auto"/>
        <w:right w:val="none" w:sz="0" w:space="0" w:color="auto"/>
      </w:divBdr>
    </w:div>
    <w:div w:id="31423180">
      <w:bodyDiv w:val="1"/>
      <w:marLeft w:val="0"/>
      <w:marRight w:val="0"/>
      <w:marTop w:val="0"/>
      <w:marBottom w:val="0"/>
      <w:divBdr>
        <w:top w:val="none" w:sz="0" w:space="0" w:color="auto"/>
        <w:left w:val="none" w:sz="0" w:space="0" w:color="auto"/>
        <w:bottom w:val="none" w:sz="0" w:space="0" w:color="auto"/>
        <w:right w:val="none" w:sz="0" w:space="0" w:color="auto"/>
      </w:divBdr>
    </w:div>
    <w:div w:id="34014681">
      <w:bodyDiv w:val="1"/>
      <w:marLeft w:val="0"/>
      <w:marRight w:val="0"/>
      <w:marTop w:val="0"/>
      <w:marBottom w:val="0"/>
      <w:divBdr>
        <w:top w:val="none" w:sz="0" w:space="0" w:color="auto"/>
        <w:left w:val="none" w:sz="0" w:space="0" w:color="auto"/>
        <w:bottom w:val="none" w:sz="0" w:space="0" w:color="auto"/>
        <w:right w:val="none" w:sz="0" w:space="0" w:color="auto"/>
      </w:divBdr>
    </w:div>
    <w:div w:id="34350898">
      <w:bodyDiv w:val="1"/>
      <w:marLeft w:val="0"/>
      <w:marRight w:val="0"/>
      <w:marTop w:val="0"/>
      <w:marBottom w:val="0"/>
      <w:divBdr>
        <w:top w:val="none" w:sz="0" w:space="0" w:color="auto"/>
        <w:left w:val="none" w:sz="0" w:space="0" w:color="auto"/>
        <w:bottom w:val="none" w:sz="0" w:space="0" w:color="auto"/>
        <w:right w:val="none" w:sz="0" w:space="0" w:color="auto"/>
      </w:divBdr>
    </w:div>
    <w:div w:id="34425881">
      <w:bodyDiv w:val="1"/>
      <w:marLeft w:val="0"/>
      <w:marRight w:val="0"/>
      <w:marTop w:val="0"/>
      <w:marBottom w:val="0"/>
      <w:divBdr>
        <w:top w:val="none" w:sz="0" w:space="0" w:color="auto"/>
        <w:left w:val="none" w:sz="0" w:space="0" w:color="auto"/>
        <w:bottom w:val="none" w:sz="0" w:space="0" w:color="auto"/>
        <w:right w:val="none" w:sz="0" w:space="0" w:color="auto"/>
      </w:divBdr>
    </w:div>
    <w:div w:id="34430905">
      <w:bodyDiv w:val="1"/>
      <w:marLeft w:val="0"/>
      <w:marRight w:val="0"/>
      <w:marTop w:val="0"/>
      <w:marBottom w:val="0"/>
      <w:divBdr>
        <w:top w:val="none" w:sz="0" w:space="0" w:color="auto"/>
        <w:left w:val="none" w:sz="0" w:space="0" w:color="auto"/>
        <w:bottom w:val="none" w:sz="0" w:space="0" w:color="auto"/>
        <w:right w:val="none" w:sz="0" w:space="0" w:color="auto"/>
      </w:divBdr>
    </w:div>
    <w:div w:id="36205751">
      <w:bodyDiv w:val="1"/>
      <w:marLeft w:val="0"/>
      <w:marRight w:val="0"/>
      <w:marTop w:val="0"/>
      <w:marBottom w:val="0"/>
      <w:divBdr>
        <w:top w:val="none" w:sz="0" w:space="0" w:color="auto"/>
        <w:left w:val="none" w:sz="0" w:space="0" w:color="auto"/>
        <w:bottom w:val="none" w:sz="0" w:space="0" w:color="auto"/>
        <w:right w:val="none" w:sz="0" w:space="0" w:color="auto"/>
      </w:divBdr>
    </w:div>
    <w:div w:id="36395625">
      <w:bodyDiv w:val="1"/>
      <w:marLeft w:val="0"/>
      <w:marRight w:val="0"/>
      <w:marTop w:val="0"/>
      <w:marBottom w:val="0"/>
      <w:divBdr>
        <w:top w:val="none" w:sz="0" w:space="0" w:color="auto"/>
        <w:left w:val="none" w:sz="0" w:space="0" w:color="auto"/>
        <w:bottom w:val="none" w:sz="0" w:space="0" w:color="auto"/>
        <w:right w:val="none" w:sz="0" w:space="0" w:color="auto"/>
      </w:divBdr>
    </w:div>
    <w:div w:id="36469873">
      <w:bodyDiv w:val="1"/>
      <w:marLeft w:val="0"/>
      <w:marRight w:val="0"/>
      <w:marTop w:val="0"/>
      <w:marBottom w:val="0"/>
      <w:divBdr>
        <w:top w:val="none" w:sz="0" w:space="0" w:color="auto"/>
        <w:left w:val="none" w:sz="0" w:space="0" w:color="auto"/>
        <w:bottom w:val="none" w:sz="0" w:space="0" w:color="auto"/>
        <w:right w:val="none" w:sz="0" w:space="0" w:color="auto"/>
      </w:divBdr>
    </w:div>
    <w:div w:id="39208108">
      <w:bodyDiv w:val="1"/>
      <w:marLeft w:val="0"/>
      <w:marRight w:val="0"/>
      <w:marTop w:val="0"/>
      <w:marBottom w:val="0"/>
      <w:divBdr>
        <w:top w:val="none" w:sz="0" w:space="0" w:color="auto"/>
        <w:left w:val="none" w:sz="0" w:space="0" w:color="auto"/>
        <w:bottom w:val="none" w:sz="0" w:space="0" w:color="auto"/>
        <w:right w:val="none" w:sz="0" w:space="0" w:color="auto"/>
      </w:divBdr>
    </w:div>
    <w:div w:id="39214865">
      <w:bodyDiv w:val="1"/>
      <w:marLeft w:val="0"/>
      <w:marRight w:val="0"/>
      <w:marTop w:val="0"/>
      <w:marBottom w:val="0"/>
      <w:divBdr>
        <w:top w:val="none" w:sz="0" w:space="0" w:color="auto"/>
        <w:left w:val="none" w:sz="0" w:space="0" w:color="auto"/>
        <w:bottom w:val="none" w:sz="0" w:space="0" w:color="auto"/>
        <w:right w:val="none" w:sz="0" w:space="0" w:color="auto"/>
      </w:divBdr>
    </w:div>
    <w:div w:id="40055837">
      <w:bodyDiv w:val="1"/>
      <w:marLeft w:val="0"/>
      <w:marRight w:val="0"/>
      <w:marTop w:val="0"/>
      <w:marBottom w:val="0"/>
      <w:divBdr>
        <w:top w:val="none" w:sz="0" w:space="0" w:color="auto"/>
        <w:left w:val="none" w:sz="0" w:space="0" w:color="auto"/>
        <w:bottom w:val="none" w:sz="0" w:space="0" w:color="auto"/>
        <w:right w:val="none" w:sz="0" w:space="0" w:color="auto"/>
      </w:divBdr>
    </w:div>
    <w:div w:id="40523711">
      <w:bodyDiv w:val="1"/>
      <w:marLeft w:val="0"/>
      <w:marRight w:val="0"/>
      <w:marTop w:val="0"/>
      <w:marBottom w:val="0"/>
      <w:divBdr>
        <w:top w:val="none" w:sz="0" w:space="0" w:color="auto"/>
        <w:left w:val="none" w:sz="0" w:space="0" w:color="auto"/>
        <w:bottom w:val="none" w:sz="0" w:space="0" w:color="auto"/>
        <w:right w:val="none" w:sz="0" w:space="0" w:color="auto"/>
      </w:divBdr>
    </w:div>
    <w:div w:id="40792329">
      <w:bodyDiv w:val="1"/>
      <w:marLeft w:val="0"/>
      <w:marRight w:val="0"/>
      <w:marTop w:val="0"/>
      <w:marBottom w:val="0"/>
      <w:divBdr>
        <w:top w:val="none" w:sz="0" w:space="0" w:color="auto"/>
        <w:left w:val="none" w:sz="0" w:space="0" w:color="auto"/>
        <w:bottom w:val="none" w:sz="0" w:space="0" w:color="auto"/>
        <w:right w:val="none" w:sz="0" w:space="0" w:color="auto"/>
      </w:divBdr>
    </w:div>
    <w:div w:id="40903434">
      <w:bodyDiv w:val="1"/>
      <w:marLeft w:val="0"/>
      <w:marRight w:val="0"/>
      <w:marTop w:val="0"/>
      <w:marBottom w:val="0"/>
      <w:divBdr>
        <w:top w:val="none" w:sz="0" w:space="0" w:color="auto"/>
        <w:left w:val="none" w:sz="0" w:space="0" w:color="auto"/>
        <w:bottom w:val="none" w:sz="0" w:space="0" w:color="auto"/>
        <w:right w:val="none" w:sz="0" w:space="0" w:color="auto"/>
      </w:divBdr>
    </w:div>
    <w:div w:id="41448883">
      <w:bodyDiv w:val="1"/>
      <w:marLeft w:val="0"/>
      <w:marRight w:val="0"/>
      <w:marTop w:val="0"/>
      <w:marBottom w:val="0"/>
      <w:divBdr>
        <w:top w:val="none" w:sz="0" w:space="0" w:color="auto"/>
        <w:left w:val="none" w:sz="0" w:space="0" w:color="auto"/>
        <w:bottom w:val="none" w:sz="0" w:space="0" w:color="auto"/>
        <w:right w:val="none" w:sz="0" w:space="0" w:color="auto"/>
      </w:divBdr>
    </w:div>
    <w:div w:id="43146164">
      <w:bodyDiv w:val="1"/>
      <w:marLeft w:val="0"/>
      <w:marRight w:val="0"/>
      <w:marTop w:val="0"/>
      <w:marBottom w:val="0"/>
      <w:divBdr>
        <w:top w:val="none" w:sz="0" w:space="0" w:color="auto"/>
        <w:left w:val="none" w:sz="0" w:space="0" w:color="auto"/>
        <w:bottom w:val="none" w:sz="0" w:space="0" w:color="auto"/>
        <w:right w:val="none" w:sz="0" w:space="0" w:color="auto"/>
      </w:divBdr>
    </w:div>
    <w:div w:id="43723592">
      <w:bodyDiv w:val="1"/>
      <w:marLeft w:val="0"/>
      <w:marRight w:val="0"/>
      <w:marTop w:val="0"/>
      <w:marBottom w:val="0"/>
      <w:divBdr>
        <w:top w:val="none" w:sz="0" w:space="0" w:color="auto"/>
        <w:left w:val="none" w:sz="0" w:space="0" w:color="auto"/>
        <w:bottom w:val="none" w:sz="0" w:space="0" w:color="auto"/>
        <w:right w:val="none" w:sz="0" w:space="0" w:color="auto"/>
      </w:divBdr>
    </w:div>
    <w:div w:id="45953150">
      <w:bodyDiv w:val="1"/>
      <w:marLeft w:val="0"/>
      <w:marRight w:val="0"/>
      <w:marTop w:val="0"/>
      <w:marBottom w:val="0"/>
      <w:divBdr>
        <w:top w:val="none" w:sz="0" w:space="0" w:color="auto"/>
        <w:left w:val="none" w:sz="0" w:space="0" w:color="auto"/>
        <w:bottom w:val="none" w:sz="0" w:space="0" w:color="auto"/>
        <w:right w:val="none" w:sz="0" w:space="0" w:color="auto"/>
      </w:divBdr>
    </w:div>
    <w:div w:id="46416548">
      <w:bodyDiv w:val="1"/>
      <w:marLeft w:val="0"/>
      <w:marRight w:val="0"/>
      <w:marTop w:val="0"/>
      <w:marBottom w:val="0"/>
      <w:divBdr>
        <w:top w:val="none" w:sz="0" w:space="0" w:color="auto"/>
        <w:left w:val="none" w:sz="0" w:space="0" w:color="auto"/>
        <w:bottom w:val="none" w:sz="0" w:space="0" w:color="auto"/>
        <w:right w:val="none" w:sz="0" w:space="0" w:color="auto"/>
      </w:divBdr>
    </w:div>
    <w:div w:id="49035984">
      <w:bodyDiv w:val="1"/>
      <w:marLeft w:val="0"/>
      <w:marRight w:val="0"/>
      <w:marTop w:val="0"/>
      <w:marBottom w:val="0"/>
      <w:divBdr>
        <w:top w:val="none" w:sz="0" w:space="0" w:color="auto"/>
        <w:left w:val="none" w:sz="0" w:space="0" w:color="auto"/>
        <w:bottom w:val="none" w:sz="0" w:space="0" w:color="auto"/>
        <w:right w:val="none" w:sz="0" w:space="0" w:color="auto"/>
      </w:divBdr>
    </w:div>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51467014">
      <w:bodyDiv w:val="1"/>
      <w:marLeft w:val="0"/>
      <w:marRight w:val="0"/>
      <w:marTop w:val="0"/>
      <w:marBottom w:val="0"/>
      <w:divBdr>
        <w:top w:val="none" w:sz="0" w:space="0" w:color="auto"/>
        <w:left w:val="none" w:sz="0" w:space="0" w:color="auto"/>
        <w:bottom w:val="none" w:sz="0" w:space="0" w:color="auto"/>
        <w:right w:val="none" w:sz="0" w:space="0" w:color="auto"/>
      </w:divBdr>
    </w:div>
    <w:div w:id="51925091">
      <w:bodyDiv w:val="1"/>
      <w:marLeft w:val="0"/>
      <w:marRight w:val="0"/>
      <w:marTop w:val="0"/>
      <w:marBottom w:val="0"/>
      <w:divBdr>
        <w:top w:val="none" w:sz="0" w:space="0" w:color="auto"/>
        <w:left w:val="none" w:sz="0" w:space="0" w:color="auto"/>
        <w:bottom w:val="none" w:sz="0" w:space="0" w:color="auto"/>
        <w:right w:val="none" w:sz="0" w:space="0" w:color="auto"/>
      </w:divBdr>
    </w:div>
    <w:div w:id="53507174">
      <w:marLeft w:val="0"/>
      <w:marRight w:val="0"/>
      <w:marTop w:val="0"/>
      <w:marBottom w:val="0"/>
      <w:divBdr>
        <w:top w:val="none" w:sz="0" w:space="0" w:color="auto"/>
        <w:left w:val="none" w:sz="0" w:space="0" w:color="auto"/>
        <w:bottom w:val="none" w:sz="0" w:space="0" w:color="auto"/>
        <w:right w:val="none" w:sz="0" w:space="0" w:color="auto"/>
      </w:divBdr>
    </w:div>
    <w:div w:id="53821521">
      <w:bodyDiv w:val="1"/>
      <w:marLeft w:val="0"/>
      <w:marRight w:val="0"/>
      <w:marTop w:val="0"/>
      <w:marBottom w:val="0"/>
      <w:divBdr>
        <w:top w:val="none" w:sz="0" w:space="0" w:color="auto"/>
        <w:left w:val="none" w:sz="0" w:space="0" w:color="auto"/>
        <w:bottom w:val="none" w:sz="0" w:space="0" w:color="auto"/>
        <w:right w:val="none" w:sz="0" w:space="0" w:color="auto"/>
      </w:divBdr>
    </w:div>
    <w:div w:id="54201703">
      <w:bodyDiv w:val="1"/>
      <w:marLeft w:val="0"/>
      <w:marRight w:val="0"/>
      <w:marTop w:val="0"/>
      <w:marBottom w:val="0"/>
      <w:divBdr>
        <w:top w:val="none" w:sz="0" w:space="0" w:color="auto"/>
        <w:left w:val="none" w:sz="0" w:space="0" w:color="auto"/>
        <w:bottom w:val="none" w:sz="0" w:space="0" w:color="auto"/>
        <w:right w:val="none" w:sz="0" w:space="0" w:color="auto"/>
      </w:divBdr>
    </w:div>
    <w:div w:id="54397046">
      <w:bodyDiv w:val="1"/>
      <w:marLeft w:val="0"/>
      <w:marRight w:val="0"/>
      <w:marTop w:val="0"/>
      <w:marBottom w:val="0"/>
      <w:divBdr>
        <w:top w:val="none" w:sz="0" w:space="0" w:color="auto"/>
        <w:left w:val="none" w:sz="0" w:space="0" w:color="auto"/>
        <w:bottom w:val="none" w:sz="0" w:space="0" w:color="auto"/>
        <w:right w:val="none" w:sz="0" w:space="0" w:color="auto"/>
      </w:divBdr>
    </w:div>
    <w:div w:id="56242720">
      <w:bodyDiv w:val="1"/>
      <w:marLeft w:val="0"/>
      <w:marRight w:val="0"/>
      <w:marTop w:val="0"/>
      <w:marBottom w:val="0"/>
      <w:divBdr>
        <w:top w:val="none" w:sz="0" w:space="0" w:color="auto"/>
        <w:left w:val="none" w:sz="0" w:space="0" w:color="auto"/>
        <w:bottom w:val="none" w:sz="0" w:space="0" w:color="auto"/>
        <w:right w:val="none" w:sz="0" w:space="0" w:color="auto"/>
      </w:divBdr>
    </w:div>
    <w:div w:id="57632736">
      <w:bodyDiv w:val="1"/>
      <w:marLeft w:val="0"/>
      <w:marRight w:val="0"/>
      <w:marTop w:val="0"/>
      <w:marBottom w:val="0"/>
      <w:divBdr>
        <w:top w:val="none" w:sz="0" w:space="0" w:color="auto"/>
        <w:left w:val="none" w:sz="0" w:space="0" w:color="auto"/>
        <w:bottom w:val="none" w:sz="0" w:space="0" w:color="auto"/>
        <w:right w:val="none" w:sz="0" w:space="0" w:color="auto"/>
      </w:divBdr>
    </w:div>
    <w:div w:id="59141067">
      <w:bodyDiv w:val="1"/>
      <w:marLeft w:val="0"/>
      <w:marRight w:val="0"/>
      <w:marTop w:val="0"/>
      <w:marBottom w:val="0"/>
      <w:divBdr>
        <w:top w:val="none" w:sz="0" w:space="0" w:color="auto"/>
        <w:left w:val="none" w:sz="0" w:space="0" w:color="auto"/>
        <w:bottom w:val="none" w:sz="0" w:space="0" w:color="auto"/>
        <w:right w:val="none" w:sz="0" w:space="0" w:color="auto"/>
      </w:divBdr>
    </w:div>
    <w:div w:id="60443970">
      <w:bodyDiv w:val="1"/>
      <w:marLeft w:val="0"/>
      <w:marRight w:val="0"/>
      <w:marTop w:val="0"/>
      <w:marBottom w:val="0"/>
      <w:divBdr>
        <w:top w:val="none" w:sz="0" w:space="0" w:color="auto"/>
        <w:left w:val="none" w:sz="0" w:space="0" w:color="auto"/>
        <w:bottom w:val="none" w:sz="0" w:space="0" w:color="auto"/>
        <w:right w:val="none" w:sz="0" w:space="0" w:color="auto"/>
      </w:divBdr>
    </w:div>
    <w:div w:id="61295626">
      <w:bodyDiv w:val="1"/>
      <w:marLeft w:val="0"/>
      <w:marRight w:val="0"/>
      <w:marTop w:val="0"/>
      <w:marBottom w:val="0"/>
      <w:divBdr>
        <w:top w:val="none" w:sz="0" w:space="0" w:color="auto"/>
        <w:left w:val="none" w:sz="0" w:space="0" w:color="auto"/>
        <w:bottom w:val="none" w:sz="0" w:space="0" w:color="auto"/>
        <w:right w:val="none" w:sz="0" w:space="0" w:color="auto"/>
      </w:divBdr>
    </w:div>
    <w:div w:id="63337182">
      <w:bodyDiv w:val="1"/>
      <w:marLeft w:val="0"/>
      <w:marRight w:val="0"/>
      <w:marTop w:val="0"/>
      <w:marBottom w:val="0"/>
      <w:divBdr>
        <w:top w:val="none" w:sz="0" w:space="0" w:color="auto"/>
        <w:left w:val="none" w:sz="0" w:space="0" w:color="auto"/>
        <w:bottom w:val="none" w:sz="0" w:space="0" w:color="auto"/>
        <w:right w:val="none" w:sz="0" w:space="0" w:color="auto"/>
      </w:divBdr>
    </w:div>
    <w:div w:id="63647957">
      <w:bodyDiv w:val="1"/>
      <w:marLeft w:val="0"/>
      <w:marRight w:val="0"/>
      <w:marTop w:val="0"/>
      <w:marBottom w:val="0"/>
      <w:divBdr>
        <w:top w:val="none" w:sz="0" w:space="0" w:color="auto"/>
        <w:left w:val="none" w:sz="0" w:space="0" w:color="auto"/>
        <w:bottom w:val="none" w:sz="0" w:space="0" w:color="auto"/>
        <w:right w:val="none" w:sz="0" w:space="0" w:color="auto"/>
      </w:divBdr>
    </w:div>
    <w:div w:id="64845274">
      <w:bodyDiv w:val="1"/>
      <w:marLeft w:val="0"/>
      <w:marRight w:val="0"/>
      <w:marTop w:val="0"/>
      <w:marBottom w:val="0"/>
      <w:divBdr>
        <w:top w:val="none" w:sz="0" w:space="0" w:color="auto"/>
        <w:left w:val="none" w:sz="0" w:space="0" w:color="auto"/>
        <w:bottom w:val="none" w:sz="0" w:space="0" w:color="auto"/>
        <w:right w:val="none" w:sz="0" w:space="0" w:color="auto"/>
      </w:divBdr>
    </w:div>
    <w:div w:id="65538526">
      <w:bodyDiv w:val="1"/>
      <w:marLeft w:val="0"/>
      <w:marRight w:val="0"/>
      <w:marTop w:val="0"/>
      <w:marBottom w:val="0"/>
      <w:divBdr>
        <w:top w:val="none" w:sz="0" w:space="0" w:color="auto"/>
        <w:left w:val="none" w:sz="0" w:space="0" w:color="auto"/>
        <w:bottom w:val="none" w:sz="0" w:space="0" w:color="auto"/>
        <w:right w:val="none" w:sz="0" w:space="0" w:color="auto"/>
      </w:divBdr>
    </w:div>
    <w:div w:id="66924688">
      <w:bodyDiv w:val="1"/>
      <w:marLeft w:val="0"/>
      <w:marRight w:val="0"/>
      <w:marTop w:val="0"/>
      <w:marBottom w:val="0"/>
      <w:divBdr>
        <w:top w:val="none" w:sz="0" w:space="0" w:color="auto"/>
        <w:left w:val="none" w:sz="0" w:space="0" w:color="auto"/>
        <w:bottom w:val="none" w:sz="0" w:space="0" w:color="auto"/>
        <w:right w:val="none" w:sz="0" w:space="0" w:color="auto"/>
      </w:divBdr>
    </w:div>
    <w:div w:id="67045562">
      <w:bodyDiv w:val="1"/>
      <w:marLeft w:val="0"/>
      <w:marRight w:val="0"/>
      <w:marTop w:val="0"/>
      <w:marBottom w:val="0"/>
      <w:divBdr>
        <w:top w:val="none" w:sz="0" w:space="0" w:color="auto"/>
        <w:left w:val="none" w:sz="0" w:space="0" w:color="auto"/>
        <w:bottom w:val="none" w:sz="0" w:space="0" w:color="auto"/>
        <w:right w:val="none" w:sz="0" w:space="0" w:color="auto"/>
      </w:divBdr>
    </w:div>
    <w:div w:id="67848221">
      <w:bodyDiv w:val="1"/>
      <w:marLeft w:val="0"/>
      <w:marRight w:val="0"/>
      <w:marTop w:val="0"/>
      <w:marBottom w:val="0"/>
      <w:divBdr>
        <w:top w:val="none" w:sz="0" w:space="0" w:color="auto"/>
        <w:left w:val="none" w:sz="0" w:space="0" w:color="auto"/>
        <w:bottom w:val="none" w:sz="0" w:space="0" w:color="auto"/>
        <w:right w:val="none" w:sz="0" w:space="0" w:color="auto"/>
      </w:divBdr>
    </w:div>
    <w:div w:id="68307442">
      <w:bodyDiv w:val="1"/>
      <w:marLeft w:val="0"/>
      <w:marRight w:val="0"/>
      <w:marTop w:val="0"/>
      <w:marBottom w:val="0"/>
      <w:divBdr>
        <w:top w:val="none" w:sz="0" w:space="0" w:color="auto"/>
        <w:left w:val="none" w:sz="0" w:space="0" w:color="auto"/>
        <w:bottom w:val="none" w:sz="0" w:space="0" w:color="auto"/>
        <w:right w:val="none" w:sz="0" w:space="0" w:color="auto"/>
      </w:divBdr>
    </w:div>
    <w:div w:id="69812665">
      <w:bodyDiv w:val="1"/>
      <w:marLeft w:val="0"/>
      <w:marRight w:val="0"/>
      <w:marTop w:val="0"/>
      <w:marBottom w:val="0"/>
      <w:divBdr>
        <w:top w:val="none" w:sz="0" w:space="0" w:color="auto"/>
        <w:left w:val="none" w:sz="0" w:space="0" w:color="auto"/>
        <w:bottom w:val="none" w:sz="0" w:space="0" w:color="auto"/>
        <w:right w:val="none" w:sz="0" w:space="0" w:color="auto"/>
      </w:divBdr>
    </w:div>
    <w:div w:id="71660482">
      <w:bodyDiv w:val="1"/>
      <w:marLeft w:val="0"/>
      <w:marRight w:val="0"/>
      <w:marTop w:val="0"/>
      <w:marBottom w:val="0"/>
      <w:divBdr>
        <w:top w:val="none" w:sz="0" w:space="0" w:color="auto"/>
        <w:left w:val="none" w:sz="0" w:space="0" w:color="auto"/>
        <w:bottom w:val="none" w:sz="0" w:space="0" w:color="auto"/>
        <w:right w:val="none" w:sz="0" w:space="0" w:color="auto"/>
      </w:divBdr>
    </w:div>
    <w:div w:id="72506643">
      <w:bodyDiv w:val="1"/>
      <w:marLeft w:val="0"/>
      <w:marRight w:val="0"/>
      <w:marTop w:val="0"/>
      <w:marBottom w:val="0"/>
      <w:divBdr>
        <w:top w:val="none" w:sz="0" w:space="0" w:color="auto"/>
        <w:left w:val="none" w:sz="0" w:space="0" w:color="auto"/>
        <w:bottom w:val="none" w:sz="0" w:space="0" w:color="auto"/>
        <w:right w:val="none" w:sz="0" w:space="0" w:color="auto"/>
      </w:divBdr>
    </w:div>
    <w:div w:id="72548877">
      <w:bodyDiv w:val="1"/>
      <w:marLeft w:val="0"/>
      <w:marRight w:val="0"/>
      <w:marTop w:val="0"/>
      <w:marBottom w:val="0"/>
      <w:divBdr>
        <w:top w:val="none" w:sz="0" w:space="0" w:color="auto"/>
        <w:left w:val="none" w:sz="0" w:space="0" w:color="auto"/>
        <w:bottom w:val="none" w:sz="0" w:space="0" w:color="auto"/>
        <w:right w:val="none" w:sz="0" w:space="0" w:color="auto"/>
      </w:divBdr>
    </w:div>
    <w:div w:id="73816912">
      <w:bodyDiv w:val="1"/>
      <w:marLeft w:val="0"/>
      <w:marRight w:val="0"/>
      <w:marTop w:val="0"/>
      <w:marBottom w:val="0"/>
      <w:divBdr>
        <w:top w:val="none" w:sz="0" w:space="0" w:color="auto"/>
        <w:left w:val="none" w:sz="0" w:space="0" w:color="auto"/>
        <w:bottom w:val="none" w:sz="0" w:space="0" w:color="auto"/>
        <w:right w:val="none" w:sz="0" w:space="0" w:color="auto"/>
      </w:divBdr>
    </w:div>
    <w:div w:id="73943839">
      <w:bodyDiv w:val="1"/>
      <w:marLeft w:val="0"/>
      <w:marRight w:val="0"/>
      <w:marTop w:val="0"/>
      <w:marBottom w:val="0"/>
      <w:divBdr>
        <w:top w:val="none" w:sz="0" w:space="0" w:color="auto"/>
        <w:left w:val="none" w:sz="0" w:space="0" w:color="auto"/>
        <w:bottom w:val="none" w:sz="0" w:space="0" w:color="auto"/>
        <w:right w:val="none" w:sz="0" w:space="0" w:color="auto"/>
      </w:divBdr>
    </w:div>
    <w:div w:id="74790731">
      <w:bodyDiv w:val="1"/>
      <w:marLeft w:val="0"/>
      <w:marRight w:val="0"/>
      <w:marTop w:val="0"/>
      <w:marBottom w:val="0"/>
      <w:divBdr>
        <w:top w:val="none" w:sz="0" w:space="0" w:color="auto"/>
        <w:left w:val="none" w:sz="0" w:space="0" w:color="auto"/>
        <w:bottom w:val="none" w:sz="0" w:space="0" w:color="auto"/>
        <w:right w:val="none" w:sz="0" w:space="0" w:color="auto"/>
      </w:divBdr>
    </w:div>
    <w:div w:id="76248829">
      <w:bodyDiv w:val="1"/>
      <w:marLeft w:val="0"/>
      <w:marRight w:val="0"/>
      <w:marTop w:val="0"/>
      <w:marBottom w:val="0"/>
      <w:divBdr>
        <w:top w:val="none" w:sz="0" w:space="0" w:color="auto"/>
        <w:left w:val="none" w:sz="0" w:space="0" w:color="auto"/>
        <w:bottom w:val="none" w:sz="0" w:space="0" w:color="auto"/>
        <w:right w:val="none" w:sz="0" w:space="0" w:color="auto"/>
      </w:divBdr>
    </w:div>
    <w:div w:id="76829035">
      <w:bodyDiv w:val="1"/>
      <w:marLeft w:val="0"/>
      <w:marRight w:val="0"/>
      <w:marTop w:val="0"/>
      <w:marBottom w:val="0"/>
      <w:divBdr>
        <w:top w:val="none" w:sz="0" w:space="0" w:color="auto"/>
        <w:left w:val="none" w:sz="0" w:space="0" w:color="auto"/>
        <w:bottom w:val="none" w:sz="0" w:space="0" w:color="auto"/>
        <w:right w:val="none" w:sz="0" w:space="0" w:color="auto"/>
      </w:divBdr>
    </w:div>
    <w:div w:id="77404525">
      <w:bodyDiv w:val="1"/>
      <w:marLeft w:val="0"/>
      <w:marRight w:val="0"/>
      <w:marTop w:val="0"/>
      <w:marBottom w:val="0"/>
      <w:divBdr>
        <w:top w:val="none" w:sz="0" w:space="0" w:color="auto"/>
        <w:left w:val="none" w:sz="0" w:space="0" w:color="auto"/>
        <w:bottom w:val="none" w:sz="0" w:space="0" w:color="auto"/>
        <w:right w:val="none" w:sz="0" w:space="0" w:color="auto"/>
      </w:divBdr>
    </w:div>
    <w:div w:id="77413073">
      <w:bodyDiv w:val="1"/>
      <w:marLeft w:val="0"/>
      <w:marRight w:val="0"/>
      <w:marTop w:val="0"/>
      <w:marBottom w:val="0"/>
      <w:divBdr>
        <w:top w:val="none" w:sz="0" w:space="0" w:color="auto"/>
        <w:left w:val="none" w:sz="0" w:space="0" w:color="auto"/>
        <w:bottom w:val="none" w:sz="0" w:space="0" w:color="auto"/>
        <w:right w:val="none" w:sz="0" w:space="0" w:color="auto"/>
      </w:divBdr>
    </w:div>
    <w:div w:id="80103526">
      <w:bodyDiv w:val="1"/>
      <w:marLeft w:val="0"/>
      <w:marRight w:val="0"/>
      <w:marTop w:val="0"/>
      <w:marBottom w:val="0"/>
      <w:divBdr>
        <w:top w:val="none" w:sz="0" w:space="0" w:color="auto"/>
        <w:left w:val="none" w:sz="0" w:space="0" w:color="auto"/>
        <w:bottom w:val="none" w:sz="0" w:space="0" w:color="auto"/>
        <w:right w:val="none" w:sz="0" w:space="0" w:color="auto"/>
      </w:divBdr>
    </w:div>
    <w:div w:id="81414175">
      <w:bodyDiv w:val="1"/>
      <w:marLeft w:val="0"/>
      <w:marRight w:val="0"/>
      <w:marTop w:val="0"/>
      <w:marBottom w:val="0"/>
      <w:divBdr>
        <w:top w:val="none" w:sz="0" w:space="0" w:color="auto"/>
        <w:left w:val="none" w:sz="0" w:space="0" w:color="auto"/>
        <w:bottom w:val="none" w:sz="0" w:space="0" w:color="auto"/>
        <w:right w:val="none" w:sz="0" w:space="0" w:color="auto"/>
      </w:divBdr>
    </w:div>
    <w:div w:id="81952322">
      <w:bodyDiv w:val="1"/>
      <w:marLeft w:val="0"/>
      <w:marRight w:val="0"/>
      <w:marTop w:val="0"/>
      <w:marBottom w:val="0"/>
      <w:divBdr>
        <w:top w:val="none" w:sz="0" w:space="0" w:color="auto"/>
        <w:left w:val="none" w:sz="0" w:space="0" w:color="auto"/>
        <w:bottom w:val="none" w:sz="0" w:space="0" w:color="auto"/>
        <w:right w:val="none" w:sz="0" w:space="0" w:color="auto"/>
      </w:divBdr>
    </w:div>
    <w:div w:id="83380356">
      <w:bodyDiv w:val="1"/>
      <w:marLeft w:val="0"/>
      <w:marRight w:val="0"/>
      <w:marTop w:val="0"/>
      <w:marBottom w:val="0"/>
      <w:divBdr>
        <w:top w:val="none" w:sz="0" w:space="0" w:color="auto"/>
        <w:left w:val="none" w:sz="0" w:space="0" w:color="auto"/>
        <w:bottom w:val="none" w:sz="0" w:space="0" w:color="auto"/>
        <w:right w:val="none" w:sz="0" w:space="0" w:color="auto"/>
      </w:divBdr>
    </w:div>
    <w:div w:id="83380969">
      <w:bodyDiv w:val="1"/>
      <w:marLeft w:val="0"/>
      <w:marRight w:val="0"/>
      <w:marTop w:val="0"/>
      <w:marBottom w:val="0"/>
      <w:divBdr>
        <w:top w:val="none" w:sz="0" w:space="0" w:color="auto"/>
        <w:left w:val="none" w:sz="0" w:space="0" w:color="auto"/>
        <w:bottom w:val="none" w:sz="0" w:space="0" w:color="auto"/>
        <w:right w:val="none" w:sz="0" w:space="0" w:color="auto"/>
      </w:divBdr>
    </w:div>
    <w:div w:id="83573621">
      <w:bodyDiv w:val="1"/>
      <w:marLeft w:val="0"/>
      <w:marRight w:val="0"/>
      <w:marTop w:val="0"/>
      <w:marBottom w:val="0"/>
      <w:divBdr>
        <w:top w:val="none" w:sz="0" w:space="0" w:color="auto"/>
        <w:left w:val="none" w:sz="0" w:space="0" w:color="auto"/>
        <w:bottom w:val="none" w:sz="0" w:space="0" w:color="auto"/>
        <w:right w:val="none" w:sz="0" w:space="0" w:color="auto"/>
      </w:divBdr>
    </w:div>
    <w:div w:id="83764944">
      <w:bodyDiv w:val="1"/>
      <w:marLeft w:val="0"/>
      <w:marRight w:val="0"/>
      <w:marTop w:val="0"/>
      <w:marBottom w:val="0"/>
      <w:divBdr>
        <w:top w:val="none" w:sz="0" w:space="0" w:color="auto"/>
        <w:left w:val="none" w:sz="0" w:space="0" w:color="auto"/>
        <w:bottom w:val="none" w:sz="0" w:space="0" w:color="auto"/>
        <w:right w:val="none" w:sz="0" w:space="0" w:color="auto"/>
      </w:divBdr>
    </w:div>
    <w:div w:id="83767459">
      <w:bodyDiv w:val="1"/>
      <w:marLeft w:val="0"/>
      <w:marRight w:val="0"/>
      <w:marTop w:val="0"/>
      <w:marBottom w:val="0"/>
      <w:divBdr>
        <w:top w:val="none" w:sz="0" w:space="0" w:color="auto"/>
        <w:left w:val="none" w:sz="0" w:space="0" w:color="auto"/>
        <w:bottom w:val="none" w:sz="0" w:space="0" w:color="auto"/>
        <w:right w:val="none" w:sz="0" w:space="0" w:color="auto"/>
      </w:divBdr>
    </w:div>
    <w:div w:id="84153655">
      <w:bodyDiv w:val="1"/>
      <w:marLeft w:val="0"/>
      <w:marRight w:val="0"/>
      <w:marTop w:val="0"/>
      <w:marBottom w:val="0"/>
      <w:divBdr>
        <w:top w:val="none" w:sz="0" w:space="0" w:color="auto"/>
        <w:left w:val="none" w:sz="0" w:space="0" w:color="auto"/>
        <w:bottom w:val="none" w:sz="0" w:space="0" w:color="auto"/>
        <w:right w:val="none" w:sz="0" w:space="0" w:color="auto"/>
      </w:divBdr>
    </w:div>
    <w:div w:id="84764125">
      <w:bodyDiv w:val="1"/>
      <w:marLeft w:val="0"/>
      <w:marRight w:val="0"/>
      <w:marTop w:val="0"/>
      <w:marBottom w:val="0"/>
      <w:divBdr>
        <w:top w:val="none" w:sz="0" w:space="0" w:color="auto"/>
        <w:left w:val="none" w:sz="0" w:space="0" w:color="auto"/>
        <w:bottom w:val="none" w:sz="0" w:space="0" w:color="auto"/>
        <w:right w:val="none" w:sz="0" w:space="0" w:color="auto"/>
      </w:divBdr>
    </w:div>
    <w:div w:id="86464918">
      <w:bodyDiv w:val="1"/>
      <w:marLeft w:val="0"/>
      <w:marRight w:val="0"/>
      <w:marTop w:val="0"/>
      <w:marBottom w:val="0"/>
      <w:divBdr>
        <w:top w:val="none" w:sz="0" w:space="0" w:color="auto"/>
        <w:left w:val="none" w:sz="0" w:space="0" w:color="auto"/>
        <w:bottom w:val="none" w:sz="0" w:space="0" w:color="auto"/>
        <w:right w:val="none" w:sz="0" w:space="0" w:color="auto"/>
      </w:divBdr>
    </w:div>
    <w:div w:id="86925402">
      <w:bodyDiv w:val="1"/>
      <w:marLeft w:val="0"/>
      <w:marRight w:val="0"/>
      <w:marTop w:val="0"/>
      <w:marBottom w:val="0"/>
      <w:divBdr>
        <w:top w:val="none" w:sz="0" w:space="0" w:color="auto"/>
        <w:left w:val="none" w:sz="0" w:space="0" w:color="auto"/>
        <w:bottom w:val="none" w:sz="0" w:space="0" w:color="auto"/>
        <w:right w:val="none" w:sz="0" w:space="0" w:color="auto"/>
      </w:divBdr>
    </w:div>
    <w:div w:id="87044239">
      <w:bodyDiv w:val="1"/>
      <w:marLeft w:val="0"/>
      <w:marRight w:val="0"/>
      <w:marTop w:val="0"/>
      <w:marBottom w:val="0"/>
      <w:divBdr>
        <w:top w:val="none" w:sz="0" w:space="0" w:color="auto"/>
        <w:left w:val="none" w:sz="0" w:space="0" w:color="auto"/>
        <w:bottom w:val="none" w:sz="0" w:space="0" w:color="auto"/>
        <w:right w:val="none" w:sz="0" w:space="0" w:color="auto"/>
      </w:divBdr>
    </w:div>
    <w:div w:id="87390238">
      <w:bodyDiv w:val="1"/>
      <w:marLeft w:val="0"/>
      <w:marRight w:val="0"/>
      <w:marTop w:val="0"/>
      <w:marBottom w:val="0"/>
      <w:divBdr>
        <w:top w:val="none" w:sz="0" w:space="0" w:color="auto"/>
        <w:left w:val="none" w:sz="0" w:space="0" w:color="auto"/>
        <w:bottom w:val="none" w:sz="0" w:space="0" w:color="auto"/>
        <w:right w:val="none" w:sz="0" w:space="0" w:color="auto"/>
      </w:divBdr>
    </w:div>
    <w:div w:id="87894832">
      <w:bodyDiv w:val="1"/>
      <w:marLeft w:val="0"/>
      <w:marRight w:val="0"/>
      <w:marTop w:val="0"/>
      <w:marBottom w:val="0"/>
      <w:divBdr>
        <w:top w:val="none" w:sz="0" w:space="0" w:color="auto"/>
        <w:left w:val="none" w:sz="0" w:space="0" w:color="auto"/>
        <w:bottom w:val="none" w:sz="0" w:space="0" w:color="auto"/>
        <w:right w:val="none" w:sz="0" w:space="0" w:color="auto"/>
      </w:divBdr>
    </w:div>
    <w:div w:id="89662500">
      <w:bodyDiv w:val="1"/>
      <w:marLeft w:val="0"/>
      <w:marRight w:val="0"/>
      <w:marTop w:val="0"/>
      <w:marBottom w:val="0"/>
      <w:divBdr>
        <w:top w:val="none" w:sz="0" w:space="0" w:color="auto"/>
        <w:left w:val="none" w:sz="0" w:space="0" w:color="auto"/>
        <w:bottom w:val="none" w:sz="0" w:space="0" w:color="auto"/>
        <w:right w:val="none" w:sz="0" w:space="0" w:color="auto"/>
      </w:divBdr>
    </w:div>
    <w:div w:id="89739157">
      <w:bodyDiv w:val="1"/>
      <w:marLeft w:val="0"/>
      <w:marRight w:val="0"/>
      <w:marTop w:val="0"/>
      <w:marBottom w:val="0"/>
      <w:divBdr>
        <w:top w:val="none" w:sz="0" w:space="0" w:color="auto"/>
        <w:left w:val="none" w:sz="0" w:space="0" w:color="auto"/>
        <w:bottom w:val="none" w:sz="0" w:space="0" w:color="auto"/>
        <w:right w:val="none" w:sz="0" w:space="0" w:color="auto"/>
      </w:divBdr>
    </w:div>
    <w:div w:id="90393869">
      <w:bodyDiv w:val="1"/>
      <w:marLeft w:val="0"/>
      <w:marRight w:val="0"/>
      <w:marTop w:val="0"/>
      <w:marBottom w:val="0"/>
      <w:divBdr>
        <w:top w:val="none" w:sz="0" w:space="0" w:color="auto"/>
        <w:left w:val="none" w:sz="0" w:space="0" w:color="auto"/>
        <w:bottom w:val="none" w:sz="0" w:space="0" w:color="auto"/>
        <w:right w:val="none" w:sz="0" w:space="0" w:color="auto"/>
      </w:divBdr>
    </w:div>
    <w:div w:id="90930810">
      <w:bodyDiv w:val="1"/>
      <w:marLeft w:val="0"/>
      <w:marRight w:val="0"/>
      <w:marTop w:val="0"/>
      <w:marBottom w:val="0"/>
      <w:divBdr>
        <w:top w:val="none" w:sz="0" w:space="0" w:color="auto"/>
        <w:left w:val="none" w:sz="0" w:space="0" w:color="auto"/>
        <w:bottom w:val="none" w:sz="0" w:space="0" w:color="auto"/>
        <w:right w:val="none" w:sz="0" w:space="0" w:color="auto"/>
      </w:divBdr>
    </w:div>
    <w:div w:id="91516753">
      <w:bodyDiv w:val="1"/>
      <w:marLeft w:val="0"/>
      <w:marRight w:val="0"/>
      <w:marTop w:val="0"/>
      <w:marBottom w:val="0"/>
      <w:divBdr>
        <w:top w:val="none" w:sz="0" w:space="0" w:color="auto"/>
        <w:left w:val="none" w:sz="0" w:space="0" w:color="auto"/>
        <w:bottom w:val="none" w:sz="0" w:space="0" w:color="auto"/>
        <w:right w:val="none" w:sz="0" w:space="0" w:color="auto"/>
      </w:divBdr>
    </w:div>
    <w:div w:id="92170540">
      <w:bodyDiv w:val="1"/>
      <w:marLeft w:val="0"/>
      <w:marRight w:val="0"/>
      <w:marTop w:val="0"/>
      <w:marBottom w:val="0"/>
      <w:divBdr>
        <w:top w:val="none" w:sz="0" w:space="0" w:color="auto"/>
        <w:left w:val="none" w:sz="0" w:space="0" w:color="auto"/>
        <w:bottom w:val="none" w:sz="0" w:space="0" w:color="auto"/>
        <w:right w:val="none" w:sz="0" w:space="0" w:color="auto"/>
      </w:divBdr>
    </w:div>
    <w:div w:id="92215819">
      <w:bodyDiv w:val="1"/>
      <w:marLeft w:val="0"/>
      <w:marRight w:val="0"/>
      <w:marTop w:val="0"/>
      <w:marBottom w:val="0"/>
      <w:divBdr>
        <w:top w:val="none" w:sz="0" w:space="0" w:color="auto"/>
        <w:left w:val="none" w:sz="0" w:space="0" w:color="auto"/>
        <w:bottom w:val="none" w:sz="0" w:space="0" w:color="auto"/>
        <w:right w:val="none" w:sz="0" w:space="0" w:color="auto"/>
      </w:divBdr>
    </w:div>
    <w:div w:id="92406849">
      <w:bodyDiv w:val="1"/>
      <w:marLeft w:val="0"/>
      <w:marRight w:val="0"/>
      <w:marTop w:val="0"/>
      <w:marBottom w:val="0"/>
      <w:divBdr>
        <w:top w:val="none" w:sz="0" w:space="0" w:color="auto"/>
        <w:left w:val="none" w:sz="0" w:space="0" w:color="auto"/>
        <w:bottom w:val="none" w:sz="0" w:space="0" w:color="auto"/>
        <w:right w:val="none" w:sz="0" w:space="0" w:color="auto"/>
      </w:divBdr>
    </w:div>
    <w:div w:id="93206109">
      <w:bodyDiv w:val="1"/>
      <w:marLeft w:val="0"/>
      <w:marRight w:val="0"/>
      <w:marTop w:val="0"/>
      <w:marBottom w:val="0"/>
      <w:divBdr>
        <w:top w:val="none" w:sz="0" w:space="0" w:color="auto"/>
        <w:left w:val="none" w:sz="0" w:space="0" w:color="auto"/>
        <w:bottom w:val="none" w:sz="0" w:space="0" w:color="auto"/>
        <w:right w:val="none" w:sz="0" w:space="0" w:color="auto"/>
      </w:divBdr>
    </w:div>
    <w:div w:id="94058247">
      <w:bodyDiv w:val="1"/>
      <w:marLeft w:val="0"/>
      <w:marRight w:val="0"/>
      <w:marTop w:val="0"/>
      <w:marBottom w:val="0"/>
      <w:divBdr>
        <w:top w:val="none" w:sz="0" w:space="0" w:color="auto"/>
        <w:left w:val="none" w:sz="0" w:space="0" w:color="auto"/>
        <w:bottom w:val="none" w:sz="0" w:space="0" w:color="auto"/>
        <w:right w:val="none" w:sz="0" w:space="0" w:color="auto"/>
      </w:divBdr>
    </w:div>
    <w:div w:id="95253158">
      <w:bodyDiv w:val="1"/>
      <w:marLeft w:val="0"/>
      <w:marRight w:val="0"/>
      <w:marTop w:val="0"/>
      <w:marBottom w:val="0"/>
      <w:divBdr>
        <w:top w:val="none" w:sz="0" w:space="0" w:color="auto"/>
        <w:left w:val="none" w:sz="0" w:space="0" w:color="auto"/>
        <w:bottom w:val="none" w:sz="0" w:space="0" w:color="auto"/>
        <w:right w:val="none" w:sz="0" w:space="0" w:color="auto"/>
      </w:divBdr>
    </w:div>
    <w:div w:id="95911423">
      <w:bodyDiv w:val="1"/>
      <w:marLeft w:val="0"/>
      <w:marRight w:val="0"/>
      <w:marTop w:val="0"/>
      <w:marBottom w:val="0"/>
      <w:divBdr>
        <w:top w:val="none" w:sz="0" w:space="0" w:color="auto"/>
        <w:left w:val="none" w:sz="0" w:space="0" w:color="auto"/>
        <w:bottom w:val="none" w:sz="0" w:space="0" w:color="auto"/>
        <w:right w:val="none" w:sz="0" w:space="0" w:color="auto"/>
      </w:divBdr>
    </w:div>
    <w:div w:id="96215769">
      <w:bodyDiv w:val="1"/>
      <w:marLeft w:val="0"/>
      <w:marRight w:val="0"/>
      <w:marTop w:val="0"/>
      <w:marBottom w:val="0"/>
      <w:divBdr>
        <w:top w:val="none" w:sz="0" w:space="0" w:color="auto"/>
        <w:left w:val="none" w:sz="0" w:space="0" w:color="auto"/>
        <w:bottom w:val="none" w:sz="0" w:space="0" w:color="auto"/>
        <w:right w:val="none" w:sz="0" w:space="0" w:color="auto"/>
      </w:divBdr>
    </w:div>
    <w:div w:id="96410662">
      <w:bodyDiv w:val="1"/>
      <w:marLeft w:val="0"/>
      <w:marRight w:val="0"/>
      <w:marTop w:val="0"/>
      <w:marBottom w:val="0"/>
      <w:divBdr>
        <w:top w:val="none" w:sz="0" w:space="0" w:color="auto"/>
        <w:left w:val="none" w:sz="0" w:space="0" w:color="auto"/>
        <w:bottom w:val="none" w:sz="0" w:space="0" w:color="auto"/>
        <w:right w:val="none" w:sz="0" w:space="0" w:color="auto"/>
      </w:divBdr>
    </w:div>
    <w:div w:id="98450600">
      <w:bodyDiv w:val="1"/>
      <w:marLeft w:val="0"/>
      <w:marRight w:val="0"/>
      <w:marTop w:val="0"/>
      <w:marBottom w:val="0"/>
      <w:divBdr>
        <w:top w:val="none" w:sz="0" w:space="0" w:color="auto"/>
        <w:left w:val="none" w:sz="0" w:space="0" w:color="auto"/>
        <w:bottom w:val="none" w:sz="0" w:space="0" w:color="auto"/>
        <w:right w:val="none" w:sz="0" w:space="0" w:color="auto"/>
      </w:divBdr>
    </w:div>
    <w:div w:id="98793481">
      <w:bodyDiv w:val="1"/>
      <w:marLeft w:val="0"/>
      <w:marRight w:val="0"/>
      <w:marTop w:val="0"/>
      <w:marBottom w:val="0"/>
      <w:divBdr>
        <w:top w:val="none" w:sz="0" w:space="0" w:color="auto"/>
        <w:left w:val="none" w:sz="0" w:space="0" w:color="auto"/>
        <w:bottom w:val="none" w:sz="0" w:space="0" w:color="auto"/>
        <w:right w:val="none" w:sz="0" w:space="0" w:color="auto"/>
      </w:divBdr>
    </w:div>
    <w:div w:id="98795114">
      <w:bodyDiv w:val="1"/>
      <w:marLeft w:val="0"/>
      <w:marRight w:val="0"/>
      <w:marTop w:val="0"/>
      <w:marBottom w:val="0"/>
      <w:divBdr>
        <w:top w:val="none" w:sz="0" w:space="0" w:color="auto"/>
        <w:left w:val="none" w:sz="0" w:space="0" w:color="auto"/>
        <w:bottom w:val="none" w:sz="0" w:space="0" w:color="auto"/>
        <w:right w:val="none" w:sz="0" w:space="0" w:color="auto"/>
      </w:divBdr>
    </w:div>
    <w:div w:id="100078892">
      <w:bodyDiv w:val="1"/>
      <w:marLeft w:val="0"/>
      <w:marRight w:val="0"/>
      <w:marTop w:val="0"/>
      <w:marBottom w:val="0"/>
      <w:divBdr>
        <w:top w:val="none" w:sz="0" w:space="0" w:color="auto"/>
        <w:left w:val="none" w:sz="0" w:space="0" w:color="auto"/>
        <w:bottom w:val="none" w:sz="0" w:space="0" w:color="auto"/>
        <w:right w:val="none" w:sz="0" w:space="0" w:color="auto"/>
      </w:divBdr>
    </w:div>
    <w:div w:id="102966303">
      <w:bodyDiv w:val="1"/>
      <w:marLeft w:val="0"/>
      <w:marRight w:val="0"/>
      <w:marTop w:val="0"/>
      <w:marBottom w:val="0"/>
      <w:divBdr>
        <w:top w:val="none" w:sz="0" w:space="0" w:color="auto"/>
        <w:left w:val="none" w:sz="0" w:space="0" w:color="auto"/>
        <w:bottom w:val="none" w:sz="0" w:space="0" w:color="auto"/>
        <w:right w:val="none" w:sz="0" w:space="0" w:color="auto"/>
      </w:divBdr>
    </w:div>
    <w:div w:id="103117662">
      <w:bodyDiv w:val="1"/>
      <w:marLeft w:val="0"/>
      <w:marRight w:val="0"/>
      <w:marTop w:val="0"/>
      <w:marBottom w:val="0"/>
      <w:divBdr>
        <w:top w:val="none" w:sz="0" w:space="0" w:color="auto"/>
        <w:left w:val="none" w:sz="0" w:space="0" w:color="auto"/>
        <w:bottom w:val="none" w:sz="0" w:space="0" w:color="auto"/>
        <w:right w:val="none" w:sz="0" w:space="0" w:color="auto"/>
      </w:divBdr>
    </w:div>
    <w:div w:id="105465362">
      <w:bodyDiv w:val="1"/>
      <w:marLeft w:val="0"/>
      <w:marRight w:val="0"/>
      <w:marTop w:val="0"/>
      <w:marBottom w:val="0"/>
      <w:divBdr>
        <w:top w:val="none" w:sz="0" w:space="0" w:color="auto"/>
        <w:left w:val="none" w:sz="0" w:space="0" w:color="auto"/>
        <w:bottom w:val="none" w:sz="0" w:space="0" w:color="auto"/>
        <w:right w:val="none" w:sz="0" w:space="0" w:color="auto"/>
      </w:divBdr>
    </w:div>
    <w:div w:id="105971799">
      <w:bodyDiv w:val="1"/>
      <w:marLeft w:val="0"/>
      <w:marRight w:val="0"/>
      <w:marTop w:val="0"/>
      <w:marBottom w:val="0"/>
      <w:divBdr>
        <w:top w:val="none" w:sz="0" w:space="0" w:color="auto"/>
        <w:left w:val="none" w:sz="0" w:space="0" w:color="auto"/>
        <w:bottom w:val="none" w:sz="0" w:space="0" w:color="auto"/>
        <w:right w:val="none" w:sz="0" w:space="0" w:color="auto"/>
      </w:divBdr>
    </w:div>
    <w:div w:id="106782659">
      <w:bodyDiv w:val="1"/>
      <w:marLeft w:val="0"/>
      <w:marRight w:val="0"/>
      <w:marTop w:val="0"/>
      <w:marBottom w:val="0"/>
      <w:divBdr>
        <w:top w:val="none" w:sz="0" w:space="0" w:color="auto"/>
        <w:left w:val="none" w:sz="0" w:space="0" w:color="auto"/>
        <w:bottom w:val="none" w:sz="0" w:space="0" w:color="auto"/>
        <w:right w:val="none" w:sz="0" w:space="0" w:color="auto"/>
      </w:divBdr>
    </w:div>
    <w:div w:id="107087093">
      <w:bodyDiv w:val="1"/>
      <w:marLeft w:val="0"/>
      <w:marRight w:val="0"/>
      <w:marTop w:val="0"/>
      <w:marBottom w:val="0"/>
      <w:divBdr>
        <w:top w:val="none" w:sz="0" w:space="0" w:color="auto"/>
        <w:left w:val="none" w:sz="0" w:space="0" w:color="auto"/>
        <w:bottom w:val="none" w:sz="0" w:space="0" w:color="auto"/>
        <w:right w:val="none" w:sz="0" w:space="0" w:color="auto"/>
      </w:divBdr>
    </w:div>
    <w:div w:id="107742208">
      <w:bodyDiv w:val="1"/>
      <w:marLeft w:val="0"/>
      <w:marRight w:val="0"/>
      <w:marTop w:val="0"/>
      <w:marBottom w:val="0"/>
      <w:divBdr>
        <w:top w:val="none" w:sz="0" w:space="0" w:color="auto"/>
        <w:left w:val="none" w:sz="0" w:space="0" w:color="auto"/>
        <w:bottom w:val="none" w:sz="0" w:space="0" w:color="auto"/>
        <w:right w:val="none" w:sz="0" w:space="0" w:color="auto"/>
      </w:divBdr>
    </w:div>
    <w:div w:id="108210804">
      <w:bodyDiv w:val="1"/>
      <w:marLeft w:val="0"/>
      <w:marRight w:val="0"/>
      <w:marTop w:val="0"/>
      <w:marBottom w:val="0"/>
      <w:divBdr>
        <w:top w:val="none" w:sz="0" w:space="0" w:color="auto"/>
        <w:left w:val="none" w:sz="0" w:space="0" w:color="auto"/>
        <w:bottom w:val="none" w:sz="0" w:space="0" w:color="auto"/>
        <w:right w:val="none" w:sz="0" w:space="0" w:color="auto"/>
      </w:divBdr>
    </w:div>
    <w:div w:id="108397177">
      <w:bodyDiv w:val="1"/>
      <w:marLeft w:val="0"/>
      <w:marRight w:val="0"/>
      <w:marTop w:val="0"/>
      <w:marBottom w:val="0"/>
      <w:divBdr>
        <w:top w:val="none" w:sz="0" w:space="0" w:color="auto"/>
        <w:left w:val="none" w:sz="0" w:space="0" w:color="auto"/>
        <w:bottom w:val="none" w:sz="0" w:space="0" w:color="auto"/>
        <w:right w:val="none" w:sz="0" w:space="0" w:color="auto"/>
      </w:divBdr>
    </w:div>
    <w:div w:id="109590697">
      <w:bodyDiv w:val="1"/>
      <w:marLeft w:val="0"/>
      <w:marRight w:val="0"/>
      <w:marTop w:val="0"/>
      <w:marBottom w:val="0"/>
      <w:divBdr>
        <w:top w:val="none" w:sz="0" w:space="0" w:color="auto"/>
        <w:left w:val="none" w:sz="0" w:space="0" w:color="auto"/>
        <w:bottom w:val="none" w:sz="0" w:space="0" w:color="auto"/>
        <w:right w:val="none" w:sz="0" w:space="0" w:color="auto"/>
      </w:divBdr>
    </w:div>
    <w:div w:id="109597048">
      <w:bodyDiv w:val="1"/>
      <w:marLeft w:val="0"/>
      <w:marRight w:val="0"/>
      <w:marTop w:val="0"/>
      <w:marBottom w:val="0"/>
      <w:divBdr>
        <w:top w:val="none" w:sz="0" w:space="0" w:color="auto"/>
        <w:left w:val="none" w:sz="0" w:space="0" w:color="auto"/>
        <w:bottom w:val="none" w:sz="0" w:space="0" w:color="auto"/>
        <w:right w:val="none" w:sz="0" w:space="0" w:color="auto"/>
      </w:divBdr>
    </w:div>
    <w:div w:id="109856913">
      <w:bodyDiv w:val="1"/>
      <w:marLeft w:val="0"/>
      <w:marRight w:val="0"/>
      <w:marTop w:val="0"/>
      <w:marBottom w:val="0"/>
      <w:divBdr>
        <w:top w:val="none" w:sz="0" w:space="0" w:color="auto"/>
        <w:left w:val="none" w:sz="0" w:space="0" w:color="auto"/>
        <w:bottom w:val="none" w:sz="0" w:space="0" w:color="auto"/>
        <w:right w:val="none" w:sz="0" w:space="0" w:color="auto"/>
      </w:divBdr>
    </w:div>
    <w:div w:id="110363121">
      <w:bodyDiv w:val="1"/>
      <w:marLeft w:val="0"/>
      <w:marRight w:val="0"/>
      <w:marTop w:val="0"/>
      <w:marBottom w:val="0"/>
      <w:divBdr>
        <w:top w:val="none" w:sz="0" w:space="0" w:color="auto"/>
        <w:left w:val="none" w:sz="0" w:space="0" w:color="auto"/>
        <w:bottom w:val="none" w:sz="0" w:space="0" w:color="auto"/>
        <w:right w:val="none" w:sz="0" w:space="0" w:color="auto"/>
      </w:divBdr>
    </w:div>
    <w:div w:id="111173442">
      <w:bodyDiv w:val="1"/>
      <w:marLeft w:val="0"/>
      <w:marRight w:val="0"/>
      <w:marTop w:val="0"/>
      <w:marBottom w:val="0"/>
      <w:divBdr>
        <w:top w:val="none" w:sz="0" w:space="0" w:color="auto"/>
        <w:left w:val="none" w:sz="0" w:space="0" w:color="auto"/>
        <w:bottom w:val="none" w:sz="0" w:space="0" w:color="auto"/>
        <w:right w:val="none" w:sz="0" w:space="0" w:color="auto"/>
      </w:divBdr>
    </w:div>
    <w:div w:id="111176369">
      <w:bodyDiv w:val="1"/>
      <w:marLeft w:val="0"/>
      <w:marRight w:val="0"/>
      <w:marTop w:val="0"/>
      <w:marBottom w:val="0"/>
      <w:divBdr>
        <w:top w:val="none" w:sz="0" w:space="0" w:color="auto"/>
        <w:left w:val="none" w:sz="0" w:space="0" w:color="auto"/>
        <w:bottom w:val="none" w:sz="0" w:space="0" w:color="auto"/>
        <w:right w:val="none" w:sz="0" w:space="0" w:color="auto"/>
      </w:divBdr>
    </w:div>
    <w:div w:id="112754634">
      <w:bodyDiv w:val="1"/>
      <w:marLeft w:val="0"/>
      <w:marRight w:val="0"/>
      <w:marTop w:val="0"/>
      <w:marBottom w:val="0"/>
      <w:divBdr>
        <w:top w:val="none" w:sz="0" w:space="0" w:color="auto"/>
        <w:left w:val="none" w:sz="0" w:space="0" w:color="auto"/>
        <w:bottom w:val="none" w:sz="0" w:space="0" w:color="auto"/>
        <w:right w:val="none" w:sz="0" w:space="0" w:color="auto"/>
      </w:divBdr>
    </w:div>
    <w:div w:id="114568428">
      <w:bodyDiv w:val="1"/>
      <w:marLeft w:val="0"/>
      <w:marRight w:val="0"/>
      <w:marTop w:val="0"/>
      <w:marBottom w:val="0"/>
      <w:divBdr>
        <w:top w:val="none" w:sz="0" w:space="0" w:color="auto"/>
        <w:left w:val="none" w:sz="0" w:space="0" w:color="auto"/>
        <w:bottom w:val="none" w:sz="0" w:space="0" w:color="auto"/>
        <w:right w:val="none" w:sz="0" w:space="0" w:color="auto"/>
      </w:divBdr>
    </w:div>
    <w:div w:id="114759189">
      <w:bodyDiv w:val="1"/>
      <w:marLeft w:val="0"/>
      <w:marRight w:val="0"/>
      <w:marTop w:val="0"/>
      <w:marBottom w:val="0"/>
      <w:divBdr>
        <w:top w:val="none" w:sz="0" w:space="0" w:color="auto"/>
        <w:left w:val="none" w:sz="0" w:space="0" w:color="auto"/>
        <w:bottom w:val="none" w:sz="0" w:space="0" w:color="auto"/>
        <w:right w:val="none" w:sz="0" w:space="0" w:color="auto"/>
      </w:divBdr>
    </w:div>
    <w:div w:id="115028651">
      <w:bodyDiv w:val="1"/>
      <w:marLeft w:val="0"/>
      <w:marRight w:val="0"/>
      <w:marTop w:val="0"/>
      <w:marBottom w:val="0"/>
      <w:divBdr>
        <w:top w:val="none" w:sz="0" w:space="0" w:color="auto"/>
        <w:left w:val="none" w:sz="0" w:space="0" w:color="auto"/>
        <w:bottom w:val="none" w:sz="0" w:space="0" w:color="auto"/>
        <w:right w:val="none" w:sz="0" w:space="0" w:color="auto"/>
      </w:divBdr>
    </w:div>
    <w:div w:id="116460356">
      <w:bodyDiv w:val="1"/>
      <w:marLeft w:val="0"/>
      <w:marRight w:val="0"/>
      <w:marTop w:val="0"/>
      <w:marBottom w:val="0"/>
      <w:divBdr>
        <w:top w:val="none" w:sz="0" w:space="0" w:color="auto"/>
        <w:left w:val="none" w:sz="0" w:space="0" w:color="auto"/>
        <w:bottom w:val="none" w:sz="0" w:space="0" w:color="auto"/>
        <w:right w:val="none" w:sz="0" w:space="0" w:color="auto"/>
      </w:divBdr>
    </w:div>
    <w:div w:id="116536246">
      <w:bodyDiv w:val="1"/>
      <w:marLeft w:val="0"/>
      <w:marRight w:val="0"/>
      <w:marTop w:val="0"/>
      <w:marBottom w:val="0"/>
      <w:divBdr>
        <w:top w:val="none" w:sz="0" w:space="0" w:color="auto"/>
        <w:left w:val="none" w:sz="0" w:space="0" w:color="auto"/>
        <w:bottom w:val="none" w:sz="0" w:space="0" w:color="auto"/>
        <w:right w:val="none" w:sz="0" w:space="0" w:color="auto"/>
      </w:divBdr>
    </w:div>
    <w:div w:id="116797789">
      <w:bodyDiv w:val="1"/>
      <w:marLeft w:val="0"/>
      <w:marRight w:val="0"/>
      <w:marTop w:val="0"/>
      <w:marBottom w:val="0"/>
      <w:divBdr>
        <w:top w:val="none" w:sz="0" w:space="0" w:color="auto"/>
        <w:left w:val="none" w:sz="0" w:space="0" w:color="auto"/>
        <w:bottom w:val="none" w:sz="0" w:space="0" w:color="auto"/>
        <w:right w:val="none" w:sz="0" w:space="0" w:color="auto"/>
      </w:divBdr>
    </w:div>
    <w:div w:id="117382858">
      <w:bodyDiv w:val="1"/>
      <w:marLeft w:val="0"/>
      <w:marRight w:val="0"/>
      <w:marTop w:val="0"/>
      <w:marBottom w:val="0"/>
      <w:divBdr>
        <w:top w:val="none" w:sz="0" w:space="0" w:color="auto"/>
        <w:left w:val="none" w:sz="0" w:space="0" w:color="auto"/>
        <w:bottom w:val="none" w:sz="0" w:space="0" w:color="auto"/>
        <w:right w:val="none" w:sz="0" w:space="0" w:color="auto"/>
      </w:divBdr>
      <w:divsChild>
        <w:div w:id="1434394786">
          <w:marLeft w:val="0"/>
          <w:marRight w:val="0"/>
          <w:marTop w:val="0"/>
          <w:marBottom w:val="0"/>
          <w:divBdr>
            <w:top w:val="none" w:sz="0" w:space="0" w:color="auto"/>
            <w:left w:val="none" w:sz="0" w:space="0" w:color="auto"/>
            <w:bottom w:val="none" w:sz="0" w:space="0" w:color="auto"/>
            <w:right w:val="none" w:sz="0" w:space="0" w:color="auto"/>
          </w:divBdr>
        </w:div>
      </w:divsChild>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962114">
      <w:bodyDiv w:val="1"/>
      <w:marLeft w:val="0"/>
      <w:marRight w:val="0"/>
      <w:marTop w:val="0"/>
      <w:marBottom w:val="0"/>
      <w:divBdr>
        <w:top w:val="none" w:sz="0" w:space="0" w:color="auto"/>
        <w:left w:val="none" w:sz="0" w:space="0" w:color="auto"/>
        <w:bottom w:val="none" w:sz="0" w:space="0" w:color="auto"/>
        <w:right w:val="none" w:sz="0" w:space="0" w:color="auto"/>
      </w:divBdr>
    </w:div>
    <w:div w:id="119610913">
      <w:bodyDiv w:val="1"/>
      <w:marLeft w:val="0"/>
      <w:marRight w:val="0"/>
      <w:marTop w:val="0"/>
      <w:marBottom w:val="0"/>
      <w:divBdr>
        <w:top w:val="none" w:sz="0" w:space="0" w:color="auto"/>
        <w:left w:val="none" w:sz="0" w:space="0" w:color="auto"/>
        <w:bottom w:val="none" w:sz="0" w:space="0" w:color="auto"/>
        <w:right w:val="none" w:sz="0" w:space="0" w:color="auto"/>
      </w:divBdr>
    </w:div>
    <w:div w:id="120390365">
      <w:bodyDiv w:val="1"/>
      <w:marLeft w:val="0"/>
      <w:marRight w:val="0"/>
      <w:marTop w:val="0"/>
      <w:marBottom w:val="0"/>
      <w:divBdr>
        <w:top w:val="none" w:sz="0" w:space="0" w:color="auto"/>
        <w:left w:val="none" w:sz="0" w:space="0" w:color="auto"/>
        <w:bottom w:val="none" w:sz="0" w:space="0" w:color="auto"/>
        <w:right w:val="none" w:sz="0" w:space="0" w:color="auto"/>
      </w:divBdr>
    </w:div>
    <w:div w:id="121192745">
      <w:bodyDiv w:val="1"/>
      <w:marLeft w:val="0"/>
      <w:marRight w:val="0"/>
      <w:marTop w:val="0"/>
      <w:marBottom w:val="0"/>
      <w:divBdr>
        <w:top w:val="none" w:sz="0" w:space="0" w:color="auto"/>
        <w:left w:val="none" w:sz="0" w:space="0" w:color="auto"/>
        <w:bottom w:val="none" w:sz="0" w:space="0" w:color="auto"/>
        <w:right w:val="none" w:sz="0" w:space="0" w:color="auto"/>
      </w:divBdr>
    </w:div>
    <w:div w:id="123889188">
      <w:bodyDiv w:val="1"/>
      <w:marLeft w:val="0"/>
      <w:marRight w:val="0"/>
      <w:marTop w:val="0"/>
      <w:marBottom w:val="0"/>
      <w:divBdr>
        <w:top w:val="none" w:sz="0" w:space="0" w:color="auto"/>
        <w:left w:val="none" w:sz="0" w:space="0" w:color="auto"/>
        <w:bottom w:val="none" w:sz="0" w:space="0" w:color="auto"/>
        <w:right w:val="none" w:sz="0" w:space="0" w:color="auto"/>
      </w:divBdr>
    </w:div>
    <w:div w:id="127167202">
      <w:bodyDiv w:val="1"/>
      <w:marLeft w:val="0"/>
      <w:marRight w:val="0"/>
      <w:marTop w:val="0"/>
      <w:marBottom w:val="0"/>
      <w:divBdr>
        <w:top w:val="none" w:sz="0" w:space="0" w:color="auto"/>
        <w:left w:val="none" w:sz="0" w:space="0" w:color="auto"/>
        <w:bottom w:val="none" w:sz="0" w:space="0" w:color="auto"/>
        <w:right w:val="none" w:sz="0" w:space="0" w:color="auto"/>
      </w:divBdr>
    </w:div>
    <w:div w:id="128522381">
      <w:bodyDiv w:val="1"/>
      <w:marLeft w:val="0"/>
      <w:marRight w:val="0"/>
      <w:marTop w:val="0"/>
      <w:marBottom w:val="0"/>
      <w:divBdr>
        <w:top w:val="none" w:sz="0" w:space="0" w:color="auto"/>
        <w:left w:val="none" w:sz="0" w:space="0" w:color="auto"/>
        <w:bottom w:val="none" w:sz="0" w:space="0" w:color="auto"/>
        <w:right w:val="none" w:sz="0" w:space="0" w:color="auto"/>
      </w:divBdr>
    </w:div>
    <w:div w:id="131289382">
      <w:bodyDiv w:val="1"/>
      <w:marLeft w:val="0"/>
      <w:marRight w:val="0"/>
      <w:marTop w:val="0"/>
      <w:marBottom w:val="0"/>
      <w:divBdr>
        <w:top w:val="none" w:sz="0" w:space="0" w:color="auto"/>
        <w:left w:val="none" w:sz="0" w:space="0" w:color="auto"/>
        <w:bottom w:val="none" w:sz="0" w:space="0" w:color="auto"/>
        <w:right w:val="none" w:sz="0" w:space="0" w:color="auto"/>
      </w:divBdr>
    </w:div>
    <w:div w:id="131485742">
      <w:bodyDiv w:val="1"/>
      <w:marLeft w:val="0"/>
      <w:marRight w:val="0"/>
      <w:marTop w:val="0"/>
      <w:marBottom w:val="0"/>
      <w:divBdr>
        <w:top w:val="none" w:sz="0" w:space="0" w:color="auto"/>
        <w:left w:val="none" w:sz="0" w:space="0" w:color="auto"/>
        <w:bottom w:val="none" w:sz="0" w:space="0" w:color="auto"/>
        <w:right w:val="none" w:sz="0" w:space="0" w:color="auto"/>
      </w:divBdr>
    </w:div>
    <w:div w:id="131945826">
      <w:bodyDiv w:val="1"/>
      <w:marLeft w:val="0"/>
      <w:marRight w:val="0"/>
      <w:marTop w:val="0"/>
      <w:marBottom w:val="0"/>
      <w:divBdr>
        <w:top w:val="none" w:sz="0" w:space="0" w:color="auto"/>
        <w:left w:val="none" w:sz="0" w:space="0" w:color="auto"/>
        <w:bottom w:val="none" w:sz="0" w:space="0" w:color="auto"/>
        <w:right w:val="none" w:sz="0" w:space="0" w:color="auto"/>
      </w:divBdr>
    </w:div>
    <w:div w:id="132674868">
      <w:bodyDiv w:val="1"/>
      <w:marLeft w:val="0"/>
      <w:marRight w:val="0"/>
      <w:marTop w:val="0"/>
      <w:marBottom w:val="0"/>
      <w:divBdr>
        <w:top w:val="none" w:sz="0" w:space="0" w:color="auto"/>
        <w:left w:val="none" w:sz="0" w:space="0" w:color="auto"/>
        <w:bottom w:val="none" w:sz="0" w:space="0" w:color="auto"/>
        <w:right w:val="none" w:sz="0" w:space="0" w:color="auto"/>
      </w:divBdr>
    </w:div>
    <w:div w:id="133565317">
      <w:bodyDiv w:val="1"/>
      <w:marLeft w:val="0"/>
      <w:marRight w:val="0"/>
      <w:marTop w:val="0"/>
      <w:marBottom w:val="0"/>
      <w:divBdr>
        <w:top w:val="none" w:sz="0" w:space="0" w:color="auto"/>
        <w:left w:val="none" w:sz="0" w:space="0" w:color="auto"/>
        <w:bottom w:val="none" w:sz="0" w:space="0" w:color="auto"/>
        <w:right w:val="none" w:sz="0" w:space="0" w:color="auto"/>
      </w:divBdr>
    </w:div>
    <w:div w:id="134025925">
      <w:bodyDiv w:val="1"/>
      <w:marLeft w:val="0"/>
      <w:marRight w:val="0"/>
      <w:marTop w:val="0"/>
      <w:marBottom w:val="0"/>
      <w:divBdr>
        <w:top w:val="none" w:sz="0" w:space="0" w:color="auto"/>
        <w:left w:val="none" w:sz="0" w:space="0" w:color="auto"/>
        <w:bottom w:val="none" w:sz="0" w:space="0" w:color="auto"/>
        <w:right w:val="none" w:sz="0" w:space="0" w:color="auto"/>
      </w:divBdr>
    </w:div>
    <w:div w:id="135026961">
      <w:bodyDiv w:val="1"/>
      <w:marLeft w:val="0"/>
      <w:marRight w:val="0"/>
      <w:marTop w:val="0"/>
      <w:marBottom w:val="0"/>
      <w:divBdr>
        <w:top w:val="none" w:sz="0" w:space="0" w:color="auto"/>
        <w:left w:val="none" w:sz="0" w:space="0" w:color="auto"/>
        <w:bottom w:val="none" w:sz="0" w:space="0" w:color="auto"/>
        <w:right w:val="none" w:sz="0" w:space="0" w:color="auto"/>
      </w:divBdr>
    </w:div>
    <w:div w:id="135147508">
      <w:bodyDiv w:val="1"/>
      <w:marLeft w:val="0"/>
      <w:marRight w:val="0"/>
      <w:marTop w:val="0"/>
      <w:marBottom w:val="0"/>
      <w:divBdr>
        <w:top w:val="none" w:sz="0" w:space="0" w:color="auto"/>
        <w:left w:val="none" w:sz="0" w:space="0" w:color="auto"/>
        <w:bottom w:val="none" w:sz="0" w:space="0" w:color="auto"/>
        <w:right w:val="none" w:sz="0" w:space="0" w:color="auto"/>
      </w:divBdr>
    </w:div>
    <w:div w:id="135879422">
      <w:bodyDiv w:val="1"/>
      <w:marLeft w:val="0"/>
      <w:marRight w:val="0"/>
      <w:marTop w:val="0"/>
      <w:marBottom w:val="0"/>
      <w:divBdr>
        <w:top w:val="none" w:sz="0" w:space="0" w:color="auto"/>
        <w:left w:val="none" w:sz="0" w:space="0" w:color="auto"/>
        <w:bottom w:val="none" w:sz="0" w:space="0" w:color="auto"/>
        <w:right w:val="none" w:sz="0" w:space="0" w:color="auto"/>
      </w:divBdr>
    </w:div>
    <w:div w:id="136192607">
      <w:bodyDiv w:val="1"/>
      <w:marLeft w:val="0"/>
      <w:marRight w:val="0"/>
      <w:marTop w:val="0"/>
      <w:marBottom w:val="0"/>
      <w:divBdr>
        <w:top w:val="none" w:sz="0" w:space="0" w:color="auto"/>
        <w:left w:val="none" w:sz="0" w:space="0" w:color="auto"/>
        <w:bottom w:val="none" w:sz="0" w:space="0" w:color="auto"/>
        <w:right w:val="none" w:sz="0" w:space="0" w:color="auto"/>
      </w:divBdr>
    </w:div>
    <w:div w:id="136458403">
      <w:bodyDiv w:val="1"/>
      <w:marLeft w:val="0"/>
      <w:marRight w:val="0"/>
      <w:marTop w:val="0"/>
      <w:marBottom w:val="0"/>
      <w:divBdr>
        <w:top w:val="none" w:sz="0" w:space="0" w:color="auto"/>
        <w:left w:val="none" w:sz="0" w:space="0" w:color="auto"/>
        <w:bottom w:val="none" w:sz="0" w:space="0" w:color="auto"/>
        <w:right w:val="none" w:sz="0" w:space="0" w:color="auto"/>
      </w:divBdr>
    </w:div>
    <w:div w:id="136650025">
      <w:bodyDiv w:val="1"/>
      <w:marLeft w:val="0"/>
      <w:marRight w:val="0"/>
      <w:marTop w:val="0"/>
      <w:marBottom w:val="0"/>
      <w:divBdr>
        <w:top w:val="none" w:sz="0" w:space="0" w:color="auto"/>
        <w:left w:val="none" w:sz="0" w:space="0" w:color="auto"/>
        <w:bottom w:val="none" w:sz="0" w:space="0" w:color="auto"/>
        <w:right w:val="none" w:sz="0" w:space="0" w:color="auto"/>
      </w:divBdr>
    </w:div>
    <w:div w:id="136924435">
      <w:bodyDiv w:val="1"/>
      <w:marLeft w:val="0"/>
      <w:marRight w:val="0"/>
      <w:marTop w:val="0"/>
      <w:marBottom w:val="0"/>
      <w:divBdr>
        <w:top w:val="none" w:sz="0" w:space="0" w:color="auto"/>
        <w:left w:val="none" w:sz="0" w:space="0" w:color="auto"/>
        <w:bottom w:val="none" w:sz="0" w:space="0" w:color="auto"/>
        <w:right w:val="none" w:sz="0" w:space="0" w:color="auto"/>
      </w:divBdr>
    </w:div>
    <w:div w:id="138888057">
      <w:bodyDiv w:val="1"/>
      <w:marLeft w:val="0"/>
      <w:marRight w:val="0"/>
      <w:marTop w:val="0"/>
      <w:marBottom w:val="0"/>
      <w:divBdr>
        <w:top w:val="none" w:sz="0" w:space="0" w:color="auto"/>
        <w:left w:val="none" w:sz="0" w:space="0" w:color="auto"/>
        <w:bottom w:val="none" w:sz="0" w:space="0" w:color="auto"/>
        <w:right w:val="none" w:sz="0" w:space="0" w:color="auto"/>
      </w:divBdr>
    </w:div>
    <w:div w:id="139469203">
      <w:bodyDiv w:val="1"/>
      <w:marLeft w:val="0"/>
      <w:marRight w:val="0"/>
      <w:marTop w:val="0"/>
      <w:marBottom w:val="0"/>
      <w:divBdr>
        <w:top w:val="none" w:sz="0" w:space="0" w:color="auto"/>
        <w:left w:val="none" w:sz="0" w:space="0" w:color="auto"/>
        <w:bottom w:val="none" w:sz="0" w:space="0" w:color="auto"/>
        <w:right w:val="none" w:sz="0" w:space="0" w:color="auto"/>
      </w:divBdr>
    </w:div>
    <w:div w:id="140079673">
      <w:bodyDiv w:val="1"/>
      <w:marLeft w:val="0"/>
      <w:marRight w:val="0"/>
      <w:marTop w:val="0"/>
      <w:marBottom w:val="0"/>
      <w:divBdr>
        <w:top w:val="none" w:sz="0" w:space="0" w:color="auto"/>
        <w:left w:val="none" w:sz="0" w:space="0" w:color="auto"/>
        <w:bottom w:val="none" w:sz="0" w:space="0" w:color="auto"/>
        <w:right w:val="none" w:sz="0" w:space="0" w:color="auto"/>
      </w:divBdr>
    </w:div>
    <w:div w:id="142550779">
      <w:bodyDiv w:val="1"/>
      <w:marLeft w:val="0"/>
      <w:marRight w:val="0"/>
      <w:marTop w:val="0"/>
      <w:marBottom w:val="0"/>
      <w:divBdr>
        <w:top w:val="none" w:sz="0" w:space="0" w:color="auto"/>
        <w:left w:val="none" w:sz="0" w:space="0" w:color="auto"/>
        <w:bottom w:val="none" w:sz="0" w:space="0" w:color="auto"/>
        <w:right w:val="none" w:sz="0" w:space="0" w:color="auto"/>
      </w:divBdr>
    </w:div>
    <w:div w:id="143856585">
      <w:bodyDiv w:val="1"/>
      <w:marLeft w:val="0"/>
      <w:marRight w:val="0"/>
      <w:marTop w:val="0"/>
      <w:marBottom w:val="0"/>
      <w:divBdr>
        <w:top w:val="none" w:sz="0" w:space="0" w:color="auto"/>
        <w:left w:val="none" w:sz="0" w:space="0" w:color="auto"/>
        <w:bottom w:val="none" w:sz="0" w:space="0" w:color="auto"/>
        <w:right w:val="none" w:sz="0" w:space="0" w:color="auto"/>
      </w:divBdr>
    </w:div>
    <w:div w:id="144392819">
      <w:bodyDiv w:val="1"/>
      <w:marLeft w:val="0"/>
      <w:marRight w:val="0"/>
      <w:marTop w:val="0"/>
      <w:marBottom w:val="0"/>
      <w:divBdr>
        <w:top w:val="none" w:sz="0" w:space="0" w:color="auto"/>
        <w:left w:val="none" w:sz="0" w:space="0" w:color="auto"/>
        <w:bottom w:val="none" w:sz="0" w:space="0" w:color="auto"/>
        <w:right w:val="none" w:sz="0" w:space="0" w:color="auto"/>
      </w:divBdr>
    </w:div>
    <w:div w:id="145323325">
      <w:bodyDiv w:val="1"/>
      <w:marLeft w:val="0"/>
      <w:marRight w:val="0"/>
      <w:marTop w:val="0"/>
      <w:marBottom w:val="0"/>
      <w:divBdr>
        <w:top w:val="none" w:sz="0" w:space="0" w:color="auto"/>
        <w:left w:val="none" w:sz="0" w:space="0" w:color="auto"/>
        <w:bottom w:val="none" w:sz="0" w:space="0" w:color="auto"/>
        <w:right w:val="none" w:sz="0" w:space="0" w:color="auto"/>
      </w:divBdr>
    </w:div>
    <w:div w:id="146824232">
      <w:bodyDiv w:val="1"/>
      <w:marLeft w:val="0"/>
      <w:marRight w:val="0"/>
      <w:marTop w:val="0"/>
      <w:marBottom w:val="0"/>
      <w:divBdr>
        <w:top w:val="none" w:sz="0" w:space="0" w:color="auto"/>
        <w:left w:val="none" w:sz="0" w:space="0" w:color="auto"/>
        <w:bottom w:val="none" w:sz="0" w:space="0" w:color="auto"/>
        <w:right w:val="none" w:sz="0" w:space="0" w:color="auto"/>
      </w:divBdr>
    </w:div>
    <w:div w:id="148249493">
      <w:bodyDiv w:val="1"/>
      <w:marLeft w:val="0"/>
      <w:marRight w:val="0"/>
      <w:marTop w:val="0"/>
      <w:marBottom w:val="0"/>
      <w:divBdr>
        <w:top w:val="none" w:sz="0" w:space="0" w:color="auto"/>
        <w:left w:val="none" w:sz="0" w:space="0" w:color="auto"/>
        <w:bottom w:val="none" w:sz="0" w:space="0" w:color="auto"/>
        <w:right w:val="none" w:sz="0" w:space="0" w:color="auto"/>
      </w:divBdr>
    </w:div>
    <w:div w:id="152651052">
      <w:bodyDiv w:val="1"/>
      <w:marLeft w:val="0"/>
      <w:marRight w:val="0"/>
      <w:marTop w:val="0"/>
      <w:marBottom w:val="0"/>
      <w:divBdr>
        <w:top w:val="none" w:sz="0" w:space="0" w:color="auto"/>
        <w:left w:val="none" w:sz="0" w:space="0" w:color="auto"/>
        <w:bottom w:val="none" w:sz="0" w:space="0" w:color="auto"/>
        <w:right w:val="none" w:sz="0" w:space="0" w:color="auto"/>
      </w:divBdr>
    </w:div>
    <w:div w:id="152837102">
      <w:bodyDiv w:val="1"/>
      <w:marLeft w:val="0"/>
      <w:marRight w:val="0"/>
      <w:marTop w:val="0"/>
      <w:marBottom w:val="0"/>
      <w:divBdr>
        <w:top w:val="none" w:sz="0" w:space="0" w:color="auto"/>
        <w:left w:val="none" w:sz="0" w:space="0" w:color="auto"/>
        <w:bottom w:val="none" w:sz="0" w:space="0" w:color="auto"/>
        <w:right w:val="none" w:sz="0" w:space="0" w:color="auto"/>
      </w:divBdr>
    </w:div>
    <w:div w:id="153885107">
      <w:bodyDiv w:val="1"/>
      <w:marLeft w:val="0"/>
      <w:marRight w:val="0"/>
      <w:marTop w:val="0"/>
      <w:marBottom w:val="0"/>
      <w:divBdr>
        <w:top w:val="none" w:sz="0" w:space="0" w:color="auto"/>
        <w:left w:val="none" w:sz="0" w:space="0" w:color="auto"/>
        <w:bottom w:val="none" w:sz="0" w:space="0" w:color="auto"/>
        <w:right w:val="none" w:sz="0" w:space="0" w:color="auto"/>
      </w:divBdr>
    </w:div>
    <w:div w:id="154803021">
      <w:bodyDiv w:val="1"/>
      <w:marLeft w:val="0"/>
      <w:marRight w:val="0"/>
      <w:marTop w:val="0"/>
      <w:marBottom w:val="0"/>
      <w:divBdr>
        <w:top w:val="none" w:sz="0" w:space="0" w:color="auto"/>
        <w:left w:val="none" w:sz="0" w:space="0" w:color="auto"/>
        <w:bottom w:val="none" w:sz="0" w:space="0" w:color="auto"/>
        <w:right w:val="none" w:sz="0" w:space="0" w:color="auto"/>
      </w:divBdr>
    </w:div>
    <w:div w:id="155339162">
      <w:bodyDiv w:val="1"/>
      <w:marLeft w:val="0"/>
      <w:marRight w:val="0"/>
      <w:marTop w:val="0"/>
      <w:marBottom w:val="0"/>
      <w:divBdr>
        <w:top w:val="none" w:sz="0" w:space="0" w:color="auto"/>
        <w:left w:val="none" w:sz="0" w:space="0" w:color="auto"/>
        <w:bottom w:val="none" w:sz="0" w:space="0" w:color="auto"/>
        <w:right w:val="none" w:sz="0" w:space="0" w:color="auto"/>
      </w:divBdr>
    </w:div>
    <w:div w:id="156387192">
      <w:bodyDiv w:val="1"/>
      <w:marLeft w:val="0"/>
      <w:marRight w:val="0"/>
      <w:marTop w:val="0"/>
      <w:marBottom w:val="0"/>
      <w:divBdr>
        <w:top w:val="none" w:sz="0" w:space="0" w:color="auto"/>
        <w:left w:val="none" w:sz="0" w:space="0" w:color="auto"/>
        <w:bottom w:val="none" w:sz="0" w:space="0" w:color="auto"/>
        <w:right w:val="none" w:sz="0" w:space="0" w:color="auto"/>
      </w:divBdr>
    </w:div>
    <w:div w:id="156658073">
      <w:bodyDiv w:val="1"/>
      <w:marLeft w:val="0"/>
      <w:marRight w:val="0"/>
      <w:marTop w:val="0"/>
      <w:marBottom w:val="0"/>
      <w:divBdr>
        <w:top w:val="none" w:sz="0" w:space="0" w:color="auto"/>
        <w:left w:val="none" w:sz="0" w:space="0" w:color="auto"/>
        <w:bottom w:val="none" w:sz="0" w:space="0" w:color="auto"/>
        <w:right w:val="none" w:sz="0" w:space="0" w:color="auto"/>
      </w:divBdr>
    </w:div>
    <w:div w:id="158086792">
      <w:bodyDiv w:val="1"/>
      <w:marLeft w:val="0"/>
      <w:marRight w:val="0"/>
      <w:marTop w:val="0"/>
      <w:marBottom w:val="0"/>
      <w:divBdr>
        <w:top w:val="none" w:sz="0" w:space="0" w:color="auto"/>
        <w:left w:val="none" w:sz="0" w:space="0" w:color="auto"/>
        <w:bottom w:val="none" w:sz="0" w:space="0" w:color="auto"/>
        <w:right w:val="none" w:sz="0" w:space="0" w:color="auto"/>
      </w:divBdr>
    </w:div>
    <w:div w:id="159082306">
      <w:bodyDiv w:val="1"/>
      <w:marLeft w:val="0"/>
      <w:marRight w:val="0"/>
      <w:marTop w:val="0"/>
      <w:marBottom w:val="0"/>
      <w:divBdr>
        <w:top w:val="none" w:sz="0" w:space="0" w:color="auto"/>
        <w:left w:val="none" w:sz="0" w:space="0" w:color="auto"/>
        <w:bottom w:val="none" w:sz="0" w:space="0" w:color="auto"/>
        <w:right w:val="none" w:sz="0" w:space="0" w:color="auto"/>
      </w:divBdr>
    </w:div>
    <w:div w:id="161817360">
      <w:bodyDiv w:val="1"/>
      <w:marLeft w:val="0"/>
      <w:marRight w:val="0"/>
      <w:marTop w:val="0"/>
      <w:marBottom w:val="0"/>
      <w:divBdr>
        <w:top w:val="none" w:sz="0" w:space="0" w:color="auto"/>
        <w:left w:val="none" w:sz="0" w:space="0" w:color="auto"/>
        <w:bottom w:val="none" w:sz="0" w:space="0" w:color="auto"/>
        <w:right w:val="none" w:sz="0" w:space="0" w:color="auto"/>
      </w:divBdr>
    </w:div>
    <w:div w:id="162398916">
      <w:bodyDiv w:val="1"/>
      <w:marLeft w:val="0"/>
      <w:marRight w:val="0"/>
      <w:marTop w:val="0"/>
      <w:marBottom w:val="0"/>
      <w:divBdr>
        <w:top w:val="none" w:sz="0" w:space="0" w:color="auto"/>
        <w:left w:val="none" w:sz="0" w:space="0" w:color="auto"/>
        <w:bottom w:val="none" w:sz="0" w:space="0" w:color="auto"/>
        <w:right w:val="none" w:sz="0" w:space="0" w:color="auto"/>
      </w:divBdr>
    </w:div>
    <w:div w:id="163594956">
      <w:bodyDiv w:val="1"/>
      <w:marLeft w:val="0"/>
      <w:marRight w:val="0"/>
      <w:marTop w:val="0"/>
      <w:marBottom w:val="0"/>
      <w:divBdr>
        <w:top w:val="none" w:sz="0" w:space="0" w:color="auto"/>
        <w:left w:val="none" w:sz="0" w:space="0" w:color="auto"/>
        <w:bottom w:val="none" w:sz="0" w:space="0" w:color="auto"/>
        <w:right w:val="none" w:sz="0" w:space="0" w:color="auto"/>
      </w:divBdr>
    </w:div>
    <w:div w:id="167255625">
      <w:bodyDiv w:val="1"/>
      <w:marLeft w:val="0"/>
      <w:marRight w:val="0"/>
      <w:marTop w:val="0"/>
      <w:marBottom w:val="0"/>
      <w:divBdr>
        <w:top w:val="none" w:sz="0" w:space="0" w:color="auto"/>
        <w:left w:val="none" w:sz="0" w:space="0" w:color="auto"/>
        <w:bottom w:val="none" w:sz="0" w:space="0" w:color="auto"/>
        <w:right w:val="none" w:sz="0" w:space="0" w:color="auto"/>
      </w:divBdr>
    </w:div>
    <w:div w:id="169953473">
      <w:bodyDiv w:val="1"/>
      <w:marLeft w:val="0"/>
      <w:marRight w:val="0"/>
      <w:marTop w:val="0"/>
      <w:marBottom w:val="0"/>
      <w:divBdr>
        <w:top w:val="none" w:sz="0" w:space="0" w:color="auto"/>
        <w:left w:val="none" w:sz="0" w:space="0" w:color="auto"/>
        <w:bottom w:val="none" w:sz="0" w:space="0" w:color="auto"/>
        <w:right w:val="none" w:sz="0" w:space="0" w:color="auto"/>
      </w:divBdr>
    </w:div>
    <w:div w:id="170800567">
      <w:bodyDiv w:val="1"/>
      <w:marLeft w:val="0"/>
      <w:marRight w:val="0"/>
      <w:marTop w:val="0"/>
      <w:marBottom w:val="0"/>
      <w:divBdr>
        <w:top w:val="none" w:sz="0" w:space="0" w:color="auto"/>
        <w:left w:val="none" w:sz="0" w:space="0" w:color="auto"/>
        <w:bottom w:val="none" w:sz="0" w:space="0" w:color="auto"/>
        <w:right w:val="none" w:sz="0" w:space="0" w:color="auto"/>
      </w:divBdr>
    </w:div>
    <w:div w:id="171067560">
      <w:bodyDiv w:val="1"/>
      <w:marLeft w:val="0"/>
      <w:marRight w:val="0"/>
      <w:marTop w:val="0"/>
      <w:marBottom w:val="0"/>
      <w:divBdr>
        <w:top w:val="none" w:sz="0" w:space="0" w:color="auto"/>
        <w:left w:val="none" w:sz="0" w:space="0" w:color="auto"/>
        <w:bottom w:val="none" w:sz="0" w:space="0" w:color="auto"/>
        <w:right w:val="none" w:sz="0" w:space="0" w:color="auto"/>
      </w:divBdr>
    </w:div>
    <w:div w:id="171650159">
      <w:bodyDiv w:val="1"/>
      <w:marLeft w:val="0"/>
      <w:marRight w:val="0"/>
      <w:marTop w:val="0"/>
      <w:marBottom w:val="0"/>
      <w:divBdr>
        <w:top w:val="none" w:sz="0" w:space="0" w:color="auto"/>
        <w:left w:val="none" w:sz="0" w:space="0" w:color="auto"/>
        <w:bottom w:val="none" w:sz="0" w:space="0" w:color="auto"/>
        <w:right w:val="none" w:sz="0" w:space="0" w:color="auto"/>
      </w:divBdr>
    </w:div>
    <w:div w:id="173228948">
      <w:bodyDiv w:val="1"/>
      <w:marLeft w:val="0"/>
      <w:marRight w:val="0"/>
      <w:marTop w:val="0"/>
      <w:marBottom w:val="0"/>
      <w:divBdr>
        <w:top w:val="none" w:sz="0" w:space="0" w:color="auto"/>
        <w:left w:val="none" w:sz="0" w:space="0" w:color="auto"/>
        <w:bottom w:val="none" w:sz="0" w:space="0" w:color="auto"/>
        <w:right w:val="none" w:sz="0" w:space="0" w:color="auto"/>
      </w:divBdr>
    </w:div>
    <w:div w:id="175778679">
      <w:bodyDiv w:val="1"/>
      <w:marLeft w:val="0"/>
      <w:marRight w:val="0"/>
      <w:marTop w:val="0"/>
      <w:marBottom w:val="0"/>
      <w:divBdr>
        <w:top w:val="none" w:sz="0" w:space="0" w:color="auto"/>
        <w:left w:val="none" w:sz="0" w:space="0" w:color="auto"/>
        <w:bottom w:val="none" w:sz="0" w:space="0" w:color="auto"/>
        <w:right w:val="none" w:sz="0" w:space="0" w:color="auto"/>
      </w:divBdr>
    </w:div>
    <w:div w:id="178397859">
      <w:bodyDiv w:val="1"/>
      <w:marLeft w:val="0"/>
      <w:marRight w:val="0"/>
      <w:marTop w:val="0"/>
      <w:marBottom w:val="0"/>
      <w:divBdr>
        <w:top w:val="none" w:sz="0" w:space="0" w:color="auto"/>
        <w:left w:val="none" w:sz="0" w:space="0" w:color="auto"/>
        <w:bottom w:val="none" w:sz="0" w:space="0" w:color="auto"/>
        <w:right w:val="none" w:sz="0" w:space="0" w:color="auto"/>
      </w:divBdr>
    </w:div>
    <w:div w:id="180552090">
      <w:bodyDiv w:val="1"/>
      <w:marLeft w:val="0"/>
      <w:marRight w:val="0"/>
      <w:marTop w:val="0"/>
      <w:marBottom w:val="0"/>
      <w:divBdr>
        <w:top w:val="none" w:sz="0" w:space="0" w:color="auto"/>
        <w:left w:val="none" w:sz="0" w:space="0" w:color="auto"/>
        <w:bottom w:val="none" w:sz="0" w:space="0" w:color="auto"/>
        <w:right w:val="none" w:sz="0" w:space="0" w:color="auto"/>
      </w:divBdr>
    </w:div>
    <w:div w:id="182090207">
      <w:bodyDiv w:val="1"/>
      <w:marLeft w:val="0"/>
      <w:marRight w:val="0"/>
      <w:marTop w:val="0"/>
      <w:marBottom w:val="0"/>
      <w:divBdr>
        <w:top w:val="none" w:sz="0" w:space="0" w:color="auto"/>
        <w:left w:val="none" w:sz="0" w:space="0" w:color="auto"/>
        <w:bottom w:val="none" w:sz="0" w:space="0" w:color="auto"/>
        <w:right w:val="none" w:sz="0" w:space="0" w:color="auto"/>
      </w:divBdr>
    </w:div>
    <w:div w:id="183593703">
      <w:bodyDiv w:val="1"/>
      <w:marLeft w:val="0"/>
      <w:marRight w:val="0"/>
      <w:marTop w:val="0"/>
      <w:marBottom w:val="0"/>
      <w:divBdr>
        <w:top w:val="none" w:sz="0" w:space="0" w:color="auto"/>
        <w:left w:val="none" w:sz="0" w:space="0" w:color="auto"/>
        <w:bottom w:val="none" w:sz="0" w:space="0" w:color="auto"/>
        <w:right w:val="none" w:sz="0" w:space="0" w:color="auto"/>
      </w:divBdr>
    </w:div>
    <w:div w:id="185795831">
      <w:bodyDiv w:val="1"/>
      <w:marLeft w:val="0"/>
      <w:marRight w:val="0"/>
      <w:marTop w:val="0"/>
      <w:marBottom w:val="0"/>
      <w:divBdr>
        <w:top w:val="none" w:sz="0" w:space="0" w:color="auto"/>
        <w:left w:val="none" w:sz="0" w:space="0" w:color="auto"/>
        <w:bottom w:val="none" w:sz="0" w:space="0" w:color="auto"/>
        <w:right w:val="none" w:sz="0" w:space="0" w:color="auto"/>
      </w:divBdr>
    </w:div>
    <w:div w:id="189103360">
      <w:bodyDiv w:val="1"/>
      <w:marLeft w:val="0"/>
      <w:marRight w:val="0"/>
      <w:marTop w:val="0"/>
      <w:marBottom w:val="0"/>
      <w:divBdr>
        <w:top w:val="none" w:sz="0" w:space="0" w:color="auto"/>
        <w:left w:val="none" w:sz="0" w:space="0" w:color="auto"/>
        <w:bottom w:val="none" w:sz="0" w:space="0" w:color="auto"/>
        <w:right w:val="none" w:sz="0" w:space="0" w:color="auto"/>
      </w:divBdr>
    </w:div>
    <w:div w:id="189340736">
      <w:bodyDiv w:val="1"/>
      <w:marLeft w:val="0"/>
      <w:marRight w:val="0"/>
      <w:marTop w:val="0"/>
      <w:marBottom w:val="0"/>
      <w:divBdr>
        <w:top w:val="none" w:sz="0" w:space="0" w:color="auto"/>
        <w:left w:val="none" w:sz="0" w:space="0" w:color="auto"/>
        <w:bottom w:val="none" w:sz="0" w:space="0" w:color="auto"/>
        <w:right w:val="none" w:sz="0" w:space="0" w:color="auto"/>
      </w:divBdr>
    </w:div>
    <w:div w:id="190148006">
      <w:bodyDiv w:val="1"/>
      <w:marLeft w:val="0"/>
      <w:marRight w:val="0"/>
      <w:marTop w:val="0"/>
      <w:marBottom w:val="0"/>
      <w:divBdr>
        <w:top w:val="none" w:sz="0" w:space="0" w:color="auto"/>
        <w:left w:val="none" w:sz="0" w:space="0" w:color="auto"/>
        <w:bottom w:val="none" w:sz="0" w:space="0" w:color="auto"/>
        <w:right w:val="none" w:sz="0" w:space="0" w:color="auto"/>
      </w:divBdr>
    </w:div>
    <w:div w:id="190922292">
      <w:bodyDiv w:val="1"/>
      <w:marLeft w:val="0"/>
      <w:marRight w:val="0"/>
      <w:marTop w:val="0"/>
      <w:marBottom w:val="0"/>
      <w:divBdr>
        <w:top w:val="none" w:sz="0" w:space="0" w:color="auto"/>
        <w:left w:val="none" w:sz="0" w:space="0" w:color="auto"/>
        <w:bottom w:val="none" w:sz="0" w:space="0" w:color="auto"/>
        <w:right w:val="none" w:sz="0" w:space="0" w:color="auto"/>
      </w:divBdr>
    </w:div>
    <w:div w:id="191649936">
      <w:bodyDiv w:val="1"/>
      <w:marLeft w:val="0"/>
      <w:marRight w:val="0"/>
      <w:marTop w:val="0"/>
      <w:marBottom w:val="0"/>
      <w:divBdr>
        <w:top w:val="none" w:sz="0" w:space="0" w:color="auto"/>
        <w:left w:val="none" w:sz="0" w:space="0" w:color="auto"/>
        <w:bottom w:val="none" w:sz="0" w:space="0" w:color="auto"/>
        <w:right w:val="none" w:sz="0" w:space="0" w:color="auto"/>
      </w:divBdr>
    </w:div>
    <w:div w:id="192573740">
      <w:bodyDiv w:val="1"/>
      <w:marLeft w:val="0"/>
      <w:marRight w:val="0"/>
      <w:marTop w:val="0"/>
      <w:marBottom w:val="0"/>
      <w:divBdr>
        <w:top w:val="none" w:sz="0" w:space="0" w:color="auto"/>
        <w:left w:val="none" w:sz="0" w:space="0" w:color="auto"/>
        <w:bottom w:val="none" w:sz="0" w:space="0" w:color="auto"/>
        <w:right w:val="none" w:sz="0" w:space="0" w:color="auto"/>
      </w:divBdr>
    </w:div>
    <w:div w:id="192617365">
      <w:bodyDiv w:val="1"/>
      <w:marLeft w:val="0"/>
      <w:marRight w:val="0"/>
      <w:marTop w:val="0"/>
      <w:marBottom w:val="0"/>
      <w:divBdr>
        <w:top w:val="none" w:sz="0" w:space="0" w:color="auto"/>
        <w:left w:val="none" w:sz="0" w:space="0" w:color="auto"/>
        <w:bottom w:val="none" w:sz="0" w:space="0" w:color="auto"/>
        <w:right w:val="none" w:sz="0" w:space="0" w:color="auto"/>
      </w:divBdr>
    </w:div>
    <w:div w:id="193538453">
      <w:bodyDiv w:val="1"/>
      <w:marLeft w:val="0"/>
      <w:marRight w:val="0"/>
      <w:marTop w:val="0"/>
      <w:marBottom w:val="0"/>
      <w:divBdr>
        <w:top w:val="none" w:sz="0" w:space="0" w:color="auto"/>
        <w:left w:val="none" w:sz="0" w:space="0" w:color="auto"/>
        <w:bottom w:val="none" w:sz="0" w:space="0" w:color="auto"/>
        <w:right w:val="none" w:sz="0" w:space="0" w:color="auto"/>
      </w:divBdr>
    </w:div>
    <w:div w:id="194387694">
      <w:marLeft w:val="0"/>
      <w:marRight w:val="0"/>
      <w:marTop w:val="0"/>
      <w:marBottom w:val="0"/>
      <w:divBdr>
        <w:top w:val="none" w:sz="0" w:space="0" w:color="auto"/>
        <w:left w:val="none" w:sz="0" w:space="0" w:color="auto"/>
        <w:bottom w:val="none" w:sz="0" w:space="0" w:color="auto"/>
        <w:right w:val="none" w:sz="0" w:space="0" w:color="auto"/>
      </w:divBdr>
    </w:div>
    <w:div w:id="195432046">
      <w:bodyDiv w:val="1"/>
      <w:marLeft w:val="0"/>
      <w:marRight w:val="0"/>
      <w:marTop w:val="0"/>
      <w:marBottom w:val="0"/>
      <w:divBdr>
        <w:top w:val="none" w:sz="0" w:space="0" w:color="auto"/>
        <w:left w:val="none" w:sz="0" w:space="0" w:color="auto"/>
        <w:bottom w:val="none" w:sz="0" w:space="0" w:color="auto"/>
        <w:right w:val="none" w:sz="0" w:space="0" w:color="auto"/>
      </w:divBdr>
    </w:div>
    <w:div w:id="196312023">
      <w:bodyDiv w:val="1"/>
      <w:marLeft w:val="0"/>
      <w:marRight w:val="0"/>
      <w:marTop w:val="0"/>
      <w:marBottom w:val="0"/>
      <w:divBdr>
        <w:top w:val="none" w:sz="0" w:space="0" w:color="auto"/>
        <w:left w:val="none" w:sz="0" w:space="0" w:color="auto"/>
        <w:bottom w:val="none" w:sz="0" w:space="0" w:color="auto"/>
        <w:right w:val="none" w:sz="0" w:space="0" w:color="auto"/>
      </w:divBdr>
    </w:div>
    <w:div w:id="197357635">
      <w:bodyDiv w:val="1"/>
      <w:marLeft w:val="0"/>
      <w:marRight w:val="0"/>
      <w:marTop w:val="0"/>
      <w:marBottom w:val="0"/>
      <w:divBdr>
        <w:top w:val="none" w:sz="0" w:space="0" w:color="auto"/>
        <w:left w:val="none" w:sz="0" w:space="0" w:color="auto"/>
        <w:bottom w:val="none" w:sz="0" w:space="0" w:color="auto"/>
        <w:right w:val="none" w:sz="0" w:space="0" w:color="auto"/>
      </w:divBdr>
    </w:div>
    <w:div w:id="198250338">
      <w:bodyDiv w:val="1"/>
      <w:marLeft w:val="0"/>
      <w:marRight w:val="0"/>
      <w:marTop w:val="0"/>
      <w:marBottom w:val="0"/>
      <w:divBdr>
        <w:top w:val="none" w:sz="0" w:space="0" w:color="auto"/>
        <w:left w:val="none" w:sz="0" w:space="0" w:color="auto"/>
        <w:bottom w:val="none" w:sz="0" w:space="0" w:color="auto"/>
        <w:right w:val="none" w:sz="0" w:space="0" w:color="auto"/>
      </w:divBdr>
    </w:div>
    <w:div w:id="200090732">
      <w:bodyDiv w:val="1"/>
      <w:marLeft w:val="0"/>
      <w:marRight w:val="0"/>
      <w:marTop w:val="0"/>
      <w:marBottom w:val="0"/>
      <w:divBdr>
        <w:top w:val="none" w:sz="0" w:space="0" w:color="auto"/>
        <w:left w:val="none" w:sz="0" w:space="0" w:color="auto"/>
        <w:bottom w:val="none" w:sz="0" w:space="0" w:color="auto"/>
        <w:right w:val="none" w:sz="0" w:space="0" w:color="auto"/>
      </w:divBdr>
    </w:div>
    <w:div w:id="200165582">
      <w:bodyDiv w:val="1"/>
      <w:marLeft w:val="0"/>
      <w:marRight w:val="0"/>
      <w:marTop w:val="0"/>
      <w:marBottom w:val="0"/>
      <w:divBdr>
        <w:top w:val="none" w:sz="0" w:space="0" w:color="auto"/>
        <w:left w:val="none" w:sz="0" w:space="0" w:color="auto"/>
        <w:bottom w:val="none" w:sz="0" w:space="0" w:color="auto"/>
        <w:right w:val="none" w:sz="0" w:space="0" w:color="auto"/>
      </w:divBdr>
    </w:div>
    <w:div w:id="201135557">
      <w:bodyDiv w:val="1"/>
      <w:marLeft w:val="0"/>
      <w:marRight w:val="0"/>
      <w:marTop w:val="0"/>
      <w:marBottom w:val="0"/>
      <w:divBdr>
        <w:top w:val="none" w:sz="0" w:space="0" w:color="auto"/>
        <w:left w:val="none" w:sz="0" w:space="0" w:color="auto"/>
        <w:bottom w:val="none" w:sz="0" w:space="0" w:color="auto"/>
        <w:right w:val="none" w:sz="0" w:space="0" w:color="auto"/>
      </w:divBdr>
    </w:div>
    <w:div w:id="202327134">
      <w:bodyDiv w:val="1"/>
      <w:marLeft w:val="0"/>
      <w:marRight w:val="0"/>
      <w:marTop w:val="0"/>
      <w:marBottom w:val="0"/>
      <w:divBdr>
        <w:top w:val="none" w:sz="0" w:space="0" w:color="auto"/>
        <w:left w:val="none" w:sz="0" w:space="0" w:color="auto"/>
        <w:bottom w:val="none" w:sz="0" w:space="0" w:color="auto"/>
        <w:right w:val="none" w:sz="0" w:space="0" w:color="auto"/>
      </w:divBdr>
    </w:div>
    <w:div w:id="202595436">
      <w:bodyDiv w:val="1"/>
      <w:marLeft w:val="0"/>
      <w:marRight w:val="0"/>
      <w:marTop w:val="0"/>
      <w:marBottom w:val="0"/>
      <w:divBdr>
        <w:top w:val="none" w:sz="0" w:space="0" w:color="auto"/>
        <w:left w:val="none" w:sz="0" w:space="0" w:color="auto"/>
        <w:bottom w:val="none" w:sz="0" w:space="0" w:color="auto"/>
        <w:right w:val="none" w:sz="0" w:space="0" w:color="auto"/>
      </w:divBdr>
    </w:div>
    <w:div w:id="203058241">
      <w:bodyDiv w:val="1"/>
      <w:marLeft w:val="0"/>
      <w:marRight w:val="0"/>
      <w:marTop w:val="0"/>
      <w:marBottom w:val="0"/>
      <w:divBdr>
        <w:top w:val="none" w:sz="0" w:space="0" w:color="auto"/>
        <w:left w:val="none" w:sz="0" w:space="0" w:color="auto"/>
        <w:bottom w:val="none" w:sz="0" w:space="0" w:color="auto"/>
        <w:right w:val="none" w:sz="0" w:space="0" w:color="auto"/>
      </w:divBdr>
    </w:div>
    <w:div w:id="203062771">
      <w:bodyDiv w:val="1"/>
      <w:marLeft w:val="0"/>
      <w:marRight w:val="0"/>
      <w:marTop w:val="0"/>
      <w:marBottom w:val="0"/>
      <w:divBdr>
        <w:top w:val="none" w:sz="0" w:space="0" w:color="auto"/>
        <w:left w:val="none" w:sz="0" w:space="0" w:color="auto"/>
        <w:bottom w:val="none" w:sz="0" w:space="0" w:color="auto"/>
        <w:right w:val="none" w:sz="0" w:space="0" w:color="auto"/>
      </w:divBdr>
    </w:div>
    <w:div w:id="203251948">
      <w:bodyDiv w:val="1"/>
      <w:marLeft w:val="0"/>
      <w:marRight w:val="0"/>
      <w:marTop w:val="0"/>
      <w:marBottom w:val="0"/>
      <w:divBdr>
        <w:top w:val="none" w:sz="0" w:space="0" w:color="auto"/>
        <w:left w:val="none" w:sz="0" w:space="0" w:color="auto"/>
        <w:bottom w:val="none" w:sz="0" w:space="0" w:color="auto"/>
        <w:right w:val="none" w:sz="0" w:space="0" w:color="auto"/>
      </w:divBdr>
    </w:div>
    <w:div w:id="205341804">
      <w:bodyDiv w:val="1"/>
      <w:marLeft w:val="0"/>
      <w:marRight w:val="0"/>
      <w:marTop w:val="0"/>
      <w:marBottom w:val="0"/>
      <w:divBdr>
        <w:top w:val="none" w:sz="0" w:space="0" w:color="auto"/>
        <w:left w:val="none" w:sz="0" w:space="0" w:color="auto"/>
        <w:bottom w:val="none" w:sz="0" w:space="0" w:color="auto"/>
        <w:right w:val="none" w:sz="0" w:space="0" w:color="auto"/>
      </w:divBdr>
    </w:div>
    <w:div w:id="205602305">
      <w:bodyDiv w:val="1"/>
      <w:marLeft w:val="0"/>
      <w:marRight w:val="0"/>
      <w:marTop w:val="0"/>
      <w:marBottom w:val="0"/>
      <w:divBdr>
        <w:top w:val="none" w:sz="0" w:space="0" w:color="auto"/>
        <w:left w:val="none" w:sz="0" w:space="0" w:color="auto"/>
        <w:bottom w:val="none" w:sz="0" w:space="0" w:color="auto"/>
        <w:right w:val="none" w:sz="0" w:space="0" w:color="auto"/>
      </w:divBdr>
    </w:div>
    <w:div w:id="206794505">
      <w:bodyDiv w:val="1"/>
      <w:marLeft w:val="0"/>
      <w:marRight w:val="0"/>
      <w:marTop w:val="0"/>
      <w:marBottom w:val="0"/>
      <w:divBdr>
        <w:top w:val="none" w:sz="0" w:space="0" w:color="auto"/>
        <w:left w:val="none" w:sz="0" w:space="0" w:color="auto"/>
        <w:bottom w:val="none" w:sz="0" w:space="0" w:color="auto"/>
        <w:right w:val="none" w:sz="0" w:space="0" w:color="auto"/>
      </w:divBdr>
    </w:div>
    <w:div w:id="207180496">
      <w:bodyDiv w:val="1"/>
      <w:marLeft w:val="0"/>
      <w:marRight w:val="0"/>
      <w:marTop w:val="0"/>
      <w:marBottom w:val="0"/>
      <w:divBdr>
        <w:top w:val="none" w:sz="0" w:space="0" w:color="auto"/>
        <w:left w:val="none" w:sz="0" w:space="0" w:color="auto"/>
        <w:bottom w:val="none" w:sz="0" w:space="0" w:color="auto"/>
        <w:right w:val="none" w:sz="0" w:space="0" w:color="auto"/>
      </w:divBdr>
    </w:div>
    <w:div w:id="207689253">
      <w:bodyDiv w:val="1"/>
      <w:marLeft w:val="0"/>
      <w:marRight w:val="0"/>
      <w:marTop w:val="0"/>
      <w:marBottom w:val="0"/>
      <w:divBdr>
        <w:top w:val="none" w:sz="0" w:space="0" w:color="auto"/>
        <w:left w:val="none" w:sz="0" w:space="0" w:color="auto"/>
        <w:bottom w:val="none" w:sz="0" w:space="0" w:color="auto"/>
        <w:right w:val="none" w:sz="0" w:space="0" w:color="auto"/>
      </w:divBdr>
    </w:div>
    <w:div w:id="209923967">
      <w:bodyDiv w:val="1"/>
      <w:marLeft w:val="0"/>
      <w:marRight w:val="0"/>
      <w:marTop w:val="0"/>
      <w:marBottom w:val="0"/>
      <w:divBdr>
        <w:top w:val="none" w:sz="0" w:space="0" w:color="auto"/>
        <w:left w:val="none" w:sz="0" w:space="0" w:color="auto"/>
        <w:bottom w:val="none" w:sz="0" w:space="0" w:color="auto"/>
        <w:right w:val="none" w:sz="0" w:space="0" w:color="auto"/>
      </w:divBdr>
    </w:div>
    <w:div w:id="211045043">
      <w:bodyDiv w:val="1"/>
      <w:marLeft w:val="0"/>
      <w:marRight w:val="0"/>
      <w:marTop w:val="0"/>
      <w:marBottom w:val="0"/>
      <w:divBdr>
        <w:top w:val="none" w:sz="0" w:space="0" w:color="auto"/>
        <w:left w:val="none" w:sz="0" w:space="0" w:color="auto"/>
        <w:bottom w:val="none" w:sz="0" w:space="0" w:color="auto"/>
        <w:right w:val="none" w:sz="0" w:space="0" w:color="auto"/>
      </w:divBdr>
    </w:div>
    <w:div w:id="212086425">
      <w:bodyDiv w:val="1"/>
      <w:marLeft w:val="0"/>
      <w:marRight w:val="0"/>
      <w:marTop w:val="0"/>
      <w:marBottom w:val="0"/>
      <w:divBdr>
        <w:top w:val="none" w:sz="0" w:space="0" w:color="auto"/>
        <w:left w:val="none" w:sz="0" w:space="0" w:color="auto"/>
        <w:bottom w:val="none" w:sz="0" w:space="0" w:color="auto"/>
        <w:right w:val="none" w:sz="0" w:space="0" w:color="auto"/>
      </w:divBdr>
    </w:div>
    <w:div w:id="212817066">
      <w:bodyDiv w:val="1"/>
      <w:marLeft w:val="0"/>
      <w:marRight w:val="0"/>
      <w:marTop w:val="0"/>
      <w:marBottom w:val="0"/>
      <w:divBdr>
        <w:top w:val="none" w:sz="0" w:space="0" w:color="auto"/>
        <w:left w:val="none" w:sz="0" w:space="0" w:color="auto"/>
        <w:bottom w:val="none" w:sz="0" w:space="0" w:color="auto"/>
        <w:right w:val="none" w:sz="0" w:space="0" w:color="auto"/>
      </w:divBdr>
    </w:div>
    <w:div w:id="214122469">
      <w:bodyDiv w:val="1"/>
      <w:marLeft w:val="0"/>
      <w:marRight w:val="0"/>
      <w:marTop w:val="0"/>
      <w:marBottom w:val="0"/>
      <w:divBdr>
        <w:top w:val="none" w:sz="0" w:space="0" w:color="auto"/>
        <w:left w:val="none" w:sz="0" w:space="0" w:color="auto"/>
        <w:bottom w:val="none" w:sz="0" w:space="0" w:color="auto"/>
        <w:right w:val="none" w:sz="0" w:space="0" w:color="auto"/>
      </w:divBdr>
    </w:div>
    <w:div w:id="215701710">
      <w:bodyDiv w:val="1"/>
      <w:marLeft w:val="0"/>
      <w:marRight w:val="0"/>
      <w:marTop w:val="0"/>
      <w:marBottom w:val="0"/>
      <w:divBdr>
        <w:top w:val="none" w:sz="0" w:space="0" w:color="auto"/>
        <w:left w:val="none" w:sz="0" w:space="0" w:color="auto"/>
        <w:bottom w:val="none" w:sz="0" w:space="0" w:color="auto"/>
        <w:right w:val="none" w:sz="0" w:space="0" w:color="auto"/>
      </w:divBdr>
    </w:div>
    <w:div w:id="217324331">
      <w:bodyDiv w:val="1"/>
      <w:marLeft w:val="0"/>
      <w:marRight w:val="0"/>
      <w:marTop w:val="0"/>
      <w:marBottom w:val="0"/>
      <w:divBdr>
        <w:top w:val="none" w:sz="0" w:space="0" w:color="auto"/>
        <w:left w:val="none" w:sz="0" w:space="0" w:color="auto"/>
        <w:bottom w:val="none" w:sz="0" w:space="0" w:color="auto"/>
        <w:right w:val="none" w:sz="0" w:space="0" w:color="auto"/>
      </w:divBdr>
    </w:div>
    <w:div w:id="217784805">
      <w:bodyDiv w:val="1"/>
      <w:marLeft w:val="0"/>
      <w:marRight w:val="0"/>
      <w:marTop w:val="0"/>
      <w:marBottom w:val="0"/>
      <w:divBdr>
        <w:top w:val="none" w:sz="0" w:space="0" w:color="auto"/>
        <w:left w:val="none" w:sz="0" w:space="0" w:color="auto"/>
        <w:bottom w:val="none" w:sz="0" w:space="0" w:color="auto"/>
        <w:right w:val="none" w:sz="0" w:space="0" w:color="auto"/>
      </w:divBdr>
    </w:div>
    <w:div w:id="219220532">
      <w:bodyDiv w:val="1"/>
      <w:marLeft w:val="0"/>
      <w:marRight w:val="0"/>
      <w:marTop w:val="0"/>
      <w:marBottom w:val="0"/>
      <w:divBdr>
        <w:top w:val="none" w:sz="0" w:space="0" w:color="auto"/>
        <w:left w:val="none" w:sz="0" w:space="0" w:color="auto"/>
        <w:bottom w:val="none" w:sz="0" w:space="0" w:color="auto"/>
        <w:right w:val="none" w:sz="0" w:space="0" w:color="auto"/>
      </w:divBdr>
    </w:div>
    <w:div w:id="219677204">
      <w:bodyDiv w:val="1"/>
      <w:marLeft w:val="0"/>
      <w:marRight w:val="0"/>
      <w:marTop w:val="0"/>
      <w:marBottom w:val="0"/>
      <w:divBdr>
        <w:top w:val="none" w:sz="0" w:space="0" w:color="auto"/>
        <w:left w:val="none" w:sz="0" w:space="0" w:color="auto"/>
        <w:bottom w:val="none" w:sz="0" w:space="0" w:color="auto"/>
        <w:right w:val="none" w:sz="0" w:space="0" w:color="auto"/>
      </w:divBdr>
    </w:div>
    <w:div w:id="219756559">
      <w:bodyDiv w:val="1"/>
      <w:marLeft w:val="0"/>
      <w:marRight w:val="0"/>
      <w:marTop w:val="0"/>
      <w:marBottom w:val="0"/>
      <w:divBdr>
        <w:top w:val="none" w:sz="0" w:space="0" w:color="auto"/>
        <w:left w:val="none" w:sz="0" w:space="0" w:color="auto"/>
        <w:bottom w:val="none" w:sz="0" w:space="0" w:color="auto"/>
        <w:right w:val="none" w:sz="0" w:space="0" w:color="auto"/>
      </w:divBdr>
    </w:div>
    <w:div w:id="220101352">
      <w:bodyDiv w:val="1"/>
      <w:marLeft w:val="0"/>
      <w:marRight w:val="0"/>
      <w:marTop w:val="0"/>
      <w:marBottom w:val="0"/>
      <w:divBdr>
        <w:top w:val="none" w:sz="0" w:space="0" w:color="auto"/>
        <w:left w:val="none" w:sz="0" w:space="0" w:color="auto"/>
        <w:bottom w:val="none" w:sz="0" w:space="0" w:color="auto"/>
        <w:right w:val="none" w:sz="0" w:space="0" w:color="auto"/>
      </w:divBdr>
    </w:div>
    <w:div w:id="220947682">
      <w:bodyDiv w:val="1"/>
      <w:marLeft w:val="0"/>
      <w:marRight w:val="0"/>
      <w:marTop w:val="0"/>
      <w:marBottom w:val="0"/>
      <w:divBdr>
        <w:top w:val="none" w:sz="0" w:space="0" w:color="auto"/>
        <w:left w:val="none" w:sz="0" w:space="0" w:color="auto"/>
        <w:bottom w:val="none" w:sz="0" w:space="0" w:color="auto"/>
        <w:right w:val="none" w:sz="0" w:space="0" w:color="auto"/>
      </w:divBdr>
    </w:div>
    <w:div w:id="222372708">
      <w:bodyDiv w:val="1"/>
      <w:marLeft w:val="0"/>
      <w:marRight w:val="0"/>
      <w:marTop w:val="0"/>
      <w:marBottom w:val="0"/>
      <w:divBdr>
        <w:top w:val="none" w:sz="0" w:space="0" w:color="auto"/>
        <w:left w:val="none" w:sz="0" w:space="0" w:color="auto"/>
        <w:bottom w:val="none" w:sz="0" w:space="0" w:color="auto"/>
        <w:right w:val="none" w:sz="0" w:space="0" w:color="auto"/>
      </w:divBdr>
    </w:div>
    <w:div w:id="222981939">
      <w:bodyDiv w:val="1"/>
      <w:marLeft w:val="0"/>
      <w:marRight w:val="0"/>
      <w:marTop w:val="0"/>
      <w:marBottom w:val="0"/>
      <w:divBdr>
        <w:top w:val="none" w:sz="0" w:space="0" w:color="auto"/>
        <w:left w:val="none" w:sz="0" w:space="0" w:color="auto"/>
        <w:bottom w:val="none" w:sz="0" w:space="0" w:color="auto"/>
        <w:right w:val="none" w:sz="0" w:space="0" w:color="auto"/>
      </w:divBdr>
    </w:div>
    <w:div w:id="224874156">
      <w:bodyDiv w:val="1"/>
      <w:marLeft w:val="0"/>
      <w:marRight w:val="0"/>
      <w:marTop w:val="0"/>
      <w:marBottom w:val="0"/>
      <w:divBdr>
        <w:top w:val="none" w:sz="0" w:space="0" w:color="auto"/>
        <w:left w:val="none" w:sz="0" w:space="0" w:color="auto"/>
        <w:bottom w:val="none" w:sz="0" w:space="0" w:color="auto"/>
        <w:right w:val="none" w:sz="0" w:space="0" w:color="auto"/>
      </w:divBdr>
    </w:div>
    <w:div w:id="229389801">
      <w:bodyDiv w:val="1"/>
      <w:marLeft w:val="0"/>
      <w:marRight w:val="0"/>
      <w:marTop w:val="0"/>
      <w:marBottom w:val="0"/>
      <w:divBdr>
        <w:top w:val="none" w:sz="0" w:space="0" w:color="auto"/>
        <w:left w:val="none" w:sz="0" w:space="0" w:color="auto"/>
        <w:bottom w:val="none" w:sz="0" w:space="0" w:color="auto"/>
        <w:right w:val="none" w:sz="0" w:space="0" w:color="auto"/>
      </w:divBdr>
    </w:div>
    <w:div w:id="229656941">
      <w:bodyDiv w:val="1"/>
      <w:marLeft w:val="0"/>
      <w:marRight w:val="0"/>
      <w:marTop w:val="0"/>
      <w:marBottom w:val="0"/>
      <w:divBdr>
        <w:top w:val="none" w:sz="0" w:space="0" w:color="auto"/>
        <w:left w:val="none" w:sz="0" w:space="0" w:color="auto"/>
        <w:bottom w:val="none" w:sz="0" w:space="0" w:color="auto"/>
        <w:right w:val="none" w:sz="0" w:space="0" w:color="auto"/>
      </w:divBdr>
    </w:div>
    <w:div w:id="230583996">
      <w:bodyDiv w:val="1"/>
      <w:marLeft w:val="0"/>
      <w:marRight w:val="0"/>
      <w:marTop w:val="0"/>
      <w:marBottom w:val="0"/>
      <w:divBdr>
        <w:top w:val="none" w:sz="0" w:space="0" w:color="auto"/>
        <w:left w:val="none" w:sz="0" w:space="0" w:color="auto"/>
        <w:bottom w:val="none" w:sz="0" w:space="0" w:color="auto"/>
        <w:right w:val="none" w:sz="0" w:space="0" w:color="auto"/>
      </w:divBdr>
    </w:div>
    <w:div w:id="232743173">
      <w:bodyDiv w:val="1"/>
      <w:marLeft w:val="0"/>
      <w:marRight w:val="0"/>
      <w:marTop w:val="0"/>
      <w:marBottom w:val="0"/>
      <w:divBdr>
        <w:top w:val="none" w:sz="0" w:space="0" w:color="auto"/>
        <w:left w:val="none" w:sz="0" w:space="0" w:color="auto"/>
        <w:bottom w:val="none" w:sz="0" w:space="0" w:color="auto"/>
        <w:right w:val="none" w:sz="0" w:space="0" w:color="auto"/>
      </w:divBdr>
    </w:div>
    <w:div w:id="235675152">
      <w:bodyDiv w:val="1"/>
      <w:marLeft w:val="0"/>
      <w:marRight w:val="0"/>
      <w:marTop w:val="0"/>
      <w:marBottom w:val="0"/>
      <w:divBdr>
        <w:top w:val="none" w:sz="0" w:space="0" w:color="auto"/>
        <w:left w:val="none" w:sz="0" w:space="0" w:color="auto"/>
        <w:bottom w:val="none" w:sz="0" w:space="0" w:color="auto"/>
        <w:right w:val="none" w:sz="0" w:space="0" w:color="auto"/>
      </w:divBdr>
    </w:div>
    <w:div w:id="236401047">
      <w:bodyDiv w:val="1"/>
      <w:marLeft w:val="0"/>
      <w:marRight w:val="0"/>
      <w:marTop w:val="0"/>
      <w:marBottom w:val="0"/>
      <w:divBdr>
        <w:top w:val="none" w:sz="0" w:space="0" w:color="auto"/>
        <w:left w:val="none" w:sz="0" w:space="0" w:color="auto"/>
        <w:bottom w:val="none" w:sz="0" w:space="0" w:color="auto"/>
        <w:right w:val="none" w:sz="0" w:space="0" w:color="auto"/>
      </w:divBdr>
    </w:div>
    <w:div w:id="237372866">
      <w:bodyDiv w:val="1"/>
      <w:marLeft w:val="0"/>
      <w:marRight w:val="0"/>
      <w:marTop w:val="0"/>
      <w:marBottom w:val="0"/>
      <w:divBdr>
        <w:top w:val="none" w:sz="0" w:space="0" w:color="auto"/>
        <w:left w:val="none" w:sz="0" w:space="0" w:color="auto"/>
        <w:bottom w:val="none" w:sz="0" w:space="0" w:color="auto"/>
        <w:right w:val="none" w:sz="0" w:space="0" w:color="auto"/>
      </w:divBdr>
    </w:div>
    <w:div w:id="238247348">
      <w:bodyDiv w:val="1"/>
      <w:marLeft w:val="0"/>
      <w:marRight w:val="0"/>
      <w:marTop w:val="0"/>
      <w:marBottom w:val="0"/>
      <w:divBdr>
        <w:top w:val="none" w:sz="0" w:space="0" w:color="auto"/>
        <w:left w:val="none" w:sz="0" w:space="0" w:color="auto"/>
        <w:bottom w:val="none" w:sz="0" w:space="0" w:color="auto"/>
        <w:right w:val="none" w:sz="0" w:space="0" w:color="auto"/>
      </w:divBdr>
    </w:div>
    <w:div w:id="238827887">
      <w:bodyDiv w:val="1"/>
      <w:marLeft w:val="0"/>
      <w:marRight w:val="0"/>
      <w:marTop w:val="0"/>
      <w:marBottom w:val="0"/>
      <w:divBdr>
        <w:top w:val="none" w:sz="0" w:space="0" w:color="auto"/>
        <w:left w:val="none" w:sz="0" w:space="0" w:color="auto"/>
        <w:bottom w:val="none" w:sz="0" w:space="0" w:color="auto"/>
        <w:right w:val="none" w:sz="0" w:space="0" w:color="auto"/>
      </w:divBdr>
    </w:div>
    <w:div w:id="241305036">
      <w:bodyDiv w:val="1"/>
      <w:marLeft w:val="0"/>
      <w:marRight w:val="0"/>
      <w:marTop w:val="0"/>
      <w:marBottom w:val="0"/>
      <w:divBdr>
        <w:top w:val="none" w:sz="0" w:space="0" w:color="auto"/>
        <w:left w:val="none" w:sz="0" w:space="0" w:color="auto"/>
        <w:bottom w:val="none" w:sz="0" w:space="0" w:color="auto"/>
        <w:right w:val="none" w:sz="0" w:space="0" w:color="auto"/>
      </w:divBdr>
    </w:div>
    <w:div w:id="241725165">
      <w:bodyDiv w:val="1"/>
      <w:marLeft w:val="0"/>
      <w:marRight w:val="0"/>
      <w:marTop w:val="0"/>
      <w:marBottom w:val="0"/>
      <w:divBdr>
        <w:top w:val="none" w:sz="0" w:space="0" w:color="auto"/>
        <w:left w:val="none" w:sz="0" w:space="0" w:color="auto"/>
        <w:bottom w:val="none" w:sz="0" w:space="0" w:color="auto"/>
        <w:right w:val="none" w:sz="0" w:space="0" w:color="auto"/>
      </w:divBdr>
    </w:div>
    <w:div w:id="241988660">
      <w:bodyDiv w:val="1"/>
      <w:marLeft w:val="0"/>
      <w:marRight w:val="0"/>
      <w:marTop w:val="0"/>
      <w:marBottom w:val="0"/>
      <w:divBdr>
        <w:top w:val="none" w:sz="0" w:space="0" w:color="auto"/>
        <w:left w:val="none" w:sz="0" w:space="0" w:color="auto"/>
        <w:bottom w:val="none" w:sz="0" w:space="0" w:color="auto"/>
        <w:right w:val="none" w:sz="0" w:space="0" w:color="auto"/>
      </w:divBdr>
    </w:div>
    <w:div w:id="242185657">
      <w:bodyDiv w:val="1"/>
      <w:marLeft w:val="0"/>
      <w:marRight w:val="0"/>
      <w:marTop w:val="0"/>
      <w:marBottom w:val="0"/>
      <w:divBdr>
        <w:top w:val="none" w:sz="0" w:space="0" w:color="auto"/>
        <w:left w:val="none" w:sz="0" w:space="0" w:color="auto"/>
        <w:bottom w:val="none" w:sz="0" w:space="0" w:color="auto"/>
        <w:right w:val="none" w:sz="0" w:space="0" w:color="auto"/>
      </w:divBdr>
    </w:div>
    <w:div w:id="242643395">
      <w:bodyDiv w:val="1"/>
      <w:marLeft w:val="0"/>
      <w:marRight w:val="0"/>
      <w:marTop w:val="0"/>
      <w:marBottom w:val="0"/>
      <w:divBdr>
        <w:top w:val="none" w:sz="0" w:space="0" w:color="auto"/>
        <w:left w:val="none" w:sz="0" w:space="0" w:color="auto"/>
        <w:bottom w:val="none" w:sz="0" w:space="0" w:color="auto"/>
        <w:right w:val="none" w:sz="0" w:space="0" w:color="auto"/>
      </w:divBdr>
    </w:div>
    <w:div w:id="242645418">
      <w:bodyDiv w:val="1"/>
      <w:marLeft w:val="0"/>
      <w:marRight w:val="0"/>
      <w:marTop w:val="0"/>
      <w:marBottom w:val="0"/>
      <w:divBdr>
        <w:top w:val="none" w:sz="0" w:space="0" w:color="auto"/>
        <w:left w:val="none" w:sz="0" w:space="0" w:color="auto"/>
        <w:bottom w:val="none" w:sz="0" w:space="0" w:color="auto"/>
        <w:right w:val="none" w:sz="0" w:space="0" w:color="auto"/>
      </w:divBdr>
    </w:div>
    <w:div w:id="243301178">
      <w:bodyDiv w:val="1"/>
      <w:marLeft w:val="0"/>
      <w:marRight w:val="0"/>
      <w:marTop w:val="0"/>
      <w:marBottom w:val="0"/>
      <w:divBdr>
        <w:top w:val="none" w:sz="0" w:space="0" w:color="auto"/>
        <w:left w:val="none" w:sz="0" w:space="0" w:color="auto"/>
        <w:bottom w:val="none" w:sz="0" w:space="0" w:color="auto"/>
        <w:right w:val="none" w:sz="0" w:space="0" w:color="auto"/>
      </w:divBdr>
    </w:div>
    <w:div w:id="245265445">
      <w:bodyDiv w:val="1"/>
      <w:marLeft w:val="0"/>
      <w:marRight w:val="0"/>
      <w:marTop w:val="0"/>
      <w:marBottom w:val="0"/>
      <w:divBdr>
        <w:top w:val="none" w:sz="0" w:space="0" w:color="auto"/>
        <w:left w:val="none" w:sz="0" w:space="0" w:color="auto"/>
        <w:bottom w:val="none" w:sz="0" w:space="0" w:color="auto"/>
        <w:right w:val="none" w:sz="0" w:space="0" w:color="auto"/>
      </w:divBdr>
    </w:div>
    <w:div w:id="246303889">
      <w:bodyDiv w:val="1"/>
      <w:marLeft w:val="0"/>
      <w:marRight w:val="0"/>
      <w:marTop w:val="0"/>
      <w:marBottom w:val="0"/>
      <w:divBdr>
        <w:top w:val="none" w:sz="0" w:space="0" w:color="auto"/>
        <w:left w:val="none" w:sz="0" w:space="0" w:color="auto"/>
        <w:bottom w:val="none" w:sz="0" w:space="0" w:color="auto"/>
        <w:right w:val="none" w:sz="0" w:space="0" w:color="auto"/>
      </w:divBdr>
    </w:div>
    <w:div w:id="246892536">
      <w:bodyDiv w:val="1"/>
      <w:marLeft w:val="0"/>
      <w:marRight w:val="0"/>
      <w:marTop w:val="0"/>
      <w:marBottom w:val="0"/>
      <w:divBdr>
        <w:top w:val="none" w:sz="0" w:space="0" w:color="auto"/>
        <w:left w:val="none" w:sz="0" w:space="0" w:color="auto"/>
        <w:bottom w:val="none" w:sz="0" w:space="0" w:color="auto"/>
        <w:right w:val="none" w:sz="0" w:space="0" w:color="auto"/>
      </w:divBdr>
    </w:div>
    <w:div w:id="249390210">
      <w:bodyDiv w:val="1"/>
      <w:marLeft w:val="0"/>
      <w:marRight w:val="0"/>
      <w:marTop w:val="0"/>
      <w:marBottom w:val="0"/>
      <w:divBdr>
        <w:top w:val="none" w:sz="0" w:space="0" w:color="auto"/>
        <w:left w:val="none" w:sz="0" w:space="0" w:color="auto"/>
        <w:bottom w:val="none" w:sz="0" w:space="0" w:color="auto"/>
        <w:right w:val="none" w:sz="0" w:space="0" w:color="auto"/>
      </w:divBdr>
    </w:div>
    <w:div w:id="250311650">
      <w:bodyDiv w:val="1"/>
      <w:marLeft w:val="0"/>
      <w:marRight w:val="0"/>
      <w:marTop w:val="0"/>
      <w:marBottom w:val="0"/>
      <w:divBdr>
        <w:top w:val="none" w:sz="0" w:space="0" w:color="auto"/>
        <w:left w:val="none" w:sz="0" w:space="0" w:color="auto"/>
        <w:bottom w:val="none" w:sz="0" w:space="0" w:color="auto"/>
        <w:right w:val="none" w:sz="0" w:space="0" w:color="auto"/>
      </w:divBdr>
    </w:div>
    <w:div w:id="250814871">
      <w:bodyDiv w:val="1"/>
      <w:marLeft w:val="0"/>
      <w:marRight w:val="0"/>
      <w:marTop w:val="0"/>
      <w:marBottom w:val="0"/>
      <w:divBdr>
        <w:top w:val="none" w:sz="0" w:space="0" w:color="auto"/>
        <w:left w:val="none" w:sz="0" w:space="0" w:color="auto"/>
        <w:bottom w:val="none" w:sz="0" w:space="0" w:color="auto"/>
        <w:right w:val="none" w:sz="0" w:space="0" w:color="auto"/>
      </w:divBdr>
    </w:div>
    <w:div w:id="251663957">
      <w:bodyDiv w:val="1"/>
      <w:marLeft w:val="0"/>
      <w:marRight w:val="0"/>
      <w:marTop w:val="0"/>
      <w:marBottom w:val="0"/>
      <w:divBdr>
        <w:top w:val="none" w:sz="0" w:space="0" w:color="auto"/>
        <w:left w:val="none" w:sz="0" w:space="0" w:color="auto"/>
        <w:bottom w:val="none" w:sz="0" w:space="0" w:color="auto"/>
        <w:right w:val="none" w:sz="0" w:space="0" w:color="auto"/>
      </w:divBdr>
    </w:div>
    <w:div w:id="252009785">
      <w:bodyDiv w:val="1"/>
      <w:marLeft w:val="0"/>
      <w:marRight w:val="0"/>
      <w:marTop w:val="0"/>
      <w:marBottom w:val="0"/>
      <w:divBdr>
        <w:top w:val="none" w:sz="0" w:space="0" w:color="auto"/>
        <w:left w:val="none" w:sz="0" w:space="0" w:color="auto"/>
        <w:bottom w:val="none" w:sz="0" w:space="0" w:color="auto"/>
        <w:right w:val="none" w:sz="0" w:space="0" w:color="auto"/>
      </w:divBdr>
    </w:div>
    <w:div w:id="252469528">
      <w:bodyDiv w:val="1"/>
      <w:marLeft w:val="0"/>
      <w:marRight w:val="0"/>
      <w:marTop w:val="0"/>
      <w:marBottom w:val="0"/>
      <w:divBdr>
        <w:top w:val="none" w:sz="0" w:space="0" w:color="auto"/>
        <w:left w:val="none" w:sz="0" w:space="0" w:color="auto"/>
        <w:bottom w:val="none" w:sz="0" w:space="0" w:color="auto"/>
        <w:right w:val="none" w:sz="0" w:space="0" w:color="auto"/>
      </w:divBdr>
    </w:div>
    <w:div w:id="252905402">
      <w:bodyDiv w:val="1"/>
      <w:marLeft w:val="0"/>
      <w:marRight w:val="0"/>
      <w:marTop w:val="0"/>
      <w:marBottom w:val="0"/>
      <w:divBdr>
        <w:top w:val="none" w:sz="0" w:space="0" w:color="auto"/>
        <w:left w:val="none" w:sz="0" w:space="0" w:color="auto"/>
        <w:bottom w:val="none" w:sz="0" w:space="0" w:color="auto"/>
        <w:right w:val="none" w:sz="0" w:space="0" w:color="auto"/>
      </w:divBdr>
    </w:div>
    <w:div w:id="253056464">
      <w:bodyDiv w:val="1"/>
      <w:marLeft w:val="0"/>
      <w:marRight w:val="0"/>
      <w:marTop w:val="0"/>
      <w:marBottom w:val="0"/>
      <w:divBdr>
        <w:top w:val="none" w:sz="0" w:space="0" w:color="auto"/>
        <w:left w:val="none" w:sz="0" w:space="0" w:color="auto"/>
        <w:bottom w:val="none" w:sz="0" w:space="0" w:color="auto"/>
        <w:right w:val="none" w:sz="0" w:space="0" w:color="auto"/>
      </w:divBdr>
    </w:div>
    <w:div w:id="256448735">
      <w:bodyDiv w:val="1"/>
      <w:marLeft w:val="0"/>
      <w:marRight w:val="0"/>
      <w:marTop w:val="0"/>
      <w:marBottom w:val="0"/>
      <w:divBdr>
        <w:top w:val="none" w:sz="0" w:space="0" w:color="auto"/>
        <w:left w:val="none" w:sz="0" w:space="0" w:color="auto"/>
        <w:bottom w:val="none" w:sz="0" w:space="0" w:color="auto"/>
        <w:right w:val="none" w:sz="0" w:space="0" w:color="auto"/>
      </w:divBdr>
    </w:div>
    <w:div w:id="256980943">
      <w:bodyDiv w:val="1"/>
      <w:marLeft w:val="0"/>
      <w:marRight w:val="0"/>
      <w:marTop w:val="0"/>
      <w:marBottom w:val="0"/>
      <w:divBdr>
        <w:top w:val="none" w:sz="0" w:space="0" w:color="auto"/>
        <w:left w:val="none" w:sz="0" w:space="0" w:color="auto"/>
        <w:bottom w:val="none" w:sz="0" w:space="0" w:color="auto"/>
        <w:right w:val="none" w:sz="0" w:space="0" w:color="auto"/>
      </w:divBdr>
    </w:div>
    <w:div w:id="257175113">
      <w:bodyDiv w:val="1"/>
      <w:marLeft w:val="0"/>
      <w:marRight w:val="0"/>
      <w:marTop w:val="0"/>
      <w:marBottom w:val="0"/>
      <w:divBdr>
        <w:top w:val="none" w:sz="0" w:space="0" w:color="auto"/>
        <w:left w:val="none" w:sz="0" w:space="0" w:color="auto"/>
        <w:bottom w:val="none" w:sz="0" w:space="0" w:color="auto"/>
        <w:right w:val="none" w:sz="0" w:space="0" w:color="auto"/>
      </w:divBdr>
    </w:div>
    <w:div w:id="257298204">
      <w:bodyDiv w:val="1"/>
      <w:marLeft w:val="0"/>
      <w:marRight w:val="0"/>
      <w:marTop w:val="0"/>
      <w:marBottom w:val="0"/>
      <w:divBdr>
        <w:top w:val="none" w:sz="0" w:space="0" w:color="auto"/>
        <w:left w:val="none" w:sz="0" w:space="0" w:color="auto"/>
        <w:bottom w:val="none" w:sz="0" w:space="0" w:color="auto"/>
        <w:right w:val="none" w:sz="0" w:space="0" w:color="auto"/>
      </w:divBdr>
    </w:div>
    <w:div w:id="258025159">
      <w:bodyDiv w:val="1"/>
      <w:marLeft w:val="0"/>
      <w:marRight w:val="0"/>
      <w:marTop w:val="0"/>
      <w:marBottom w:val="0"/>
      <w:divBdr>
        <w:top w:val="none" w:sz="0" w:space="0" w:color="auto"/>
        <w:left w:val="none" w:sz="0" w:space="0" w:color="auto"/>
        <w:bottom w:val="none" w:sz="0" w:space="0" w:color="auto"/>
        <w:right w:val="none" w:sz="0" w:space="0" w:color="auto"/>
      </w:divBdr>
    </w:div>
    <w:div w:id="261182093">
      <w:bodyDiv w:val="1"/>
      <w:marLeft w:val="0"/>
      <w:marRight w:val="0"/>
      <w:marTop w:val="0"/>
      <w:marBottom w:val="0"/>
      <w:divBdr>
        <w:top w:val="none" w:sz="0" w:space="0" w:color="auto"/>
        <w:left w:val="none" w:sz="0" w:space="0" w:color="auto"/>
        <w:bottom w:val="none" w:sz="0" w:space="0" w:color="auto"/>
        <w:right w:val="none" w:sz="0" w:space="0" w:color="auto"/>
      </w:divBdr>
    </w:div>
    <w:div w:id="261182561">
      <w:bodyDiv w:val="1"/>
      <w:marLeft w:val="0"/>
      <w:marRight w:val="0"/>
      <w:marTop w:val="0"/>
      <w:marBottom w:val="0"/>
      <w:divBdr>
        <w:top w:val="none" w:sz="0" w:space="0" w:color="auto"/>
        <w:left w:val="none" w:sz="0" w:space="0" w:color="auto"/>
        <w:bottom w:val="none" w:sz="0" w:space="0" w:color="auto"/>
        <w:right w:val="none" w:sz="0" w:space="0" w:color="auto"/>
      </w:divBdr>
    </w:div>
    <w:div w:id="261645795">
      <w:bodyDiv w:val="1"/>
      <w:marLeft w:val="0"/>
      <w:marRight w:val="0"/>
      <w:marTop w:val="0"/>
      <w:marBottom w:val="0"/>
      <w:divBdr>
        <w:top w:val="none" w:sz="0" w:space="0" w:color="auto"/>
        <w:left w:val="none" w:sz="0" w:space="0" w:color="auto"/>
        <w:bottom w:val="none" w:sz="0" w:space="0" w:color="auto"/>
        <w:right w:val="none" w:sz="0" w:space="0" w:color="auto"/>
      </w:divBdr>
    </w:div>
    <w:div w:id="262349813">
      <w:bodyDiv w:val="1"/>
      <w:marLeft w:val="0"/>
      <w:marRight w:val="0"/>
      <w:marTop w:val="0"/>
      <w:marBottom w:val="0"/>
      <w:divBdr>
        <w:top w:val="none" w:sz="0" w:space="0" w:color="auto"/>
        <w:left w:val="none" w:sz="0" w:space="0" w:color="auto"/>
        <w:bottom w:val="none" w:sz="0" w:space="0" w:color="auto"/>
        <w:right w:val="none" w:sz="0" w:space="0" w:color="auto"/>
      </w:divBdr>
    </w:div>
    <w:div w:id="263998923">
      <w:bodyDiv w:val="1"/>
      <w:marLeft w:val="0"/>
      <w:marRight w:val="0"/>
      <w:marTop w:val="0"/>
      <w:marBottom w:val="0"/>
      <w:divBdr>
        <w:top w:val="none" w:sz="0" w:space="0" w:color="auto"/>
        <w:left w:val="none" w:sz="0" w:space="0" w:color="auto"/>
        <w:bottom w:val="none" w:sz="0" w:space="0" w:color="auto"/>
        <w:right w:val="none" w:sz="0" w:space="0" w:color="auto"/>
      </w:divBdr>
    </w:div>
    <w:div w:id="264004940">
      <w:bodyDiv w:val="1"/>
      <w:marLeft w:val="0"/>
      <w:marRight w:val="0"/>
      <w:marTop w:val="0"/>
      <w:marBottom w:val="0"/>
      <w:divBdr>
        <w:top w:val="none" w:sz="0" w:space="0" w:color="auto"/>
        <w:left w:val="none" w:sz="0" w:space="0" w:color="auto"/>
        <w:bottom w:val="none" w:sz="0" w:space="0" w:color="auto"/>
        <w:right w:val="none" w:sz="0" w:space="0" w:color="auto"/>
      </w:divBdr>
    </w:div>
    <w:div w:id="264776857">
      <w:bodyDiv w:val="1"/>
      <w:marLeft w:val="0"/>
      <w:marRight w:val="0"/>
      <w:marTop w:val="0"/>
      <w:marBottom w:val="0"/>
      <w:divBdr>
        <w:top w:val="none" w:sz="0" w:space="0" w:color="auto"/>
        <w:left w:val="none" w:sz="0" w:space="0" w:color="auto"/>
        <w:bottom w:val="none" w:sz="0" w:space="0" w:color="auto"/>
        <w:right w:val="none" w:sz="0" w:space="0" w:color="auto"/>
      </w:divBdr>
    </w:div>
    <w:div w:id="266931727">
      <w:bodyDiv w:val="1"/>
      <w:marLeft w:val="0"/>
      <w:marRight w:val="0"/>
      <w:marTop w:val="0"/>
      <w:marBottom w:val="0"/>
      <w:divBdr>
        <w:top w:val="none" w:sz="0" w:space="0" w:color="auto"/>
        <w:left w:val="none" w:sz="0" w:space="0" w:color="auto"/>
        <w:bottom w:val="none" w:sz="0" w:space="0" w:color="auto"/>
        <w:right w:val="none" w:sz="0" w:space="0" w:color="auto"/>
      </w:divBdr>
    </w:div>
    <w:div w:id="268124855">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69052243">
      <w:bodyDiv w:val="1"/>
      <w:marLeft w:val="0"/>
      <w:marRight w:val="0"/>
      <w:marTop w:val="0"/>
      <w:marBottom w:val="0"/>
      <w:divBdr>
        <w:top w:val="none" w:sz="0" w:space="0" w:color="auto"/>
        <w:left w:val="none" w:sz="0" w:space="0" w:color="auto"/>
        <w:bottom w:val="none" w:sz="0" w:space="0" w:color="auto"/>
        <w:right w:val="none" w:sz="0" w:space="0" w:color="auto"/>
      </w:divBdr>
    </w:div>
    <w:div w:id="269552918">
      <w:bodyDiv w:val="1"/>
      <w:marLeft w:val="0"/>
      <w:marRight w:val="0"/>
      <w:marTop w:val="0"/>
      <w:marBottom w:val="0"/>
      <w:divBdr>
        <w:top w:val="none" w:sz="0" w:space="0" w:color="auto"/>
        <w:left w:val="none" w:sz="0" w:space="0" w:color="auto"/>
        <w:bottom w:val="none" w:sz="0" w:space="0" w:color="auto"/>
        <w:right w:val="none" w:sz="0" w:space="0" w:color="auto"/>
      </w:divBdr>
    </w:div>
    <w:div w:id="269750245">
      <w:bodyDiv w:val="1"/>
      <w:marLeft w:val="0"/>
      <w:marRight w:val="0"/>
      <w:marTop w:val="0"/>
      <w:marBottom w:val="0"/>
      <w:divBdr>
        <w:top w:val="none" w:sz="0" w:space="0" w:color="auto"/>
        <w:left w:val="none" w:sz="0" w:space="0" w:color="auto"/>
        <w:bottom w:val="none" w:sz="0" w:space="0" w:color="auto"/>
        <w:right w:val="none" w:sz="0" w:space="0" w:color="auto"/>
      </w:divBdr>
    </w:div>
    <w:div w:id="271208699">
      <w:bodyDiv w:val="1"/>
      <w:marLeft w:val="0"/>
      <w:marRight w:val="0"/>
      <w:marTop w:val="0"/>
      <w:marBottom w:val="0"/>
      <w:divBdr>
        <w:top w:val="none" w:sz="0" w:space="0" w:color="auto"/>
        <w:left w:val="none" w:sz="0" w:space="0" w:color="auto"/>
        <w:bottom w:val="none" w:sz="0" w:space="0" w:color="auto"/>
        <w:right w:val="none" w:sz="0" w:space="0" w:color="auto"/>
      </w:divBdr>
    </w:div>
    <w:div w:id="271938557">
      <w:bodyDiv w:val="1"/>
      <w:marLeft w:val="0"/>
      <w:marRight w:val="0"/>
      <w:marTop w:val="0"/>
      <w:marBottom w:val="0"/>
      <w:divBdr>
        <w:top w:val="none" w:sz="0" w:space="0" w:color="auto"/>
        <w:left w:val="none" w:sz="0" w:space="0" w:color="auto"/>
        <w:bottom w:val="none" w:sz="0" w:space="0" w:color="auto"/>
        <w:right w:val="none" w:sz="0" w:space="0" w:color="auto"/>
      </w:divBdr>
    </w:div>
    <w:div w:id="272443785">
      <w:bodyDiv w:val="1"/>
      <w:marLeft w:val="0"/>
      <w:marRight w:val="0"/>
      <w:marTop w:val="0"/>
      <w:marBottom w:val="0"/>
      <w:divBdr>
        <w:top w:val="none" w:sz="0" w:space="0" w:color="auto"/>
        <w:left w:val="none" w:sz="0" w:space="0" w:color="auto"/>
        <w:bottom w:val="none" w:sz="0" w:space="0" w:color="auto"/>
        <w:right w:val="none" w:sz="0" w:space="0" w:color="auto"/>
      </w:divBdr>
    </w:div>
    <w:div w:id="273247608">
      <w:bodyDiv w:val="1"/>
      <w:marLeft w:val="0"/>
      <w:marRight w:val="0"/>
      <w:marTop w:val="0"/>
      <w:marBottom w:val="0"/>
      <w:divBdr>
        <w:top w:val="none" w:sz="0" w:space="0" w:color="auto"/>
        <w:left w:val="none" w:sz="0" w:space="0" w:color="auto"/>
        <w:bottom w:val="none" w:sz="0" w:space="0" w:color="auto"/>
        <w:right w:val="none" w:sz="0" w:space="0" w:color="auto"/>
      </w:divBdr>
    </w:div>
    <w:div w:id="273826248">
      <w:bodyDiv w:val="1"/>
      <w:marLeft w:val="0"/>
      <w:marRight w:val="0"/>
      <w:marTop w:val="0"/>
      <w:marBottom w:val="0"/>
      <w:divBdr>
        <w:top w:val="none" w:sz="0" w:space="0" w:color="auto"/>
        <w:left w:val="none" w:sz="0" w:space="0" w:color="auto"/>
        <w:bottom w:val="none" w:sz="0" w:space="0" w:color="auto"/>
        <w:right w:val="none" w:sz="0" w:space="0" w:color="auto"/>
      </w:divBdr>
    </w:div>
    <w:div w:id="273951264">
      <w:bodyDiv w:val="1"/>
      <w:marLeft w:val="0"/>
      <w:marRight w:val="0"/>
      <w:marTop w:val="0"/>
      <w:marBottom w:val="0"/>
      <w:divBdr>
        <w:top w:val="none" w:sz="0" w:space="0" w:color="auto"/>
        <w:left w:val="none" w:sz="0" w:space="0" w:color="auto"/>
        <w:bottom w:val="none" w:sz="0" w:space="0" w:color="auto"/>
        <w:right w:val="none" w:sz="0" w:space="0" w:color="auto"/>
      </w:divBdr>
    </w:div>
    <w:div w:id="275216267">
      <w:bodyDiv w:val="1"/>
      <w:marLeft w:val="0"/>
      <w:marRight w:val="0"/>
      <w:marTop w:val="0"/>
      <w:marBottom w:val="0"/>
      <w:divBdr>
        <w:top w:val="none" w:sz="0" w:space="0" w:color="auto"/>
        <w:left w:val="none" w:sz="0" w:space="0" w:color="auto"/>
        <w:bottom w:val="none" w:sz="0" w:space="0" w:color="auto"/>
        <w:right w:val="none" w:sz="0" w:space="0" w:color="auto"/>
      </w:divBdr>
    </w:div>
    <w:div w:id="276986263">
      <w:bodyDiv w:val="1"/>
      <w:marLeft w:val="0"/>
      <w:marRight w:val="0"/>
      <w:marTop w:val="0"/>
      <w:marBottom w:val="0"/>
      <w:divBdr>
        <w:top w:val="none" w:sz="0" w:space="0" w:color="auto"/>
        <w:left w:val="none" w:sz="0" w:space="0" w:color="auto"/>
        <w:bottom w:val="none" w:sz="0" w:space="0" w:color="auto"/>
        <w:right w:val="none" w:sz="0" w:space="0" w:color="auto"/>
      </w:divBdr>
    </w:div>
    <w:div w:id="277371298">
      <w:bodyDiv w:val="1"/>
      <w:marLeft w:val="0"/>
      <w:marRight w:val="0"/>
      <w:marTop w:val="0"/>
      <w:marBottom w:val="0"/>
      <w:divBdr>
        <w:top w:val="none" w:sz="0" w:space="0" w:color="auto"/>
        <w:left w:val="none" w:sz="0" w:space="0" w:color="auto"/>
        <w:bottom w:val="none" w:sz="0" w:space="0" w:color="auto"/>
        <w:right w:val="none" w:sz="0" w:space="0" w:color="auto"/>
      </w:divBdr>
    </w:div>
    <w:div w:id="278338835">
      <w:bodyDiv w:val="1"/>
      <w:marLeft w:val="0"/>
      <w:marRight w:val="0"/>
      <w:marTop w:val="0"/>
      <w:marBottom w:val="0"/>
      <w:divBdr>
        <w:top w:val="none" w:sz="0" w:space="0" w:color="auto"/>
        <w:left w:val="none" w:sz="0" w:space="0" w:color="auto"/>
        <w:bottom w:val="none" w:sz="0" w:space="0" w:color="auto"/>
        <w:right w:val="none" w:sz="0" w:space="0" w:color="auto"/>
      </w:divBdr>
    </w:div>
    <w:div w:id="278878348">
      <w:bodyDiv w:val="1"/>
      <w:marLeft w:val="0"/>
      <w:marRight w:val="0"/>
      <w:marTop w:val="0"/>
      <w:marBottom w:val="0"/>
      <w:divBdr>
        <w:top w:val="none" w:sz="0" w:space="0" w:color="auto"/>
        <w:left w:val="none" w:sz="0" w:space="0" w:color="auto"/>
        <w:bottom w:val="none" w:sz="0" w:space="0" w:color="auto"/>
        <w:right w:val="none" w:sz="0" w:space="0" w:color="auto"/>
      </w:divBdr>
    </w:div>
    <w:div w:id="281305568">
      <w:bodyDiv w:val="1"/>
      <w:marLeft w:val="0"/>
      <w:marRight w:val="0"/>
      <w:marTop w:val="0"/>
      <w:marBottom w:val="0"/>
      <w:divBdr>
        <w:top w:val="none" w:sz="0" w:space="0" w:color="auto"/>
        <w:left w:val="none" w:sz="0" w:space="0" w:color="auto"/>
        <w:bottom w:val="none" w:sz="0" w:space="0" w:color="auto"/>
        <w:right w:val="none" w:sz="0" w:space="0" w:color="auto"/>
      </w:divBdr>
    </w:div>
    <w:div w:id="283272287">
      <w:bodyDiv w:val="1"/>
      <w:marLeft w:val="0"/>
      <w:marRight w:val="0"/>
      <w:marTop w:val="0"/>
      <w:marBottom w:val="0"/>
      <w:divBdr>
        <w:top w:val="none" w:sz="0" w:space="0" w:color="auto"/>
        <w:left w:val="none" w:sz="0" w:space="0" w:color="auto"/>
        <w:bottom w:val="none" w:sz="0" w:space="0" w:color="auto"/>
        <w:right w:val="none" w:sz="0" w:space="0" w:color="auto"/>
      </w:divBdr>
    </w:div>
    <w:div w:id="283510691">
      <w:bodyDiv w:val="1"/>
      <w:marLeft w:val="0"/>
      <w:marRight w:val="0"/>
      <w:marTop w:val="0"/>
      <w:marBottom w:val="0"/>
      <w:divBdr>
        <w:top w:val="none" w:sz="0" w:space="0" w:color="auto"/>
        <w:left w:val="none" w:sz="0" w:space="0" w:color="auto"/>
        <w:bottom w:val="none" w:sz="0" w:space="0" w:color="auto"/>
        <w:right w:val="none" w:sz="0" w:space="0" w:color="auto"/>
      </w:divBdr>
    </w:div>
    <w:div w:id="286007006">
      <w:bodyDiv w:val="1"/>
      <w:marLeft w:val="0"/>
      <w:marRight w:val="0"/>
      <w:marTop w:val="0"/>
      <w:marBottom w:val="0"/>
      <w:divBdr>
        <w:top w:val="none" w:sz="0" w:space="0" w:color="auto"/>
        <w:left w:val="none" w:sz="0" w:space="0" w:color="auto"/>
        <w:bottom w:val="none" w:sz="0" w:space="0" w:color="auto"/>
        <w:right w:val="none" w:sz="0" w:space="0" w:color="auto"/>
      </w:divBdr>
    </w:div>
    <w:div w:id="286352493">
      <w:marLeft w:val="0"/>
      <w:marRight w:val="0"/>
      <w:marTop w:val="0"/>
      <w:marBottom w:val="0"/>
      <w:divBdr>
        <w:top w:val="none" w:sz="0" w:space="0" w:color="auto"/>
        <w:left w:val="none" w:sz="0" w:space="0" w:color="auto"/>
        <w:bottom w:val="none" w:sz="0" w:space="0" w:color="auto"/>
        <w:right w:val="none" w:sz="0" w:space="0" w:color="auto"/>
      </w:divBdr>
    </w:div>
    <w:div w:id="289824736">
      <w:bodyDiv w:val="1"/>
      <w:marLeft w:val="0"/>
      <w:marRight w:val="0"/>
      <w:marTop w:val="0"/>
      <w:marBottom w:val="0"/>
      <w:divBdr>
        <w:top w:val="none" w:sz="0" w:space="0" w:color="auto"/>
        <w:left w:val="none" w:sz="0" w:space="0" w:color="auto"/>
        <w:bottom w:val="none" w:sz="0" w:space="0" w:color="auto"/>
        <w:right w:val="none" w:sz="0" w:space="0" w:color="auto"/>
      </w:divBdr>
    </w:div>
    <w:div w:id="291598283">
      <w:bodyDiv w:val="1"/>
      <w:marLeft w:val="0"/>
      <w:marRight w:val="0"/>
      <w:marTop w:val="0"/>
      <w:marBottom w:val="0"/>
      <w:divBdr>
        <w:top w:val="none" w:sz="0" w:space="0" w:color="auto"/>
        <w:left w:val="none" w:sz="0" w:space="0" w:color="auto"/>
        <w:bottom w:val="none" w:sz="0" w:space="0" w:color="auto"/>
        <w:right w:val="none" w:sz="0" w:space="0" w:color="auto"/>
      </w:divBdr>
    </w:div>
    <w:div w:id="292177340">
      <w:bodyDiv w:val="1"/>
      <w:marLeft w:val="0"/>
      <w:marRight w:val="0"/>
      <w:marTop w:val="0"/>
      <w:marBottom w:val="0"/>
      <w:divBdr>
        <w:top w:val="none" w:sz="0" w:space="0" w:color="auto"/>
        <w:left w:val="none" w:sz="0" w:space="0" w:color="auto"/>
        <w:bottom w:val="none" w:sz="0" w:space="0" w:color="auto"/>
        <w:right w:val="none" w:sz="0" w:space="0" w:color="auto"/>
      </w:divBdr>
    </w:div>
    <w:div w:id="292250396">
      <w:bodyDiv w:val="1"/>
      <w:marLeft w:val="0"/>
      <w:marRight w:val="0"/>
      <w:marTop w:val="0"/>
      <w:marBottom w:val="0"/>
      <w:divBdr>
        <w:top w:val="none" w:sz="0" w:space="0" w:color="auto"/>
        <w:left w:val="none" w:sz="0" w:space="0" w:color="auto"/>
        <w:bottom w:val="none" w:sz="0" w:space="0" w:color="auto"/>
        <w:right w:val="none" w:sz="0" w:space="0" w:color="auto"/>
      </w:divBdr>
    </w:div>
    <w:div w:id="292517758">
      <w:bodyDiv w:val="1"/>
      <w:marLeft w:val="0"/>
      <w:marRight w:val="0"/>
      <w:marTop w:val="0"/>
      <w:marBottom w:val="0"/>
      <w:divBdr>
        <w:top w:val="none" w:sz="0" w:space="0" w:color="auto"/>
        <w:left w:val="none" w:sz="0" w:space="0" w:color="auto"/>
        <w:bottom w:val="none" w:sz="0" w:space="0" w:color="auto"/>
        <w:right w:val="none" w:sz="0" w:space="0" w:color="auto"/>
      </w:divBdr>
    </w:div>
    <w:div w:id="293028251">
      <w:bodyDiv w:val="1"/>
      <w:marLeft w:val="0"/>
      <w:marRight w:val="0"/>
      <w:marTop w:val="0"/>
      <w:marBottom w:val="0"/>
      <w:divBdr>
        <w:top w:val="none" w:sz="0" w:space="0" w:color="auto"/>
        <w:left w:val="none" w:sz="0" w:space="0" w:color="auto"/>
        <w:bottom w:val="none" w:sz="0" w:space="0" w:color="auto"/>
        <w:right w:val="none" w:sz="0" w:space="0" w:color="auto"/>
      </w:divBdr>
    </w:div>
    <w:div w:id="294070987">
      <w:bodyDiv w:val="1"/>
      <w:marLeft w:val="0"/>
      <w:marRight w:val="0"/>
      <w:marTop w:val="0"/>
      <w:marBottom w:val="0"/>
      <w:divBdr>
        <w:top w:val="none" w:sz="0" w:space="0" w:color="auto"/>
        <w:left w:val="none" w:sz="0" w:space="0" w:color="auto"/>
        <w:bottom w:val="none" w:sz="0" w:space="0" w:color="auto"/>
        <w:right w:val="none" w:sz="0" w:space="0" w:color="auto"/>
      </w:divBdr>
    </w:div>
    <w:div w:id="294991583">
      <w:bodyDiv w:val="1"/>
      <w:marLeft w:val="0"/>
      <w:marRight w:val="0"/>
      <w:marTop w:val="0"/>
      <w:marBottom w:val="0"/>
      <w:divBdr>
        <w:top w:val="none" w:sz="0" w:space="0" w:color="auto"/>
        <w:left w:val="none" w:sz="0" w:space="0" w:color="auto"/>
        <w:bottom w:val="none" w:sz="0" w:space="0" w:color="auto"/>
        <w:right w:val="none" w:sz="0" w:space="0" w:color="auto"/>
      </w:divBdr>
    </w:div>
    <w:div w:id="295254828">
      <w:bodyDiv w:val="1"/>
      <w:marLeft w:val="0"/>
      <w:marRight w:val="0"/>
      <w:marTop w:val="0"/>
      <w:marBottom w:val="0"/>
      <w:divBdr>
        <w:top w:val="none" w:sz="0" w:space="0" w:color="auto"/>
        <w:left w:val="none" w:sz="0" w:space="0" w:color="auto"/>
        <w:bottom w:val="none" w:sz="0" w:space="0" w:color="auto"/>
        <w:right w:val="none" w:sz="0" w:space="0" w:color="auto"/>
      </w:divBdr>
    </w:div>
    <w:div w:id="297611153">
      <w:bodyDiv w:val="1"/>
      <w:marLeft w:val="0"/>
      <w:marRight w:val="0"/>
      <w:marTop w:val="0"/>
      <w:marBottom w:val="0"/>
      <w:divBdr>
        <w:top w:val="none" w:sz="0" w:space="0" w:color="auto"/>
        <w:left w:val="none" w:sz="0" w:space="0" w:color="auto"/>
        <w:bottom w:val="none" w:sz="0" w:space="0" w:color="auto"/>
        <w:right w:val="none" w:sz="0" w:space="0" w:color="auto"/>
      </w:divBdr>
    </w:div>
    <w:div w:id="301420909">
      <w:bodyDiv w:val="1"/>
      <w:marLeft w:val="0"/>
      <w:marRight w:val="0"/>
      <w:marTop w:val="0"/>
      <w:marBottom w:val="0"/>
      <w:divBdr>
        <w:top w:val="none" w:sz="0" w:space="0" w:color="auto"/>
        <w:left w:val="none" w:sz="0" w:space="0" w:color="auto"/>
        <w:bottom w:val="none" w:sz="0" w:space="0" w:color="auto"/>
        <w:right w:val="none" w:sz="0" w:space="0" w:color="auto"/>
      </w:divBdr>
    </w:div>
    <w:div w:id="304315808">
      <w:bodyDiv w:val="1"/>
      <w:marLeft w:val="0"/>
      <w:marRight w:val="0"/>
      <w:marTop w:val="0"/>
      <w:marBottom w:val="0"/>
      <w:divBdr>
        <w:top w:val="none" w:sz="0" w:space="0" w:color="auto"/>
        <w:left w:val="none" w:sz="0" w:space="0" w:color="auto"/>
        <w:bottom w:val="none" w:sz="0" w:space="0" w:color="auto"/>
        <w:right w:val="none" w:sz="0" w:space="0" w:color="auto"/>
      </w:divBdr>
    </w:div>
    <w:div w:id="304623521">
      <w:bodyDiv w:val="1"/>
      <w:marLeft w:val="0"/>
      <w:marRight w:val="0"/>
      <w:marTop w:val="0"/>
      <w:marBottom w:val="0"/>
      <w:divBdr>
        <w:top w:val="none" w:sz="0" w:space="0" w:color="auto"/>
        <w:left w:val="none" w:sz="0" w:space="0" w:color="auto"/>
        <w:bottom w:val="none" w:sz="0" w:space="0" w:color="auto"/>
        <w:right w:val="none" w:sz="0" w:space="0" w:color="auto"/>
      </w:divBdr>
    </w:div>
    <w:div w:id="305742159">
      <w:bodyDiv w:val="1"/>
      <w:marLeft w:val="0"/>
      <w:marRight w:val="0"/>
      <w:marTop w:val="0"/>
      <w:marBottom w:val="0"/>
      <w:divBdr>
        <w:top w:val="none" w:sz="0" w:space="0" w:color="auto"/>
        <w:left w:val="none" w:sz="0" w:space="0" w:color="auto"/>
        <w:bottom w:val="none" w:sz="0" w:space="0" w:color="auto"/>
        <w:right w:val="none" w:sz="0" w:space="0" w:color="auto"/>
      </w:divBdr>
    </w:div>
    <w:div w:id="306131096">
      <w:bodyDiv w:val="1"/>
      <w:marLeft w:val="0"/>
      <w:marRight w:val="0"/>
      <w:marTop w:val="0"/>
      <w:marBottom w:val="0"/>
      <w:divBdr>
        <w:top w:val="none" w:sz="0" w:space="0" w:color="auto"/>
        <w:left w:val="none" w:sz="0" w:space="0" w:color="auto"/>
        <w:bottom w:val="none" w:sz="0" w:space="0" w:color="auto"/>
        <w:right w:val="none" w:sz="0" w:space="0" w:color="auto"/>
      </w:divBdr>
    </w:div>
    <w:div w:id="308677624">
      <w:bodyDiv w:val="1"/>
      <w:marLeft w:val="0"/>
      <w:marRight w:val="0"/>
      <w:marTop w:val="0"/>
      <w:marBottom w:val="0"/>
      <w:divBdr>
        <w:top w:val="none" w:sz="0" w:space="0" w:color="auto"/>
        <w:left w:val="none" w:sz="0" w:space="0" w:color="auto"/>
        <w:bottom w:val="none" w:sz="0" w:space="0" w:color="auto"/>
        <w:right w:val="none" w:sz="0" w:space="0" w:color="auto"/>
      </w:divBdr>
    </w:div>
    <w:div w:id="309867924">
      <w:bodyDiv w:val="1"/>
      <w:marLeft w:val="0"/>
      <w:marRight w:val="0"/>
      <w:marTop w:val="0"/>
      <w:marBottom w:val="0"/>
      <w:divBdr>
        <w:top w:val="none" w:sz="0" w:space="0" w:color="auto"/>
        <w:left w:val="none" w:sz="0" w:space="0" w:color="auto"/>
        <w:bottom w:val="none" w:sz="0" w:space="0" w:color="auto"/>
        <w:right w:val="none" w:sz="0" w:space="0" w:color="auto"/>
      </w:divBdr>
    </w:div>
    <w:div w:id="313491016">
      <w:bodyDiv w:val="1"/>
      <w:marLeft w:val="0"/>
      <w:marRight w:val="0"/>
      <w:marTop w:val="0"/>
      <w:marBottom w:val="0"/>
      <w:divBdr>
        <w:top w:val="none" w:sz="0" w:space="0" w:color="auto"/>
        <w:left w:val="none" w:sz="0" w:space="0" w:color="auto"/>
        <w:bottom w:val="none" w:sz="0" w:space="0" w:color="auto"/>
        <w:right w:val="none" w:sz="0" w:space="0" w:color="auto"/>
      </w:divBdr>
    </w:div>
    <w:div w:id="314574225">
      <w:bodyDiv w:val="1"/>
      <w:marLeft w:val="0"/>
      <w:marRight w:val="0"/>
      <w:marTop w:val="0"/>
      <w:marBottom w:val="0"/>
      <w:divBdr>
        <w:top w:val="none" w:sz="0" w:space="0" w:color="auto"/>
        <w:left w:val="none" w:sz="0" w:space="0" w:color="auto"/>
        <w:bottom w:val="none" w:sz="0" w:space="0" w:color="auto"/>
        <w:right w:val="none" w:sz="0" w:space="0" w:color="auto"/>
      </w:divBdr>
    </w:div>
    <w:div w:id="314997505">
      <w:bodyDiv w:val="1"/>
      <w:marLeft w:val="0"/>
      <w:marRight w:val="0"/>
      <w:marTop w:val="0"/>
      <w:marBottom w:val="0"/>
      <w:divBdr>
        <w:top w:val="none" w:sz="0" w:space="0" w:color="auto"/>
        <w:left w:val="none" w:sz="0" w:space="0" w:color="auto"/>
        <w:bottom w:val="none" w:sz="0" w:space="0" w:color="auto"/>
        <w:right w:val="none" w:sz="0" w:space="0" w:color="auto"/>
      </w:divBdr>
    </w:div>
    <w:div w:id="317420395">
      <w:bodyDiv w:val="1"/>
      <w:marLeft w:val="0"/>
      <w:marRight w:val="0"/>
      <w:marTop w:val="0"/>
      <w:marBottom w:val="0"/>
      <w:divBdr>
        <w:top w:val="none" w:sz="0" w:space="0" w:color="auto"/>
        <w:left w:val="none" w:sz="0" w:space="0" w:color="auto"/>
        <w:bottom w:val="none" w:sz="0" w:space="0" w:color="auto"/>
        <w:right w:val="none" w:sz="0" w:space="0" w:color="auto"/>
      </w:divBdr>
    </w:div>
    <w:div w:id="318851958">
      <w:bodyDiv w:val="1"/>
      <w:marLeft w:val="0"/>
      <w:marRight w:val="0"/>
      <w:marTop w:val="0"/>
      <w:marBottom w:val="0"/>
      <w:divBdr>
        <w:top w:val="none" w:sz="0" w:space="0" w:color="auto"/>
        <w:left w:val="none" w:sz="0" w:space="0" w:color="auto"/>
        <w:bottom w:val="none" w:sz="0" w:space="0" w:color="auto"/>
        <w:right w:val="none" w:sz="0" w:space="0" w:color="auto"/>
      </w:divBdr>
    </w:div>
    <w:div w:id="321542573">
      <w:bodyDiv w:val="1"/>
      <w:marLeft w:val="0"/>
      <w:marRight w:val="0"/>
      <w:marTop w:val="0"/>
      <w:marBottom w:val="0"/>
      <w:divBdr>
        <w:top w:val="none" w:sz="0" w:space="0" w:color="auto"/>
        <w:left w:val="none" w:sz="0" w:space="0" w:color="auto"/>
        <w:bottom w:val="none" w:sz="0" w:space="0" w:color="auto"/>
        <w:right w:val="none" w:sz="0" w:space="0" w:color="auto"/>
      </w:divBdr>
    </w:div>
    <w:div w:id="322785811">
      <w:bodyDiv w:val="1"/>
      <w:marLeft w:val="0"/>
      <w:marRight w:val="0"/>
      <w:marTop w:val="0"/>
      <w:marBottom w:val="0"/>
      <w:divBdr>
        <w:top w:val="none" w:sz="0" w:space="0" w:color="auto"/>
        <w:left w:val="none" w:sz="0" w:space="0" w:color="auto"/>
        <w:bottom w:val="none" w:sz="0" w:space="0" w:color="auto"/>
        <w:right w:val="none" w:sz="0" w:space="0" w:color="auto"/>
      </w:divBdr>
    </w:div>
    <w:div w:id="323124490">
      <w:marLeft w:val="0"/>
      <w:marRight w:val="0"/>
      <w:marTop w:val="0"/>
      <w:marBottom w:val="0"/>
      <w:divBdr>
        <w:top w:val="none" w:sz="0" w:space="0" w:color="auto"/>
        <w:left w:val="none" w:sz="0" w:space="0" w:color="auto"/>
        <w:bottom w:val="none" w:sz="0" w:space="0" w:color="auto"/>
        <w:right w:val="none" w:sz="0" w:space="0" w:color="auto"/>
      </w:divBdr>
    </w:div>
    <w:div w:id="323775785">
      <w:bodyDiv w:val="1"/>
      <w:marLeft w:val="0"/>
      <w:marRight w:val="0"/>
      <w:marTop w:val="0"/>
      <w:marBottom w:val="0"/>
      <w:divBdr>
        <w:top w:val="none" w:sz="0" w:space="0" w:color="auto"/>
        <w:left w:val="none" w:sz="0" w:space="0" w:color="auto"/>
        <w:bottom w:val="none" w:sz="0" w:space="0" w:color="auto"/>
        <w:right w:val="none" w:sz="0" w:space="0" w:color="auto"/>
      </w:divBdr>
    </w:div>
    <w:div w:id="326246035">
      <w:bodyDiv w:val="1"/>
      <w:marLeft w:val="0"/>
      <w:marRight w:val="0"/>
      <w:marTop w:val="0"/>
      <w:marBottom w:val="0"/>
      <w:divBdr>
        <w:top w:val="none" w:sz="0" w:space="0" w:color="auto"/>
        <w:left w:val="none" w:sz="0" w:space="0" w:color="auto"/>
        <w:bottom w:val="none" w:sz="0" w:space="0" w:color="auto"/>
        <w:right w:val="none" w:sz="0" w:space="0" w:color="auto"/>
      </w:divBdr>
    </w:div>
    <w:div w:id="326249508">
      <w:bodyDiv w:val="1"/>
      <w:marLeft w:val="0"/>
      <w:marRight w:val="0"/>
      <w:marTop w:val="0"/>
      <w:marBottom w:val="0"/>
      <w:divBdr>
        <w:top w:val="none" w:sz="0" w:space="0" w:color="auto"/>
        <w:left w:val="none" w:sz="0" w:space="0" w:color="auto"/>
        <w:bottom w:val="none" w:sz="0" w:space="0" w:color="auto"/>
        <w:right w:val="none" w:sz="0" w:space="0" w:color="auto"/>
      </w:divBdr>
    </w:div>
    <w:div w:id="327637589">
      <w:bodyDiv w:val="1"/>
      <w:marLeft w:val="0"/>
      <w:marRight w:val="0"/>
      <w:marTop w:val="0"/>
      <w:marBottom w:val="0"/>
      <w:divBdr>
        <w:top w:val="none" w:sz="0" w:space="0" w:color="auto"/>
        <w:left w:val="none" w:sz="0" w:space="0" w:color="auto"/>
        <w:bottom w:val="none" w:sz="0" w:space="0" w:color="auto"/>
        <w:right w:val="none" w:sz="0" w:space="0" w:color="auto"/>
      </w:divBdr>
    </w:div>
    <w:div w:id="327683033">
      <w:bodyDiv w:val="1"/>
      <w:marLeft w:val="0"/>
      <w:marRight w:val="0"/>
      <w:marTop w:val="0"/>
      <w:marBottom w:val="0"/>
      <w:divBdr>
        <w:top w:val="none" w:sz="0" w:space="0" w:color="auto"/>
        <w:left w:val="none" w:sz="0" w:space="0" w:color="auto"/>
        <w:bottom w:val="none" w:sz="0" w:space="0" w:color="auto"/>
        <w:right w:val="none" w:sz="0" w:space="0" w:color="auto"/>
      </w:divBdr>
    </w:div>
    <w:div w:id="327828962">
      <w:bodyDiv w:val="1"/>
      <w:marLeft w:val="0"/>
      <w:marRight w:val="0"/>
      <w:marTop w:val="0"/>
      <w:marBottom w:val="0"/>
      <w:divBdr>
        <w:top w:val="none" w:sz="0" w:space="0" w:color="auto"/>
        <w:left w:val="none" w:sz="0" w:space="0" w:color="auto"/>
        <w:bottom w:val="none" w:sz="0" w:space="0" w:color="auto"/>
        <w:right w:val="none" w:sz="0" w:space="0" w:color="auto"/>
      </w:divBdr>
    </w:div>
    <w:div w:id="328099669">
      <w:bodyDiv w:val="1"/>
      <w:marLeft w:val="0"/>
      <w:marRight w:val="0"/>
      <w:marTop w:val="0"/>
      <w:marBottom w:val="0"/>
      <w:divBdr>
        <w:top w:val="none" w:sz="0" w:space="0" w:color="auto"/>
        <w:left w:val="none" w:sz="0" w:space="0" w:color="auto"/>
        <w:bottom w:val="none" w:sz="0" w:space="0" w:color="auto"/>
        <w:right w:val="none" w:sz="0" w:space="0" w:color="auto"/>
      </w:divBdr>
    </w:div>
    <w:div w:id="329139220">
      <w:bodyDiv w:val="1"/>
      <w:marLeft w:val="0"/>
      <w:marRight w:val="0"/>
      <w:marTop w:val="0"/>
      <w:marBottom w:val="0"/>
      <w:divBdr>
        <w:top w:val="none" w:sz="0" w:space="0" w:color="auto"/>
        <w:left w:val="none" w:sz="0" w:space="0" w:color="auto"/>
        <w:bottom w:val="none" w:sz="0" w:space="0" w:color="auto"/>
        <w:right w:val="none" w:sz="0" w:space="0" w:color="auto"/>
      </w:divBdr>
    </w:div>
    <w:div w:id="329799357">
      <w:bodyDiv w:val="1"/>
      <w:marLeft w:val="0"/>
      <w:marRight w:val="0"/>
      <w:marTop w:val="0"/>
      <w:marBottom w:val="0"/>
      <w:divBdr>
        <w:top w:val="none" w:sz="0" w:space="0" w:color="auto"/>
        <w:left w:val="none" w:sz="0" w:space="0" w:color="auto"/>
        <w:bottom w:val="none" w:sz="0" w:space="0" w:color="auto"/>
        <w:right w:val="none" w:sz="0" w:space="0" w:color="auto"/>
      </w:divBdr>
    </w:div>
    <w:div w:id="330764413">
      <w:bodyDiv w:val="1"/>
      <w:marLeft w:val="0"/>
      <w:marRight w:val="0"/>
      <w:marTop w:val="0"/>
      <w:marBottom w:val="0"/>
      <w:divBdr>
        <w:top w:val="none" w:sz="0" w:space="0" w:color="auto"/>
        <w:left w:val="none" w:sz="0" w:space="0" w:color="auto"/>
        <w:bottom w:val="none" w:sz="0" w:space="0" w:color="auto"/>
        <w:right w:val="none" w:sz="0" w:space="0" w:color="auto"/>
      </w:divBdr>
    </w:div>
    <w:div w:id="331681570">
      <w:bodyDiv w:val="1"/>
      <w:marLeft w:val="0"/>
      <w:marRight w:val="0"/>
      <w:marTop w:val="0"/>
      <w:marBottom w:val="0"/>
      <w:divBdr>
        <w:top w:val="none" w:sz="0" w:space="0" w:color="auto"/>
        <w:left w:val="none" w:sz="0" w:space="0" w:color="auto"/>
        <w:bottom w:val="none" w:sz="0" w:space="0" w:color="auto"/>
        <w:right w:val="none" w:sz="0" w:space="0" w:color="auto"/>
      </w:divBdr>
    </w:div>
    <w:div w:id="331838584">
      <w:marLeft w:val="0"/>
      <w:marRight w:val="0"/>
      <w:marTop w:val="0"/>
      <w:marBottom w:val="0"/>
      <w:divBdr>
        <w:top w:val="none" w:sz="0" w:space="0" w:color="auto"/>
        <w:left w:val="none" w:sz="0" w:space="0" w:color="auto"/>
        <w:bottom w:val="none" w:sz="0" w:space="0" w:color="auto"/>
        <w:right w:val="none" w:sz="0" w:space="0" w:color="auto"/>
      </w:divBdr>
    </w:div>
    <w:div w:id="331954060">
      <w:bodyDiv w:val="1"/>
      <w:marLeft w:val="0"/>
      <w:marRight w:val="0"/>
      <w:marTop w:val="0"/>
      <w:marBottom w:val="0"/>
      <w:divBdr>
        <w:top w:val="none" w:sz="0" w:space="0" w:color="auto"/>
        <w:left w:val="none" w:sz="0" w:space="0" w:color="auto"/>
        <w:bottom w:val="none" w:sz="0" w:space="0" w:color="auto"/>
        <w:right w:val="none" w:sz="0" w:space="0" w:color="auto"/>
      </w:divBdr>
    </w:div>
    <w:div w:id="332877419">
      <w:bodyDiv w:val="1"/>
      <w:marLeft w:val="0"/>
      <w:marRight w:val="0"/>
      <w:marTop w:val="0"/>
      <w:marBottom w:val="0"/>
      <w:divBdr>
        <w:top w:val="none" w:sz="0" w:space="0" w:color="auto"/>
        <w:left w:val="none" w:sz="0" w:space="0" w:color="auto"/>
        <w:bottom w:val="none" w:sz="0" w:space="0" w:color="auto"/>
        <w:right w:val="none" w:sz="0" w:space="0" w:color="auto"/>
      </w:divBdr>
    </w:div>
    <w:div w:id="334655593">
      <w:bodyDiv w:val="1"/>
      <w:marLeft w:val="0"/>
      <w:marRight w:val="0"/>
      <w:marTop w:val="0"/>
      <w:marBottom w:val="0"/>
      <w:divBdr>
        <w:top w:val="none" w:sz="0" w:space="0" w:color="auto"/>
        <w:left w:val="none" w:sz="0" w:space="0" w:color="auto"/>
        <w:bottom w:val="none" w:sz="0" w:space="0" w:color="auto"/>
        <w:right w:val="none" w:sz="0" w:space="0" w:color="auto"/>
      </w:divBdr>
    </w:div>
    <w:div w:id="335884442">
      <w:bodyDiv w:val="1"/>
      <w:marLeft w:val="0"/>
      <w:marRight w:val="0"/>
      <w:marTop w:val="0"/>
      <w:marBottom w:val="0"/>
      <w:divBdr>
        <w:top w:val="none" w:sz="0" w:space="0" w:color="auto"/>
        <w:left w:val="none" w:sz="0" w:space="0" w:color="auto"/>
        <w:bottom w:val="none" w:sz="0" w:space="0" w:color="auto"/>
        <w:right w:val="none" w:sz="0" w:space="0" w:color="auto"/>
      </w:divBdr>
    </w:div>
    <w:div w:id="336663594">
      <w:bodyDiv w:val="1"/>
      <w:marLeft w:val="0"/>
      <w:marRight w:val="0"/>
      <w:marTop w:val="0"/>
      <w:marBottom w:val="0"/>
      <w:divBdr>
        <w:top w:val="none" w:sz="0" w:space="0" w:color="auto"/>
        <w:left w:val="none" w:sz="0" w:space="0" w:color="auto"/>
        <w:bottom w:val="none" w:sz="0" w:space="0" w:color="auto"/>
        <w:right w:val="none" w:sz="0" w:space="0" w:color="auto"/>
      </w:divBdr>
    </w:div>
    <w:div w:id="337200827">
      <w:bodyDiv w:val="1"/>
      <w:marLeft w:val="0"/>
      <w:marRight w:val="0"/>
      <w:marTop w:val="0"/>
      <w:marBottom w:val="0"/>
      <w:divBdr>
        <w:top w:val="none" w:sz="0" w:space="0" w:color="auto"/>
        <w:left w:val="none" w:sz="0" w:space="0" w:color="auto"/>
        <w:bottom w:val="none" w:sz="0" w:space="0" w:color="auto"/>
        <w:right w:val="none" w:sz="0" w:space="0" w:color="auto"/>
      </w:divBdr>
    </w:div>
    <w:div w:id="341472115">
      <w:bodyDiv w:val="1"/>
      <w:marLeft w:val="0"/>
      <w:marRight w:val="0"/>
      <w:marTop w:val="0"/>
      <w:marBottom w:val="0"/>
      <w:divBdr>
        <w:top w:val="none" w:sz="0" w:space="0" w:color="auto"/>
        <w:left w:val="none" w:sz="0" w:space="0" w:color="auto"/>
        <w:bottom w:val="none" w:sz="0" w:space="0" w:color="auto"/>
        <w:right w:val="none" w:sz="0" w:space="0" w:color="auto"/>
      </w:divBdr>
    </w:div>
    <w:div w:id="342587381">
      <w:bodyDiv w:val="1"/>
      <w:marLeft w:val="0"/>
      <w:marRight w:val="0"/>
      <w:marTop w:val="0"/>
      <w:marBottom w:val="0"/>
      <w:divBdr>
        <w:top w:val="none" w:sz="0" w:space="0" w:color="auto"/>
        <w:left w:val="none" w:sz="0" w:space="0" w:color="auto"/>
        <w:bottom w:val="none" w:sz="0" w:space="0" w:color="auto"/>
        <w:right w:val="none" w:sz="0" w:space="0" w:color="auto"/>
      </w:divBdr>
    </w:div>
    <w:div w:id="345720258">
      <w:bodyDiv w:val="1"/>
      <w:marLeft w:val="0"/>
      <w:marRight w:val="0"/>
      <w:marTop w:val="0"/>
      <w:marBottom w:val="0"/>
      <w:divBdr>
        <w:top w:val="none" w:sz="0" w:space="0" w:color="auto"/>
        <w:left w:val="none" w:sz="0" w:space="0" w:color="auto"/>
        <w:bottom w:val="none" w:sz="0" w:space="0" w:color="auto"/>
        <w:right w:val="none" w:sz="0" w:space="0" w:color="auto"/>
      </w:divBdr>
    </w:div>
    <w:div w:id="345911069">
      <w:bodyDiv w:val="1"/>
      <w:marLeft w:val="0"/>
      <w:marRight w:val="0"/>
      <w:marTop w:val="0"/>
      <w:marBottom w:val="0"/>
      <w:divBdr>
        <w:top w:val="none" w:sz="0" w:space="0" w:color="auto"/>
        <w:left w:val="none" w:sz="0" w:space="0" w:color="auto"/>
        <w:bottom w:val="none" w:sz="0" w:space="0" w:color="auto"/>
        <w:right w:val="none" w:sz="0" w:space="0" w:color="auto"/>
      </w:divBdr>
    </w:div>
    <w:div w:id="346375473">
      <w:bodyDiv w:val="1"/>
      <w:marLeft w:val="0"/>
      <w:marRight w:val="0"/>
      <w:marTop w:val="0"/>
      <w:marBottom w:val="0"/>
      <w:divBdr>
        <w:top w:val="none" w:sz="0" w:space="0" w:color="auto"/>
        <w:left w:val="none" w:sz="0" w:space="0" w:color="auto"/>
        <w:bottom w:val="none" w:sz="0" w:space="0" w:color="auto"/>
        <w:right w:val="none" w:sz="0" w:space="0" w:color="auto"/>
      </w:divBdr>
    </w:div>
    <w:div w:id="347486448">
      <w:bodyDiv w:val="1"/>
      <w:marLeft w:val="0"/>
      <w:marRight w:val="0"/>
      <w:marTop w:val="0"/>
      <w:marBottom w:val="0"/>
      <w:divBdr>
        <w:top w:val="none" w:sz="0" w:space="0" w:color="auto"/>
        <w:left w:val="none" w:sz="0" w:space="0" w:color="auto"/>
        <w:bottom w:val="none" w:sz="0" w:space="0" w:color="auto"/>
        <w:right w:val="none" w:sz="0" w:space="0" w:color="auto"/>
      </w:divBdr>
    </w:div>
    <w:div w:id="349184444">
      <w:bodyDiv w:val="1"/>
      <w:marLeft w:val="0"/>
      <w:marRight w:val="0"/>
      <w:marTop w:val="0"/>
      <w:marBottom w:val="0"/>
      <w:divBdr>
        <w:top w:val="none" w:sz="0" w:space="0" w:color="auto"/>
        <w:left w:val="none" w:sz="0" w:space="0" w:color="auto"/>
        <w:bottom w:val="none" w:sz="0" w:space="0" w:color="auto"/>
        <w:right w:val="none" w:sz="0" w:space="0" w:color="auto"/>
      </w:divBdr>
    </w:div>
    <w:div w:id="349840706">
      <w:bodyDiv w:val="1"/>
      <w:marLeft w:val="0"/>
      <w:marRight w:val="0"/>
      <w:marTop w:val="0"/>
      <w:marBottom w:val="0"/>
      <w:divBdr>
        <w:top w:val="none" w:sz="0" w:space="0" w:color="auto"/>
        <w:left w:val="none" w:sz="0" w:space="0" w:color="auto"/>
        <w:bottom w:val="none" w:sz="0" w:space="0" w:color="auto"/>
        <w:right w:val="none" w:sz="0" w:space="0" w:color="auto"/>
      </w:divBdr>
    </w:div>
    <w:div w:id="350643976">
      <w:bodyDiv w:val="1"/>
      <w:marLeft w:val="0"/>
      <w:marRight w:val="0"/>
      <w:marTop w:val="0"/>
      <w:marBottom w:val="0"/>
      <w:divBdr>
        <w:top w:val="none" w:sz="0" w:space="0" w:color="auto"/>
        <w:left w:val="none" w:sz="0" w:space="0" w:color="auto"/>
        <w:bottom w:val="none" w:sz="0" w:space="0" w:color="auto"/>
        <w:right w:val="none" w:sz="0" w:space="0" w:color="auto"/>
      </w:divBdr>
    </w:div>
    <w:div w:id="351884689">
      <w:bodyDiv w:val="1"/>
      <w:marLeft w:val="0"/>
      <w:marRight w:val="0"/>
      <w:marTop w:val="0"/>
      <w:marBottom w:val="0"/>
      <w:divBdr>
        <w:top w:val="none" w:sz="0" w:space="0" w:color="auto"/>
        <w:left w:val="none" w:sz="0" w:space="0" w:color="auto"/>
        <w:bottom w:val="none" w:sz="0" w:space="0" w:color="auto"/>
        <w:right w:val="none" w:sz="0" w:space="0" w:color="auto"/>
      </w:divBdr>
    </w:div>
    <w:div w:id="352004123">
      <w:bodyDiv w:val="1"/>
      <w:marLeft w:val="0"/>
      <w:marRight w:val="0"/>
      <w:marTop w:val="0"/>
      <w:marBottom w:val="0"/>
      <w:divBdr>
        <w:top w:val="none" w:sz="0" w:space="0" w:color="auto"/>
        <w:left w:val="none" w:sz="0" w:space="0" w:color="auto"/>
        <w:bottom w:val="none" w:sz="0" w:space="0" w:color="auto"/>
        <w:right w:val="none" w:sz="0" w:space="0" w:color="auto"/>
      </w:divBdr>
    </w:div>
    <w:div w:id="352074132">
      <w:bodyDiv w:val="1"/>
      <w:marLeft w:val="0"/>
      <w:marRight w:val="0"/>
      <w:marTop w:val="0"/>
      <w:marBottom w:val="0"/>
      <w:divBdr>
        <w:top w:val="none" w:sz="0" w:space="0" w:color="auto"/>
        <w:left w:val="none" w:sz="0" w:space="0" w:color="auto"/>
        <w:bottom w:val="none" w:sz="0" w:space="0" w:color="auto"/>
        <w:right w:val="none" w:sz="0" w:space="0" w:color="auto"/>
      </w:divBdr>
    </w:div>
    <w:div w:id="352536913">
      <w:bodyDiv w:val="1"/>
      <w:marLeft w:val="0"/>
      <w:marRight w:val="0"/>
      <w:marTop w:val="0"/>
      <w:marBottom w:val="0"/>
      <w:divBdr>
        <w:top w:val="none" w:sz="0" w:space="0" w:color="auto"/>
        <w:left w:val="none" w:sz="0" w:space="0" w:color="auto"/>
        <w:bottom w:val="none" w:sz="0" w:space="0" w:color="auto"/>
        <w:right w:val="none" w:sz="0" w:space="0" w:color="auto"/>
      </w:divBdr>
    </w:div>
    <w:div w:id="353112733">
      <w:bodyDiv w:val="1"/>
      <w:marLeft w:val="0"/>
      <w:marRight w:val="0"/>
      <w:marTop w:val="0"/>
      <w:marBottom w:val="0"/>
      <w:divBdr>
        <w:top w:val="none" w:sz="0" w:space="0" w:color="auto"/>
        <w:left w:val="none" w:sz="0" w:space="0" w:color="auto"/>
        <w:bottom w:val="none" w:sz="0" w:space="0" w:color="auto"/>
        <w:right w:val="none" w:sz="0" w:space="0" w:color="auto"/>
      </w:divBdr>
    </w:div>
    <w:div w:id="354311448">
      <w:bodyDiv w:val="1"/>
      <w:marLeft w:val="0"/>
      <w:marRight w:val="0"/>
      <w:marTop w:val="0"/>
      <w:marBottom w:val="0"/>
      <w:divBdr>
        <w:top w:val="none" w:sz="0" w:space="0" w:color="auto"/>
        <w:left w:val="none" w:sz="0" w:space="0" w:color="auto"/>
        <w:bottom w:val="none" w:sz="0" w:space="0" w:color="auto"/>
        <w:right w:val="none" w:sz="0" w:space="0" w:color="auto"/>
      </w:divBdr>
    </w:div>
    <w:div w:id="355272872">
      <w:bodyDiv w:val="1"/>
      <w:marLeft w:val="0"/>
      <w:marRight w:val="0"/>
      <w:marTop w:val="0"/>
      <w:marBottom w:val="0"/>
      <w:divBdr>
        <w:top w:val="none" w:sz="0" w:space="0" w:color="auto"/>
        <w:left w:val="none" w:sz="0" w:space="0" w:color="auto"/>
        <w:bottom w:val="none" w:sz="0" w:space="0" w:color="auto"/>
        <w:right w:val="none" w:sz="0" w:space="0" w:color="auto"/>
      </w:divBdr>
    </w:div>
    <w:div w:id="356465628">
      <w:bodyDiv w:val="1"/>
      <w:marLeft w:val="0"/>
      <w:marRight w:val="0"/>
      <w:marTop w:val="0"/>
      <w:marBottom w:val="0"/>
      <w:divBdr>
        <w:top w:val="none" w:sz="0" w:space="0" w:color="auto"/>
        <w:left w:val="none" w:sz="0" w:space="0" w:color="auto"/>
        <w:bottom w:val="none" w:sz="0" w:space="0" w:color="auto"/>
        <w:right w:val="none" w:sz="0" w:space="0" w:color="auto"/>
      </w:divBdr>
    </w:div>
    <w:div w:id="356542572">
      <w:bodyDiv w:val="1"/>
      <w:marLeft w:val="0"/>
      <w:marRight w:val="0"/>
      <w:marTop w:val="0"/>
      <w:marBottom w:val="0"/>
      <w:divBdr>
        <w:top w:val="none" w:sz="0" w:space="0" w:color="auto"/>
        <w:left w:val="none" w:sz="0" w:space="0" w:color="auto"/>
        <w:bottom w:val="none" w:sz="0" w:space="0" w:color="auto"/>
        <w:right w:val="none" w:sz="0" w:space="0" w:color="auto"/>
      </w:divBdr>
    </w:div>
    <w:div w:id="357700394">
      <w:bodyDiv w:val="1"/>
      <w:marLeft w:val="0"/>
      <w:marRight w:val="0"/>
      <w:marTop w:val="0"/>
      <w:marBottom w:val="0"/>
      <w:divBdr>
        <w:top w:val="none" w:sz="0" w:space="0" w:color="auto"/>
        <w:left w:val="none" w:sz="0" w:space="0" w:color="auto"/>
        <w:bottom w:val="none" w:sz="0" w:space="0" w:color="auto"/>
        <w:right w:val="none" w:sz="0" w:space="0" w:color="auto"/>
      </w:divBdr>
    </w:div>
    <w:div w:id="359017363">
      <w:bodyDiv w:val="1"/>
      <w:marLeft w:val="0"/>
      <w:marRight w:val="0"/>
      <w:marTop w:val="0"/>
      <w:marBottom w:val="0"/>
      <w:divBdr>
        <w:top w:val="none" w:sz="0" w:space="0" w:color="auto"/>
        <w:left w:val="none" w:sz="0" w:space="0" w:color="auto"/>
        <w:bottom w:val="none" w:sz="0" w:space="0" w:color="auto"/>
        <w:right w:val="none" w:sz="0" w:space="0" w:color="auto"/>
      </w:divBdr>
    </w:div>
    <w:div w:id="359017454">
      <w:bodyDiv w:val="1"/>
      <w:marLeft w:val="0"/>
      <w:marRight w:val="0"/>
      <w:marTop w:val="0"/>
      <w:marBottom w:val="0"/>
      <w:divBdr>
        <w:top w:val="none" w:sz="0" w:space="0" w:color="auto"/>
        <w:left w:val="none" w:sz="0" w:space="0" w:color="auto"/>
        <w:bottom w:val="none" w:sz="0" w:space="0" w:color="auto"/>
        <w:right w:val="none" w:sz="0" w:space="0" w:color="auto"/>
      </w:divBdr>
    </w:div>
    <w:div w:id="359205693">
      <w:bodyDiv w:val="1"/>
      <w:marLeft w:val="0"/>
      <w:marRight w:val="0"/>
      <w:marTop w:val="0"/>
      <w:marBottom w:val="0"/>
      <w:divBdr>
        <w:top w:val="none" w:sz="0" w:space="0" w:color="auto"/>
        <w:left w:val="none" w:sz="0" w:space="0" w:color="auto"/>
        <w:bottom w:val="none" w:sz="0" w:space="0" w:color="auto"/>
        <w:right w:val="none" w:sz="0" w:space="0" w:color="auto"/>
      </w:divBdr>
    </w:div>
    <w:div w:id="359553247">
      <w:bodyDiv w:val="1"/>
      <w:marLeft w:val="0"/>
      <w:marRight w:val="0"/>
      <w:marTop w:val="0"/>
      <w:marBottom w:val="0"/>
      <w:divBdr>
        <w:top w:val="none" w:sz="0" w:space="0" w:color="auto"/>
        <w:left w:val="none" w:sz="0" w:space="0" w:color="auto"/>
        <w:bottom w:val="none" w:sz="0" w:space="0" w:color="auto"/>
        <w:right w:val="none" w:sz="0" w:space="0" w:color="auto"/>
      </w:divBdr>
    </w:div>
    <w:div w:id="360205238">
      <w:bodyDiv w:val="1"/>
      <w:marLeft w:val="0"/>
      <w:marRight w:val="0"/>
      <w:marTop w:val="0"/>
      <w:marBottom w:val="0"/>
      <w:divBdr>
        <w:top w:val="none" w:sz="0" w:space="0" w:color="auto"/>
        <w:left w:val="none" w:sz="0" w:space="0" w:color="auto"/>
        <w:bottom w:val="none" w:sz="0" w:space="0" w:color="auto"/>
        <w:right w:val="none" w:sz="0" w:space="0" w:color="auto"/>
      </w:divBdr>
    </w:div>
    <w:div w:id="360277712">
      <w:bodyDiv w:val="1"/>
      <w:marLeft w:val="0"/>
      <w:marRight w:val="0"/>
      <w:marTop w:val="0"/>
      <w:marBottom w:val="0"/>
      <w:divBdr>
        <w:top w:val="none" w:sz="0" w:space="0" w:color="auto"/>
        <w:left w:val="none" w:sz="0" w:space="0" w:color="auto"/>
        <w:bottom w:val="none" w:sz="0" w:space="0" w:color="auto"/>
        <w:right w:val="none" w:sz="0" w:space="0" w:color="auto"/>
      </w:divBdr>
    </w:div>
    <w:div w:id="362511577">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363867015">
      <w:bodyDiv w:val="1"/>
      <w:marLeft w:val="0"/>
      <w:marRight w:val="0"/>
      <w:marTop w:val="0"/>
      <w:marBottom w:val="0"/>
      <w:divBdr>
        <w:top w:val="none" w:sz="0" w:space="0" w:color="auto"/>
        <w:left w:val="none" w:sz="0" w:space="0" w:color="auto"/>
        <w:bottom w:val="none" w:sz="0" w:space="0" w:color="auto"/>
        <w:right w:val="none" w:sz="0" w:space="0" w:color="auto"/>
      </w:divBdr>
    </w:div>
    <w:div w:id="364714874">
      <w:bodyDiv w:val="1"/>
      <w:marLeft w:val="0"/>
      <w:marRight w:val="0"/>
      <w:marTop w:val="0"/>
      <w:marBottom w:val="0"/>
      <w:divBdr>
        <w:top w:val="none" w:sz="0" w:space="0" w:color="auto"/>
        <w:left w:val="none" w:sz="0" w:space="0" w:color="auto"/>
        <w:bottom w:val="none" w:sz="0" w:space="0" w:color="auto"/>
        <w:right w:val="none" w:sz="0" w:space="0" w:color="auto"/>
      </w:divBdr>
    </w:div>
    <w:div w:id="367148856">
      <w:bodyDiv w:val="1"/>
      <w:marLeft w:val="0"/>
      <w:marRight w:val="0"/>
      <w:marTop w:val="0"/>
      <w:marBottom w:val="0"/>
      <w:divBdr>
        <w:top w:val="none" w:sz="0" w:space="0" w:color="auto"/>
        <w:left w:val="none" w:sz="0" w:space="0" w:color="auto"/>
        <w:bottom w:val="none" w:sz="0" w:space="0" w:color="auto"/>
        <w:right w:val="none" w:sz="0" w:space="0" w:color="auto"/>
      </w:divBdr>
    </w:div>
    <w:div w:id="367530250">
      <w:bodyDiv w:val="1"/>
      <w:marLeft w:val="0"/>
      <w:marRight w:val="0"/>
      <w:marTop w:val="0"/>
      <w:marBottom w:val="0"/>
      <w:divBdr>
        <w:top w:val="none" w:sz="0" w:space="0" w:color="auto"/>
        <w:left w:val="none" w:sz="0" w:space="0" w:color="auto"/>
        <w:bottom w:val="none" w:sz="0" w:space="0" w:color="auto"/>
        <w:right w:val="none" w:sz="0" w:space="0" w:color="auto"/>
      </w:divBdr>
    </w:div>
    <w:div w:id="368335723">
      <w:bodyDiv w:val="1"/>
      <w:marLeft w:val="0"/>
      <w:marRight w:val="0"/>
      <w:marTop w:val="0"/>
      <w:marBottom w:val="0"/>
      <w:divBdr>
        <w:top w:val="none" w:sz="0" w:space="0" w:color="auto"/>
        <w:left w:val="none" w:sz="0" w:space="0" w:color="auto"/>
        <w:bottom w:val="none" w:sz="0" w:space="0" w:color="auto"/>
        <w:right w:val="none" w:sz="0" w:space="0" w:color="auto"/>
      </w:divBdr>
    </w:div>
    <w:div w:id="369306033">
      <w:bodyDiv w:val="1"/>
      <w:marLeft w:val="0"/>
      <w:marRight w:val="0"/>
      <w:marTop w:val="0"/>
      <w:marBottom w:val="0"/>
      <w:divBdr>
        <w:top w:val="none" w:sz="0" w:space="0" w:color="auto"/>
        <w:left w:val="none" w:sz="0" w:space="0" w:color="auto"/>
        <w:bottom w:val="none" w:sz="0" w:space="0" w:color="auto"/>
        <w:right w:val="none" w:sz="0" w:space="0" w:color="auto"/>
      </w:divBdr>
    </w:div>
    <w:div w:id="370612659">
      <w:bodyDiv w:val="1"/>
      <w:marLeft w:val="0"/>
      <w:marRight w:val="0"/>
      <w:marTop w:val="0"/>
      <w:marBottom w:val="0"/>
      <w:divBdr>
        <w:top w:val="none" w:sz="0" w:space="0" w:color="auto"/>
        <w:left w:val="none" w:sz="0" w:space="0" w:color="auto"/>
        <w:bottom w:val="none" w:sz="0" w:space="0" w:color="auto"/>
        <w:right w:val="none" w:sz="0" w:space="0" w:color="auto"/>
      </w:divBdr>
    </w:div>
    <w:div w:id="372122703">
      <w:bodyDiv w:val="1"/>
      <w:marLeft w:val="0"/>
      <w:marRight w:val="0"/>
      <w:marTop w:val="0"/>
      <w:marBottom w:val="0"/>
      <w:divBdr>
        <w:top w:val="none" w:sz="0" w:space="0" w:color="auto"/>
        <w:left w:val="none" w:sz="0" w:space="0" w:color="auto"/>
        <w:bottom w:val="none" w:sz="0" w:space="0" w:color="auto"/>
        <w:right w:val="none" w:sz="0" w:space="0" w:color="auto"/>
      </w:divBdr>
    </w:div>
    <w:div w:id="373309822">
      <w:bodyDiv w:val="1"/>
      <w:marLeft w:val="0"/>
      <w:marRight w:val="0"/>
      <w:marTop w:val="0"/>
      <w:marBottom w:val="0"/>
      <w:divBdr>
        <w:top w:val="none" w:sz="0" w:space="0" w:color="auto"/>
        <w:left w:val="none" w:sz="0" w:space="0" w:color="auto"/>
        <w:bottom w:val="none" w:sz="0" w:space="0" w:color="auto"/>
        <w:right w:val="none" w:sz="0" w:space="0" w:color="auto"/>
      </w:divBdr>
    </w:div>
    <w:div w:id="373583926">
      <w:bodyDiv w:val="1"/>
      <w:marLeft w:val="0"/>
      <w:marRight w:val="0"/>
      <w:marTop w:val="0"/>
      <w:marBottom w:val="0"/>
      <w:divBdr>
        <w:top w:val="none" w:sz="0" w:space="0" w:color="auto"/>
        <w:left w:val="none" w:sz="0" w:space="0" w:color="auto"/>
        <w:bottom w:val="none" w:sz="0" w:space="0" w:color="auto"/>
        <w:right w:val="none" w:sz="0" w:space="0" w:color="auto"/>
      </w:divBdr>
      <w:divsChild>
        <w:div w:id="409470043">
          <w:marLeft w:val="0"/>
          <w:marRight w:val="0"/>
          <w:marTop w:val="0"/>
          <w:marBottom w:val="0"/>
          <w:divBdr>
            <w:top w:val="none" w:sz="0" w:space="0" w:color="auto"/>
            <w:left w:val="none" w:sz="0" w:space="0" w:color="auto"/>
            <w:bottom w:val="none" w:sz="0" w:space="0" w:color="auto"/>
            <w:right w:val="none" w:sz="0" w:space="0" w:color="auto"/>
          </w:divBdr>
        </w:div>
      </w:divsChild>
    </w:div>
    <w:div w:id="373700075">
      <w:bodyDiv w:val="1"/>
      <w:marLeft w:val="0"/>
      <w:marRight w:val="0"/>
      <w:marTop w:val="0"/>
      <w:marBottom w:val="0"/>
      <w:divBdr>
        <w:top w:val="none" w:sz="0" w:space="0" w:color="auto"/>
        <w:left w:val="none" w:sz="0" w:space="0" w:color="auto"/>
        <w:bottom w:val="none" w:sz="0" w:space="0" w:color="auto"/>
        <w:right w:val="none" w:sz="0" w:space="0" w:color="auto"/>
      </w:divBdr>
    </w:div>
    <w:div w:id="374080382">
      <w:bodyDiv w:val="1"/>
      <w:marLeft w:val="0"/>
      <w:marRight w:val="0"/>
      <w:marTop w:val="0"/>
      <w:marBottom w:val="0"/>
      <w:divBdr>
        <w:top w:val="none" w:sz="0" w:space="0" w:color="auto"/>
        <w:left w:val="none" w:sz="0" w:space="0" w:color="auto"/>
        <w:bottom w:val="none" w:sz="0" w:space="0" w:color="auto"/>
        <w:right w:val="none" w:sz="0" w:space="0" w:color="auto"/>
      </w:divBdr>
    </w:div>
    <w:div w:id="375856342">
      <w:marLeft w:val="0"/>
      <w:marRight w:val="0"/>
      <w:marTop w:val="0"/>
      <w:marBottom w:val="0"/>
      <w:divBdr>
        <w:top w:val="none" w:sz="0" w:space="0" w:color="auto"/>
        <w:left w:val="none" w:sz="0" w:space="0" w:color="auto"/>
        <w:bottom w:val="none" w:sz="0" w:space="0" w:color="auto"/>
        <w:right w:val="none" w:sz="0" w:space="0" w:color="auto"/>
      </w:divBdr>
    </w:div>
    <w:div w:id="377052749">
      <w:bodyDiv w:val="1"/>
      <w:marLeft w:val="0"/>
      <w:marRight w:val="0"/>
      <w:marTop w:val="0"/>
      <w:marBottom w:val="0"/>
      <w:divBdr>
        <w:top w:val="none" w:sz="0" w:space="0" w:color="auto"/>
        <w:left w:val="none" w:sz="0" w:space="0" w:color="auto"/>
        <w:bottom w:val="none" w:sz="0" w:space="0" w:color="auto"/>
        <w:right w:val="none" w:sz="0" w:space="0" w:color="auto"/>
      </w:divBdr>
    </w:div>
    <w:div w:id="381440012">
      <w:bodyDiv w:val="1"/>
      <w:marLeft w:val="0"/>
      <w:marRight w:val="0"/>
      <w:marTop w:val="0"/>
      <w:marBottom w:val="0"/>
      <w:divBdr>
        <w:top w:val="none" w:sz="0" w:space="0" w:color="auto"/>
        <w:left w:val="none" w:sz="0" w:space="0" w:color="auto"/>
        <w:bottom w:val="none" w:sz="0" w:space="0" w:color="auto"/>
        <w:right w:val="none" w:sz="0" w:space="0" w:color="auto"/>
      </w:divBdr>
    </w:div>
    <w:div w:id="382683986">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3197">
      <w:bodyDiv w:val="1"/>
      <w:marLeft w:val="0"/>
      <w:marRight w:val="0"/>
      <w:marTop w:val="0"/>
      <w:marBottom w:val="0"/>
      <w:divBdr>
        <w:top w:val="none" w:sz="0" w:space="0" w:color="auto"/>
        <w:left w:val="none" w:sz="0" w:space="0" w:color="auto"/>
        <w:bottom w:val="none" w:sz="0" w:space="0" w:color="auto"/>
        <w:right w:val="none" w:sz="0" w:space="0" w:color="auto"/>
      </w:divBdr>
    </w:div>
    <w:div w:id="388190688">
      <w:bodyDiv w:val="1"/>
      <w:marLeft w:val="0"/>
      <w:marRight w:val="0"/>
      <w:marTop w:val="0"/>
      <w:marBottom w:val="0"/>
      <w:divBdr>
        <w:top w:val="none" w:sz="0" w:space="0" w:color="auto"/>
        <w:left w:val="none" w:sz="0" w:space="0" w:color="auto"/>
        <w:bottom w:val="none" w:sz="0" w:space="0" w:color="auto"/>
        <w:right w:val="none" w:sz="0" w:space="0" w:color="auto"/>
      </w:divBdr>
    </w:div>
    <w:div w:id="388455929">
      <w:bodyDiv w:val="1"/>
      <w:marLeft w:val="0"/>
      <w:marRight w:val="0"/>
      <w:marTop w:val="0"/>
      <w:marBottom w:val="0"/>
      <w:divBdr>
        <w:top w:val="none" w:sz="0" w:space="0" w:color="auto"/>
        <w:left w:val="none" w:sz="0" w:space="0" w:color="auto"/>
        <w:bottom w:val="none" w:sz="0" w:space="0" w:color="auto"/>
        <w:right w:val="none" w:sz="0" w:space="0" w:color="auto"/>
      </w:divBdr>
    </w:div>
    <w:div w:id="388463367">
      <w:bodyDiv w:val="1"/>
      <w:marLeft w:val="0"/>
      <w:marRight w:val="0"/>
      <w:marTop w:val="0"/>
      <w:marBottom w:val="0"/>
      <w:divBdr>
        <w:top w:val="none" w:sz="0" w:space="0" w:color="auto"/>
        <w:left w:val="none" w:sz="0" w:space="0" w:color="auto"/>
        <w:bottom w:val="none" w:sz="0" w:space="0" w:color="auto"/>
        <w:right w:val="none" w:sz="0" w:space="0" w:color="auto"/>
      </w:divBdr>
    </w:div>
    <w:div w:id="389185062">
      <w:bodyDiv w:val="1"/>
      <w:marLeft w:val="0"/>
      <w:marRight w:val="0"/>
      <w:marTop w:val="0"/>
      <w:marBottom w:val="0"/>
      <w:divBdr>
        <w:top w:val="none" w:sz="0" w:space="0" w:color="auto"/>
        <w:left w:val="none" w:sz="0" w:space="0" w:color="auto"/>
        <w:bottom w:val="none" w:sz="0" w:space="0" w:color="auto"/>
        <w:right w:val="none" w:sz="0" w:space="0" w:color="auto"/>
      </w:divBdr>
    </w:div>
    <w:div w:id="389698204">
      <w:bodyDiv w:val="1"/>
      <w:marLeft w:val="0"/>
      <w:marRight w:val="0"/>
      <w:marTop w:val="0"/>
      <w:marBottom w:val="0"/>
      <w:divBdr>
        <w:top w:val="none" w:sz="0" w:space="0" w:color="auto"/>
        <w:left w:val="none" w:sz="0" w:space="0" w:color="auto"/>
        <w:bottom w:val="none" w:sz="0" w:space="0" w:color="auto"/>
        <w:right w:val="none" w:sz="0" w:space="0" w:color="auto"/>
      </w:divBdr>
    </w:div>
    <w:div w:id="391395581">
      <w:bodyDiv w:val="1"/>
      <w:marLeft w:val="0"/>
      <w:marRight w:val="0"/>
      <w:marTop w:val="0"/>
      <w:marBottom w:val="0"/>
      <w:divBdr>
        <w:top w:val="none" w:sz="0" w:space="0" w:color="auto"/>
        <w:left w:val="none" w:sz="0" w:space="0" w:color="auto"/>
        <w:bottom w:val="none" w:sz="0" w:space="0" w:color="auto"/>
        <w:right w:val="none" w:sz="0" w:space="0" w:color="auto"/>
      </w:divBdr>
    </w:div>
    <w:div w:id="392627118">
      <w:bodyDiv w:val="1"/>
      <w:marLeft w:val="0"/>
      <w:marRight w:val="0"/>
      <w:marTop w:val="0"/>
      <w:marBottom w:val="0"/>
      <w:divBdr>
        <w:top w:val="none" w:sz="0" w:space="0" w:color="auto"/>
        <w:left w:val="none" w:sz="0" w:space="0" w:color="auto"/>
        <w:bottom w:val="none" w:sz="0" w:space="0" w:color="auto"/>
        <w:right w:val="none" w:sz="0" w:space="0" w:color="auto"/>
      </w:divBdr>
    </w:div>
    <w:div w:id="394086583">
      <w:bodyDiv w:val="1"/>
      <w:marLeft w:val="0"/>
      <w:marRight w:val="0"/>
      <w:marTop w:val="0"/>
      <w:marBottom w:val="0"/>
      <w:divBdr>
        <w:top w:val="none" w:sz="0" w:space="0" w:color="auto"/>
        <w:left w:val="none" w:sz="0" w:space="0" w:color="auto"/>
        <w:bottom w:val="none" w:sz="0" w:space="0" w:color="auto"/>
        <w:right w:val="none" w:sz="0" w:space="0" w:color="auto"/>
      </w:divBdr>
    </w:div>
    <w:div w:id="395322261">
      <w:bodyDiv w:val="1"/>
      <w:marLeft w:val="0"/>
      <w:marRight w:val="0"/>
      <w:marTop w:val="0"/>
      <w:marBottom w:val="0"/>
      <w:divBdr>
        <w:top w:val="none" w:sz="0" w:space="0" w:color="auto"/>
        <w:left w:val="none" w:sz="0" w:space="0" w:color="auto"/>
        <w:bottom w:val="none" w:sz="0" w:space="0" w:color="auto"/>
        <w:right w:val="none" w:sz="0" w:space="0" w:color="auto"/>
      </w:divBdr>
    </w:div>
    <w:div w:id="398141455">
      <w:bodyDiv w:val="1"/>
      <w:marLeft w:val="0"/>
      <w:marRight w:val="0"/>
      <w:marTop w:val="0"/>
      <w:marBottom w:val="0"/>
      <w:divBdr>
        <w:top w:val="none" w:sz="0" w:space="0" w:color="auto"/>
        <w:left w:val="none" w:sz="0" w:space="0" w:color="auto"/>
        <w:bottom w:val="none" w:sz="0" w:space="0" w:color="auto"/>
        <w:right w:val="none" w:sz="0" w:space="0" w:color="auto"/>
      </w:divBdr>
    </w:div>
    <w:div w:id="399793348">
      <w:bodyDiv w:val="1"/>
      <w:marLeft w:val="0"/>
      <w:marRight w:val="0"/>
      <w:marTop w:val="0"/>
      <w:marBottom w:val="0"/>
      <w:divBdr>
        <w:top w:val="none" w:sz="0" w:space="0" w:color="auto"/>
        <w:left w:val="none" w:sz="0" w:space="0" w:color="auto"/>
        <w:bottom w:val="none" w:sz="0" w:space="0" w:color="auto"/>
        <w:right w:val="none" w:sz="0" w:space="0" w:color="auto"/>
      </w:divBdr>
    </w:div>
    <w:div w:id="400106470">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1223678">
      <w:bodyDiv w:val="1"/>
      <w:marLeft w:val="0"/>
      <w:marRight w:val="0"/>
      <w:marTop w:val="0"/>
      <w:marBottom w:val="0"/>
      <w:divBdr>
        <w:top w:val="none" w:sz="0" w:space="0" w:color="auto"/>
        <w:left w:val="none" w:sz="0" w:space="0" w:color="auto"/>
        <w:bottom w:val="none" w:sz="0" w:space="0" w:color="auto"/>
        <w:right w:val="none" w:sz="0" w:space="0" w:color="auto"/>
      </w:divBdr>
    </w:div>
    <w:div w:id="405104589">
      <w:bodyDiv w:val="1"/>
      <w:marLeft w:val="0"/>
      <w:marRight w:val="0"/>
      <w:marTop w:val="0"/>
      <w:marBottom w:val="0"/>
      <w:divBdr>
        <w:top w:val="none" w:sz="0" w:space="0" w:color="auto"/>
        <w:left w:val="none" w:sz="0" w:space="0" w:color="auto"/>
        <w:bottom w:val="none" w:sz="0" w:space="0" w:color="auto"/>
        <w:right w:val="none" w:sz="0" w:space="0" w:color="auto"/>
      </w:divBdr>
    </w:div>
    <w:div w:id="405107696">
      <w:bodyDiv w:val="1"/>
      <w:marLeft w:val="0"/>
      <w:marRight w:val="0"/>
      <w:marTop w:val="0"/>
      <w:marBottom w:val="0"/>
      <w:divBdr>
        <w:top w:val="none" w:sz="0" w:space="0" w:color="auto"/>
        <w:left w:val="none" w:sz="0" w:space="0" w:color="auto"/>
        <w:bottom w:val="none" w:sz="0" w:space="0" w:color="auto"/>
        <w:right w:val="none" w:sz="0" w:space="0" w:color="auto"/>
      </w:divBdr>
    </w:div>
    <w:div w:id="405148572">
      <w:bodyDiv w:val="1"/>
      <w:marLeft w:val="0"/>
      <w:marRight w:val="0"/>
      <w:marTop w:val="0"/>
      <w:marBottom w:val="0"/>
      <w:divBdr>
        <w:top w:val="none" w:sz="0" w:space="0" w:color="auto"/>
        <w:left w:val="none" w:sz="0" w:space="0" w:color="auto"/>
        <w:bottom w:val="none" w:sz="0" w:space="0" w:color="auto"/>
        <w:right w:val="none" w:sz="0" w:space="0" w:color="auto"/>
      </w:divBdr>
    </w:div>
    <w:div w:id="406997221">
      <w:bodyDiv w:val="1"/>
      <w:marLeft w:val="0"/>
      <w:marRight w:val="0"/>
      <w:marTop w:val="0"/>
      <w:marBottom w:val="0"/>
      <w:divBdr>
        <w:top w:val="none" w:sz="0" w:space="0" w:color="auto"/>
        <w:left w:val="none" w:sz="0" w:space="0" w:color="auto"/>
        <w:bottom w:val="none" w:sz="0" w:space="0" w:color="auto"/>
        <w:right w:val="none" w:sz="0" w:space="0" w:color="auto"/>
      </w:divBdr>
    </w:div>
    <w:div w:id="407385254">
      <w:bodyDiv w:val="1"/>
      <w:marLeft w:val="0"/>
      <w:marRight w:val="0"/>
      <w:marTop w:val="0"/>
      <w:marBottom w:val="0"/>
      <w:divBdr>
        <w:top w:val="none" w:sz="0" w:space="0" w:color="auto"/>
        <w:left w:val="none" w:sz="0" w:space="0" w:color="auto"/>
        <w:bottom w:val="none" w:sz="0" w:space="0" w:color="auto"/>
        <w:right w:val="none" w:sz="0" w:space="0" w:color="auto"/>
      </w:divBdr>
    </w:div>
    <w:div w:id="407581344">
      <w:bodyDiv w:val="1"/>
      <w:marLeft w:val="0"/>
      <w:marRight w:val="0"/>
      <w:marTop w:val="0"/>
      <w:marBottom w:val="0"/>
      <w:divBdr>
        <w:top w:val="none" w:sz="0" w:space="0" w:color="auto"/>
        <w:left w:val="none" w:sz="0" w:space="0" w:color="auto"/>
        <w:bottom w:val="none" w:sz="0" w:space="0" w:color="auto"/>
        <w:right w:val="none" w:sz="0" w:space="0" w:color="auto"/>
      </w:divBdr>
    </w:div>
    <w:div w:id="407920166">
      <w:bodyDiv w:val="1"/>
      <w:marLeft w:val="0"/>
      <w:marRight w:val="0"/>
      <w:marTop w:val="0"/>
      <w:marBottom w:val="0"/>
      <w:divBdr>
        <w:top w:val="none" w:sz="0" w:space="0" w:color="auto"/>
        <w:left w:val="none" w:sz="0" w:space="0" w:color="auto"/>
        <w:bottom w:val="none" w:sz="0" w:space="0" w:color="auto"/>
        <w:right w:val="none" w:sz="0" w:space="0" w:color="auto"/>
      </w:divBdr>
      <w:divsChild>
        <w:div w:id="1217622878">
          <w:marLeft w:val="0"/>
          <w:marRight w:val="0"/>
          <w:marTop w:val="0"/>
          <w:marBottom w:val="0"/>
          <w:divBdr>
            <w:top w:val="none" w:sz="0" w:space="0" w:color="auto"/>
            <w:left w:val="none" w:sz="0" w:space="0" w:color="auto"/>
            <w:bottom w:val="none" w:sz="0" w:space="0" w:color="auto"/>
            <w:right w:val="none" w:sz="0" w:space="0" w:color="auto"/>
          </w:divBdr>
        </w:div>
        <w:div w:id="2090690113">
          <w:marLeft w:val="0"/>
          <w:marRight w:val="0"/>
          <w:marTop w:val="0"/>
          <w:marBottom w:val="0"/>
          <w:divBdr>
            <w:top w:val="none" w:sz="0" w:space="0" w:color="auto"/>
            <w:left w:val="none" w:sz="0" w:space="0" w:color="auto"/>
            <w:bottom w:val="none" w:sz="0" w:space="0" w:color="auto"/>
            <w:right w:val="none" w:sz="0" w:space="0" w:color="auto"/>
          </w:divBdr>
        </w:div>
        <w:div w:id="1697539145">
          <w:marLeft w:val="0"/>
          <w:marRight w:val="0"/>
          <w:marTop w:val="0"/>
          <w:marBottom w:val="0"/>
          <w:divBdr>
            <w:top w:val="none" w:sz="0" w:space="0" w:color="auto"/>
            <w:left w:val="none" w:sz="0" w:space="0" w:color="auto"/>
            <w:bottom w:val="none" w:sz="0" w:space="0" w:color="auto"/>
            <w:right w:val="none" w:sz="0" w:space="0" w:color="auto"/>
          </w:divBdr>
        </w:div>
        <w:div w:id="1875606411">
          <w:marLeft w:val="0"/>
          <w:marRight w:val="0"/>
          <w:marTop w:val="0"/>
          <w:marBottom w:val="0"/>
          <w:divBdr>
            <w:top w:val="none" w:sz="0" w:space="0" w:color="auto"/>
            <w:left w:val="none" w:sz="0" w:space="0" w:color="auto"/>
            <w:bottom w:val="none" w:sz="0" w:space="0" w:color="auto"/>
            <w:right w:val="none" w:sz="0" w:space="0" w:color="auto"/>
          </w:divBdr>
        </w:div>
        <w:div w:id="535696416">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
        <w:div w:id="302976690">
          <w:marLeft w:val="0"/>
          <w:marRight w:val="0"/>
          <w:marTop w:val="0"/>
          <w:marBottom w:val="0"/>
          <w:divBdr>
            <w:top w:val="none" w:sz="0" w:space="0" w:color="auto"/>
            <w:left w:val="none" w:sz="0" w:space="0" w:color="auto"/>
            <w:bottom w:val="none" w:sz="0" w:space="0" w:color="auto"/>
            <w:right w:val="none" w:sz="0" w:space="0" w:color="auto"/>
          </w:divBdr>
        </w:div>
        <w:div w:id="1195771600">
          <w:marLeft w:val="0"/>
          <w:marRight w:val="0"/>
          <w:marTop w:val="0"/>
          <w:marBottom w:val="0"/>
          <w:divBdr>
            <w:top w:val="none" w:sz="0" w:space="0" w:color="auto"/>
            <w:left w:val="none" w:sz="0" w:space="0" w:color="auto"/>
            <w:bottom w:val="none" w:sz="0" w:space="0" w:color="auto"/>
            <w:right w:val="none" w:sz="0" w:space="0" w:color="auto"/>
          </w:divBdr>
        </w:div>
        <w:div w:id="1950814926">
          <w:marLeft w:val="0"/>
          <w:marRight w:val="0"/>
          <w:marTop w:val="0"/>
          <w:marBottom w:val="0"/>
          <w:divBdr>
            <w:top w:val="none" w:sz="0" w:space="0" w:color="auto"/>
            <w:left w:val="none" w:sz="0" w:space="0" w:color="auto"/>
            <w:bottom w:val="none" w:sz="0" w:space="0" w:color="auto"/>
            <w:right w:val="none" w:sz="0" w:space="0" w:color="auto"/>
          </w:divBdr>
        </w:div>
        <w:div w:id="2061856277">
          <w:marLeft w:val="0"/>
          <w:marRight w:val="0"/>
          <w:marTop w:val="0"/>
          <w:marBottom w:val="0"/>
          <w:divBdr>
            <w:top w:val="none" w:sz="0" w:space="0" w:color="auto"/>
            <w:left w:val="none" w:sz="0" w:space="0" w:color="auto"/>
            <w:bottom w:val="none" w:sz="0" w:space="0" w:color="auto"/>
            <w:right w:val="none" w:sz="0" w:space="0" w:color="auto"/>
          </w:divBdr>
        </w:div>
        <w:div w:id="1047146174">
          <w:marLeft w:val="0"/>
          <w:marRight w:val="0"/>
          <w:marTop w:val="0"/>
          <w:marBottom w:val="0"/>
          <w:divBdr>
            <w:top w:val="none" w:sz="0" w:space="0" w:color="auto"/>
            <w:left w:val="none" w:sz="0" w:space="0" w:color="auto"/>
            <w:bottom w:val="none" w:sz="0" w:space="0" w:color="auto"/>
            <w:right w:val="none" w:sz="0" w:space="0" w:color="auto"/>
          </w:divBdr>
        </w:div>
        <w:div w:id="1371146694">
          <w:marLeft w:val="0"/>
          <w:marRight w:val="0"/>
          <w:marTop w:val="0"/>
          <w:marBottom w:val="0"/>
          <w:divBdr>
            <w:top w:val="none" w:sz="0" w:space="0" w:color="auto"/>
            <w:left w:val="none" w:sz="0" w:space="0" w:color="auto"/>
            <w:bottom w:val="none" w:sz="0" w:space="0" w:color="auto"/>
            <w:right w:val="none" w:sz="0" w:space="0" w:color="auto"/>
          </w:divBdr>
        </w:div>
        <w:div w:id="185871746">
          <w:marLeft w:val="0"/>
          <w:marRight w:val="0"/>
          <w:marTop w:val="0"/>
          <w:marBottom w:val="0"/>
          <w:divBdr>
            <w:top w:val="none" w:sz="0" w:space="0" w:color="auto"/>
            <w:left w:val="none" w:sz="0" w:space="0" w:color="auto"/>
            <w:bottom w:val="none" w:sz="0" w:space="0" w:color="auto"/>
            <w:right w:val="none" w:sz="0" w:space="0" w:color="auto"/>
          </w:divBdr>
        </w:div>
        <w:div w:id="2049837435">
          <w:marLeft w:val="0"/>
          <w:marRight w:val="0"/>
          <w:marTop w:val="0"/>
          <w:marBottom w:val="0"/>
          <w:divBdr>
            <w:top w:val="none" w:sz="0" w:space="0" w:color="auto"/>
            <w:left w:val="none" w:sz="0" w:space="0" w:color="auto"/>
            <w:bottom w:val="none" w:sz="0" w:space="0" w:color="auto"/>
            <w:right w:val="none" w:sz="0" w:space="0" w:color="auto"/>
          </w:divBdr>
        </w:div>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407968348">
      <w:bodyDiv w:val="1"/>
      <w:marLeft w:val="0"/>
      <w:marRight w:val="0"/>
      <w:marTop w:val="0"/>
      <w:marBottom w:val="0"/>
      <w:divBdr>
        <w:top w:val="none" w:sz="0" w:space="0" w:color="auto"/>
        <w:left w:val="none" w:sz="0" w:space="0" w:color="auto"/>
        <w:bottom w:val="none" w:sz="0" w:space="0" w:color="auto"/>
        <w:right w:val="none" w:sz="0" w:space="0" w:color="auto"/>
      </w:divBdr>
    </w:div>
    <w:div w:id="408313513">
      <w:bodyDiv w:val="1"/>
      <w:marLeft w:val="0"/>
      <w:marRight w:val="0"/>
      <w:marTop w:val="0"/>
      <w:marBottom w:val="0"/>
      <w:divBdr>
        <w:top w:val="none" w:sz="0" w:space="0" w:color="auto"/>
        <w:left w:val="none" w:sz="0" w:space="0" w:color="auto"/>
        <w:bottom w:val="none" w:sz="0" w:space="0" w:color="auto"/>
        <w:right w:val="none" w:sz="0" w:space="0" w:color="auto"/>
      </w:divBdr>
    </w:div>
    <w:div w:id="409893833">
      <w:bodyDiv w:val="1"/>
      <w:marLeft w:val="0"/>
      <w:marRight w:val="0"/>
      <w:marTop w:val="0"/>
      <w:marBottom w:val="0"/>
      <w:divBdr>
        <w:top w:val="none" w:sz="0" w:space="0" w:color="auto"/>
        <w:left w:val="none" w:sz="0" w:space="0" w:color="auto"/>
        <w:bottom w:val="none" w:sz="0" w:space="0" w:color="auto"/>
        <w:right w:val="none" w:sz="0" w:space="0" w:color="auto"/>
      </w:divBdr>
    </w:div>
    <w:div w:id="411970538">
      <w:bodyDiv w:val="1"/>
      <w:marLeft w:val="0"/>
      <w:marRight w:val="0"/>
      <w:marTop w:val="0"/>
      <w:marBottom w:val="0"/>
      <w:divBdr>
        <w:top w:val="none" w:sz="0" w:space="0" w:color="auto"/>
        <w:left w:val="none" w:sz="0" w:space="0" w:color="auto"/>
        <w:bottom w:val="none" w:sz="0" w:space="0" w:color="auto"/>
        <w:right w:val="none" w:sz="0" w:space="0" w:color="auto"/>
      </w:divBdr>
    </w:div>
    <w:div w:id="416050768">
      <w:bodyDiv w:val="1"/>
      <w:marLeft w:val="0"/>
      <w:marRight w:val="0"/>
      <w:marTop w:val="0"/>
      <w:marBottom w:val="0"/>
      <w:divBdr>
        <w:top w:val="none" w:sz="0" w:space="0" w:color="auto"/>
        <w:left w:val="none" w:sz="0" w:space="0" w:color="auto"/>
        <w:bottom w:val="none" w:sz="0" w:space="0" w:color="auto"/>
        <w:right w:val="none" w:sz="0" w:space="0" w:color="auto"/>
      </w:divBdr>
    </w:div>
    <w:div w:id="417562029">
      <w:bodyDiv w:val="1"/>
      <w:marLeft w:val="0"/>
      <w:marRight w:val="0"/>
      <w:marTop w:val="0"/>
      <w:marBottom w:val="0"/>
      <w:divBdr>
        <w:top w:val="none" w:sz="0" w:space="0" w:color="auto"/>
        <w:left w:val="none" w:sz="0" w:space="0" w:color="auto"/>
        <w:bottom w:val="none" w:sz="0" w:space="0" w:color="auto"/>
        <w:right w:val="none" w:sz="0" w:space="0" w:color="auto"/>
      </w:divBdr>
    </w:div>
    <w:div w:id="418984121">
      <w:bodyDiv w:val="1"/>
      <w:marLeft w:val="0"/>
      <w:marRight w:val="0"/>
      <w:marTop w:val="0"/>
      <w:marBottom w:val="0"/>
      <w:divBdr>
        <w:top w:val="none" w:sz="0" w:space="0" w:color="auto"/>
        <w:left w:val="none" w:sz="0" w:space="0" w:color="auto"/>
        <w:bottom w:val="none" w:sz="0" w:space="0" w:color="auto"/>
        <w:right w:val="none" w:sz="0" w:space="0" w:color="auto"/>
      </w:divBdr>
    </w:div>
    <w:div w:id="419715895">
      <w:bodyDiv w:val="1"/>
      <w:marLeft w:val="0"/>
      <w:marRight w:val="0"/>
      <w:marTop w:val="0"/>
      <w:marBottom w:val="0"/>
      <w:divBdr>
        <w:top w:val="none" w:sz="0" w:space="0" w:color="auto"/>
        <w:left w:val="none" w:sz="0" w:space="0" w:color="auto"/>
        <w:bottom w:val="none" w:sz="0" w:space="0" w:color="auto"/>
        <w:right w:val="none" w:sz="0" w:space="0" w:color="auto"/>
      </w:divBdr>
      <w:divsChild>
        <w:div w:id="1191844913">
          <w:marLeft w:val="0"/>
          <w:marRight w:val="0"/>
          <w:marTop w:val="0"/>
          <w:marBottom w:val="0"/>
          <w:divBdr>
            <w:top w:val="none" w:sz="0" w:space="0" w:color="auto"/>
            <w:left w:val="none" w:sz="0" w:space="0" w:color="auto"/>
            <w:bottom w:val="none" w:sz="0" w:space="0" w:color="auto"/>
            <w:right w:val="none" w:sz="0" w:space="0" w:color="auto"/>
          </w:divBdr>
        </w:div>
      </w:divsChild>
    </w:div>
    <w:div w:id="420220117">
      <w:bodyDiv w:val="1"/>
      <w:marLeft w:val="0"/>
      <w:marRight w:val="0"/>
      <w:marTop w:val="0"/>
      <w:marBottom w:val="0"/>
      <w:divBdr>
        <w:top w:val="none" w:sz="0" w:space="0" w:color="auto"/>
        <w:left w:val="none" w:sz="0" w:space="0" w:color="auto"/>
        <w:bottom w:val="none" w:sz="0" w:space="0" w:color="auto"/>
        <w:right w:val="none" w:sz="0" w:space="0" w:color="auto"/>
      </w:divBdr>
    </w:div>
    <w:div w:id="420418850">
      <w:bodyDiv w:val="1"/>
      <w:marLeft w:val="0"/>
      <w:marRight w:val="0"/>
      <w:marTop w:val="0"/>
      <w:marBottom w:val="0"/>
      <w:divBdr>
        <w:top w:val="none" w:sz="0" w:space="0" w:color="auto"/>
        <w:left w:val="none" w:sz="0" w:space="0" w:color="auto"/>
        <w:bottom w:val="none" w:sz="0" w:space="0" w:color="auto"/>
        <w:right w:val="none" w:sz="0" w:space="0" w:color="auto"/>
      </w:divBdr>
    </w:div>
    <w:div w:id="423843082">
      <w:bodyDiv w:val="1"/>
      <w:marLeft w:val="0"/>
      <w:marRight w:val="0"/>
      <w:marTop w:val="0"/>
      <w:marBottom w:val="0"/>
      <w:divBdr>
        <w:top w:val="none" w:sz="0" w:space="0" w:color="auto"/>
        <w:left w:val="none" w:sz="0" w:space="0" w:color="auto"/>
        <w:bottom w:val="none" w:sz="0" w:space="0" w:color="auto"/>
        <w:right w:val="none" w:sz="0" w:space="0" w:color="auto"/>
      </w:divBdr>
    </w:div>
    <w:div w:id="425228028">
      <w:bodyDiv w:val="1"/>
      <w:marLeft w:val="0"/>
      <w:marRight w:val="0"/>
      <w:marTop w:val="0"/>
      <w:marBottom w:val="0"/>
      <w:divBdr>
        <w:top w:val="none" w:sz="0" w:space="0" w:color="auto"/>
        <w:left w:val="none" w:sz="0" w:space="0" w:color="auto"/>
        <w:bottom w:val="none" w:sz="0" w:space="0" w:color="auto"/>
        <w:right w:val="none" w:sz="0" w:space="0" w:color="auto"/>
      </w:divBdr>
    </w:div>
    <w:div w:id="428896549">
      <w:bodyDiv w:val="1"/>
      <w:marLeft w:val="0"/>
      <w:marRight w:val="0"/>
      <w:marTop w:val="0"/>
      <w:marBottom w:val="0"/>
      <w:divBdr>
        <w:top w:val="none" w:sz="0" w:space="0" w:color="auto"/>
        <w:left w:val="none" w:sz="0" w:space="0" w:color="auto"/>
        <w:bottom w:val="none" w:sz="0" w:space="0" w:color="auto"/>
        <w:right w:val="none" w:sz="0" w:space="0" w:color="auto"/>
      </w:divBdr>
    </w:div>
    <w:div w:id="430472538">
      <w:bodyDiv w:val="1"/>
      <w:marLeft w:val="0"/>
      <w:marRight w:val="0"/>
      <w:marTop w:val="0"/>
      <w:marBottom w:val="0"/>
      <w:divBdr>
        <w:top w:val="none" w:sz="0" w:space="0" w:color="auto"/>
        <w:left w:val="none" w:sz="0" w:space="0" w:color="auto"/>
        <w:bottom w:val="none" w:sz="0" w:space="0" w:color="auto"/>
        <w:right w:val="none" w:sz="0" w:space="0" w:color="auto"/>
      </w:divBdr>
    </w:div>
    <w:div w:id="431239807">
      <w:bodyDiv w:val="1"/>
      <w:marLeft w:val="0"/>
      <w:marRight w:val="0"/>
      <w:marTop w:val="0"/>
      <w:marBottom w:val="0"/>
      <w:divBdr>
        <w:top w:val="none" w:sz="0" w:space="0" w:color="auto"/>
        <w:left w:val="none" w:sz="0" w:space="0" w:color="auto"/>
        <w:bottom w:val="none" w:sz="0" w:space="0" w:color="auto"/>
        <w:right w:val="none" w:sz="0" w:space="0" w:color="auto"/>
      </w:divBdr>
    </w:div>
    <w:div w:id="432013660">
      <w:bodyDiv w:val="1"/>
      <w:marLeft w:val="0"/>
      <w:marRight w:val="0"/>
      <w:marTop w:val="0"/>
      <w:marBottom w:val="0"/>
      <w:divBdr>
        <w:top w:val="none" w:sz="0" w:space="0" w:color="auto"/>
        <w:left w:val="none" w:sz="0" w:space="0" w:color="auto"/>
        <w:bottom w:val="none" w:sz="0" w:space="0" w:color="auto"/>
        <w:right w:val="none" w:sz="0" w:space="0" w:color="auto"/>
      </w:divBdr>
    </w:div>
    <w:div w:id="432013888">
      <w:bodyDiv w:val="1"/>
      <w:marLeft w:val="0"/>
      <w:marRight w:val="0"/>
      <w:marTop w:val="0"/>
      <w:marBottom w:val="0"/>
      <w:divBdr>
        <w:top w:val="none" w:sz="0" w:space="0" w:color="auto"/>
        <w:left w:val="none" w:sz="0" w:space="0" w:color="auto"/>
        <w:bottom w:val="none" w:sz="0" w:space="0" w:color="auto"/>
        <w:right w:val="none" w:sz="0" w:space="0" w:color="auto"/>
      </w:divBdr>
    </w:div>
    <w:div w:id="432166228">
      <w:bodyDiv w:val="1"/>
      <w:marLeft w:val="0"/>
      <w:marRight w:val="0"/>
      <w:marTop w:val="0"/>
      <w:marBottom w:val="0"/>
      <w:divBdr>
        <w:top w:val="none" w:sz="0" w:space="0" w:color="auto"/>
        <w:left w:val="none" w:sz="0" w:space="0" w:color="auto"/>
        <w:bottom w:val="none" w:sz="0" w:space="0" w:color="auto"/>
        <w:right w:val="none" w:sz="0" w:space="0" w:color="auto"/>
      </w:divBdr>
    </w:div>
    <w:div w:id="435908492">
      <w:bodyDiv w:val="1"/>
      <w:marLeft w:val="0"/>
      <w:marRight w:val="0"/>
      <w:marTop w:val="0"/>
      <w:marBottom w:val="0"/>
      <w:divBdr>
        <w:top w:val="none" w:sz="0" w:space="0" w:color="auto"/>
        <w:left w:val="none" w:sz="0" w:space="0" w:color="auto"/>
        <w:bottom w:val="none" w:sz="0" w:space="0" w:color="auto"/>
        <w:right w:val="none" w:sz="0" w:space="0" w:color="auto"/>
      </w:divBdr>
    </w:div>
    <w:div w:id="437257182">
      <w:bodyDiv w:val="1"/>
      <w:marLeft w:val="0"/>
      <w:marRight w:val="0"/>
      <w:marTop w:val="0"/>
      <w:marBottom w:val="0"/>
      <w:divBdr>
        <w:top w:val="none" w:sz="0" w:space="0" w:color="auto"/>
        <w:left w:val="none" w:sz="0" w:space="0" w:color="auto"/>
        <w:bottom w:val="none" w:sz="0" w:space="0" w:color="auto"/>
        <w:right w:val="none" w:sz="0" w:space="0" w:color="auto"/>
      </w:divBdr>
    </w:div>
    <w:div w:id="437411530">
      <w:bodyDiv w:val="1"/>
      <w:marLeft w:val="0"/>
      <w:marRight w:val="0"/>
      <w:marTop w:val="0"/>
      <w:marBottom w:val="0"/>
      <w:divBdr>
        <w:top w:val="none" w:sz="0" w:space="0" w:color="auto"/>
        <w:left w:val="none" w:sz="0" w:space="0" w:color="auto"/>
        <w:bottom w:val="none" w:sz="0" w:space="0" w:color="auto"/>
        <w:right w:val="none" w:sz="0" w:space="0" w:color="auto"/>
      </w:divBdr>
    </w:div>
    <w:div w:id="438764165">
      <w:bodyDiv w:val="1"/>
      <w:marLeft w:val="0"/>
      <w:marRight w:val="0"/>
      <w:marTop w:val="0"/>
      <w:marBottom w:val="0"/>
      <w:divBdr>
        <w:top w:val="none" w:sz="0" w:space="0" w:color="auto"/>
        <w:left w:val="none" w:sz="0" w:space="0" w:color="auto"/>
        <w:bottom w:val="none" w:sz="0" w:space="0" w:color="auto"/>
        <w:right w:val="none" w:sz="0" w:space="0" w:color="auto"/>
      </w:divBdr>
    </w:div>
    <w:div w:id="439031824">
      <w:bodyDiv w:val="1"/>
      <w:marLeft w:val="0"/>
      <w:marRight w:val="0"/>
      <w:marTop w:val="0"/>
      <w:marBottom w:val="0"/>
      <w:divBdr>
        <w:top w:val="none" w:sz="0" w:space="0" w:color="auto"/>
        <w:left w:val="none" w:sz="0" w:space="0" w:color="auto"/>
        <w:bottom w:val="none" w:sz="0" w:space="0" w:color="auto"/>
        <w:right w:val="none" w:sz="0" w:space="0" w:color="auto"/>
      </w:divBdr>
    </w:div>
    <w:div w:id="439764191">
      <w:marLeft w:val="0"/>
      <w:marRight w:val="0"/>
      <w:marTop w:val="0"/>
      <w:marBottom w:val="0"/>
      <w:divBdr>
        <w:top w:val="none" w:sz="0" w:space="0" w:color="auto"/>
        <w:left w:val="none" w:sz="0" w:space="0" w:color="auto"/>
        <w:bottom w:val="none" w:sz="0" w:space="0" w:color="auto"/>
        <w:right w:val="none" w:sz="0" w:space="0" w:color="auto"/>
      </w:divBdr>
    </w:div>
    <w:div w:id="440105099">
      <w:bodyDiv w:val="1"/>
      <w:marLeft w:val="0"/>
      <w:marRight w:val="0"/>
      <w:marTop w:val="0"/>
      <w:marBottom w:val="0"/>
      <w:divBdr>
        <w:top w:val="none" w:sz="0" w:space="0" w:color="auto"/>
        <w:left w:val="none" w:sz="0" w:space="0" w:color="auto"/>
        <w:bottom w:val="none" w:sz="0" w:space="0" w:color="auto"/>
        <w:right w:val="none" w:sz="0" w:space="0" w:color="auto"/>
      </w:divBdr>
    </w:div>
    <w:div w:id="440993411">
      <w:bodyDiv w:val="1"/>
      <w:marLeft w:val="0"/>
      <w:marRight w:val="0"/>
      <w:marTop w:val="0"/>
      <w:marBottom w:val="0"/>
      <w:divBdr>
        <w:top w:val="none" w:sz="0" w:space="0" w:color="auto"/>
        <w:left w:val="none" w:sz="0" w:space="0" w:color="auto"/>
        <w:bottom w:val="none" w:sz="0" w:space="0" w:color="auto"/>
        <w:right w:val="none" w:sz="0" w:space="0" w:color="auto"/>
      </w:divBdr>
    </w:div>
    <w:div w:id="442192644">
      <w:bodyDiv w:val="1"/>
      <w:marLeft w:val="0"/>
      <w:marRight w:val="0"/>
      <w:marTop w:val="0"/>
      <w:marBottom w:val="0"/>
      <w:divBdr>
        <w:top w:val="none" w:sz="0" w:space="0" w:color="auto"/>
        <w:left w:val="none" w:sz="0" w:space="0" w:color="auto"/>
        <w:bottom w:val="none" w:sz="0" w:space="0" w:color="auto"/>
        <w:right w:val="none" w:sz="0" w:space="0" w:color="auto"/>
      </w:divBdr>
    </w:div>
    <w:div w:id="442960759">
      <w:bodyDiv w:val="1"/>
      <w:marLeft w:val="0"/>
      <w:marRight w:val="0"/>
      <w:marTop w:val="0"/>
      <w:marBottom w:val="0"/>
      <w:divBdr>
        <w:top w:val="none" w:sz="0" w:space="0" w:color="auto"/>
        <w:left w:val="none" w:sz="0" w:space="0" w:color="auto"/>
        <w:bottom w:val="none" w:sz="0" w:space="0" w:color="auto"/>
        <w:right w:val="none" w:sz="0" w:space="0" w:color="auto"/>
      </w:divBdr>
    </w:div>
    <w:div w:id="443429364">
      <w:bodyDiv w:val="1"/>
      <w:marLeft w:val="0"/>
      <w:marRight w:val="0"/>
      <w:marTop w:val="0"/>
      <w:marBottom w:val="0"/>
      <w:divBdr>
        <w:top w:val="none" w:sz="0" w:space="0" w:color="auto"/>
        <w:left w:val="none" w:sz="0" w:space="0" w:color="auto"/>
        <w:bottom w:val="none" w:sz="0" w:space="0" w:color="auto"/>
        <w:right w:val="none" w:sz="0" w:space="0" w:color="auto"/>
      </w:divBdr>
    </w:div>
    <w:div w:id="445150920">
      <w:bodyDiv w:val="1"/>
      <w:marLeft w:val="0"/>
      <w:marRight w:val="0"/>
      <w:marTop w:val="0"/>
      <w:marBottom w:val="0"/>
      <w:divBdr>
        <w:top w:val="none" w:sz="0" w:space="0" w:color="auto"/>
        <w:left w:val="none" w:sz="0" w:space="0" w:color="auto"/>
        <w:bottom w:val="none" w:sz="0" w:space="0" w:color="auto"/>
        <w:right w:val="none" w:sz="0" w:space="0" w:color="auto"/>
      </w:divBdr>
    </w:div>
    <w:div w:id="446243730">
      <w:bodyDiv w:val="1"/>
      <w:marLeft w:val="0"/>
      <w:marRight w:val="0"/>
      <w:marTop w:val="0"/>
      <w:marBottom w:val="0"/>
      <w:divBdr>
        <w:top w:val="none" w:sz="0" w:space="0" w:color="auto"/>
        <w:left w:val="none" w:sz="0" w:space="0" w:color="auto"/>
        <w:bottom w:val="none" w:sz="0" w:space="0" w:color="auto"/>
        <w:right w:val="none" w:sz="0" w:space="0" w:color="auto"/>
      </w:divBdr>
    </w:div>
    <w:div w:id="447435639">
      <w:bodyDiv w:val="1"/>
      <w:marLeft w:val="0"/>
      <w:marRight w:val="0"/>
      <w:marTop w:val="0"/>
      <w:marBottom w:val="0"/>
      <w:divBdr>
        <w:top w:val="none" w:sz="0" w:space="0" w:color="auto"/>
        <w:left w:val="none" w:sz="0" w:space="0" w:color="auto"/>
        <w:bottom w:val="none" w:sz="0" w:space="0" w:color="auto"/>
        <w:right w:val="none" w:sz="0" w:space="0" w:color="auto"/>
      </w:divBdr>
    </w:div>
    <w:div w:id="448202145">
      <w:bodyDiv w:val="1"/>
      <w:marLeft w:val="0"/>
      <w:marRight w:val="0"/>
      <w:marTop w:val="0"/>
      <w:marBottom w:val="0"/>
      <w:divBdr>
        <w:top w:val="none" w:sz="0" w:space="0" w:color="auto"/>
        <w:left w:val="none" w:sz="0" w:space="0" w:color="auto"/>
        <w:bottom w:val="none" w:sz="0" w:space="0" w:color="auto"/>
        <w:right w:val="none" w:sz="0" w:space="0" w:color="auto"/>
      </w:divBdr>
    </w:div>
    <w:div w:id="449058116">
      <w:bodyDiv w:val="1"/>
      <w:marLeft w:val="0"/>
      <w:marRight w:val="0"/>
      <w:marTop w:val="0"/>
      <w:marBottom w:val="0"/>
      <w:divBdr>
        <w:top w:val="none" w:sz="0" w:space="0" w:color="auto"/>
        <w:left w:val="none" w:sz="0" w:space="0" w:color="auto"/>
        <w:bottom w:val="none" w:sz="0" w:space="0" w:color="auto"/>
        <w:right w:val="none" w:sz="0" w:space="0" w:color="auto"/>
      </w:divBdr>
    </w:div>
    <w:div w:id="449667194">
      <w:bodyDiv w:val="1"/>
      <w:marLeft w:val="0"/>
      <w:marRight w:val="0"/>
      <w:marTop w:val="0"/>
      <w:marBottom w:val="0"/>
      <w:divBdr>
        <w:top w:val="none" w:sz="0" w:space="0" w:color="auto"/>
        <w:left w:val="none" w:sz="0" w:space="0" w:color="auto"/>
        <w:bottom w:val="none" w:sz="0" w:space="0" w:color="auto"/>
        <w:right w:val="none" w:sz="0" w:space="0" w:color="auto"/>
      </w:divBdr>
    </w:div>
    <w:div w:id="450830740">
      <w:bodyDiv w:val="1"/>
      <w:marLeft w:val="0"/>
      <w:marRight w:val="0"/>
      <w:marTop w:val="0"/>
      <w:marBottom w:val="0"/>
      <w:divBdr>
        <w:top w:val="none" w:sz="0" w:space="0" w:color="auto"/>
        <w:left w:val="none" w:sz="0" w:space="0" w:color="auto"/>
        <w:bottom w:val="none" w:sz="0" w:space="0" w:color="auto"/>
        <w:right w:val="none" w:sz="0" w:space="0" w:color="auto"/>
      </w:divBdr>
    </w:div>
    <w:div w:id="453526609">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
    <w:div w:id="460073007">
      <w:bodyDiv w:val="1"/>
      <w:marLeft w:val="0"/>
      <w:marRight w:val="0"/>
      <w:marTop w:val="0"/>
      <w:marBottom w:val="0"/>
      <w:divBdr>
        <w:top w:val="none" w:sz="0" w:space="0" w:color="auto"/>
        <w:left w:val="none" w:sz="0" w:space="0" w:color="auto"/>
        <w:bottom w:val="none" w:sz="0" w:space="0" w:color="auto"/>
        <w:right w:val="none" w:sz="0" w:space="0" w:color="auto"/>
      </w:divBdr>
    </w:div>
    <w:div w:id="460415334">
      <w:bodyDiv w:val="1"/>
      <w:marLeft w:val="0"/>
      <w:marRight w:val="0"/>
      <w:marTop w:val="0"/>
      <w:marBottom w:val="0"/>
      <w:divBdr>
        <w:top w:val="none" w:sz="0" w:space="0" w:color="auto"/>
        <w:left w:val="none" w:sz="0" w:space="0" w:color="auto"/>
        <w:bottom w:val="none" w:sz="0" w:space="0" w:color="auto"/>
        <w:right w:val="none" w:sz="0" w:space="0" w:color="auto"/>
      </w:divBdr>
    </w:div>
    <w:div w:id="460535831">
      <w:bodyDiv w:val="1"/>
      <w:marLeft w:val="0"/>
      <w:marRight w:val="0"/>
      <w:marTop w:val="0"/>
      <w:marBottom w:val="0"/>
      <w:divBdr>
        <w:top w:val="none" w:sz="0" w:space="0" w:color="auto"/>
        <w:left w:val="none" w:sz="0" w:space="0" w:color="auto"/>
        <w:bottom w:val="none" w:sz="0" w:space="0" w:color="auto"/>
        <w:right w:val="none" w:sz="0" w:space="0" w:color="auto"/>
      </w:divBdr>
    </w:div>
    <w:div w:id="460853253">
      <w:bodyDiv w:val="1"/>
      <w:marLeft w:val="0"/>
      <w:marRight w:val="0"/>
      <w:marTop w:val="0"/>
      <w:marBottom w:val="0"/>
      <w:divBdr>
        <w:top w:val="none" w:sz="0" w:space="0" w:color="auto"/>
        <w:left w:val="none" w:sz="0" w:space="0" w:color="auto"/>
        <w:bottom w:val="none" w:sz="0" w:space="0" w:color="auto"/>
        <w:right w:val="none" w:sz="0" w:space="0" w:color="auto"/>
      </w:divBdr>
    </w:div>
    <w:div w:id="461339938">
      <w:bodyDiv w:val="1"/>
      <w:marLeft w:val="0"/>
      <w:marRight w:val="0"/>
      <w:marTop w:val="0"/>
      <w:marBottom w:val="0"/>
      <w:divBdr>
        <w:top w:val="none" w:sz="0" w:space="0" w:color="auto"/>
        <w:left w:val="none" w:sz="0" w:space="0" w:color="auto"/>
        <w:bottom w:val="none" w:sz="0" w:space="0" w:color="auto"/>
        <w:right w:val="none" w:sz="0" w:space="0" w:color="auto"/>
      </w:divBdr>
    </w:div>
    <w:div w:id="461728257">
      <w:bodyDiv w:val="1"/>
      <w:marLeft w:val="0"/>
      <w:marRight w:val="0"/>
      <w:marTop w:val="0"/>
      <w:marBottom w:val="0"/>
      <w:divBdr>
        <w:top w:val="none" w:sz="0" w:space="0" w:color="auto"/>
        <w:left w:val="none" w:sz="0" w:space="0" w:color="auto"/>
        <w:bottom w:val="none" w:sz="0" w:space="0" w:color="auto"/>
        <w:right w:val="none" w:sz="0" w:space="0" w:color="auto"/>
      </w:divBdr>
    </w:div>
    <w:div w:id="461733596">
      <w:bodyDiv w:val="1"/>
      <w:marLeft w:val="0"/>
      <w:marRight w:val="0"/>
      <w:marTop w:val="0"/>
      <w:marBottom w:val="0"/>
      <w:divBdr>
        <w:top w:val="none" w:sz="0" w:space="0" w:color="auto"/>
        <w:left w:val="none" w:sz="0" w:space="0" w:color="auto"/>
        <w:bottom w:val="none" w:sz="0" w:space="0" w:color="auto"/>
        <w:right w:val="none" w:sz="0" w:space="0" w:color="auto"/>
      </w:divBdr>
    </w:div>
    <w:div w:id="461921307">
      <w:bodyDiv w:val="1"/>
      <w:marLeft w:val="0"/>
      <w:marRight w:val="0"/>
      <w:marTop w:val="0"/>
      <w:marBottom w:val="0"/>
      <w:divBdr>
        <w:top w:val="none" w:sz="0" w:space="0" w:color="auto"/>
        <w:left w:val="none" w:sz="0" w:space="0" w:color="auto"/>
        <w:bottom w:val="none" w:sz="0" w:space="0" w:color="auto"/>
        <w:right w:val="none" w:sz="0" w:space="0" w:color="auto"/>
      </w:divBdr>
    </w:div>
    <w:div w:id="462121755">
      <w:bodyDiv w:val="1"/>
      <w:marLeft w:val="0"/>
      <w:marRight w:val="0"/>
      <w:marTop w:val="0"/>
      <w:marBottom w:val="0"/>
      <w:divBdr>
        <w:top w:val="none" w:sz="0" w:space="0" w:color="auto"/>
        <w:left w:val="none" w:sz="0" w:space="0" w:color="auto"/>
        <w:bottom w:val="none" w:sz="0" w:space="0" w:color="auto"/>
        <w:right w:val="none" w:sz="0" w:space="0" w:color="auto"/>
      </w:divBdr>
    </w:div>
    <w:div w:id="462430372">
      <w:bodyDiv w:val="1"/>
      <w:marLeft w:val="0"/>
      <w:marRight w:val="0"/>
      <w:marTop w:val="0"/>
      <w:marBottom w:val="0"/>
      <w:divBdr>
        <w:top w:val="none" w:sz="0" w:space="0" w:color="auto"/>
        <w:left w:val="none" w:sz="0" w:space="0" w:color="auto"/>
        <w:bottom w:val="none" w:sz="0" w:space="0" w:color="auto"/>
        <w:right w:val="none" w:sz="0" w:space="0" w:color="auto"/>
      </w:divBdr>
    </w:div>
    <w:div w:id="463813404">
      <w:bodyDiv w:val="1"/>
      <w:marLeft w:val="0"/>
      <w:marRight w:val="0"/>
      <w:marTop w:val="0"/>
      <w:marBottom w:val="0"/>
      <w:divBdr>
        <w:top w:val="none" w:sz="0" w:space="0" w:color="auto"/>
        <w:left w:val="none" w:sz="0" w:space="0" w:color="auto"/>
        <w:bottom w:val="none" w:sz="0" w:space="0" w:color="auto"/>
        <w:right w:val="none" w:sz="0" w:space="0" w:color="auto"/>
      </w:divBdr>
    </w:div>
    <w:div w:id="464005855">
      <w:bodyDiv w:val="1"/>
      <w:marLeft w:val="0"/>
      <w:marRight w:val="0"/>
      <w:marTop w:val="0"/>
      <w:marBottom w:val="0"/>
      <w:divBdr>
        <w:top w:val="none" w:sz="0" w:space="0" w:color="auto"/>
        <w:left w:val="none" w:sz="0" w:space="0" w:color="auto"/>
        <w:bottom w:val="none" w:sz="0" w:space="0" w:color="auto"/>
        <w:right w:val="none" w:sz="0" w:space="0" w:color="auto"/>
      </w:divBdr>
    </w:div>
    <w:div w:id="464355192">
      <w:bodyDiv w:val="1"/>
      <w:marLeft w:val="0"/>
      <w:marRight w:val="0"/>
      <w:marTop w:val="0"/>
      <w:marBottom w:val="0"/>
      <w:divBdr>
        <w:top w:val="none" w:sz="0" w:space="0" w:color="auto"/>
        <w:left w:val="none" w:sz="0" w:space="0" w:color="auto"/>
        <w:bottom w:val="none" w:sz="0" w:space="0" w:color="auto"/>
        <w:right w:val="none" w:sz="0" w:space="0" w:color="auto"/>
      </w:divBdr>
    </w:div>
    <w:div w:id="465313582">
      <w:bodyDiv w:val="1"/>
      <w:marLeft w:val="0"/>
      <w:marRight w:val="0"/>
      <w:marTop w:val="0"/>
      <w:marBottom w:val="0"/>
      <w:divBdr>
        <w:top w:val="none" w:sz="0" w:space="0" w:color="auto"/>
        <w:left w:val="none" w:sz="0" w:space="0" w:color="auto"/>
        <w:bottom w:val="none" w:sz="0" w:space="0" w:color="auto"/>
        <w:right w:val="none" w:sz="0" w:space="0" w:color="auto"/>
      </w:divBdr>
    </w:div>
    <w:div w:id="465975606">
      <w:bodyDiv w:val="1"/>
      <w:marLeft w:val="0"/>
      <w:marRight w:val="0"/>
      <w:marTop w:val="0"/>
      <w:marBottom w:val="0"/>
      <w:divBdr>
        <w:top w:val="none" w:sz="0" w:space="0" w:color="auto"/>
        <w:left w:val="none" w:sz="0" w:space="0" w:color="auto"/>
        <w:bottom w:val="none" w:sz="0" w:space="0" w:color="auto"/>
        <w:right w:val="none" w:sz="0" w:space="0" w:color="auto"/>
      </w:divBdr>
    </w:div>
    <w:div w:id="467865961">
      <w:bodyDiv w:val="1"/>
      <w:marLeft w:val="0"/>
      <w:marRight w:val="0"/>
      <w:marTop w:val="0"/>
      <w:marBottom w:val="0"/>
      <w:divBdr>
        <w:top w:val="none" w:sz="0" w:space="0" w:color="auto"/>
        <w:left w:val="none" w:sz="0" w:space="0" w:color="auto"/>
        <w:bottom w:val="none" w:sz="0" w:space="0" w:color="auto"/>
        <w:right w:val="none" w:sz="0" w:space="0" w:color="auto"/>
      </w:divBdr>
    </w:div>
    <w:div w:id="468013821">
      <w:bodyDiv w:val="1"/>
      <w:marLeft w:val="0"/>
      <w:marRight w:val="0"/>
      <w:marTop w:val="0"/>
      <w:marBottom w:val="0"/>
      <w:divBdr>
        <w:top w:val="none" w:sz="0" w:space="0" w:color="auto"/>
        <w:left w:val="none" w:sz="0" w:space="0" w:color="auto"/>
        <w:bottom w:val="none" w:sz="0" w:space="0" w:color="auto"/>
        <w:right w:val="none" w:sz="0" w:space="0" w:color="auto"/>
      </w:divBdr>
    </w:div>
    <w:div w:id="468405644">
      <w:bodyDiv w:val="1"/>
      <w:marLeft w:val="0"/>
      <w:marRight w:val="0"/>
      <w:marTop w:val="0"/>
      <w:marBottom w:val="0"/>
      <w:divBdr>
        <w:top w:val="none" w:sz="0" w:space="0" w:color="auto"/>
        <w:left w:val="none" w:sz="0" w:space="0" w:color="auto"/>
        <w:bottom w:val="none" w:sz="0" w:space="0" w:color="auto"/>
        <w:right w:val="none" w:sz="0" w:space="0" w:color="auto"/>
      </w:divBdr>
    </w:div>
    <w:div w:id="469133709">
      <w:bodyDiv w:val="1"/>
      <w:marLeft w:val="0"/>
      <w:marRight w:val="0"/>
      <w:marTop w:val="0"/>
      <w:marBottom w:val="0"/>
      <w:divBdr>
        <w:top w:val="none" w:sz="0" w:space="0" w:color="auto"/>
        <w:left w:val="none" w:sz="0" w:space="0" w:color="auto"/>
        <w:bottom w:val="none" w:sz="0" w:space="0" w:color="auto"/>
        <w:right w:val="none" w:sz="0" w:space="0" w:color="auto"/>
      </w:divBdr>
    </w:div>
    <w:div w:id="470363106">
      <w:bodyDiv w:val="1"/>
      <w:marLeft w:val="0"/>
      <w:marRight w:val="0"/>
      <w:marTop w:val="0"/>
      <w:marBottom w:val="0"/>
      <w:divBdr>
        <w:top w:val="none" w:sz="0" w:space="0" w:color="auto"/>
        <w:left w:val="none" w:sz="0" w:space="0" w:color="auto"/>
        <w:bottom w:val="none" w:sz="0" w:space="0" w:color="auto"/>
        <w:right w:val="none" w:sz="0" w:space="0" w:color="auto"/>
      </w:divBdr>
    </w:div>
    <w:div w:id="470446468">
      <w:bodyDiv w:val="1"/>
      <w:marLeft w:val="0"/>
      <w:marRight w:val="0"/>
      <w:marTop w:val="0"/>
      <w:marBottom w:val="0"/>
      <w:divBdr>
        <w:top w:val="none" w:sz="0" w:space="0" w:color="auto"/>
        <w:left w:val="none" w:sz="0" w:space="0" w:color="auto"/>
        <w:bottom w:val="none" w:sz="0" w:space="0" w:color="auto"/>
        <w:right w:val="none" w:sz="0" w:space="0" w:color="auto"/>
      </w:divBdr>
    </w:div>
    <w:div w:id="470944047">
      <w:bodyDiv w:val="1"/>
      <w:marLeft w:val="0"/>
      <w:marRight w:val="0"/>
      <w:marTop w:val="0"/>
      <w:marBottom w:val="0"/>
      <w:divBdr>
        <w:top w:val="none" w:sz="0" w:space="0" w:color="auto"/>
        <w:left w:val="none" w:sz="0" w:space="0" w:color="auto"/>
        <w:bottom w:val="none" w:sz="0" w:space="0" w:color="auto"/>
        <w:right w:val="none" w:sz="0" w:space="0" w:color="auto"/>
      </w:divBdr>
    </w:div>
    <w:div w:id="473523473">
      <w:bodyDiv w:val="1"/>
      <w:marLeft w:val="0"/>
      <w:marRight w:val="0"/>
      <w:marTop w:val="0"/>
      <w:marBottom w:val="0"/>
      <w:divBdr>
        <w:top w:val="none" w:sz="0" w:space="0" w:color="auto"/>
        <w:left w:val="none" w:sz="0" w:space="0" w:color="auto"/>
        <w:bottom w:val="none" w:sz="0" w:space="0" w:color="auto"/>
        <w:right w:val="none" w:sz="0" w:space="0" w:color="auto"/>
      </w:divBdr>
    </w:div>
    <w:div w:id="477380300">
      <w:bodyDiv w:val="1"/>
      <w:marLeft w:val="0"/>
      <w:marRight w:val="0"/>
      <w:marTop w:val="0"/>
      <w:marBottom w:val="0"/>
      <w:divBdr>
        <w:top w:val="none" w:sz="0" w:space="0" w:color="auto"/>
        <w:left w:val="none" w:sz="0" w:space="0" w:color="auto"/>
        <w:bottom w:val="none" w:sz="0" w:space="0" w:color="auto"/>
        <w:right w:val="none" w:sz="0" w:space="0" w:color="auto"/>
      </w:divBdr>
    </w:div>
    <w:div w:id="479231187">
      <w:bodyDiv w:val="1"/>
      <w:marLeft w:val="0"/>
      <w:marRight w:val="0"/>
      <w:marTop w:val="0"/>
      <w:marBottom w:val="0"/>
      <w:divBdr>
        <w:top w:val="none" w:sz="0" w:space="0" w:color="auto"/>
        <w:left w:val="none" w:sz="0" w:space="0" w:color="auto"/>
        <w:bottom w:val="none" w:sz="0" w:space="0" w:color="auto"/>
        <w:right w:val="none" w:sz="0" w:space="0" w:color="auto"/>
      </w:divBdr>
    </w:div>
    <w:div w:id="481507966">
      <w:bodyDiv w:val="1"/>
      <w:marLeft w:val="0"/>
      <w:marRight w:val="0"/>
      <w:marTop w:val="0"/>
      <w:marBottom w:val="0"/>
      <w:divBdr>
        <w:top w:val="none" w:sz="0" w:space="0" w:color="auto"/>
        <w:left w:val="none" w:sz="0" w:space="0" w:color="auto"/>
        <w:bottom w:val="none" w:sz="0" w:space="0" w:color="auto"/>
        <w:right w:val="none" w:sz="0" w:space="0" w:color="auto"/>
      </w:divBdr>
    </w:div>
    <w:div w:id="484665429">
      <w:bodyDiv w:val="1"/>
      <w:marLeft w:val="0"/>
      <w:marRight w:val="0"/>
      <w:marTop w:val="0"/>
      <w:marBottom w:val="0"/>
      <w:divBdr>
        <w:top w:val="none" w:sz="0" w:space="0" w:color="auto"/>
        <w:left w:val="none" w:sz="0" w:space="0" w:color="auto"/>
        <w:bottom w:val="none" w:sz="0" w:space="0" w:color="auto"/>
        <w:right w:val="none" w:sz="0" w:space="0" w:color="auto"/>
      </w:divBdr>
    </w:div>
    <w:div w:id="485168156">
      <w:bodyDiv w:val="1"/>
      <w:marLeft w:val="0"/>
      <w:marRight w:val="0"/>
      <w:marTop w:val="0"/>
      <w:marBottom w:val="0"/>
      <w:divBdr>
        <w:top w:val="none" w:sz="0" w:space="0" w:color="auto"/>
        <w:left w:val="none" w:sz="0" w:space="0" w:color="auto"/>
        <w:bottom w:val="none" w:sz="0" w:space="0" w:color="auto"/>
        <w:right w:val="none" w:sz="0" w:space="0" w:color="auto"/>
      </w:divBdr>
    </w:div>
    <w:div w:id="486164143">
      <w:bodyDiv w:val="1"/>
      <w:marLeft w:val="0"/>
      <w:marRight w:val="0"/>
      <w:marTop w:val="0"/>
      <w:marBottom w:val="0"/>
      <w:divBdr>
        <w:top w:val="none" w:sz="0" w:space="0" w:color="auto"/>
        <w:left w:val="none" w:sz="0" w:space="0" w:color="auto"/>
        <w:bottom w:val="none" w:sz="0" w:space="0" w:color="auto"/>
        <w:right w:val="none" w:sz="0" w:space="0" w:color="auto"/>
      </w:divBdr>
    </w:div>
    <w:div w:id="486552092">
      <w:bodyDiv w:val="1"/>
      <w:marLeft w:val="0"/>
      <w:marRight w:val="0"/>
      <w:marTop w:val="0"/>
      <w:marBottom w:val="0"/>
      <w:divBdr>
        <w:top w:val="none" w:sz="0" w:space="0" w:color="auto"/>
        <w:left w:val="none" w:sz="0" w:space="0" w:color="auto"/>
        <w:bottom w:val="none" w:sz="0" w:space="0" w:color="auto"/>
        <w:right w:val="none" w:sz="0" w:space="0" w:color="auto"/>
      </w:divBdr>
    </w:div>
    <w:div w:id="488638630">
      <w:bodyDiv w:val="1"/>
      <w:marLeft w:val="0"/>
      <w:marRight w:val="0"/>
      <w:marTop w:val="0"/>
      <w:marBottom w:val="0"/>
      <w:divBdr>
        <w:top w:val="none" w:sz="0" w:space="0" w:color="auto"/>
        <w:left w:val="none" w:sz="0" w:space="0" w:color="auto"/>
        <w:bottom w:val="none" w:sz="0" w:space="0" w:color="auto"/>
        <w:right w:val="none" w:sz="0" w:space="0" w:color="auto"/>
      </w:divBdr>
    </w:div>
    <w:div w:id="488641096">
      <w:bodyDiv w:val="1"/>
      <w:marLeft w:val="0"/>
      <w:marRight w:val="0"/>
      <w:marTop w:val="0"/>
      <w:marBottom w:val="0"/>
      <w:divBdr>
        <w:top w:val="none" w:sz="0" w:space="0" w:color="auto"/>
        <w:left w:val="none" w:sz="0" w:space="0" w:color="auto"/>
        <w:bottom w:val="none" w:sz="0" w:space="0" w:color="auto"/>
        <w:right w:val="none" w:sz="0" w:space="0" w:color="auto"/>
      </w:divBdr>
    </w:div>
    <w:div w:id="491726160">
      <w:bodyDiv w:val="1"/>
      <w:marLeft w:val="0"/>
      <w:marRight w:val="0"/>
      <w:marTop w:val="0"/>
      <w:marBottom w:val="0"/>
      <w:divBdr>
        <w:top w:val="none" w:sz="0" w:space="0" w:color="auto"/>
        <w:left w:val="none" w:sz="0" w:space="0" w:color="auto"/>
        <w:bottom w:val="none" w:sz="0" w:space="0" w:color="auto"/>
        <w:right w:val="none" w:sz="0" w:space="0" w:color="auto"/>
      </w:divBdr>
    </w:div>
    <w:div w:id="493449802">
      <w:bodyDiv w:val="1"/>
      <w:marLeft w:val="0"/>
      <w:marRight w:val="0"/>
      <w:marTop w:val="0"/>
      <w:marBottom w:val="0"/>
      <w:divBdr>
        <w:top w:val="none" w:sz="0" w:space="0" w:color="auto"/>
        <w:left w:val="none" w:sz="0" w:space="0" w:color="auto"/>
        <w:bottom w:val="none" w:sz="0" w:space="0" w:color="auto"/>
        <w:right w:val="none" w:sz="0" w:space="0" w:color="auto"/>
      </w:divBdr>
    </w:div>
    <w:div w:id="493841451">
      <w:bodyDiv w:val="1"/>
      <w:marLeft w:val="0"/>
      <w:marRight w:val="0"/>
      <w:marTop w:val="0"/>
      <w:marBottom w:val="0"/>
      <w:divBdr>
        <w:top w:val="none" w:sz="0" w:space="0" w:color="auto"/>
        <w:left w:val="none" w:sz="0" w:space="0" w:color="auto"/>
        <w:bottom w:val="none" w:sz="0" w:space="0" w:color="auto"/>
        <w:right w:val="none" w:sz="0" w:space="0" w:color="auto"/>
      </w:divBdr>
    </w:div>
    <w:div w:id="494763663">
      <w:bodyDiv w:val="1"/>
      <w:marLeft w:val="0"/>
      <w:marRight w:val="0"/>
      <w:marTop w:val="0"/>
      <w:marBottom w:val="0"/>
      <w:divBdr>
        <w:top w:val="none" w:sz="0" w:space="0" w:color="auto"/>
        <w:left w:val="none" w:sz="0" w:space="0" w:color="auto"/>
        <w:bottom w:val="none" w:sz="0" w:space="0" w:color="auto"/>
        <w:right w:val="none" w:sz="0" w:space="0" w:color="auto"/>
      </w:divBdr>
    </w:div>
    <w:div w:id="495003041">
      <w:bodyDiv w:val="1"/>
      <w:marLeft w:val="0"/>
      <w:marRight w:val="0"/>
      <w:marTop w:val="0"/>
      <w:marBottom w:val="0"/>
      <w:divBdr>
        <w:top w:val="none" w:sz="0" w:space="0" w:color="auto"/>
        <w:left w:val="none" w:sz="0" w:space="0" w:color="auto"/>
        <w:bottom w:val="none" w:sz="0" w:space="0" w:color="auto"/>
        <w:right w:val="none" w:sz="0" w:space="0" w:color="auto"/>
      </w:divBdr>
    </w:div>
    <w:div w:id="495071589">
      <w:bodyDiv w:val="1"/>
      <w:marLeft w:val="0"/>
      <w:marRight w:val="0"/>
      <w:marTop w:val="0"/>
      <w:marBottom w:val="0"/>
      <w:divBdr>
        <w:top w:val="none" w:sz="0" w:space="0" w:color="auto"/>
        <w:left w:val="none" w:sz="0" w:space="0" w:color="auto"/>
        <w:bottom w:val="none" w:sz="0" w:space="0" w:color="auto"/>
        <w:right w:val="none" w:sz="0" w:space="0" w:color="auto"/>
      </w:divBdr>
    </w:div>
    <w:div w:id="496723838">
      <w:bodyDiv w:val="1"/>
      <w:marLeft w:val="0"/>
      <w:marRight w:val="0"/>
      <w:marTop w:val="0"/>
      <w:marBottom w:val="0"/>
      <w:divBdr>
        <w:top w:val="none" w:sz="0" w:space="0" w:color="auto"/>
        <w:left w:val="none" w:sz="0" w:space="0" w:color="auto"/>
        <w:bottom w:val="none" w:sz="0" w:space="0" w:color="auto"/>
        <w:right w:val="none" w:sz="0" w:space="0" w:color="auto"/>
      </w:divBdr>
    </w:div>
    <w:div w:id="497115971">
      <w:bodyDiv w:val="1"/>
      <w:marLeft w:val="0"/>
      <w:marRight w:val="0"/>
      <w:marTop w:val="0"/>
      <w:marBottom w:val="0"/>
      <w:divBdr>
        <w:top w:val="none" w:sz="0" w:space="0" w:color="auto"/>
        <w:left w:val="none" w:sz="0" w:space="0" w:color="auto"/>
        <w:bottom w:val="none" w:sz="0" w:space="0" w:color="auto"/>
        <w:right w:val="none" w:sz="0" w:space="0" w:color="auto"/>
      </w:divBdr>
    </w:div>
    <w:div w:id="497355888">
      <w:bodyDiv w:val="1"/>
      <w:marLeft w:val="0"/>
      <w:marRight w:val="0"/>
      <w:marTop w:val="0"/>
      <w:marBottom w:val="0"/>
      <w:divBdr>
        <w:top w:val="none" w:sz="0" w:space="0" w:color="auto"/>
        <w:left w:val="none" w:sz="0" w:space="0" w:color="auto"/>
        <w:bottom w:val="none" w:sz="0" w:space="0" w:color="auto"/>
        <w:right w:val="none" w:sz="0" w:space="0" w:color="auto"/>
      </w:divBdr>
    </w:div>
    <w:div w:id="499464229">
      <w:bodyDiv w:val="1"/>
      <w:marLeft w:val="0"/>
      <w:marRight w:val="0"/>
      <w:marTop w:val="0"/>
      <w:marBottom w:val="0"/>
      <w:divBdr>
        <w:top w:val="none" w:sz="0" w:space="0" w:color="auto"/>
        <w:left w:val="none" w:sz="0" w:space="0" w:color="auto"/>
        <w:bottom w:val="none" w:sz="0" w:space="0" w:color="auto"/>
        <w:right w:val="none" w:sz="0" w:space="0" w:color="auto"/>
      </w:divBdr>
    </w:div>
    <w:div w:id="500704350">
      <w:bodyDiv w:val="1"/>
      <w:marLeft w:val="0"/>
      <w:marRight w:val="0"/>
      <w:marTop w:val="0"/>
      <w:marBottom w:val="0"/>
      <w:divBdr>
        <w:top w:val="none" w:sz="0" w:space="0" w:color="auto"/>
        <w:left w:val="none" w:sz="0" w:space="0" w:color="auto"/>
        <w:bottom w:val="none" w:sz="0" w:space="0" w:color="auto"/>
        <w:right w:val="none" w:sz="0" w:space="0" w:color="auto"/>
      </w:divBdr>
    </w:div>
    <w:div w:id="501160947">
      <w:bodyDiv w:val="1"/>
      <w:marLeft w:val="0"/>
      <w:marRight w:val="0"/>
      <w:marTop w:val="0"/>
      <w:marBottom w:val="0"/>
      <w:divBdr>
        <w:top w:val="none" w:sz="0" w:space="0" w:color="auto"/>
        <w:left w:val="none" w:sz="0" w:space="0" w:color="auto"/>
        <w:bottom w:val="none" w:sz="0" w:space="0" w:color="auto"/>
        <w:right w:val="none" w:sz="0" w:space="0" w:color="auto"/>
      </w:divBdr>
    </w:div>
    <w:div w:id="501284975">
      <w:bodyDiv w:val="1"/>
      <w:marLeft w:val="0"/>
      <w:marRight w:val="0"/>
      <w:marTop w:val="0"/>
      <w:marBottom w:val="0"/>
      <w:divBdr>
        <w:top w:val="none" w:sz="0" w:space="0" w:color="auto"/>
        <w:left w:val="none" w:sz="0" w:space="0" w:color="auto"/>
        <w:bottom w:val="none" w:sz="0" w:space="0" w:color="auto"/>
        <w:right w:val="none" w:sz="0" w:space="0" w:color="auto"/>
      </w:divBdr>
    </w:div>
    <w:div w:id="501774847">
      <w:bodyDiv w:val="1"/>
      <w:marLeft w:val="0"/>
      <w:marRight w:val="0"/>
      <w:marTop w:val="0"/>
      <w:marBottom w:val="0"/>
      <w:divBdr>
        <w:top w:val="none" w:sz="0" w:space="0" w:color="auto"/>
        <w:left w:val="none" w:sz="0" w:space="0" w:color="auto"/>
        <w:bottom w:val="none" w:sz="0" w:space="0" w:color="auto"/>
        <w:right w:val="none" w:sz="0" w:space="0" w:color="auto"/>
      </w:divBdr>
    </w:div>
    <w:div w:id="502160920">
      <w:bodyDiv w:val="1"/>
      <w:marLeft w:val="0"/>
      <w:marRight w:val="0"/>
      <w:marTop w:val="0"/>
      <w:marBottom w:val="0"/>
      <w:divBdr>
        <w:top w:val="none" w:sz="0" w:space="0" w:color="auto"/>
        <w:left w:val="none" w:sz="0" w:space="0" w:color="auto"/>
        <w:bottom w:val="none" w:sz="0" w:space="0" w:color="auto"/>
        <w:right w:val="none" w:sz="0" w:space="0" w:color="auto"/>
      </w:divBdr>
    </w:div>
    <w:div w:id="505024083">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07528946">
      <w:bodyDiv w:val="1"/>
      <w:marLeft w:val="0"/>
      <w:marRight w:val="0"/>
      <w:marTop w:val="0"/>
      <w:marBottom w:val="0"/>
      <w:divBdr>
        <w:top w:val="none" w:sz="0" w:space="0" w:color="auto"/>
        <w:left w:val="none" w:sz="0" w:space="0" w:color="auto"/>
        <w:bottom w:val="none" w:sz="0" w:space="0" w:color="auto"/>
        <w:right w:val="none" w:sz="0" w:space="0" w:color="auto"/>
      </w:divBdr>
    </w:div>
    <w:div w:id="509372344">
      <w:bodyDiv w:val="1"/>
      <w:marLeft w:val="0"/>
      <w:marRight w:val="0"/>
      <w:marTop w:val="0"/>
      <w:marBottom w:val="0"/>
      <w:divBdr>
        <w:top w:val="none" w:sz="0" w:space="0" w:color="auto"/>
        <w:left w:val="none" w:sz="0" w:space="0" w:color="auto"/>
        <w:bottom w:val="none" w:sz="0" w:space="0" w:color="auto"/>
        <w:right w:val="none" w:sz="0" w:space="0" w:color="auto"/>
      </w:divBdr>
    </w:div>
    <w:div w:id="509419177">
      <w:bodyDiv w:val="1"/>
      <w:marLeft w:val="0"/>
      <w:marRight w:val="0"/>
      <w:marTop w:val="0"/>
      <w:marBottom w:val="0"/>
      <w:divBdr>
        <w:top w:val="none" w:sz="0" w:space="0" w:color="auto"/>
        <w:left w:val="none" w:sz="0" w:space="0" w:color="auto"/>
        <w:bottom w:val="none" w:sz="0" w:space="0" w:color="auto"/>
        <w:right w:val="none" w:sz="0" w:space="0" w:color="auto"/>
      </w:divBdr>
    </w:div>
    <w:div w:id="509637708">
      <w:bodyDiv w:val="1"/>
      <w:marLeft w:val="0"/>
      <w:marRight w:val="0"/>
      <w:marTop w:val="0"/>
      <w:marBottom w:val="0"/>
      <w:divBdr>
        <w:top w:val="none" w:sz="0" w:space="0" w:color="auto"/>
        <w:left w:val="none" w:sz="0" w:space="0" w:color="auto"/>
        <w:bottom w:val="none" w:sz="0" w:space="0" w:color="auto"/>
        <w:right w:val="none" w:sz="0" w:space="0" w:color="auto"/>
      </w:divBdr>
    </w:div>
    <w:div w:id="510875433">
      <w:bodyDiv w:val="1"/>
      <w:marLeft w:val="0"/>
      <w:marRight w:val="0"/>
      <w:marTop w:val="0"/>
      <w:marBottom w:val="0"/>
      <w:divBdr>
        <w:top w:val="none" w:sz="0" w:space="0" w:color="auto"/>
        <w:left w:val="none" w:sz="0" w:space="0" w:color="auto"/>
        <w:bottom w:val="none" w:sz="0" w:space="0" w:color="auto"/>
        <w:right w:val="none" w:sz="0" w:space="0" w:color="auto"/>
      </w:divBdr>
    </w:div>
    <w:div w:id="511771929">
      <w:bodyDiv w:val="1"/>
      <w:marLeft w:val="0"/>
      <w:marRight w:val="0"/>
      <w:marTop w:val="0"/>
      <w:marBottom w:val="0"/>
      <w:divBdr>
        <w:top w:val="none" w:sz="0" w:space="0" w:color="auto"/>
        <w:left w:val="none" w:sz="0" w:space="0" w:color="auto"/>
        <w:bottom w:val="none" w:sz="0" w:space="0" w:color="auto"/>
        <w:right w:val="none" w:sz="0" w:space="0" w:color="auto"/>
      </w:divBdr>
    </w:div>
    <w:div w:id="511840200">
      <w:bodyDiv w:val="1"/>
      <w:marLeft w:val="0"/>
      <w:marRight w:val="0"/>
      <w:marTop w:val="0"/>
      <w:marBottom w:val="0"/>
      <w:divBdr>
        <w:top w:val="none" w:sz="0" w:space="0" w:color="auto"/>
        <w:left w:val="none" w:sz="0" w:space="0" w:color="auto"/>
        <w:bottom w:val="none" w:sz="0" w:space="0" w:color="auto"/>
        <w:right w:val="none" w:sz="0" w:space="0" w:color="auto"/>
      </w:divBdr>
    </w:div>
    <w:div w:id="515585622">
      <w:bodyDiv w:val="1"/>
      <w:marLeft w:val="0"/>
      <w:marRight w:val="0"/>
      <w:marTop w:val="0"/>
      <w:marBottom w:val="0"/>
      <w:divBdr>
        <w:top w:val="none" w:sz="0" w:space="0" w:color="auto"/>
        <w:left w:val="none" w:sz="0" w:space="0" w:color="auto"/>
        <w:bottom w:val="none" w:sz="0" w:space="0" w:color="auto"/>
        <w:right w:val="none" w:sz="0" w:space="0" w:color="auto"/>
      </w:divBdr>
    </w:div>
    <w:div w:id="516237440">
      <w:bodyDiv w:val="1"/>
      <w:marLeft w:val="0"/>
      <w:marRight w:val="0"/>
      <w:marTop w:val="0"/>
      <w:marBottom w:val="0"/>
      <w:divBdr>
        <w:top w:val="none" w:sz="0" w:space="0" w:color="auto"/>
        <w:left w:val="none" w:sz="0" w:space="0" w:color="auto"/>
        <w:bottom w:val="none" w:sz="0" w:space="0" w:color="auto"/>
        <w:right w:val="none" w:sz="0" w:space="0" w:color="auto"/>
      </w:divBdr>
    </w:div>
    <w:div w:id="517698384">
      <w:bodyDiv w:val="1"/>
      <w:marLeft w:val="0"/>
      <w:marRight w:val="0"/>
      <w:marTop w:val="0"/>
      <w:marBottom w:val="0"/>
      <w:divBdr>
        <w:top w:val="none" w:sz="0" w:space="0" w:color="auto"/>
        <w:left w:val="none" w:sz="0" w:space="0" w:color="auto"/>
        <w:bottom w:val="none" w:sz="0" w:space="0" w:color="auto"/>
        <w:right w:val="none" w:sz="0" w:space="0" w:color="auto"/>
      </w:divBdr>
    </w:div>
    <w:div w:id="517744482">
      <w:bodyDiv w:val="1"/>
      <w:marLeft w:val="0"/>
      <w:marRight w:val="0"/>
      <w:marTop w:val="0"/>
      <w:marBottom w:val="0"/>
      <w:divBdr>
        <w:top w:val="none" w:sz="0" w:space="0" w:color="auto"/>
        <w:left w:val="none" w:sz="0" w:space="0" w:color="auto"/>
        <w:bottom w:val="none" w:sz="0" w:space="0" w:color="auto"/>
        <w:right w:val="none" w:sz="0" w:space="0" w:color="auto"/>
      </w:divBdr>
    </w:div>
    <w:div w:id="519399342">
      <w:bodyDiv w:val="1"/>
      <w:marLeft w:val="0"/>
      <w:marRight w:val="0"/>
      <w:marTop w:val="0"/>
      <w:marBottom w:val="0"/>
      <w:divBdr>
        <w:top w:val="none" w:sz="0" w:space="0" w:color="auto"/>
        <w:left w:val="none" w:sz="0" w:space="0" w:color="auto"/>
        <w:bottom w:val="none" w:sz="0" w:space="0" w:color="auto"/>
        <w:right w:val="none" w:sz="0" w:space="0" w:color="auto"/>
      </w:divBdr>
    </w:div>
    <w:div w:id="519588785">
      <w:bodyDiv w:val="1"/>
      <w:marLeft w:val="0"/>
      <w:marRight w:val="0"/>
      <w:marTop w:val="0"/>
      <w:marBottom w:val="0"/>
      <w:divBdr>
        <w:top w:val="none" w:sz="0" w:space="0" w:color="auto"/>
        <w:left w:val="none" w:sz="0" w:space="0" w:color="auto"/>
        <w:bottom w:val="none" w:sz="0" w:space="0" w:color="auto"/>
        <w:right w:val="none" w:sz="0" w:space="0" w:color="auto"/>
      </w:divBdr>
    </w:div>
    <w:div w:id="520050296">
      <w:bodyDiv w:val="1"/>
      <w:marLeft w:val="0"/>
      <w:marRight w:val="0"/>
      <w:marTop w:val="0"/>
      <w:marBottom w:val="0"/>
      <w:divBdr>
        <w:top w:val="none" w:sz="0" w:space="0" w:color="auto"/>
        <w:left w:val="none" w:sz="0" w:space="0" w:color="auto"/>
        <w:bottom w:val="none" w:sz="0" w:space="0" w:color="auto"/>
        <w:right w:val="none" w:sz="0" w:space="0" w:color="auto"/>
      </w:divBdr>
    </w:div>
    <w:div w:id="521821653">
      <w:bodyDiv w:val="1"/>
      <w:marLeft w:val="0"/>
      <w:marRight w:val="0"/>
      <w:marTop w:val="0"/>
      <w:marBottom w:val="0"/>
      <w:divBdr>
        <w:top w:val="none" w:sz="0" w:space="0" w:color="auto"/>
        <w:left w:val="none" w:sz="0" w:space="0" w:color="auto"/>
        <w:bottom w:val="none" w:sz="0" w:space="0" w:color="auto"/>
        <w:right w:val="none" w:sz="0" w:space="0" w:color="auto"/>
      </w:divBdr>
    </w:div>
    <w:div w:id="523254995">
      <w:bodyDiv w:val="1"/>
      <w:marLeft w:val="0"/>
      <w:marRight w:val="0"/>
      <w:marTop w:val="0"/>
      <w:marBottom w:val="0"/>
      <w:divBdr>
        <w:top w:val="none" w:sz="0" w:space="0" w:color="auto"/>
        <w:left w:val="none" w:sz="0" w:space="0" w:color="auto"/>
        <w:bottom w:val="none" w:sz="0" w:space="0" w:color="auto"/>
        <w:right w:val="none" w:sz="0" w:space="0" w:color="auto"/>
      </w:divBdr>
    </w:div>
    <w:div w:id="524363037">
      <w:bodyDiv w:val="1"/>
      <w:marLeft w:val="0"/>
      <w:marRight w:val="0"/>
      <w:marTop w:val="0"/>
      <w:marBottom w:val="0"/>
      <w:divBdr>
        <w:top w:val="none" w:sz="0" w:space="0" w:color="auto"/>
        <w:left w:val="none" w:sz="0" w:space="0" w:color="auto"/>
        <w:bottom w:val="none" w:sz="0" w:space="0" w:color="auto"/>
        <w:right w:val="none" w:sz="0" w:space="0" w:color="auto"/>
      </w:divBdr>
    </w:div>
    <w:div w:id="524826301">
      <w:bodyDiv w:val="1"/>
      <w:marLeft w:val="0"/>
      <w:marRight w:val="0"/>
      <w:marTop w:val="0"/>
      <w:marBottom w:val="0"/>
      <w:divBdr>
        <w:top w:val="none" w:sz="0" w:space="0" w:color="auto"/>
        <w:left w:val="none" w:sz="0" w:space="0" w:color="auto"/>
        <w:bottom w:val="none" w:sz="0" w:space="0" w:color="auto"/>
        <w:right w:val="none" w:sz="0" w:space="0" w:color="auto"/>
      </w:divBdr>
    </w:div>
    <w:div w:id="525292504">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527838201">
      <w:bodyDiv w:val="1"/>
      <w:marLeft w:val="0"/>
      <w:marRight w:val="0"/>
      <w:marTop w:val="0"/>
      <w:marBottom w:val="0"/>
      <w:divBdr>
        <w:top w:val="none" w:sz="0" w:space="0" w:color="auto"/>
        <w:left w:val="none" w:sz="0" w:space="0" w:color="auto"/>
        <w:bottom w:val="none" w:sz="0" w:space="0" w:color="auto"/>
        <w:right w:val="none" w:sz="0" w:space="0" w:color="auto"/>
      </w:divBdr>
    </w:div>
    <w:div w:id="529419853">
      <w:bodyDiv w:val="1"/>
      <w:marLeft w:val="0"/>
      <w:marRight w:val="0"/>
      <w:marTop w:val="0"/>
      <w:marBottom w:val="0"/>
      <w:divBdr>
        <w:top w:val="none" w:sz="0" w:space="0" w:color="auto"/>
        <w:left w:val="none" w:sz="0" w:space="0" w:color="auto"/>
        <w:bottom w:val="none" w:sz="0" w:space="0" w:color="auto"/>
        <w:right w:val="none" w:sz="0" w:space="0" w:color="auto"/>
      </w:divBdr>
    </w:div>
    <w:div w:id="530337673">
      <w:bodyDiv w:val="1"/>
      <w:marLeft w:val="0"/>
      <w:marRight w:val="0"/>
      <w:marTop w:val="0"/>
      <w:marBottom w:val="0"/>
      <w:divBdr>
        <w:top w:val="none" w:sz="0" w:space="0" w:color="auto"/>
        <w:left w:val="none" w:sz="0" w:space="0" w:color="auto"/>
        <w:bottom w:val="none" w:sz="0" w:space="0" w:color="auto"/>
        <w:right w:val="none" w:sz="0" w:space="0" w:color="auto"/>
      </w:divBdr>
    </w:div>
    <w:div w:id="531575226">
      <w:bodyDiv w:val="1"/>
      <w:marLeft w:val="0"/>
      <w:marRight w:val="0"/>
      <w:marTop w:val="0"/>
      <w:marBottom w:val="0"/>
      <w:divBdr>
        <w:top w:val="none" w:sz="0" w:space="0" w:color="auto"/>
        <w:left w:val="none" w:sz="0" w:space="0" w:color="auto"/>
        <w:bottom w:val="none" w:sz="0" w:space="0" w:color="auto"/>
        <w:right w:val="none" w:sz="0" w:space="0" w:color="auto"/>
      </w:divBdr>
    </w:div>
    <w:div w:id="532349025">
      <w:bodyDiv w:val="1"/>
      <w:marLeft w:val="0"/>
      <w:marRight w:val="0"/>
      <w:marTop w:val="0"/>
      <w:marBottom w:val="0"/>
      <w:divBdr>
        <w:top w:val="none" w:sz="0" w:space="0" w:color="auto"/>
        <w:left w:val="none" w:sz="0" w:space="0" w:color="auto"/>
        <w:bottom w:val="none" w:sz="0" w:space="0" w:color="auto"/>
        <w:right w:val="none" w:sz="0" w:space="0" w:color="auto"/>
      </w:divBdr>
    </w:div>
    <w:div w:id="532689390">
      <w:bodyDiv w:val="1"/>
      <w:marLeft w:val="0"/>
      <w:marRight w:val="0"/>
      <w:marTop w:val="0"/>
      <w:marBottom w:val="0"/>
      <w:divBdr>
        <w:top w:val="none" w:sz="0" w:space="0" w:color="auto"/>
        <w:left w:val="none" w:sz="0" w:space="0" w:color="auto"/>
        <w:bottom w:val="none" w:sz="0" w:space="0" w:color="auto"/>
        <w:right w:val="none" w:sz="0" w:space="0" w:color="auto"/>
      </w:divBdr>
    </w:div>
    <w:div w:id="533269883">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33881996">
      <w:bodyDiv w:val="1"/>
      <w:marLeft w:val="0"/>
      <w:marRight w:val="0"/>
      <w:marTop w:val="0"/>
      <w:marBottom w:val="0"/>
      <w:divBdr>
        <w:top w:val="none" w:sz="0" w:space="0" w:color="auto"/>
        <w:left w:val="none" w:sz="0" w:space="0" w:color="auto"/>
        <w:bottom w:val="none" w:sz="0" w:space="0" w:color="auto"/>
        <w:right w:val="none" w:sz="0" w:space="0" w:color="auto"/>
      </w:divBdr>
    </w:div>
    <w:div w:id="534347001">
      <w:bodyDiv w:val="1"/>
      <w:marLeft w:val="0"/>
      <w:marRight w:val="0"/>
      <w:marTop w:val="0"/>
      <w:marBottom w:val="0"/>
      <w:divBdr>
        <w:top w:val="none" w:sz="0" w:space="0" w:color="auto"/>
        <w:left w:val="none" w:sz="0" w:space="0" w:color="auto"/>
        <w:bottom w:val="none" w:sz="0" w:space="0" w:color="auto"/>
        <w:right w:val="none" w:sz="0" w:space="0" w:color="auto"/>
      </w:divBdr>
    </w:div>
    <w:div w:id="534463757">
      <w:bodyDiv w:val="1"/>
      <w:marLeft w:val="0"/>
      <w:marRight w:val="0"/>
      <w:marTop w:val="0"/>
      <w:marBottom w:val="0"/>
      <w:divBdr>
        <w:top w:val="none" w:sz="0" w:space="0" w:color="auto"/>
        <w:left w:val="none" w:sz="0" w:space="0" w:color="auto"/>
        <w:bottom w:val="none" w:sz="0" w:space="0" w:color="auto"/>
        <w:right w:val="none" w:sz="0" w:space="0" w:color="auto"/>
      </w:divBdr>
    </w:div>
    <w:div w:id="536431450">
      <w:bodyDiv w:val="1"/>
      <w:marLeft w:val="0"/>
      <w:marRight w:val="0"/>
      <w:marTop w:val="0"/>
      <w:marBottom w:val="0"/>
      <w:divBdr>
        <w:top w:val="none" w:sz="0" w:space="0" w:color="auto"/>
        <w:left w:val="none" w:sz="0" w:space="0" w:color="auto"/>
        <w:bottom w:val="none" w:sz="0" w:space="0" w:color="auto"/>
        <w:right w:val="none" w:sz="0" w:space="0" w:color="auto"/>
      </w:divBdr>
    </w:div>
    <w:div w:id="539826827">
      <w:bodyDiv w:val="1"/>
      <w:marLeft w:val="0"/>
      <w:marRight w:val="0"/>
      <w:marTop w:val="0"/>
      <w:marBottom w:val="0"/>
      <w:divBdr>
        <w:top w:val="none" w:sz="0" w:space="0" w:color="auto"/>
        <w:left w:val="none" w:sz="0" w:space="0" w:color="auto"/>
        <w:bottom w:val="none" w:sz="0" w:space="0" w:color="auto"/>
        <w:right w:val="none" w:sz="0" w:space="0" w:color="auto"/>
      </w:divBdr>
    </w:div>
    <w:div w:id="540171824">
      <w:marLeft w:val="0"/>
      <w:marRight w:val="0"/>
      <w:marTop w:val="0"/>
      <w:marBottom w:val="0"/>
      <w:divBdr>
        <w:top w:val="none" w:sz="0" w:space="0" w:color="auto"/>
        <w:left w:val="none" w:sz="0" w:space="0" w:color="auto"/>
        <w:bottom w:val="none" w:sz="0" w:space="0" w:color="auto"/>
        <w:right w:val="none" w:sz="0" w:space="0" w:color="auto"/>
      </w:divBdr>
    </w:div>
    <w:div w:id="540628076">
      <w:bodyDiv w:val="1"/>
      <w:marLeft w:val="0"/>
      <w:marRight w:val="0"/>
      <w:marTop w:val="0"/>
      <w:marBottom w:val="0"/>
      <w:divBdr>
        <w:top w:val="none" w:sz="0" w:space="0" w:color="auto"/>
        <w:left w:val="none" w:sz="0" w:space="0" w:color="auto"/>
        <w:bottom w:val="none" w:sz="0" w:space="0" w:color="auto"/>
        <w:right w:val="none" w:sz="0" w:space="0" w:color="auto"/>
      </w:divBdr>
    </w:div>
    <w:div w:id="540939540">
      <w:bodyDiv w:val="1"/>
      <w:marLeft w:val="0"/>
      <w:marRight w:val="0"/>
      <w:marTop w:val="0"/>
      <w:marBottom w:val="0"/>
      <w:divBdr>
        <w:top w:val="none" w:sz="0" w:space="0" w:color="auto"/>
        <w:left w:val="none" w:sz="0" w:space="0" w:color="auto"/>
        <w:bottom w:val="none" w:sz="0" w:space="0" w:color="auto"/>
        <w:right w:val="none" w:sz="0" w:space="0" w:color="auto"/>
      </w:divBdr>
    </w:div>
    <w:div w:id="542059475">
      <w:bodyDiv w:val="1"/>
      <w:marLeft w:val="0"/>
      <w:marRight w:val="0"/>
      <w:marTop w:val="0"/>
      <w:marBottom w:val="0"/>
      <w:divBdr>
        <w:top w:val="none" w:sz="0" w:space="0" w:color="auto"/>
        <w:left w:val="none" w:sz="0" w:space="0" w:color="auto"/>
        <w:bottom w:val="none" w:sz="0" w:space="0" w:color="auto"/>
        <w:right w:val="none" w:sz="0" w:space="0" w:color="auto"/>
      </w:divBdr>
    </w:div>
    <w:div w:id="542598057">
      <w:bodyDiv w:val="1"/>
      <w:marLeft w:val="0"/>
      <w:marRight w:val="0"/>
      <w:marTop w:val="0"/>
      <w:marBottom w:val="0"/>
      <w:divBdr>
        <w:top w:val="none" w:sz="0" w:space="0" w:color="auto"/>
        <w:left w:val="none" w:sz="0" w:space="0" w:color="auto"/>
        <w:bottom w:val="none" w:sz="0" w:space="0" w:color="auto"/>
        <w:right w:val="none" w:sz="0" w:space="0" w:color="auto"/>
      </w:divBdr>
    </w:div>
    <w:div w:id="542644118">
      <w:bodyDiv w:val="1"/>
      <w:marLeft w:val="0"/>
      <w:marRight w:val="0"/>
      <w:marTop w:val="0"/>
      <w:marBottom w:val="0"/>
      <w:divBdr>
        <w:top w:val="none" w:sz="0" w:space="0" w:color="auto"/>
        <w:left w:val="none" w:sz="0" w:space="0" w:color="auto"/>
        <w:bottom w:val="none" w:sz="0" w:space="0" w:color="auto"/>
        <w:right w:val="none" w:sz="0" w:space="0" w:color="auto"/>
      </w:divBdr>
    </w:div>
    <w:div w:id="544097639">
      <w:bodyDiv w:val="1"/>
      <w:marLeft w:val="0"/>
      <w:marRight w:val="0"/>
      <w:marTop w:val="0"/>
      <w:marBottom w:val="0"/>
      <w:divBdr>
        <w:top w:val="none" w:sz="0" w:space="0" w:color="auto"/>
        <w:left w:val="none" w:sz="0" w:space="0" w:color="auto"/>
        <w:bottom w:val="none" w:sz="0" w:space="0" w:color="auto"/>
        <w:right w:val="none" w:sz="0" w:space="0" w:color="auto"/>
      </w:divBdr>
    </w:div>
    <w:div w:id="545139668">
      <w:bodyDiv w:val="1"/>
      <w:marLeft w:val="0"/>
      <w:marRight w:val="0"/>
      <w:marTop w:val="0"/>
      <w:marBottom w:val="0"/>
      <w:divBdr>
        <w:top w:val="none" w:sz="0" w:space="0" w:color="auto"/>
        <w:left w:val="none" w:sz="0" w:space="0" w:color="auto"/>
        <w:bottom w:val="none" w:sz="0" w:space="0" w:color="auto"/>
        <w:right w:val="none" w:sz="0" w:space="0" w:color="auto"/>
      </w:divBdr>
    </w:div>
    <w:div w:id="546650875">
      <w:bodyDiv w:val="1"/>
      <w:marLeft w:val="0"/>
      <w:marRight w:val="0"/>
      <w:marTop w:val="0"/>
      <w:marBottom w:val="0"/>
      <w:divBdr>
        <w:top w:val="none" w:sz="0" w:space="0" w:color="auto"/>
        <w:left w:val="none" w:sz="0" w:space="0" w:color="auto"/>
        <w:bottom w:val="none" w:sz="0" w:space="0" w:color="auto"/>
        <w:right w:val="none" w:sz="0" w:space="0" w:color="auto"/>
      </w:divBdr>
    </w:div>
    <w:div w:id="546916765">
      <w:bodyDiv w:val="1"/>
      <w:marLeft w:val="0"/>
      <w:marRight w:val="0"/>
      <w:marTop w:val="0"/>
      <w:marBottom w:val="0"/>
      <w:divBdr>
        <w:top w:val="none" w:sz="0" w:space="0" w:color="auto"/>
        <w:left w:val="none" w:sz="0" w:space="0" w:color="auto"/>
        <w:bottom w:val="none" w:sz="0" w:space="0" w:color="auto"/>
        <w:right w:val="none" w:sz="0" w:space="0" w:color="auto"/>
      </w:divBdr>
    </w:div>
    <w:div w:id="547491024">
      <w:bodyDiv w:val="1"/>
      <w:marLeft w:val="0"/>
      <w:marRight w:val="0"/>
      <w:marTop w:val="0"/>
      <w:marBottom w:val="0"/>
      <w:divBdr>
        <w:top w:val="none" w:sz="0" w:space="0" w:color="auto"/>
        <w:left w:val="none" w:sz="0" w:space="0" w:color="auto"/>
        <w:bottom w:val="none" w:sz="0" w:space="0" w:color="auto"/>
        <w:right w:val="none" w:sz="0" w:space="0" w:color="auto"/>
      </w:divBdr>
    </w:div>
    <w:div w:id="548539935">
      <w:bodyDiv w:val="1"/>
      <w:marLeft w:val="0"/>
      <w:marRight w:val="0"/>
      <w:marTop w:val="0"/>
      <w:marBottom w:val="0"/>
      <w:divBdr>
        <w:top w:val="none" w:sz="0" w:space="0" w:color="auto"/>
        <w:left w:val="none" w:sz="0" w:space="0" w:color="auto"/>
        <w:bottom w:val="none" w:sz="0" w:space="0" w:color="auto"/>
        <w:right w:val="none" w:sz="0" w:space="0" w:color="auto"/>
      </w:divBdr>
    </w:div>
    <w:div w:id="548616401">
      <w:bodyDiv w:val="1"/>
      <w:marLeft w:val="0"/>
      <w:marRight w:val="0"/>
      <w:marTop w:val="0"/>
      <w:marBottom w:val="0"/>
      <w:divBdr>
        <w:top w:val="none" w:sz="0" w:space="0" w:color="auto"/>
        <w:left w:val="none" w:sz="0" w:space="0" w:color="auto"/>
        <w:bottom w:val="none" w:sz="0" w:space="0" w:color="auto"/>
        <w:right w:val="none" w:sz="0" w:space="0" w:color="auto"/>
      </w:divBdr>
    </w:div>
    <w:div w:id="549532413">
      <w:bodyDiv w:val="1"/>
      <w:marLeft w:val="0"/>
      <w:marRight w:val="0"/>
      <w:marTop w:val="0"/>
      <w:marBottom w:val="0"/>
      <w:divBdr>
        <w:top w:val="none" w:sz="0" w:space="0" w:color="auto"/>
        <w:left w:val="none" w:sz="0" w:space="0" w:color="auto"/>
        <w:bottom w:val="none" w:sz="0" w:space="0" w:color="auto"/>
        <w:right w:val="none" w:sz="0" w:space="0" w:color="auto"/>
      </w:divBdr>
    </w:div>
    <w:div w:id="550114081">
      <w:bodyDiv w:val="1"/>
      <w:marLeft w:val="0"/>
      <w:marRight w:val="0"/>
      <w:marTop w:val="0"/>
      <w:marBottom w:val="0"/>
      <w:divBdr>
        <w:top w:val="none" w:sz="0" w:space="0" w:color="auto"/>
        <w:left w:val="none" w:sz="0" w:space="0" w:color="auto"/>
        <w:bottom w:val="none" w:sz="0" w:space="0" w:color="auto"/>
        <w:right w:val="none" w:sz="0" w:space="0" w:color="auto"/>
      </w:divBdr>
    </w:div>
    <w:div w:id="550578615">
      <w:bodyDiv w:val="1"/>
      <w:marLeft w:val="0"/>
      <w:marRight w:val="0"/>
      <w:marTop w:val="0"/>
      <w:marBottom w:val="0"/>
      <w:divBdr>
        <w:top w:val="none" w:sz="0" w:space="0" w:color="auto"/>
        <w:left w:val="none" w:sz="0" w:space="0" w:color="auto"/>
        <w:bottom w:val="none" w:sz="0" w:space="0" w:color="auto"/>
        <w:right w:val="none" w:sz="0" w:space="0" w:color="auto"/>
      </w:divBdr>
    </w:div>
    <w:div w:id="551968481">
      <w:bodyDiv w:val="1"/>
      <w:marLeft w:val="0"/>
      <w:marRight w:val="0"/>
      <w:marTop w:val="0"/>
      <w:marBottom w:val="0"/>
      <w:divBdr>
        <w:top w:val="none" w:sz="0" w:space="0" w:color="auto"/>
        <w:left w:val="none" w:sz="0" w:space="0" w:color="auto"/>
        <w:bottom w:val="none" w:sz="0" w:space="0" w:color="auto"/>
        <w:right w:val="none" w:sz="0" w:space="0" w:color="auto"/>
      </w:divBdr>
    </w:div>
    <w:div w:id="552619927">
      <w:bodyDiv w:val="1"/>
      <w:marLeft w:val="0"/>
      <w:marRight w:val="0"/>
      <w:marTop w:val="0"/>
      <w:marBottom w:val="0"/>
      <w:divBdr>
        <w:top w:val="none" w:sz="0" w:space="0" w:color="auto"/>
        <w:left w:val="none" w:sz="0" w:space="0" w:color="auto"/>
        <w:bottom w:val="none" w:sz="0" w:space="0" w:color="auto"/>
        <w:right w:val="none" w:sz="0" w:space="0" w:color="auto"/>
      </w:divBdr>
    </w:div>
    <w:div w:id="552809272">
      <w:bodyDiv w:val="1"/>
      <w:marLeft w:val="0"/>
      <w:marRight w:val="0"/>
      <w:marTop w:val="0"/>
      <w:marBottom w:val="0"/>
      <w:divBdr>
        <w:top w:val="none" w:sz="0" w:space="0" w:color="auto"/>
        <w:left w:val="none" w:sz="0" w:space="0" w:color="auto"/>
        <w:bottom w:val="none" w:sz="0" w:space="0" w:color="auto"/>
        <w:right w:val="none" w:sz="0" w:space="0" w:color="auto"/>
      </w:divBdr>
    </w:div>
    <w:div w:id="553471794">
      <w:bodyDiv w:val="1"/>
      <w:marLeft w:val="0"/>
      <w:marRight w:val="0"/>
      <w:marTop w:val="0"/>
      <w:marBottom w:val="0"/>
      <w:divBdr>
        <w:top w:val="none" w:sz="0" w:space="0" w:color="auto"/>
        <w:left w:val="none" w:sz="0" w:space="0" w:color="auto"/>
        <w:bottom w:val="none" w:sz="0" w:space="0" w:color="auto"/>
        <w:right w:val="none" w:sz="0" w:space="0" w:color="auto"/>
      </w:divBdr>
    </w:div>
    <w:div w:id="554972678">
      <w:bodyDiv w:val="1"/>
      <w:marLeft w:val="0"/>
      <w:marRight w:val="0"/>
      <w:marTop w:val="0"/>
      <w:marBottom w:val="0"/>
      <w:divBdr>
        <w:top w:val="none" w:sz="0" w:space="0" w:color="auto"/>
        <w:left w:val="none" w:sz="0" w:space="0" w:color="auto"/>
        <w:bottom w:val="none" w:sz="0" w:space="0" w:color="auto"/>
        <w:right w:val="none" w:sz="0" w:space="0" w:color="auto"/>
      </w:divBdr>
    </w:div>
    <w:div w:id="558563678">
      <w:bodyDiv w:val="1"/>
      <w:marLeft w:val="0"/>
      <w:marRight w:val="0"/>
      <w:marTop w:val="0"/>
      <w:marBottom w:val="0"/>
      <w:divBdr>
        <w:top w:val="none" w:sz="0" w:space="0" w:color="auto"/>
        <w:left w:val="none" w:sz="0" w:space="0" w:color="auto"/>
        <w:bottom w:val="none" w:sz="0" w:space="0" w:color="auto"/>
        <w:right w:val="none" w:sz="0" w:space="0" w:color="auto"/>
      </w:divBdr>
    </w:div>
    <w:div w:id="559636098">
      <w:bodyDiv w:val="1"/>
      <w:marLeft w:val="0"/>
      <w:marRight w:val="0"/>
      <w:marTop w:val="0"/>
      <w:marBottom w:val="0"/>
      <w:divBdr>
        <w:top w:val="none" w:sz="0" w:space="0" w:color="auto"/>
        <w:left w:val="none" w:sz="0" w:space="0" w:color="auto"/>
        <w:bottom w:val="none" w:sz="0" w:space="0" w:color="auto"/>
        <w:right w:val="none" w:sz="0" w:space="0" w:color="auto"/>
      </w:divBdr>
    </w:div>
    <w:div w:id="560022593">
      <w:bodyDiv w:val="1"/>
      <w:marLeft w:val="0"/>
      <w:marRight w:val="0"/>
      <w:marTop w:val="0"/>
      <w:marBottom w:val="0"/>
      <w:divBdr>
        <w:top w:val="none" w:sz="0" w:space="0" w:color="auto"/>
        <w:left w:val="none" w:sz="0" w:space="0" w:color="auto"/>
        <w:bottom w:val="none" w:sz="0" w:space="0" w:color="auto"/>
        <w:right w:val="none" w:sz="0" w:space="0" w:color="auto"/>
      </w:divBdr>
    </w:div>
    <w:div w:id="560141435">
      <w:bodyDiv w:val="1"/>
      <w:marLeft w:val="0"/>
      <w:marRight w:val="0"/>
      <w:marTop w:val="0"/>
      <w:marBottom w:val="0"/>
      <w:divBdr>
        <w:top w:val="none" w:sz="0" w:space="0" w:color="auto"/>
        <w:left w:val="none" w:sz="0" w:space="0" w:color="auto"/>
        <w:bottom w:val="none" w:sz="0" w:space="0" w:color="auto"/>
        <w:right w:val="none" w:sz="0" w:space="0" w:color="auto"/>
      </w:divBdr>
    </w:div>
    <w:div w:id="560336694">
      <w:bodyDiv w:val="1"/>
      <w:marLeft w:val="0"/>
      <w:marRight w:val="0"/>
      <w:marTop w:val="0"/>
      <w:marBottom w:val="0"/>
      <w:divBdr>
        <w:top w:val="none" w:sz="0" w:space="0" w:color="auto"/>
        <w:left w:val="none" w:sz="0" w:space="0" w:color="auto"/>
        <w:bottom w:val="none" w:sz="0" w:space="0" w:color="auto"/>
        <w:right w:val="none" w:sz="0" w:space="0" w:color="auto"/>
      </w:divBdr>
    </w:div>
    <w:div w:id="560599740">
      <w:bodyDiv w:val="1"/>
      <w:marLeft w:val="0"/>
      <w:marRight w:val="0"/>
      <w:marTop w:val="0"/>
      <w:marBottom w:val="0"/>
      <w:divBdr>
        <w:top w:val="none" w:sz="0" w:space="0" w:color="auto"/>
        <w:left w:val="none" w:sz="0" w:space="0" w:color="auto"/>
        <w:bottom w:val="none" w:sz="0" w:space="0" w:color="auto"/>
        <w:right w:val="none" w:sz="0" w:space="0" w:color="auto"/>
      </w:divBdr>
    </w:div>
    <w:div w:id="561449618">
      <w:bodyDiv w:val="1"/>
      <w:marLeft w:val="0"/>
      <w:marRight w:val="0"/>
      <w:marTop w:val="0"/>
      <w:marBottom w:val="0"/>
      <w:divBdr>
        <w:top w:val="none" w:sz="0" w:space="0" w:color="auto"/>
        <w:left w:val="none" w:sz="0" w:space="0" w:color="auto"/>
        <w:bottom w:val="none" w:sz="0" w:space="0" w:color="auto"/>
        <w:right w:val="none" w:sz="0" w:space="0" w:color="auto"/>
      </w:divBdr>
    </w:div>
    <w:div w:id="562175579">
      <w:bodyDiv w:val="1"/>
      <w:marLeft w:val="0"/>
      <w:marRight w:val="0"/>
      <w:marTop w:val="0"/>
      <w:marBottom w:val="0"/>
      <w:divBdr>
        <w:top w:val="none" w:sz="0" w:space="0" w:color="auto"/>
        <w:left w:val="none" w:sz="0" w:space="0" w:color="auto"/>
        <w:bottom w:val="none" w:sz="0" w:space="0" w:color="auto"/>
        <w:right w:val="none" w:sz="0" w:space="0" w:color="auto"/>
      </w:divBdr>
    </w:div>
    <w:div w:id="562300056">
      <w:bodyDiv w:val="1"/>
      <w:marLeft w:val="0"/>
      <w:marRight w:val="0"/>
      <w:marTop w:val="0"/>
      <w:marBottom w:val="0"/>
      <w:divBdr>
        <w:top w:val="none" w:sz="0" w:space="0" w:color="auto"/>
        <w:left w:val="none" w:sz="0" w:space="0" w:color="auto"/>
        <w:bottom w:val="none" w:sz="0" w:space="0" w:color="auto"/>
        <w:right w:val="none" w:sz="0" w:space="0" w:color="auto"/>
      </w:divBdr>
    </w:div>
    <w:div w:id="562914556">
      <w:bodyDiv w:val="1"/>
      <w:marLeft w:val="0"/>
      <w:marRight w:val="0"/>
      <w:marTop w:val="0"/>
      <w:marBottom w:val="0"/>
      <w:divBdr>
        <w:top w:val="none" w:sz="0" w:space="0" w:color="auto"/>
        <w:left w:val="none" w:sz="0" w:space="0" w:color="auto"/>
        <w:bottom w:val="none" w:sz="0" w:space="0" w:color="auto"/>
        <w:right w:val="none" w:sz="0" w:space="0" w:color="auto"/>
      </w:divBdr>
    </w:div>
    <w:div w:id="563874189">
      <w:bodyDiv w:val="1"/>
      <w:marLeft w:val="0"/>
      <w:marRight w:val="0"/>
      <w:marTop w:val="0"/>
      <w:marBottom w:val="0"/>
      <w:divBdr>
        <w:top w:val="none" w:sz="0" w:space="0" w:color="auto"/>
        <w:left w:val="none" w:sz="0" w:space="0" w:color="auto"/>
        <w:bottom w:val="none" w:sz="0" w:space="0" w:color="auto"/>
        <w:right w:val="none" w:sz="0" w:space="0" w:color="auto"/>
      </w:divBdr>
    </w:div>
    <w:div w:id="564531918">
      <w:bodyDiv w:val="1"/>
      <w:marLeft w:val="0"/>
      <w:marRight w:val="0"/>
      <w:marTop w:val="0"/>
      <w:marBottom w:val="0"/>
      <w:divBdr>
        <w:top w:val="none" w:sz="0" w:space="0" w:color="auto"/>
        <w:left w:val="none" w:sz="0" w:space="0" w:color="auto"/>
        <w:bottom w:val="none" w:sz="0" w:space="0" w:color="auto"/>
        <w:right w:val="none" w:sz="0" w:space="0" w:color="auto"/>
      </w:divBdr>
    </w:div>
    <w:div w:id="564535777">
      <w:bodyDiv w:val="1"/>
      <w:marLeft w:val="0"/>
      <w:marRight w:val="0"/>
      <w:marTop w:val="0"/>
      <w:marBottom w:val="0"/>
      <w:divBdr>
        <w:top w:val="none" w:sz="0" w:space="0" w:color="auto"/>
        <w:left w:val="none" w:sz="0" w:space="0" w:color="auto"/>
        <w:bottom w:val="none" w:sz="0" w:space="0" w:color="auto"/>
        <w:right w:val="none" w:sz="0" w:space="0" w:color="auto"/>
      </w:divBdr>
    </w:div>
    <w:div w:id="567499330">
      <w:bodyDiv w:val="1"/>
      <w:marLeft w:val="0"/>
      <w:marRight w:val="0"/>
      <w:marTop w:val="0"/>
      <w:marBottom w:val="0"/>
      <w:divBdr>
        <w:top w:val="none" w:sz="0" w:space="0" w:color="auto"/>
        <w:left w:val="none" w:sz="0" w:space="0" w:color="auto"/>
        <w:bottom w:val="none" w:sz="0" w:space="0" w:color="auto"/>
        <w:right w:val="none" w:sz="0" w:space="0" w:color="auto"/>
      </w:divBdr>
    </w:div>
    <w:div w:id="568461834">
      <w:bodyDiv w:val="1"/>
      <w:marLeft w:val="0"/>
      <w:marRight w:val="0"/>
      <w:marTop w:val="0"/>
      <w:marBottom w:val="0"/>
      <w:divBdr>
        <w:top w:val="none" w:sz="0" w:space="0" w:color="auto"/>
        <w:left w:val="none" w:sz="0" w:space="0" w:color="auto"/>
        <w:bottom w:val="none" w:sz="0" w:space="0" w:color="auto"/>
        <w:right w:val="none" w:sz="0" w:space="0" w:color="auto"/>
      </w:divBdr>
    </w:div>
    <w:div w:id="569076073">
      <w:bodyDiv w:val="1"/>
      <w:marLeft w:val="0"/>
      <w:marRight w:val="0"/>
      <w:marTop w:val="0"/>
      <w:marBottom w:val="0"/>
      <w:divBdr>
        <w:top w:val="none" w:sz="0" w:space="0" w:color="auto"/>
        <w:left w:val="none" w:sz="0" w:space="0" w:color="auto"/>
        <w:bottom w:val="none" w:sz="0" w:space="0" w:color="auto"/>
        <w:right w:val="none" w:sz="0" w:space="0" w:color="auto"/>
      </w:divBdr>
    </w:div>
    <w:div w:id="569192812">
      <w:bodyDiv w:val="1"/>
      <w:marLeft w:val="0"/>
      <w:marRight w:val="0"/>
      <w:marTop w:val="0"/>
      <w:marBottom w:val="0"/>
      <w:divBdr>
        <w:top w:val="none" w:sz="0" w:space="0" w:color="auto"/>
        <w:left w:val="none" w:sz="0" w:space="0" w:color="auto"/>
        <w:bottom w:val="none" w:sz="0" w:space="0" w:color="auto"/>
        <w:right w:val="none" w:sz="0" w:space="0" w:color="auto"/>
      </w:divBdr>
    </w:div>
    <w:div w:id="569194945">
      <w:bodyDiv w:val="1"/>
      <w:marLeft w:val="0"/>
      <w:marRight w:val="0"/>
      <w:marTop w:val="0"/>
      <w:marBottom w:val="0"/>
      <w:divBdr>
        <w:top w:val="none" w:sz="0" w:space="0" w:color="auto"/>
        <w:left w:val="none" w:sz="0" w:space="0" w:color="auto"/>
        <w:bottom w:val="none" w:sz="0" w:space="0" w:color="auto"/>
        <w:right w:val="none" w:sz="0" w:space="0" w:color="auto"/>
      </w:divBdr>
    </w:div>
    <w:div w:id="569266786">
      <w:bodyDiv w:val="1"/>
      <w:marLeft w:val="0"/>
      <w:marRight w:val="0"/>
      <w:marTop w:val="0"/>
      <w:marBottom w:val="0"/>
      <w:divBdr>
        <w:top w:val="none" w:sz="0" w:space="0" w:color="auto"/>
        <w:left w:val="none" w:sz="0" w:space="0" w:color="auto"/>
        <w:bottom w:val="none" w:sz="0" w:space="0" w:color="auto"/>
        <w:right w:val="none" w:sz="0" w:space="0" w:color="auto"/>
      </w:divBdr>
    </w:div>
    <w:div w:id="570119969">
      <w:bodyDiv w:val="1"/>
      <w:marLeft w:val="0"/>
      <w:marRight w:val="0"/>
      <w:marTop w:val="0"/>
      <w:marBottom w:val="0"/>
      <w:divBdr>
        <w:top w:val="none" w:sz="0" w:space="0" w:color="auto"/>
        <w:left w:val="none" w:sz="0" w:space="0" w:color="auto"/>
        <w:bottom w:val="none" w:sz="0" w:space="0" w:color="auto"/>
        <w:right w:val="none" w:sz="0" w:space="0" w:color="auto"/>
      </w:divBdr>
    </w:div>
    <w:div w:id="571738701">
      <w:bodyDiv w:val="1"/>
      <w:marLeft w:val="0"/>
      <w:marRight w:val="0"/>
      <w:marTop w:val="0"/>
      <w:marBottom w:val="0"/>
      <w:divBdr>
        <w:top w:val="none" w:sz="0" w:space="0" w:color="auto"/>
        <w:left w:val="none" w:sz="0" w:space="0" w:color="auto"/>
        <w:bottom w:val="none" w:sz="0" w:space="0" w:color="auto"/>
        <w:right w:val="none" w:sz="0" w:space="0" w:color="auto"/>
      </w:divBdr>
    </w:div>
    <w:div w:id="572086941">
      <w:bodyDiv w:val="1"/>
      <w:marLeft w:val="0"/>
      <w:marRight w:val="0"/>
      <w:marTop w:val="0"/>
      <w:marBottom w:val="0"/>
      <w:divBdr>
        <w:top w:val="none" w:sz="0" w:space="0" w:color="auto"/>
        <w:left w:val="none" w:sz="0" w:space="0" w:color="auto"/>
        <w:bottom w:val="none" w:sz="0" w:space="0" w:color="auto"/>
        <w:right w:val="none" w:sz="0" w:space="0" w:color="auto"/>
      </w:divBdr>
    </w:div>
    <w:div w:id="574046244">
      <w:bodyDiv w:val="1"/>
      <w:marLeft w:val="0"/>
      <w:marRight w:val="0"/>
      <w:marTop w:val="0"/>
      <w:marBottom w:val="0"/>
      <w:divBdr>
        <w:top w:val="none" w:sz="0" w:space="0" w:color="auto"/>
        <w:left w:val="none" w:sz="0" w:space="0" w:color="auto"/>
        <w:bottom w:val="none" w:sz="0" w:space="0" w:color="auto"/>
        <w:right w:val="none" w:sz="0" w:space="0" w:color="auto"/>
      </w:divBdr>
    </w:div>
    <w:div w:id="574359448">
      <w:bodyDiv w:val="1"/>
      <w:marLeft w:val="0"/>
      <w:marRight w:val="0"/>
      <w:marTop w:val="0"/>
      <w:marBottom w:val="0"/>
      <w:divBdr>
        <w:top w:val="none" w:sz="0" w:space="0" w:color="auto"/>
        <w:left w:val="none" w:sz="0" w:space="0" w:color="auto"/>
        <w:bottom w:val="none" w:sz="0" w:space="0" w:color="auto"/>
        <w:right w:val="none" w:sz="0" w:space="0" w:color="auto"/>
      </w:divBdr>
    </w:div>
    <w:div w:id="576014662">
      <w:bodyDiv w:val="1"/>
      <w:marLeft w:val="0"/>
      <w:marRight w:val="0"/>
      <w:marTop w:val="0"/>
      <w:marBottom w:val="0"/>
      <w:divBdr>
        <w:top w:val="none" w:sz="0" w:space="0" w:color="auto"/>
        <w:left w:val="none" w:sz="0" w:space="0" w:color="auto"/>
        <w:bottom w:val="none" w:sz="0" w:space="0" w:color="auto"/>
        <w:right w:val="none" w:sz="0" w:space="0" w:color="auto"/>
      </w:divBdr>
    </w:div>
    <w:div w:id="576133209">
      <w:bodyDiv w:val="1"/>
      <w:marLeft w:val="0"/>
      <w:marRight w:val="0"/>
      <w:marTop w:val="0"/>
      <w:marBottom w:val="0"/>
      <w:divBdr>
        <w:top w:val="none" w:sz="0" w:space="0" w:color="auto"/>
        <w:left w:val="none" w:sz="0" w:space="0" w:color="auto"/>
        <w:bottom w:val="none" w:sz="0" w:space="0" w:color="auto"/>
        <w:right w:val="none" w:sz="0" w:space="0" w:color="auto"/>
      </w:divBdr>
    </w:div>
    <w:div w:id="576327053">
      <w:bodyDiv w:val="1"/>
      <w:marLeft w:val="0"/>
      <w:marRight w:val="0"/>
      <w:marTop w:val="0"/>
      <w:marBottom w:val="0"/>
      <w:divBdr>
        <w:top w:val="none" w:sz="0" w:space="0" w:color="auto"/>
        <w:left w:val="none" w:sz="0" w:space="0" w:color="auto"/>
        <w:bottom w:val="none" w:sz="0" w:space="0" w:color="auto"/>
        <w:right w:val="none" w:sz="0" w:space="0" w:color="auto"/>
      </w:divBdr>
    </w:div>
    <w:div w:id="577256229">
      <w:bodyDiv w:val="1"/>
      <w:marLeft w:val="0"/>
      <w:marRight w:val="0"/>
      <w:marTop w:val="0"/>
      <w:marBottom w:val="0"/>
      <w:divBdr>
        <w:top w:val="none" w:sz="0" w:space="0" w:color="auto"/>
        <w:left w:val="none" w:sz="0" w:space="0" w:color="auto"/>
        <w:bottom w:val="none" w:sz="0" w:space="0" w:color="auto"/>
        <w:right w:val="none" w:sz="0" w:space="0" w:color="auto"/>
      </w:divBdr>
    </w:div>
    <w:div w:id="577322246">
      <w:bodyDiv w:val="1"/>
      <w:marLeft w:val="0"/>
      <w:marRight w:val="0"/>
      <w:marTop w:val="0"/>
      <w:marBottom w:val="0"/>
      <w:divBdr>
        <w:top w:val="none" w:sz="0" w:space="0" w:color="auto"/>
        <w:left w:val="none" w:sz="0" w:space="0" w:color="auto"/>
        <w:bottom w:val="none" w:sz="0" w:space="0" w:color="auto"/>
        <w:right w:val="none" w:sz="0" w:space="0" w:color="auto"/>
      </w:divBdr>
    </w:div>
    <w:div w:id="578447303">
      <w:bodyDiv w:val="1"/>
      <w:marLeft w:val="0"/>
      <w:marRight w:val="0"/>
      <w:marTop w:val="0"/>
      <w:marBottom w:val="0"/>
      <w:divBdr>
        <w:top w:val="none" w:sz="0" w:space="0" w:color="auto"/>
        <w:left w:val="none" w:sz="0" w:space="0" w:color="auto"/>
        <w:bottom w:val="none" w:sz="0" w:space="0" w:color="auto"/>
        <w:right w:val="none" w:sz="0" w:space="0" w:color="auto"/>
      </w:divBdr>
    </w:div>
    <w:div w:id="578518075">
      <w:bodyDiv w:val="1"/>
      <w:marLeft w:val="0"/>
      <w:marRight w:val="0"/>
      <w:marTop w:val="0"/>
      <w:marBottom w:val="0"/>
      <w:divBdr>
        <w:top w:val="none" w:sz="0" w:space="0" w:color="auto"/>
        <w:left w:val="none" w:sz="0" w:space="0" w:color="auto"/>
        <w:bottom w:val="none" w:sz="0" w:space="0" w:color="auto"/>
        <w:right w:val="none" w:sz="0" w:space="0" w:color="auto"/>
      </w:divBdr>
    </w:div>
    <w:div w:id="579095201">
      <w:bodyDiv w:val="1"/>
      <w:marLeft w:val="0"/>
      <w:marRight w:val="0"/>
      <w:marTop w:val="0"/>
      <w:marBottom w:val="0"/>
      <w:divBdr>
        <w:top w:val="none" w:sz="0" w:space="0" w:color="auto"/>
        <w:left w:val="none" w:sz="0" w:space="0" w:color="auto"/>
        <w:bottom w:val="none" w:sz="0" w:space="0" w:color="auto"/>
        <w:right w:val="none" w:sz="0" w:space="0" w:color="auto"/>
      </w:divBdr>
    </w:div>
    <w:div w:id="579563258">
      <w:bodyDiv w:val="1"/>
      <w:marLeft w:val="0"/>
      <w:marRight w:val="0"/>
      <w:marTop w:val="0"/>
      <w:marBottom w:val="0"/>
      <w:divBdr>
        <w:top w:val="none" w:sz="0" w:space="0" w:color="auto"/>
        <w:left w:val="none" w:sz="0" w:space="0" w:color="auto"/>
        <w:bottom w:val="none" w:sz="0" w:space="0" w:color="auto"/>
        <w:right w:val="none" w:sz="0" w:space="0" w:color="auto"/>
      </w:divBdr>
    </w:div>
    <w:div w:id="579601675">
      <w:bodyDiv w:val="1"/>
      <w:marLeft w:val="0"/>
      <w:marRight w:val="0"/>
      <w:marTop w:val="0"/>
      <w:marBottom w:val="0"/>
      <w:divBdr>
        <w:top w:val="none" w:sz="0" w:space="0" w:color="auto"/>
        <w:left w:val="none" w:sz="0" w:space="0" w:color="auto"/>
        <w:bottom w:val="none" w:sz="0" w:space="0" w:color="auto"/>
        <w:right w:val="none" w:sz="0" w:space="0" w:color="auto"/>
      </w:divBdr>
    </w:div>
    <w:div w:id="579751888">
      <w:bodyDiv w:val="1"/>
      <w:marLeft w:val="0"/>
      <w:marRight w:val="0"/>
      <w:marTop w:val="0"/>
      <w:marBottom w:val="0"/>
      <w:divBdr>
        <w:top w:val="none" w:sz="0" w:space="0" w:color="auto"/>
        <w:left w:val="none" w:sz="0" w:space="0" w:color="auto"/>
        <w:bottom w:val="none" w:sz="0" w:space="0" w:color="auto"/>
        <w:right w:val="none" w:sz="0" w:space="0" w:color="auto"/>
      </w:divBdr>
    </w:div>
    <w:div w:id="580337356">
      <w:bodyDiv w:val="1"/>
      <w:marLeft w:val="0"/>
      <w:marRight w:val="0"/>
      <w:marTop w:val="0"/>
      <w:marBottom w:val="0"/>
      <w:divBdr>
        <w:top w:val="none" w:sz="0" w:space="0" w:color="auto"/>
        <w:left w:val="none" w:sz="0" w:space="0" w:color="auto"/>
        <w:bottom w:val="none" w:sz="0" w:space="0" w:color="auto"/>
        <w:right w:val="none" w:sz="0" w:space="0" w:color="auto"/>
      </w:divBdr>
    </w:div>
    <w:div w:id="581525185">
      <w:bodyDiv w:val="1"/>
      <w:marLeft w:val="0"/>
      <w:marRight w:val="0"/>
      <w:marTop w:val="0"/>
      <w:marBottom w:val="0"/>
      <w:divBdr>
        <w:top w:val="none" w:sz="0" w:space="0" w:color="auto"/>
        <w:left w:val="none" w:sz="0" w:space="0" w:color="auto"/>
        <w:bottom w:val="none" w:sz="0" w:space="0" w:color="auto"/>
        <w:right w:val="none" w:sz="0" w:space="0" w:color="auto"/>
      </w:divBdr>
    </w:div>
    <w:div w:id="581839185">
      <w:bodyDiv w:val="1"/>
      <w:marLeft w:val="0"/>
      <w:marRight w:val="0"/>
      <w:marTop w:val="0"/>
      <w:marBottom w:val="0"/>
      <w:divBdr>
        <w:top w:val="none" w:sz="0" w:space="0" w:color="auto"/>
        <w:left w:val="none" w:sz="0" w:space="0" w:color="auto"/>
        <w:bottom w:val="none" w:sz="0" w:space="0" w:color="auto"/>
        <w:right w:val="none" w:sz="0" w:space="0" w:color="auto"/>
      </w:divBdr>
    </w:div>
    <w:div w:id="582909102">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84999593">
      <w:bodyDiv w:val="1"/>
      <w:marLeft w:val="0"/>
      <w:marRight w:val="0"/>
      <w:marTop w:val="0"/>
      <w:marBottom w:val="0"/>
      <w:divBdr>
        <w:top w:val="none" w:sz="0" w:space="0" w:color="auto"/>
        <w:left w:val="none" w:sz="0" w:space="0" w:color="auto"/>
        <w:bottom w:val="none" w:sz="0" w:space="0" w:color="auto"/>
        <w:right w:val="none" w:sz="0" w:space="0" w:color="auto"/>
      </w:divBdr>
    </w:div>
    <w:div w:id="586038428">
      <w:bodyDiv w:val="1"/>
      <w:marLeft w:val="0"/>
      <w:marRight w:val="0"/>
      <w:marTop w:val="0"/>
      <w:marBottom w:val="0"/>
      <w:divBdr>
        <w:top w:val="none" w:sz="0" w:space="0" w:color="auto"/>
        <w:left w:val="none" w:sz="0" w:space="0" w:color="auto"/>
        <w:bottom w:val="none" w:sz="0" w:space="0" w:color="auto"/>
        <w:right w:val="none" w:sz="0" w:space="0" w:color="auto"/>
      </w:divBdr>
    </w:div>
    <w:div w:id="586230634">
      <w:bodyDiv w:val="1"/>
      <w:marLeft w:val="0"/>
      <w:marRight w:val="0"/>
      <w:marTop w:val="0"/>
      <w:marBottom w:val="0"/>
      <w:divBdr>
        <w:top w:val="none" w:sz="0" w:space="0" w:color="auto"/>
        <w:left w:val="none" w:sz="0" w:space="0" w:color="auto"/>
        <w:bottom w:val="none" w:sz="0" w:space="0" w:color="auto"/>
        <w:right w:val="none" w:sz="0" w:space="0" w:color="auto"/>
      </w:divBdr>
    </w:div>
    <w:div w:id="590354222">
      <w:bodyDiv w:val="1"/>
      <w:marLeft w:val="0"/>
      <w:marRight w:val="0"/>
      <w:marTop w:val="0"/>
      <w:marBottom w:val="0"/>
      <w:divBdr>
        <w:top w:val="none" w:sz="0" w:space="0" w:color="auto"/>
        <w:left w:val="none" w:sz="0" w:space="0" w:color="auto"/>
        <w:bottom w:val="none" w:sz="0" w:space="0" w:color="auto"/>
        <w:right w:val="none" w:sz="0" w:space="0" w:color="auto"/>
      </w:divBdr>
    </w:div>
    <w:div w:id="590361178">
      <w:bodyDiv w:val="1"/>
      <w:marLeft w:val="0"/>
      <w:marRight w:val="0"/>
      <w:marTop w:val="0"/>
      <w:marBottom w:val="0"/>
      <w:divBdr>
        <w:top w:val="none" w:sz="0" w:space="0" w:color="auto"/>
        <w:left w:val="none" w:sz="0" w:space="0" w:color="auto"/>
        <w:bottom w:val="none" w:sz="0" w:space="0" w:color="auto"/>
        <w:right w:val="none" w:sz="0" w:space="0" w:color="auto"/>
      </w:divBdr>
    </w:div>
    <w:div w:id="591596646">
      <w:bodyDiv w:val="1"/>
      <w:marLeft w:val="0"/>
      <w:marRight w:val="0"/>
      <w:marTop w:val="0"/>
      <w:marBottom w:val="0"/>
      <w:divBdr>
        <w:top w:val="none" w:sz="0" w:space="0" w:color="auto"/>
        <w:left w:val="none" w:sz="0" w:space="0" w:color="auto"/>
        <w:bottom w:val="none" w:sz="0" w:space="0" w:color="auto"/>
        <w:right w:val="none" w:sz="0" w:space="0" w:color="auto"/>
      </w:divBdr>
    </w:div>
    <w:div w:id="596133644">
      <w:bodyDiv w:val="1"/>
      <w:marLeft w:val="0"/>
      <w:marRight w:val="0"/>
      <w:marTop w:val="0"/>
      <w:marBottom w:val="0"/>
      <w:divBdr>
        <w:top w:val="none" w:sz="0" w:space="0" w:color="auto"/>
        <w:left w:val="none" w:sz="0" w:space="0" w:color="auto"/>
        <w:bottom w:val="none" w:sz="0" w:space="0" w:color="auto"/>
        <w:right w:val="none" w:sz="0" w:space="0" w:color="auto"/>
      </w:divBdr>
    </w:div>
    <w:div w:id="597638517">
      <w:bodyDiv w:val="1"/>
      <w:marLeft w:val="0"/>
      <w:marRight w:val="0"/>
      <w:marTop w:val="0"/>
      <w:marBottom w:val="0"/>
      <w:divBdr>
        <w:top w:val="none" w:sz="0" w:space="0" w:color="auto"/>
        <w:left w:val="none" w:sz="0" w:space="0" w:color="auto"/>
        <w:bottom w:val="none" w:sz="0" w:space="0" w:color="auto"/>
        <w:right w:val="none" w:sz="0" w:space="0" w:color="auto"/>
      </w:divBdr>
    </w:div>
    <w:div w:id="597711550">
      <w:bodyDiv w:val="1"/>
      <w:marLeft w:val="0"/>
      <w:marRight w:val="0"/>
      <w:marTop w:val="0"/>
      <w:marBottom w:val="0"/>
      <w:divBdr>
        <w:top w:val="none" w:sz="0" w:space="0" w:color="auto"/>
        <w:left w:val="none" w:sz="0" w:space="0" w:color="auto"/>
        <w:bottom w:val="none" w:sz="0" w:space="0" w:color="auto"/>
        <w:right w:val="none" w:sz="0" w:space="0" w:color="auto"/>
      </w:divBdr>
    </w:div>
    <w:div w:id="597913372">
      <w:bodyDiv w:val="1"/>
      <w:marLeft w:val="0"/>
      <w:marRight w:val="0"/>
      <w:marTop w:val="0"/>
      <w:marBottom w:val="0"/>
      <w:divBdr>
        <w:top w:val="none" w:sz="0" w:space="0" w:color="auto"/>
        <w:left w:val="none" w:sz="0" w:space="0" w:color="auto"/>
        <w:bottom w:val="none" w:sz="0" w:space="0" w:color="auto"/>
        <w:right w:val="none" w:sz="0" w:space="0" w:color="auto"/>
      </w:divBdr>
    </w:div>
    <w:div w:id="598370085">
      <w:bodyDiv w:val="1"/>
      <w:marLeft w:val="0"/>
      <w:marRight w:val="0"/>
      <w:marTop w:val="0"/>
      <w:marBottom w:val="0"/>
      <w:divBdr>
        <w:top w:val="none" w:sz="0" w:space="0" w:color="auto"/>
        <w:left w:val="none" w:sz="0" w:space="0" w:color="auto"/>
        <w:bottom w:val="none" w:sz="0" w:space="0" w:color="auto"/>
        <w:right w:val="none" w:sz="0" w:space="0" w:color="auto"/>
      </w:divBdr>
    </w:div>
    <w:div w:id="598487575">
      <w:bodyDiv w:val="1"/>
      <w:marLeft w:val="0"/>
      <w:marRight w:val="0"/>
      <w:marTop w:val="0"/>
      <w:marBottom w:val="0"/>
      <w:divBdr>
        <w:top w:val="none" w:sz="0" w:space="0" w:color="auto"/>
        <w:left w:val="none" w:sz="0" w:space="0" w:color="auto"/>
        <w:bottom w:val="none" w:sz="0" w:space="0" w:color="auto"/>
        <w:right w:val="none" w:sz="0" w:space="0" w:color="auto"/>
      </w:divBdr>
    </w:div>
    <w:div w:id="598755233">
      <w:bodyDiv w:val="1"/>
      <w:marLeft w:val="0"/>
      <w:marRight w:val="0"/>
      <w:marTop w:val="0"/>
      <w:marBottom w:val="0"/>
      <w:divBdr>
        <w:top w:val="none" w:sz="0" w:space="0" w:color="auto"/>
        <w:left w:val="none" w:sz="0" w:space="0" w:color="auto"/>
        <w:bottom w:val="none" w:sz="0" w:space="0" w:color="auto"/>
        <w:right w:val="none" w:sz="0" w:space="0" w:color="auto"/>
      </w:divBdr>
    </w:div>
    <w:div w:id="598832988">
      <w:bodyDiv w:val="1"/>
      <w:marLeft w:val="0"/>
      <w:marRight w:val="0"/>
      <w:marTop w:val="0"/>
      <w:marBottom w:val="0"/>
      <w:divBdr>
        <w:top w:val="none" w:sz="0" w:space="0" w:color="auto"/>
        <w:left w:val="none" w:sz="0" w:space="0" w:color="auto"/>
        <w:bottom w:val="none" w:sz="0" w:space="0" w:color="auto"/>
        <w:right w:val="none" w:sz="0" w:space="0" w:color="auto"/>
      </w:divBdr>
    </w:div>
    <w:div w:id="600256315">
      <w:bodyDiv w:val="1"/>
      <w:marLeft w:val="0"/>
      <w:marRight w:val="0"/>
      <w:marTop w:val="0"/>
      <w:marBottom w:val="0"/>
      <w:divBdr>
        <w:top w:val="none" w:sz="0" w:space="0" w:color="auto"/>
        <w:left w:val="none" w:sz="0" w:space="0" w:color="auto"/>
        <w:bottom w:val="none" w:sz="0" w:space="0" w:color="auto"/>
        <w:right w:val="none" w:sz="0" w:space="0" w:color="auto"/>
      </w:divBdr>
    </w:div>
    <w:div w:id="600916756">
      <w:bodyDiv w:val="1"/>
      <w:marLeft w:val="0"/>
      <w:marRight w:val="0"/>
      <w:marTop w:val="0"/>
      <w:marBottom w:val="0"/>
      <w:divBdr>
        <w:top w:val="none" w:sz="0" w:space="0" w:color="auto"/>
        <w:left w:val="none" w:sz="0" w:space="0" w:color="auto"/>
        <w:bottom w:val="none" w:sz="0" w:space="0" w:color="auto"/>
        <w:right w:val="none" w:sz="0" w:space="0" w:color="auto"/>
      </w:divBdr>
    </w:div>
    <w:div w:id="601692574">
      <w:bodyDiv w:val="1"/>
      <w:marLeft w:val="0"/>
      <w:marRight w:val="0"/>
      <w:marTop w:val="0"/>
      <w:marBottom w:val="0"/>
      <w:divBdr>
        <w:top w:val="none" w:sz="0" w:space="0" w:color="auto"/>
        <w:left w:val="none" w:sz="0" w:space="0" w:color="auto"/>
        <w:bottom w:val="none" w:sz="0" w:space="0" w:color="auto"/>
        <w:right w:val="none" w:sz="0" w:space="0" w:color="auto"/>
      </w:divBdr>
    </w:div>
    <w:div w:id="603264004">
      <w:bodyDiv w:val="1"/>
      <w:marLeft w:val="0"/>
      <w:marRight w:val="0"/>
      <w:marTop w:val="0"/>
      <w:marBottom w:val="0"/>
      <w:divBdr>
        <w:top w:val="none" w:sz="0" w:space="0" w:color="auto"/>
        <w:left w:val="none" w:sz="0" w:space="0" w:color="auto"/>
        <w:bottom w:val="none" w:sz="0" w:space="0" w:color="auto"/>
        <w:right w:val="none" w:sz="0" w:space="0" w:color="auto"/>
      </w:divBdr>
    </w:div>
    <w:div w:id="608851200">
      <w:bodyDiv w:val="1"/>
      <w:marLeft w:val="0"/>
      <w:marRight w:val="0"/>
      <w:marTop w:val="0"/>
      <w:marBottom w:val="0"/>
      <w:divBdr>
        <w:top w:val="none" w:sz="0" w:space="0" w:color="auto"/>
        <w:left w:val="none" w:sz="0" w:space="0" w:color="auto"/>
        <w:bottom w:val="none" w:sz="0" w:space="0" w:color="auto"/>
        <w:right w:val="none" w:sz="0" w:space="0" w:color="auto"/>
      </w:divBdr>
    </w:div>
    <w:div w:id="611664770">
      <w:bodyDiv w:val="1"/>
      <w:marLeft w:val="0"/>
      <w:marRight w:val="0"/>
      <w:marTop w:val="0"/>
      <w:marBottom w:val="0"/>
      <w:divBdr>
        <w:top w:val="none" w:sz="0" w:space="0" w:color="auto"/>
        <w:left w:val="none" w:sz="0" w:space="0" w:color="auto"/>
        <w:bottom w:val="none" w:sz="0" w:space="0" w:color="auto"/>
        <w:right w:val="none" w:sz="0" w:space="0" w:color="auto"/>
      </w:divBdr>
    </w:div>
    <w:div w:id="611863376">
      <w:bodyDiv w:val="1"/>
      <w:marLeft w:val="0"/>
      <w:marRight w:val="0"/>
      <w:marTop w:val="0"/>
      <w:marBottom w:val="0"/>
      <w:divBdr>
        <w:top w:val="none" w:sz="0" w:space="0" w:color="auto"/>
        <w:left w:val="none" w:sz="0" w:space="0" w:color="auto"/>
        <w:bottom w:val="none" w:sz="0" w:space="0" w:color="auto"/>
        <w:right w:val="none" w:sz="0" w:space="0" w:color="auto"/>
      </w:divBdr>
    </w:div>
    <w:div w:id="617223818">
      <w:bodyDiv w:val="1"/>
      <w:marLeft w:val="0"/>
      <w:marRight w:val="0"/>
      <w:marTop w:val="0"/>
      <w:marBottom w:val="0"/>
      <w:divBdr>
        <w:top w:val="none" w:sz="0" w:space="0" w:color="auto"/>
        <w:left w:val="none" w:sz="0" w:space="0" w:color="auto"/>
        <w:bottom w:val="none" w:sz="0" w:space="0" w:color="auto"/>
        <w:right w:val="none" w:sz="0" w:space="0" w:color="auto"/>
      </w:divBdr>
    </w:div>
    <w:div w:id="620040428">
      <w:bodyDiv w:val="1"/>
      <w:marLeft w:val="0"/>
      <w:marRight w:val="0"/>
      <w:marTop w:val="0"/>
      <w:marBottom w:val="0"/>
      <w:divBdr>
        <w:top w:val="none" w:sz="0" w:space="0" w:color="auto"/>
        <w:left w:val="none" w:sz="0" w:space="0" w:color="auto"/>
        <w:bottom w:val="none" w:sz="0" w:space="0" w:color="auto"/>
        <w:right w:val="none" w:sz="0" w:space="0" w:color="auto"/>
      </w:divBdr>
    </w:div>
    <w:div w:id="620763097">
      <w:bodyDiv w:val="1"/>
      <w:marLeft w:val="0"/>
      <w:marRight w:val="0"/>
      <w:marTop w:val="0"/>
      <w:marBottom w:val="0"/>
      <w:divBdr>
        <w:top w:val="none" w:sz="0" w:space="0" w:color="auto"/>
        <w:left w:val="none" w:sz="0" w:space="0" w:color="auto"/>
        <w:bottom w:val="none" w:sz="0" w:space="0" w:color="auto"/>
        <w:right w:val="none" w:sz="0" w:space="0" w:color="auto"/>
      </w:divBdr>
    </w:div>
    <w:div w:id="620888207">
      <w:bodyDiv w:val="1"/>
      <w:marLeft w:val="0"/>
      <w:marRight w:val="0"/>
      <w:marTop w:val="0"/>
      <w:marBottom w:val="0"/>
      <w:divBdr>
        <w:top w:val="none" w:sz="0" w:space="0" w:color="auto"/>
        <w:left w:val="none" w:sz="0" w:space="0" w:color="auto"/>
        <w:bottom w:val="none" w:sz="0" w:space="0" w:color="auto"/>
        <w:right w:val="none" w:sz="0" w:space="0" w:color="auto"/>
      </w:divBdr>
    </w:div>
    <w:div w:id="621039487">
      <w:bodyDiv w:val="1"/>
      <w:marLeft w:val="0"/>
      <w:marRight w:val="0"/>
      <w:marTop w:val="0"/>
      <w:marBottom w:val="0"/>
      <w:divBdr>
        <w:top w:val="none" w:sz="0" w:space="0" w:color="auto"/>
        <w:left w:val="none" w:sz="0" w:space="0" w:color="auto"/>
        <w:bottom w:val="none" w:sz="0" w:space="0" w:color="auto"/>
        <w:right w:val="none" w:sz="0" w:space="0" w:color="auto"/>
      </w:divBdr>
    </w:div>
    <w:div w:id="622034797">
      <w:bodyDiv w:val="1"/>
      <w:marLeft w:val="0"/>
      <w:marRight w:val="0"/>
      <w:marTop w:val="0"/>
      <w:marBottom w:val="0"/>
      <w:divBdr>
        <w:top w:val="none" w:sz="0" w:space="0" w:color="auto"/>
        <w:left w:val="none" w:sz="0" w:space="0" w:color="auto"/>
        <w:bottom w:val="none" w:sz="0" w:space="0" w:color="auto"/>
        <w:right w:val="none" w:sz="0" w:space="0" w:color="auto"/>
      </w:divBdr>
    </w:div>
    <w:div w:id="622422509">
      <w:bodyDiv w:val="1"/>
      <w:marLeft w:val="0"/>
      <w:marRight w:val="0"/>
      <w:marTop w:val="0"/>
      <w:marBottom w:val="0"/>
      <w:divBdr>
        <w:top w:val="none" w:sz="0" w:space="0" w:color="auto"/>
        <w:left w:val="none" w:sz="0" w:space="0" w:color="auto"/>
        <w:bottom w:val="none" w:sz="0" w:space="0" w:color="auto"/>
        <w:right w:val="none" w:sz="0" w:space="0" w:color="auto"/>
      </w:divBdr>
    </w:div>
    <w:div w:id="622467452">
      <w:bodyDiv w:val="1"/>
      <w:marLeft w:val="0"/>
      <w:marRight w:val="0"/>
      <w:marTop w:val="0"/>
      <w:marBottom w:val="0"/>
      <w:divBdr>
        <w:top w:val="none" w:sz="0" w:space="0" w:color="auto"/>
        <w:left w:val="none" w:sz="0" w:space="0" w:color="auto"/>
        <w:bottom w:val="none" w:sz="0" w:space="0" w:color="auto"/>
        <w:right w:val="none" w:sz="0" w:space="0" w:color="auto"/>
      </w:divBdr>
    </w:div>
    <w:div w:id="622615733">
      <w:bodyDiv w:val="1"/>
      <w:marLeft w:val="0"/>
      <w:marRight w:val="0"/>
      <w:marTop w:val="0"/>
      <w:marBottom w:val="0"/>
      <w:divBdr>
        <w:top w:val="none" w:sz="0" w:space="0" w:color="auto"/>
        <w:left w:val="none" w:sz="0" w:space="0" w:color="auto"/>
        <w:bottom w:val="none" w:sz="0" w:space="0" w:color="auto"/>
        <w:right w:val="none" w:sz="0" w:space="0" w:color="auto"/>
      </w:divBdr>
    </w:div>
    <w:div w:id="623198399">
      <w:bodyDiv w:val="1"/>
      <w:marLeft w:val="0"/>
      <w:marRight w:val="0"/>
      <w:marTop w:val="0"/>
      <w:marBottom w:val="0"/>
      <w:divBdr>
        <w:top w:val="none" w:sz="0" w:space="0" w:color="auto"/>
        <w:left w:val="none" w:sz="0" w:space="0" w:color="auto"/>
        <w:bottom w:val="none" w:sz="0" w:space="0" w:color="auto"/>
        <w:right w:val="none" w:sz="0" w:space="0" w:color="auto"/>
      </w:divBdr>
    </w:div>
    <w:div w:id="623343272">
      <w:bodyDiv w:val="1"/>
      <w:marLeft w:val="0"/>
      <w:marRight w:val="0"/>
      <w:marTop w:val="0"/>
      <w:marBottom w:val="0"/>
      <w:divBdr>
        <w:top w:val="none" w:sz="0" w:space="0" w:color="auto"/>
        <w:left w:val="none" w:sz="0" w:space="0" w:color="auto"/>
        <w:bottom w:val="none" w:sz="0" w:space="0" w:color="auto"/>
        <w:right w:val="none" w:sz="0" w:space="0" w:color="auto"/>
      </w:divBdr>
    </w:div>
    <w:div w:id="623728074">
      <w:bodyDiv w:val="1"/>
      <w:marLeft w:val="0"/>
      <w:marRight w:val="0"/>
      <w:marTop w:val="0"/>
      <w:marBottom w:val="0"/>
      <w:divBdr>
        <w:top w:val="none" w:sz="0" w:space="0" w:color="auto"/>
        <w:left w:val="none" w:sz="0" w:space="0" w:color="auto"/>
        <w:bottom w:val="none" w:sz="0" w:space="0" w:color="auto"/>
        <w:right w:val="none" w:sz="0" w:space="0" w:color="auto"/>
      </w:divBdr>
    </w:div>
    <w:div w:id="625282564">
      <w:bodyDiv w:val="1"/>
      <w:marLeft w:val="0"/>
      <w:marRight w:val="0"/>
      <w:marTop w:val="0"/>
      <w:marBottom w:val="0"/>
      <w:divBdr>
        <w:top w:val="none" w:sz="0" w:space="0" w:color="auto"/>
        <w:left w:val="none" w:sz="0" w:space="0" w:color="auto"/>
        <w:bottom w:val="none" w:sz="0" w:space="0" w:color="auto"/>
        <w:right w:val="none" w:sz="0" w:space="0" w:color="auto"/>
      </w:divBdr>
    </w:div>
    <w:div w:id="626395036">
      <w:bodyDiv w:val="1"/>
      <w:marLeft w:val="0"/>
      <w:marRight w:val="0"/>
      <w:marTop w:val="0"/>
      <w:marBottom w:val="0"/>
      <w:divBdr>
        <w:top w:val="none" w:sz="0" w:space="0" w:color="auto"/>
        <w:left w:val="none" w:sz="0" w:space="0" w:color="auto"/>
        <w:bottom w:val="none" w:sz="0" w:space="0" w:color="auto"/>
        <w:right w:val="none" w:sz="0" w:space="0" w:color="auto"/>
      </w:divBdr>
    </w:div>
    <w:div w:id="626933486">
      <w:bodyDiv w:val="1"/>
      <w:marLeft w:val="0"/>
      <w:marRight w:val="0"/>
      <w:marTop w:val="0"/>
      <w:marBottom w:val="0"/>
      <w:divBdr>
        <w:top w:val="none" w:sz="0" w:space="0" w:color="auto"/>
        <w:left w:val="none" w:sz="0" w:space="0" w:color="auto"/>
        <w:bottom w:val="none" w:sz="0" w:space="0" w:color="auto"/>
        <w:right w:val="none" w:sz="0" w:space="0" w:color="auto"/>
      </w:divBdr>
    </w:div>
    <w:div w:id="627711245">
      <w:bodyDiv w:val="1"/>
      <w:marLeft w:val="0"/>
      <w:marRight w:val="0"/>
      <w:marTop w:val="0"/>
      <w:marBottom w:val="0"/>
      <w:divBdr>
        <w:top w:val="none" w:sz="0" w:space="0" w:color="auto"/>
        <w:left w:val="none" w:sz="0" w:space="0" w:color="auto"/>
        <w:bottom w:val="none" w:sz="0" w:space="0" w:color="auto"/>
        <w:right w:val="none" w:sz="0" w:space="0" w:color="auto"/>
      </w:divBdr>
    </w:div>
    <w:div w:id="629896971">
      <w:bodyDiv w:val="1"/>
      <w:marLeft w:val="0"/>
      <w:marRight w:val="0"/>
      <w:marTop w:val="0"/>
      <w:marBottom w:val="0"/>
      <w:divBdr>
        <w:top w:val="none" w:sz="0" w:space="0" w:color="auto"/>
        <w:left w:val="none" w:sz="0" w:space="0" w:color="auto"/>
        <w:bottom w:val="none" w:sz="0" w:space="0" w:color="auto"/>
        <w:right w:val="none" w:sz="0" w:space="0" w:color="auto"/>
      </w:divBdr>
    </w:div>
    <w:div w:id="631443553">
      <w:bodyDiv w:val="1"/>
      <w:marLeft w:val="0"/>
      <w:marRight w:val="0"/>
      <w:marTop w:val="0"/>
      <w:marBottom w:val="0"/>
      <w:divBdr>
        <w:top w:val="none" w:sz="0" w:space="0" w:color="auto"/>
        <w:left w:val="none" w:sz="0" w:space="0" w:color="auto"/>
        <w:bottom w:val="none" w:sz="0" w:space="0" w:color="auto"/>
        <w:right w:val="none" w:sz="0" w:space="0" w:color="auto"/>
      </w:divBdr>
    </w:div>
    <w:div w:id="633295790">
      <w:bodyDiv w:val="1"/>
      <w:marLeft w:val="0"/>
      <w:marRight w:val="0"/>
      <w:marTop w:val="0"/>
      <w:marBottom w:val="0"/>
      <w:divBdr>
        <w:top w:val="none" w:sz="0" w:space="0" w:color="auto"/>
        <w:left w:val="none" w:sz="0" w:space="0" w:color="auto"/>
        <w:bottom w:val="none" w:sz="0" w:space="0" w:color="auto"/>
        <w:right w:val="none" w:sz="0" w:space="0" w:color="auto"/>
      </w:divBdr>
    </w:div>
    <w:div w:id="635916313">
      <w:bodyDiv w:val="1"/>
      <w:marLeft w:val="0"/>
      <w:marRight w:val="0"/>
      <w:marTop w:val="0"/>
      <w:marBottom w:val="0"/>
      <w:divBdr>
        <w:top w:val="none" w:sz="0" w:space="0" w:color="auto"/>
        <w:left w:val="none" w:sz="0" w:space="0" w:color="auto"/>
        <w:bottom w:val="none" w:sz="0" w:space="0" w:color="auto"/>
        <w:right w:val="none" w:sz="0" w:space="0" w:color="auto"/>
      </w:divBdr>
    </w:div>
    <w:div w:id="637102987">
      <w:bodyDiv w:val="1"/>
      <w:marLeft w:val="0"/>
      <w:marRight w:val="0"/>
      <w:marTop w:val="0"/>
      <w:marBottom w:val="0"/>
      <w:divBdr>
        <w:top w:val="none" w:sz="0" w:space="0" w:color="auto"/>
        <w:left w:val="none" w:sz="0" w:space="0" w:color="auto"/>
        <w:bottom w:val="none" w:sz="0" w:space="0" w:color="auto"/>
        <w:right w:val="none" w:sz="0" w:space="0" w:color="auto"/>
      </w:divBdr>
    </w:div>
    <w:div w:id="637615371">
      <w:bodyDiv w:val="1"/>
      <w:marLeft w:val="0"/>
      <w:marRight w:val="0"/>
      <w:marTop w:val="0"/>
      <w:marBottom w:val="0"/>
      <w:divBdr>
        <w:top w:val="none" w:sz="0" w:space="0" w:color="auto"/>
        <w:left w:val="none" w:sz="0" w:space="0" w:color="auto"/>
        <w:bottom w:val="none" w:sz="0" w:space="0" w:color="auto"/>
        <w:right w:val="none" w:sz="0" w:space="0" w:color="auto"/>
      </w:divBdr>
    </w:div>
    <w:div w:id="639460852">
      <w:bodyDiv w:val="1"/>
      <w:marLeft w:val="0"/>
      <w:marRight w:val="0"/>
      <w:marTop w:val="0"/>
      <w:marBottom w:val="0"/>
      <w:divBdr>
        <w:top w:val="none" w:sz="0" w:space="0" w:color="auto"/>
        <w:left w:val="none" w:sz="0" w:space="0" w:color="auto"/>
        <w:bottom w:val="none" w:sz="0" w:space="0" w:color="auto"/>
        <w:right w:val="none" w:sz="0" w:space="0" w:color="auto"/>
      </w:divBdr>
    </w:div>
    <w:div w:id="639768653">
      <w:bodyDiv w:val="1"/>
      <w:marLeft w:val="0"/>
      <w:marRight w:val="0"/>
      <w:marTop w:val="0"/>
      <w:marBottom w:val="0"/>
      <w:divBdr>
        <w:top w:val="none" w:sz="0" w:space="0" w:color="auto"/>
        <w:left w:val="none" w:sz="0" w:space="0" w:color="auto"/>
        <w:bottom w:val="none" w:sz="0" w:space="0" w:color="auto"/>
        <w:right w:val="none" w:sz="0" w:space="0" w:color="auto"/>
      </w:divBdr>
    </w:div>
    <w:div w:id="641273383">
      <w:bodyDiv w:val="1"/>
      <w:marLeft w:val="0"/>
      <w:marRight w:val="0"/>
      <w:marTop w:val="0"/>
      <w:marBottom w:val="0"/>
      <w:divBdr>
        <w:top w:val="none" w:sz="0" w:space="0" w:color="auto"/>
        <w:left w:val="none" w:sz="0" w:space="0" w:color="auto"/>
        <w:bottom w:val="none" w:sz="0" w:space="0" w:color="auto"/>
        <w:right w:val="none" w:sz="0" w:space="0" w:color="auto"/>
      </w:divBdr>
    </w:div>
    <w:div w:id="641423004">
      <w:bodyDiv w:val="1"/>
      <w:marLeft w:val="0"/>
      <w:marRight w:val="0"/>
      <w:marTop w:val="0"/>
      <w:marBottom w:val="0"/>
      <w:divBdr>
        <w:top w:val="none" w:sz="0" w:space="0" w:color="auto"/>
        <w:left w:val="none" w:sz="0" w:space="0" w:color="auto"/>
        <w:bottom w:val="none" w:sz="0" w:space="0" w:color="auto"/>
        <w:right w:val="none" w:sz="0" w:space="0" w:color="auto"/>
      </w:divBdr>
    </w:div>
    <w:div w:id="641663797">
      <w:bodyDiv w:val="1"/>
      <w:marLeft w:val="0"/>
      <w:marRight w:val="0"/>
      <w:marTop w:val="0"/>
      <w:marBottom w:val="0"/>
      <w:divBdr>
        <w:top w:val="none" w:sz="0" w:space="0" w:color="auto"/>
        <w:left w:val="none" w:sz="0" w:space="0" w:color="auto"/>
        <w:bottom w:val="none" w:sz="0" w:space="0" w:color="auto"/>
        <w:right w:val="none" w:sz="0" w:space="0" w:color="auto"/>
      </w:divBdr>
    </w:div>
    <w:div w:id="642929009">
      <w:bodyDiv w:val="1"/>
      <w:marLeft w:val="0"/>
      <w:marRight w:val="0"/>
      <w:marTop w:val="0"/>
      <w:marBottom w:val="0"/>
      <w:divBdr>
        <w:top w:val="none" w:sz="0" w:space="0" w:color="auto"/>
        <w:left w:val="none" w:sz="0" w:space="0" w:color="auto"/>
        <w:bottom w:val="none" w:sz="0" w:space="0" w:color="auto"/>
        <w:right w:val="none" w:sz="0" w:space="0" w:color="auto"/>
      </w:divBdr>
    </w:div>
    <w:div w:id="643655580">
      <w:bodyDiv w:val="1"/>
      <w:marLeft w:val="0"/>
      <w:marRight w:val="0"/>
      <w:marTop w:val="0"/>
      <w:marBottom w:val="0"/>
      <w:divBdr>
        <w:top w:val="none" w:sz="0" w:space="0" w:color="auto"/>
        <w:left w:val="none" w:sz="0" w:space="0" w:color="auto"/>
        <w:bottom w:val="none" w:sz="0" w:space="0" w:color="auto"/>
        <w:right w:val="none" w:sz="0" w:space="0" w:color="auto"/>
      </w:divBdr>
    </w:div>
    <w:div w:id="645860889">
      <w:bodyDiv w:val="1"/>
      <w:marLeft w:val="0"/>
      <w:marRight w:val="0"/>
      <w:marTop w:val="0"/>
      <w:marBottom w:val="0"/>
      <w:divBdr>
        <w:top w:val="none" w:sz="0" w:space="0" w:color="auto"/>
        <w:left w:val="none" w:sz="0" w:space="0" w:color="auto"/>
        <w:bottom w:val="none" w:sz="0" w:space="0" w:color="auto"/>
        <w:right w:val="none" w:sz="0" w:space="0" w:color="auto"/>
      </w:divBdr>
    </w:div>
    <w:div w:id="646055843">
      <w:bodyDiv w:val="1"/>
      <w:marLeft w:val="0"/>
      <w:marRight w:val="0"/>
      <w:marTop w:val="0"/>
      <w:marBottom w:val="0"/>
      <w:divBdr>
        <w:top w:val="none" w:sz="0" w:space="0" w:color="auto"/>
        <w:left w:val="none" w:sz="0" w:space="0" w:color="auto"/>
        <w:bottom w:val="none" w:sz="0" w:space="0" w:color="auto"/>
        <w:right w:val="none" w:sz="0" w:space="0" w:color="auto"/>
      </w:divBdr>
    </w:div>
    <w:div w:id="649600835">
      <w:bodyDiv w:val="1"/>
      <w:marLeft w:val="0"/>
      <w:marRight w:val="0"/>
      <w:marTop w:val="0"/>
      <w:marBottom w:val="0"/>
      <w:divBdr>
        <w:top w:val="none" w:sz="0" w:space="0" w:color="auto"/>
        <w:left w:val="none" w:sz="0" w:space="0" w:color="auto"/>
        <w:bottom w:val="none" w:sz="0" w:space="0" w:color="auto"/>
        <w:right w:val="none" w:sz="0" w:space="0" w:color="auto"/>
      </w:divBdr>
    </w:div>
    <w:div w:id="652030377">
      <w:bodyDiv w:val="1"/>
      <w:marLeft w:val="0"/>
      <w:marRight w:val="0"/>
      <w:marTop w:val="0"/>
      <w:marBottom w:val="0"/>
      <w:divBdr>
        <w:top w:val="none" w:sz="0" w:space="0" w:color="auto"/>
        <w:left w:val="none" w:sz="0" w:space="0" w:color="auto"/>
        <w:bottom w:val="none" w:sz="0" w:space="0" w:color="auto"/>
        <w:right w:val="none" w:sz="0" w:space="0" w:color="auto"/>
      </w:divBdr>
    </w:div>
    <w:div w:id="653989446">
      <w:bodyDiv w:val="1"/>
      <w:marLeft w:val="0"/>
      <w:marRight w:val="0"/>
      <w:marTop w:val="0"/>
      <w:marBottom w:val="0"/>
      <w:divBdr>
        <w:top w:val="none" w:sz="0" w:space="0" w:color="auto"/>
        <w:left w:val="none" w:sz="0" w:space="0" w:color="auto"/>
        <w:bottom w:val="none" w:sz="0" w:space="0" w:color="auto"/>
        <w:right w:val="none" w:sz="0" w:space="0" w:color="auto"/>
      </w:divBdr>
    </w:div>
    <w:div w:id="654142991">
      <w:bodyDiv w:val="1"/>
      <w:marLeft w:val="0"/>
      <w:marRight w:val="0"/>
      <w:marTop w:val="0"/>
      <w:marBottom w:val="0"/>
      <w:divBdr>
        <w:top w:val="none" w:sz="0" w:space="0" w:color="auto"/>
        <w:left w:val="none" w:sz="0" w:space="0" w:color="auto"/>
        <w:bottom w:val="none" w:sz="0" w:space="0" w:color="auto"/>
        <w:right w:val="none" w:sz="0" w:space="0" w:color="auto"/>
      </w:divBdr>
    </w:div>
    <w:div w:id="654338730">
      <w:bodyDiv w:val="1"/>
      <w:marLeft w:val="0"/>
      <w:marRight w:val="0"/>
      <w:marTop w:val="0"/>
      <w:marBottom w:val="0"/>
      <w:divBdr>
        <w:top w:val="none" w:sz="0" w:space="0" w:color="auto"/>
        <w:left w:val="none" w:sz="0" w:space="0" w:color="auto"/>
        <w:bottom w:val="none" w:sz="0" w:space="0" w:color="auto"/>
        <w:right w:val="none" w:sz="0" w:space="0" w:color="auto"/>
      </w:divBdr>
      <w:divsChild>
        <w:div w:id="1852646850">
          <w:marLeft w:val="0"/>
          <w:marRight w:val="0"/>
          <w:marTop w:val="0"/>
          <w:marBottom w:val="0"/>
          <w:divBdr>
            <w:top w:val="none" w:sz="0" w:space="0" w:color="auto"/>
            <w:left w:val="none" w:sz="0" w:space="0" w:color="auto"/>
            <w:bottom w:val="none" w:sz="0" w:space="0" w:color="auto"/>
            <w:right w:val="none" w:sz="0" w:space="0" w:color="auto"/>
          </w:divBdr>
        </w:div>
        <w:div w:id="609624694">
          <w:marLeft w:val="0"/>
          <w:marRight w:val="0"/>
          <w:marTop w:val="0"/>
          <w:marBottom w:val="0"/>
          <w:divBdr>
            <w:top w:val="none" w:sz="0" w:space="0" w:color="auto"/>
            <w:left w:val="none" w:sz="0" w:space="0" w:color="auto"/>
            <w:bottom w:val="none" w:sz="0" w:space="0" w:color="auto"/>
            <w:right w:val="none" w:sz="0" w:space="0" w:color="auto"/>
          </w:divBdr>
        </w:div>
      </w:divsChild>
    </w:div>
    <w:div w:id="654458386">
      <w:bodyDiv w:val="1"/>
      <w:marLeft w:val="0"/>
      <w:marRight w:val="0"/>
      <w:marTop w:val="0"/>
      <w:marBottom w:val="0"/>
      <w:divBdr>
        <w:top w:val="none" w:sz="0" w:space="0" w:color="auto"/>
        <w:left w:val="none" w:sz="0" w:space="0" w:color="auto"/>
        <w:bottom w:val="none" w:sz="0" w:space="0" w:color="auto"/>
        <w:right w:val="none" w:sz="0" w:space="0" w:color="auto"/>
      </w:divBdr>
    </w:div>
    <w:div w:id="654647527">
      <w:bodyDiv w:val="1"/>
      <w:marLeft w:val="0"/>
      <w:marRight w:val="0"/>
      <w:marTop w:val="0"/>
      <w:marBottom w:val="0"/>
      <w:divBdr>
        <w:top w:val="none" w:sz="0" w:space="0" w:color="auto"/>
        <w:left w:val="none" w:sz="0" w:space="0" w:color="auto"/>
        <w:bottom w:val="none" w:sz="0" w:space="0" w:color="auto"/>
        <w:right w:val="none" w:sz="0" w:space="0" w:color="auto"/>
      </w:divBdr>
    </w:div>
    <w:div w:id="656224377">
      <w:bodyDiv w:val="1"/>
      <w:marLeft w:val="0"/>
      <w:marRight w:val="0"/>
      <w:marTop w:val="0"/>
      <w:marBottom w:val="0"/>
      <w:divBdr>
        <w:top w:val="none" w:sz="0" w:space="0" w:color="auto"/>
        <w:left w:val="none" w:sz="0" w:space="0" w:color="auto"/>
        <w:bottom w:val="none" w:sz="0" w:space="0" w:color="auto"/>
        <w:right w:val="none" w:sz="0" w:space="0" w:color="auto"/>
      </w:divBdr>
    </w:div>
    <w:div w:id="657030571">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660886269">
      <w:bodyDiv w:val="1"/>
      <w:marLeft w:val="0"/>
      <w:marRight w:val="0"/>
      <w:marTop w:val="0"/>
      <w:marBottom w:val="0"/>
      <w:divBdr>
        <w:top w:val="none" w:sz="0" w:space="0" w:color="auto"/>
        <w:left w:val="none" w:sz="0" w:space="0" w:color="auto"/>
        <w:bottom w:val="none" w:sz="0" w:space="0" w:color="auto"/>
        <w:right w:val="none" w:sz="0" w:space="0" w:color="auto"/>
      </w:divBdr>
    </w:div>
    <w:div w:id="661618209">
      <w:bodyDiv w:val="1"/>
      <w:marLeft w:val="0"/>
      <w:marRight w:val="0"/>
      <w:marTop w:val="0"/>
      <w:marBottom w:val="0"/>
      <w:divBdr>
        <w:top w:val="none" w:sz="0" w:space="0" w:color="auto"/>
        <w:left w:val="none" w:sz="0" w:space="0" w:color="auto"/>
        <w:bottom w:val="none" w:sz="0" w:space="0" w:color="auto"/>
        <w:right w:val="none" w:sz="0" w:space="0" w:color="auto"/>
      </w:divBdr>
    </w:div>
    <w:div w:id="663238717">
      <w:bodyDiv w:val="1"/>
      <w:marLeft w:val="0"/>
      <w:marRight w:val="0"/>
      <w:marTop w:val="0"/>
      <w:marBottom w:val="0"/>
      <w:divBdr>
        <w:top w:val="none" w:sz="0" w:space="0" w:color="auto"/>
        <w:left w:val="none" w:sz="0" w:space="0" w:color="auto"/>
        <w:bottom w:val="none" w:sz="0" w:space="0" w:color="auto"/>
        <w:right w:val="none" w:sz="0" w:space="0" w:color="auto"/>
      </w:divBdr>
    </w:div>
    <w:div w:id="665672430">
      <w:bodyDiv w:val="1"/>
      <w:marLeft w:val="0"/>
      <w:marRight w:val="0"/>
      <w:marTop w:val="0"/>
      <w:marBottom w:val="0"/>
      <w:divBdr>
        <w:top w:val="none" w:sz="0" w:space="0" w:color="auto"/>
        <w:left w:val="none" w:sz="0" w:space="0" w:color="auto"/>
        <w:bottom w:val="none" w:sz="0" w:space="0" w:color="auto"/>
        <w:right w:val="none" w:sz="0" w:space="0" w:color="auto"/>
      </w:divBdr>
    </w:div>
    <w:div w:id="665785905">
      <w:bodyDiv w:val="1"/>
      <w:marLeft w:val="0"/>
      <w:marRight w:val="0"/>
      <w:marTop w:val="0"/>
      <w:marBottom w:val="0"/>
      <w:divBdr>
        <w:top w:val="none" w:sz="0" w:space="0" w:color="auto"/>
        <w:left w:val="none" w:sz="0" w:space="0" w:color="auto"/>
        <w:bottom w:val="none" w:sz="0" w:space="0" w:color="auto"/>
        <w:right w:val="none" w:sz="0" w:space="0" w:color="auto"/>
      </w:divBdr>
    </w:div>
    <w:div w:id="665938172">
      <w:bodyDiv w:val="1"/>
      <w:marLeft w:val="0"/>
      <w:marRight w:val="0"/>
      <w:marTop w:val="0"/>
      <w:marBottom w:val="0"/>
      <w:divBdr>
        <w:top w:val="none" w:sz="0" w:space="0" w:color="auto"/>
        <w:left w:val="none" w:sz="0" w:space="0" w:color="auto"/>
        <w:bottom w:val="none" w:sz="0" w:space="0" w:color="auto"/>
        <w:right w:val="none" w:sz="0" w:space="0" w:color="auto"/>
      </w:divBdr>
    </w:div>
    <w:div w:id="666398734">
      <w:bodyDiv w:val="1"/>
      <w:marLeft w:val="0"/>
      <w:marRight w:val="0"/>
      <w:marTop w:val="0"/>
      <w:marBottom w:val="0"/>
      <w:divBdr>
        <w:top w:val="none" w:sz="0" w:space="0" w:color="auto"/>
        <w:left w:val="none" w:sz="0" w:space="0" w:color="auto"/>
        <w:bottom w:val="none" w:sz="0" w:space="0" w:color="auto"/>
        <w:right w:val="none" w:sz="0" w:space="0" w:color="auto"/>
      </w:divBdr>
    </w:div>
    <w:div w:id="666785213">
      <w:bodyDiv w:val="1"/>
      <w:marLeft w:val="0"/>
      <w:marRight w:val="0"/>
      <w:marTop w:val="0"/>
      <w:marBottom w:val="0"/>
      <w:divBdr>
        <w:top w:val="none" w:sz="0" w:space="0" w:color="auto"/>
        <w:left w:val="none" w:sz="0" w:space="0" w:color="auto"/>
        <w:bottom w:val="none" w:sz="0" w:space="0" w:color="auto"/>
        <w:right w:val="none" w:sz="0" w:space="0" w:color="auto"/>
      </w:divBdr>
    </w:div>
    <w:div w:id="666979202">
      <w:bodyDiv w:val="1"/>
      <w:marLeft w:val="0"/>
      <w:marRight w:val="0"/>
      <w:marTop w:val="0"/>
      <w:marBottom w:val="0"/>
      <w:divBdr>
        <w:top w:val="none" w:sz="0" w:space="0" w:color="auto"/>
        <w:left w:val="none" w:sz="0" w:space="0" w:color="auto"/>
        <w:bottom w:val="none" w:sz="0" w:space="0" w:color="auto"/>
        <w:right w:val="none" w:sz="0" w:space="0" w:color="auto"/>
      </w:divBdr>
    </w:div>
    <w:div w:id="667951778">
      <w:bodyDiv w:val="1"/>
      <w:marLeft w:val="0"/>
      <w:marRight w:val="0"/>
      <w:marTop w:val="0"/>
      <w:marBottom w:val="0"/>
      <w:divBdr>
        <w:top w:val="none" w:sz="0" w:space="0" w:color="auto"/>
        <w:left w:val="none" w:sz="0" w:space="0" w:color="auto"/>
        <w:bottom w:val="none" w:sz="0" w:space="0" w:color="auto"/>
        <w:right w:val="none" w:sz="0" w:space="0" w:color="auto"/>
      </w:divBdr>
    </w:div>
    <w:div w:id="668286936">
      <w:bodyDiv w:val="1"/>
      <w:marLeft w:val="0"/>
      <w:marRight w:val="0"/>
      <w:marTop w:val="0"/>
      <w:marBottom w:val="0"/>
      <w:divBdr>
        <w:top w:val="none" w:sz="0" w:space="0" w:color="auto"/>
        <w:left w:val="none" w:sz="0" w:space="0" w:color="auto"/>
        <w:bottom w:val="none" w:sz="0" w:space="0" w:color="auto"/>
        <w:right w:val="none" w:sz="0" w:space="0" w:color="auto"/>
      </w:divBdr>
    </w:div>
    <w:div w:id="668368070">
      <w:bodyDiv w:val="1"/>
      <w:marLeft w:val="0"/>
      <w:marRight w:val="0"/>
      <w:marTop w:val="0"/>
      <w:marBottom w:val="0"/>
      <w:divBdr>
        <w:top w:val="none" w:sz="0" w:space="0" w:color="auto"/>
        <w:left w:val="none" w:sz="0" w:space="0" w:color="auto"/>
        <w:bottom w:val="none" w:sz="0" w:space="0" w:color="auto"/>
        <w:right w:val="none" w:sz="0" w:space="0" w:color="auto"/>
      </w:divBdr>
    </w:div>
    <w:div w:id="669791199">
      <w:bodyDiv w:val="1"/>
      <w:marLeft w:val="0"/>
      <w:marRight w:val="0"/>
      <w:marTop w:val="0"/>
      <w:marBottom w:val="0"/>
      <w:divBdr>
        <w:top w:val="none" w:sz="0" w:space="0" w:color="auto"/>
        <w:left w:val="none" w:sz="0" w:space="0" w:color="auto"/>
        <w:bottom w:val="none" w:sz="0" w:space="0" w:color="auto"/>
        <w:right w:val="none" w:sz="0" w:space="0" w:color="auto"/>
      </w:divBdr>
    </w:div>
    <w:div w:id="670260152">
      <w:bodyDiv w:val="1"/>
      <w:marLeft w:val="0"/>
      <w:marRight w:val="0"/>
      <w:marTop w:val="0"/>
      <w:marBottom w:val="0"/>
      <w:divBdr>
        <w:top w:val="none" w:sz="0" w:space="0" w:color="auto"/>
        <w:left w:val="none" w:sz="0" w:space="0" w:color="auto"/>
        <w:bottom w:val="none" w:sz="0" w:space="0" w:color="auto"/>
        <w:right w:val="none" w:sz="0" w:space="0" w:color="auto"/>
      </w:divBdr>
    </w:div>
    <w:div w:id="671176154">
      <w:bodyDiv w:val="1"/>
      <w:marLeft w:val="0"/>
      <w:marRight w:val="0"/>
      <w:marTop w:val="0"/>
      <w:marBottom w:val="0"/>
      <w:divBdr>
        <w:top w:val="none" w:sz="0" w:space="0" w:color="auto"/>
        <w:left w:val="none" w:sz="0" w:space="0" w:color="auto"/>
        <w:bottom w:val="none" w:sz="0" w:space="0" w:color="auto"/>
        <w:right w:val="none" w:sz="0" w:space="0" w:color="auto"/>
      </w:divBdr>
    </w:div>
    <w:div w:id="671882622">
      <w:bodyDiv w:val="1"/>
      <w:marLeft w:val="0"/>
      <w:marRight w:val="0"/>
      <w:marTop w:val="0"/>
      <w:marBottom w:val="0"/>
      <w:divBdr>
        <w:top w:val="none" w:sz="0" w:space="0" w:color="auto"/>
        <w:left w:val="none" w:sz="0" w:space="0" w:color="auto"/>
        <w:bottom w:val="none" w:sz="0" w:space="0" w:color="auto"/>
        <w:right w:val="none" w:sz="0" w:space="0" w:color="auto"/>
      </w:divBdr>
    </w:div>
    <w:div w:id="673915863">
      <w:bodyDiv w:val="1"/>
      <w:marLeft w:val="0"/>
      <w:marRight w:val="0"/>
      <w:marTop w:val="0"/>
      <w:marBottom w:val="0"/>
      <w:divBdr>
        <w:top w:val="none" w:sz="0" w:space="0" w:color="auto"/>
        <w:left w:val="none" w:sz="0" w:space="0" w:color="auto"/>
        <w:bottom w:val="none" w:sz="0" w:space="0" w:color="auto"/>
        <w:right w:val="none" w:sz="0" w:space="0" w:color="auto"/>
      </w:divBdr>
    </w:div>
    <w:div w:id="682979353">
      <w:bodyDiv w:val="1"/>
      <w:marLeft w:val="0"/>
      <w:marRight w:val="0"/>
      <w:marTop w:val="0"/>
      <w:marBottom w:val="0"/>
      <w:divBdr>
        <w:top w:val="none" w:sz="0" w:space="0" w:color="auto"/>
        <w:left w:val="none" w:sz="0" w:space="0" w:color="auto"/>
        <w:bottom w:val="none" w:sz="0" w:space="0" w:color="auto"/>
        <w:right w:val="none" w:sz="0" w:space="0" w:color="auto"/>
      </w:divBdr>
    </w:div>
    <w:div w:id="685712022">
      <w:bodyDiv w:val="1"/>
      <w:marLeft w:val="0"/>
      <w:marRight w:val="0"/>
      <w:marTop w:val="0"/>
      <w:marBottom w:val="0"/>
      <w:divBdr>
        <w:top w:val="none" w:sz="0" w:space="0" w:color="auto"/>
        <w:left w:val="none" w:sz="0" w:space="0" w:color="auto"/>
        <w:bottom w:val="none" w:sz="0" w:space="0" w:color="auto"/>
        <w:right w:val="none" w:sz="0" w:space="0" w:color="auto"/>
      </w:divBdr>
    </w:div>
    <w:div w:id="685792668">
      <w:bodyDiv w:val="1"/>
      <w:marLeft w:val="0"/>
      <w:marRight w:val="0"/>
      <w:marTop w:val="0"/>
      <w:marBottom w:val="0"/>
      <w:divBdr>
        <w:top w:val="none" w:sz="0" w:space="0" w:color="auto"/>
        <w:left w:val="none" w:sz="0" w:space="0" w:color="auto"/>
        <w:bottom w:val="none" w:sz="0" w:space="0" w:color="auto"/>
        <w:right w:val="none" w:sz="0" w:space="0" w:color="auto"/>
      </w:divBdr>
    </w:div>
    <w:div w:id="686642329">
      <w:bodyDiv w:val="1"/>
      <w:marLeft w:val="0"/>
      <w:marRight w:val="0"/>
      <w:marTop w:val="0"/>
      <w:marBottom w:val="0"/>
      <w:divBdr>
        <w:top w:val="none" w:sz="0" w:space="0" w:color="auto"/>
        <w:left w:val="none" w:sz="0" w:space="0" w:color="auto"/>
        <w:bottom w:val="none" w:sz="0" w:space="0" w:color="auto"/>
        <w:right w:val="none" w:sz="0" w:space="0" w:color="auto"/>
      </w:divBdr>
    </w:div>
    <w:div w:id="689529117">
      <w:bodyDiv w:val="1"/>
      <w:marLeft w:val="0"/>
      <w:marRight w:val="0"/>
      <w:marTop w:val="0"/>
      <w:marBottom w:val="0"/>
      <w:divBdr>
        <w:top w:val="none" w:sz="0" w:space="0" w:color="auto"/>
        <w:left w:val="none" w:sz="0" w:space="0" w:color="auto"/>
        <w:bottom w:val="none" w:sz="0" w:space="0" w:color="auto"/>
        <w:right w:val="none" w:sz="0" w:space="0" w:color="auto"/>
      </w:divBdr>
    </w:div>
    <w:div w:id="689990383">
      <w:bodyDiv w:val="1"/>
      <w:marLeft w:val="0"/>
      <w:marRight w:val="0"/>
      <w:marTop w:val="0"/>
      <w:marBottom w:val="0"/>
      <w:divBdr>
        <w:top w:val="none" w:sz="0" w:space="0" w:color="auto"/>
        <w:left w:val="none" w:sz="0" w:space="0" w:color="auto"/>
        <w:bottom w:val="none" w:sz="0" w:space="0" w:color="auto"/>
        <w:right w:val="none" w:sz="0" w:space="0" w:color="auto"/>
      </w:divBdr>
    </w:div>
    <w:div w:id="690231076">
      <w:bodyDiv w:val="1"/>
      <w:marLeft w:val="0"/>
      <w:marRight w:val="0"/>
      <w:marTop w:val="0"/>
      <w:marBottom w:val="0"/>
      <w:divBdr>
        <w:top w:val="none" w:sz="0" w:space="0" w:color="auto"/>
        <w:left w:val="none" w:sz="0" w:space="0" w:color="auto"/>
        <w:bottom w:val="none" w:sz="0" w:space="0" w:color="auto"/>
        <w:right w:val="none" w:sz="0" w:space="0" w:color="auto"/>
      </w:divBdr>
    </w:div>
    <w:div w:id="690575189">
      <w:bodyDiv w:val="1"/>
      <w:marLeft w:val="0"/>
      <w:marRight w:val="0"/>
      <w:marTop w:val="0"/>
      <w:marBottom w:val="0"/>
      <w:divBdr>
        <w:top w:val="none" w:sz="0" w:space="0" w:color="auto"/>
        <w:left w:val="none" w:sz="0" w:space="0" w:color="auto"/>
        <w:bottom w:val="none" w:sz="0" w:space="0" w:color="auto"/>
        <w:right w:val="none" w:sz="0" w:space="0" w:color="auto"/>
      </w:divBdr>
    </w:div>
    <w:div w:id="691299493">
      <w:bodyDiv w:val="1"/>
      <w:marLeft w:val="0"/>
      <w:marRight w:val="0"/>
      <w:marTop w:val="0"/>
      <w:marBottom w:val="0"/>
      <w:divBdr>
        <w:top w:val="none" w:sz="0" w:space="0" w:color="auto"/>
        <w:left w:val="none" w:sz="0" w:space="0" w:color="auto"/>
        <w:bottom w:val="none" w:sz="0" w:space="0" w:color="auto"/>
        <w:right w:val="none" w:sz="0" w:space="0" w:color="auto"/>
      </w:divBdr>
    </w:div>
    <w:div w:id="692463368">
      <w:bodyDiv w:val="1"/>
      <w:marLeft w:val="0"/>
      <w:marRight w:val="0"/>
      <w:marTop w:val="0"/>
      <w:marBottom w:val="0"/>
      <w:divBdr>
        <w:top w:val="none" w:sz="0" w:space="0" w:color="auto"/>
        <w:left w:val="none" w:sz="0" w:space="0" w:color="auto"/>
        <w:bottom w:val="none" w:sz="0" w:space="0" w:color="auto"/>
        <w:right w:val="none" w:sz="0" w:space="0" w:color="auto"/>
      </w:divBdr>
    </w:div>
    <w:div w:id="692848142">
      <w:bodyDiv w:val="1"/>
      <w:marLeft w:val="0"/>
      <w:marRight w:val="0"/>
      <w:marTop w:val="0"/>
      <w:marBottom w:val="0"/>
      <w:divBdr>
        <w:top w:val="none" w:sz="0" w:space="0" w:color="auto"/>
        <w:left w:val="none" w:sz="0" w:space="0" w:color="auto"/>
        <w:bottom w:val="none" w:sz="0" w:space="0" w:color="auto"/>
        <w:right w:val="none" w:sz="0" w:space="0" w:color="auto"/>
      </w:divBdr>
    </w:div>
    <w:div w:id="693458735">
      <w:bodyDiv w:val="1"/>
      <w:marLeft w:val="0"/>
      <w:marRight w:val="0"/>
      <w:marTop w:val="0"/>
      <w:marBottom w:val="0"/>
      <w:divBdr>
        <w:top w:val="none" w:sz="0" w:space="0" w:color="auto"/>
        <w:left w:val="none" w:sz="0" w:space="0" w:color="auto"/>
        <w:bottom w:val="none" w:sz="0" w:space="0" w:color="auto"/>
        <w:right w:val="none" w:sz="0" w:space="0" w:color="auto"/>
      </w:divBdr>
    </w:div>
    <w:div w:id="696783411">
      <w:bodyDiv w:val="1"/>
      <w:marLeft w:val="0"/>
      <w:marRight w:val="0"/>
      <w:marTop w:val="0"/>
      <w:marBottom w:val="0"/>
      <w:divBdr>
        <w:top w:val="none" w:sz="0" w:space="0" w:color="auto"/>
        <w:left w:val="none" w:sz="0" w:space="0" w:color="auto"/>
        <w:bottom w:val="none" w:sz="0" w:space="0" w:color="auto"/>
        <w:right w:val="none" w:sz="0" w:space="0" w:color="auto"/>
      </w:divBdr>
    </w:div>
    <w:div w:id="697852298">
      <w:bodyDiv w:val="1"/>
      <w:marLeft w:val="0"/>
      <w:marRight w:val="0"/>
      <w:marTop w:val="0"/>
      <w:marBottom w:val="0"/>
      <w:divBdr>
        <w:top w:val="none" w:sz="0" w:space="0" w:color="auto"/>
        <w:left w:val="none" w:sz="0" w:space="0" w:color="auto"/>
        <w:bottom w:val="none" w:sz="0" w:space="0" w:color="auto"/>
        <w:right w:val="none" w:sz="0" w:space="0" w:color="auto"/>
      </w:divBdr>
    </w:div>
    <w:div w:id="698048136">
      <w:bodyDiv w:val="1"/>
      <w:marLeft w:val="0"/>
      <w:marRight w:val="0"/>
      <w:marTop w:val="0"/>
      <w:marBottom w:val="0"/>
      <w:divBdr>
        <w:top w:val="none" w:sz="0" w:space="0" w:color="auto"/>
        <w:left w:val="none" w:sz="0" w:space="0" w:color="auto"/>
        <w:bottom w:val="none" w:sz="0" w:space="0" w:color="auto"/>
        <w:right w:val="none" w:sz="0" w:space="0" w:color="auto"/>
      </w:divBdr>
    </w:div>
    <w:div w:id="698506829">
      <w:bodyDiv w:val="1"/>
      <w:marLeft w:val="0"/>
      <w:marRight w:val="0"/>
      <w:marTop w:val="0"/>
      <w:marBottom w:val="0"/>
      <w:divBdr>
        <w:top w:val="none" w:sz="0" w:space="0" w:color="auto"/>
        <w:left w:val="none" w:sz="0" w:space="0" w:color="auto"/>
        <w:bottom w:val="none" w:sz="0" w:space="0" w:color="auto"/>
        <w:right w:val="none" w:sz="0" w:space="0" w:color="auto"/>
      </w:divBdr>
    </w:div>
    <w:div w:id="700208379">
      <w:bodyDiv w:val="1"/>
      <w:marLeft w:val="0"/>
      <w:marRight w:val="0"/>
      <w:marTop w:val="0"/>
      <w:marBottom w:val="0"/>
      <w:divBdr>
        <w:top w:val="none" w:sz="0" w:space="0" w:color="auto"/>
        <w:left w:val="none" w:sz="0" w:space="0" w:color="auto"/>
        <w:bottom w:val="none" w:sz="0" w:space="0" w:color="auto"/>
        <w:right w:val="none" w:sz="0" w:space="0" w:color="auto"/>
      </w:divBdr>
    </w:div>
    <w:div w:id="700787859">
      <w:bodyDiv w:val="1"/>
      <w:marLeft w:val="0"/>
      <w:marRight w:val="0"/>
      <w:marTop w:val="0"/>
      <w:marBottom w:val="0"/>
      <w:divBdr>
        <w:top w:val="none" w:sz="0" w:space="0" w:color="auto"/>
        <w:left w:val="none" w:sz="0" w:space="0" w:color="auto"/>
        <w:bottom w:val="none" w:sz="0" w:space="0" w:color="auto"/>
        <w:right w:val="none" w:sz="0" w:space="0" w:color="auto"/>
      </w:divBdr>
    </w:div>
    <w:div w:id="702245057">
      <w:bodyDiv w:val="1"/>
      <w:marLeft w:val="0"/>
      <w:marRight w:val="0"/>
      <w:marTop w:val="0"/>
      <w:marBottom w:val="0"/>
      <w:divBdr>
        <w:top w:val="none" w:sz="0" w:space="0" w:color="auto"/>
        <w:left w:val="none" w:sz="0" w:space="0" w:color="auto"/>
        <w:bottom w:val="none" w:sz="0" w:space="0" w:color="auto"/>
        <w:right w:val="none" w:sz="0" w:space="0" w:color="auto"/>
      </w:divBdr>
    </w:div>
    <w:div w:id="702443723">
      <w:bodyDiv w:val="1"/>
      <w:marLeft w:val="0"/>
      <w:marRight w:val="0"/>
      <w:marTop w:val="0"/>
      <w:marBottom w:val="0"/>
      <w:divBdr>
        <w:top w:val="none" w:sz="0" w:space="0" w:color="auto"/>
        <w:left w:val="none" w:sz="0" w:space="0" w:color="auto"/>
        <w:bottom w:val="none" w:sz="0" w:space="0" w:color="auto"/>
        <w:right w:val="none" w:sz="0" w:space="0" w:color="auto"/>
      </w:divBdr>
    </w:div>
    <w:div w:id="703015987">
      <w:bodyDiv w:val="1"/>
      <w:marLeft w:val="0"/>
      <w:marRight w:val="0"/>
      <w:marTop w:val="0"/>
      <w:marBottom w:val="0"/>
      <w:divBdr>
        <w:top w:val="none" w:sz="0" w:space="0" w:color="auto"/>
        <w:left w:val="none" w:sz="0" w:space="0" w:color="auto"/>
        <w:bottom w:val="none" w:sz="0" w:space="0" w:color="auto"/>
        <w:right w:val="none" w:sz="0" w:space="0" w:color="auto"/>
      </w:divBdr>
    </w:div>
    <w:div w:id="703408766">
      <w:bodyDiv w:val="1"/>
      <w:marLeft w:val="0"/>
      <w:marRight w:val="0"/>
      <w:marTop w:val="0"/>
      <w:marBottom w:val="0"/>
      <w:divBdr>
        <w:top w:val="none" w:sz="0" w:space="0" w:color="auto"/>
        <w:left w:val="none" w:sz="0" w:space="0" w:color="auto"/>
        <w:bottom w:val="none" w:sz="0" w:space="0" w:color="auto"/>
        <w:right w:val="none" w:sz="0" w:space="0" w:color="auto"/>
      </w:divBdr>
    </w:div>
    <w:div w:id="703991708">
      <w:bodyDiv w:val="1"/>
      <w:marLeft w:val="0"/>
      <w:marRight w:val="0"/>
      <w:marTop w:val="0"/>
      <w:marBottom w:val="0"/>
      <w:divBdr>
        <w:top w:val="none" w:sz="0" w:space="0" w:color="auto"/>
        <w:left w:val="none" w:sz="0" w:space="0" w:color="auto"/>
        <w:bottom w:val="none" w:sz="0" w:space="0" w:color="auto"/>
        <w:right w:val="none" w:sz="0" w:space="0" w:color="auto"/>
      </w:divBdr>
      <w:divsChild>
        <w:div w:id="631784614">
          <w:marLeft w:val="0"/>
          <w:marRight w:val="0"/>
          <w:marTop w:val="0"/>
          <w:marBottom w:val="0"/>
          <w:divBdr>
            <w:top w:val="none" w:sz="0" w:space="0" w:color="auto"/>
            <w:left w:val="none" w:sz="0" w:space="0" w:color="auto"/>
            <w:bottom w:val="none" w:sz="0" w:space="0" w:color="auto"/>
            <w:right w:val="none" w:sz="0" w:space="0" w:color="auto"/>
          </w:divBdr>
        </w:div>
      </w:divsChild>
    </w:div>
    <w:div w:id="704408265">
      <w:bodyDiv w:val="1"/>
      <w:marLeft w:val="0"/>
      <w:marRight w:val="0"/>
      <w:marTop w:val="0"/>
      <w:marBottom w:val="0"/>
      <w:divBdr>
        <w:top w:val="none" w:sz="0" w:space="0" w:color="auto"/>
        <w:left w:val="none" w:sz="0" w:space="0" w:color="auto"/>
        <w:bottom w:val="none" w:sz="0" w:space="0" w:color="auto"/>
        <w:right w:val="none" w:sz="0" w:space="0" w:color="auto"/>
      </w:divBdr>
    </w:div>
    <w:div w:id="704982343">
      <w:bodyDiv w:val="1"/>
      <w:marLeft w:val="0"/>
      <w:marRight w:val="0"/>
      <w:marTop w:val="0"/>
      <w:marBottom w:val="0"/>
      <w:divBdr>
        <w:top w:val="none" w:sz="0" w:space="0" w:color="auto"/>
        <w:left w:val="none" w:sz="0" w:space="0" w:color="auto"/>
        <w:bottom w:val="none" w:sz="0" w:space="0" w:color="auto"/>
        <w:right w:val="none" w:sz="0" w:space="0" w:color="auto"/>
      </w:divBdr>
    </w:div>
    <w:div w:id="705716775">
      <w:bodyDiv w:val="1"/>
      <w:marLeft w:val="0"/>
      <w:marRight w:val="0"/>
      <w:marTop w:val="0"/>
      <w:marBottom w:val="0"/>
      <w:divBdr>
        <w:top w:val="none" w:sz="0" w:space="0" w:color="auto"/>
        <w:left w:val="none" w:sz="0" w:space="0" w:color="auto"/>
        <w:bottom w:val="none" w:sz="0" w:space="0" w:color="auto"/>
        <w:right w:val="none" w:sz="0" w:space="0" w:color="auto"/>
      </w:divBdr>
    </w:div>
    <w:div w:id="706375737">
      <w:bodyDiv w:val="1"/>
      <w:marLeft w:val="0"/>
      <w:marRight w:val="0"/>
      <w:marTop w:val="0"/>
      <w:marBottom w:val="0"/>
      <w:divBdr>
        <w:top w:val="none" w:sz="0" w:space="0" w:color="auto"/>
        <w:left w:val="none" w:sz="0" w:space="0" w:color="auto"/>
        <w:bottom w:val="none" w:sz="0" w:space="0" w:color="auto"/>
        <w:right w:val="none" w:sz="0" w:space="0" w:color="auto"/>
      </w:divBdr>
    </w:div>
    <w:div w:id="706878262">
      <w:bodyDiv w:val="1"/>
      <w:marLeft w:val="0"/>
      <w:marRight w:val="0"/>
      <w:marTop w:val="0"/>
      <w:marBottom w:val="0"/>
      <w:divBdr>
        <w:top w:val="none" w:sz="0" w:space="0" w:color="auto"/>
        <w:left w:val="none" w:sz="0" w:space="0" w:color="auto"/>
        <w:bottom w:val="none" w:sz="0" w:space="0" w:color="auto"/>
        <w:right w:val="none" w:sz="0" w:space="0" w:color="auto"/>
      </w:divBdr>
    </w:div>
    <w:div w:id="708186631">
      <w:bodyDiv w:val="1"/>
      <w:marLeft w:val="0"/>
      <w:marRight w:val="0"/>
      <w:marTop w:val="0"/>
      <w:marBottom w:val="0"/>
      <w:divBdr>
        <w:top w:val="none" w:sz="0" w:space="0" w:color="auto"/>
        <w:left w:val="none" w:sz="0" w:space="0" w:color="auto"/>
        <w:bottom w:val="none" w:sz="0" w:space="0" w:color="auto"/>
        <w:right w:val="none" w:sz="0" w:space="0" w:color="auto"/>
      </w:divBdr>
    </w:div>
    <w:div w:id="708336770">
      <w:bodyDiv w:val="1"/>
      <w:marLeft w:val="0"/>
      <w:marRight w:val="0"/>
      <w:marTop w:val="0"/>
      <w:marBottom w:val="0"/>
      <w:divBdr>
        <w:top w:val="none" w:sz="0" w:space="0" w:color="auto"/>
        <w:left w:val="none" w:sz="0" w:space="0" w:color="auto"/>
        <w:bottom w:val="none" w:sz="0" w:space="0" w:color="auto"/>
        <w:right w:val="none" w:sz="0" w:space="0" w:color="auto"/>
      </w:divBdr>
    </w:div>
    <w:div w:id="709693906">
      <w:bodyDiv w:val="1"/>
      <w:marLeft w:val="0"/>
      <w:marRight w:val="0"/>
      <w:marTop w:val="0"/>
      <w:marBottom w:val="0"/>
      <w:divBdr>
        <w:top w:val="none" w:sz="0" w:space="0" w:color="auto"/>
        <w:left w:val="none" w:sz="0" w:space="0" w:color="auto"/>
        <w:bottom w:val="none" w:sz="0" w:space="0" w:color="auto"/>
        <w:right w:val="none" w:sz="0" w:space="0" w:color="auto"/>
      </w:divBdr>
    </w:div>
    <w:div w:id="711419365">
      <w:bodyDiv w:val="1"/>
      <w:marLeft w:val="0"/>
      <w:marRight w:val="0"/>
      <w:marTop w:val="0"/>
      <w:marBottom w:val="0"/>
      <w:divBdr>
        <w:top w:val="none" w:sz="0" w:space="0" w:color="auto"/>
        <w:left w:val="none" w:sz="0" w:space="0" w:color="auto"/>
        <w:bottom w:val="none" w:sz="0" w:space="0" w:color="auto"/>
        <w:right w:val="none" w:sz="0" w:space="0" w:color="auto"/>
      </w:divBdr>
    </w:div>
    <w:div w:id="711614594">
      <w:bodyDiv w:val="1"/>
      <w:marLeft w:val="0"/>
      <w:marRight w:val="0"/>
      <w:marTop w:val="0"/>
      <w:marBottom w:val="0"/>
      <w:divBdr>
        <w:top w:val="none" w:sz="0" w:space="0" w:color="auto"/>
        <w:left w:val="none" w:sz="0" w:space="0" w:color="auto"/>
        <w:bottom w:val="none" w:sz="0" w:space="0" w:color="auto"/>
        <w:right w:val="none" w:sz="0" w:space="0" w:color="auto"/>
      </w:divBdr>
    </w:div>
    <w:div w:id="711735198">
      <w:bodyDiv w:val="1"/>
      <w:marLeft w:val="0"/>
      <w:marRight w:val="0"/>
      <w:marTop w:val="0"/>
      <w:marBottom w:val="0"/>
      <w:divBdr>
        <w:top w:val="none" w:sz="0" w:space="0" w:color="auto"/>
        <w:left w:val="none" w:sz="0" w:space="0" w:color="auto"/>
        <w:bottom w:val="none" w:sz="0" w:space="0" w:color="auto"/>
        <w:right w:val="none" w:sz="0" w:space="0" w:color="auto"/>
      </w:divBdr>
    </w:div>
    <w:div w:id="713770411">
      <w:bodyDiv w:val="1"/>
      <w:marLeft w:val="0"/>
      <w:marRight w:val="0"/>
      <w:marTop w:val="0"/>
      <w:marBottom w:val="0"/>
      <w:divBdr>
        <w:top w:val="none" w:sz="0" w:space="0" w:color="auto"/>
        <w:left w:val="none" w:sz="0" w:space="0" w:color="auto"/>
        <w:bottom w:val="none" w:sz="0" w:space="0" w:color="auto"/>
        <w:right w:val="none" w:sz="0" w:space="0" w:color="auto"/>
      </w:divBdr>
    </w:div>
    <w:div w:id="715809840">
      <w:bodyDiv w:val="1"/>
      <w:marLeft w:val="0"/>
      <w:marRight w:val="0"/>
      <w:marTop w:val="0"/>
      <w:marBottom w:val="0"/>
      <w:divBdr>
        <w:top w:val="none" w:sz="0" w:space="0" w:color="auto"/>
        <w:left w:val="none" w:sz="0" w:space="0" w:color="auto"/>
        <w:bottom w:val="none" w:sz="0" w:space="0" w:color="auto"/>
        <w:right w:val="none" w:sz="0" w:space="0" w:color="auto"/>
      </w:divBdr>
    </w:div>
    <w:div w:id="716440616">
      <w:bodyDiv w:val="1"/>
      <w:marLeft w:val="0"/>
      <w:marRight w:val="0"/>
      <w:marTop w:val="0"/>
      <w:marBottom w:val="0"/>
      <w:divBdr>
        <w:top w:val="none" w:sz="0" w:space="0" w:color="auto"/>
        <w:left w:val="none" w:sz="0" w:space="0" w:color="auto"/>
        <w:bottom w:val="none" w:sz="0" w:space="0" w:color="auto"/>
        <w:right w:val="none" w:sz="0" w:space="0" w:color="auto"/>
      </w:divBdr>
    </w:div>
    <w:div w:id="717626605">
      <w:bodyDiv w:val="1"/>
      <w:marLeft w:val="0"/>
      <w:marRight w:val="0"/>
      <w:marTop w:val="0"/>
      <w:marBottom w:val="0"/>
      <w:divBdr>
        <w:top w:val="none" w:sz="0" w:space="0" w:color="auto"/>
        <w:left w:val="none" w:sz="0" w:space="0" w:color="auto"/>
        <w:bottom w:val="none" w:sz="0" w:space="0" w:color="auto"/>
        <w:right w:val="none" w:sz="0" w:space="0" w:color="auto"/>
      </w:divBdr>
    </w:div>
    <w:div w:id="717974498">
      <w:bodyDiv w:val="1"/>
      <w:marLeft w:val="0"/>
      <w:marRight w:val="0"/>
      <w:marTop w:val="0"/>
      <w:marBottom w:val="0"/>
      <w:divBdr>
        <w:top w:val="none" w:sz="0" w:space="0" w:color="auto"/>
        <w:left w:val="none" w:sz="0" w:space="0" w:color="auto"/>
        <w:bottom w:val="none" w:sz="0" w:space="0" w:color="auto"/>
        <w:right w:val="none" w:sz="0" w:space="0" w:color="auto"/>
      </w:divBdr>
    </w:div>
    <w:div w:id="719205310">
      <w:bodyDiv w:val="1"/>
      <w:marLeft w:val="0"/>
      <w:marRight w:val="0"/>
      <w:marTop w:val="0"/>
      <w:marBottom w:val="0"/>
      <w:divBdr>
        <w:top w:val="none" w:sz="0" w:space="0" w:color="auto"/>
        <w:left w:val="none" w:sz="0" w:space="0" w:color="auto"/>
        <w:bottom w:val="none" w:sz="0" w:space="0" w:color="auto"/>
        <w:right w:val="none" w:sz="0" w:space="0" w:color="auto"/>
      </w:divBdr>
    </w:div>
    <w:div w:id="719324738">
      <w:bodyDiv w:val="1"/>
      <w:marLeft w:val="0"/>
      <w:marRight w:val="0"/>
      <w:marTop w:val="0"/>
      <w:marBottom w:val="0"/>
      <w:divBdr>
        <w:top w:val="none" w:sz="0" w:space="0" w:color="auto"/>
        <w:left w:val="none" w:sz="0" w:space="0" w:color="auto"/>
        <w:bottom w:val="none" w:sz="0" w:space="0" w:color="auto"/>
        <w:right w:val="none" w:sz="0" w:space="0" w:color="auto"/>
      </w:divBdr>
    </w:div>
    <w:div w:id="720440406">
      <w:bodyDiv w:val="1"/>
      <w:marLeft w:val="0"/>
      <w:marRight w:val="0"/>
      <w:marTop w:val="0"/>
      <w:marBottom w:val="0"/>
      <w:divBdr>
        <w:top w:val="none" w:sz="0" w:space="0" w:color="auto"/>
        <w:left w:val="none" w:sz="0" w:space="0" w:color="auto"/>
        <w:bottom w:val="none" w:sz="0" w:space="0" w:color="auto"/>
        <w:right w:val="none" w:sz="0" w:space="0" w:color="auto"/>
      </w:divBdr>
    </w:div>
    <w:div w:id="722366925">
      <w:bodyDiv w:val="1"/>
      <w:marLeft w:val="0"/>
      <w:marRight w:val="0"/>
      <w:marTop w:val="0"/>
      <w:marBottom w:val="0"/>
      <w:divBdr>
        <w:top w:val="none" w:sz="0" w:space="0" w:color="auto"/>
        <w:left w:val="none" w:sz="0" w:space="0" w:color="auto"/>
        <w:bottom w:val="none" w:sz="0" w:space="0" w:color="auto"/>
        <w:right w:val="none" w:sz="0" w:space="0" w:color="auto"/>
      </w:divBdr>
    </w:div>
    <w:div w:id="722868346">
      <w:bodyDiv w:val="1"/>
      <w:marLeft w:val="0"/>
      <w:marRight w:val="0"/>
      <w:marTop w:val="0"/>
      <w:marBottom w:val="0"/>
      <w:divBdr>
        <w:top w:val="none" w:sz="0" w:space="0" w:color="auto"/>
        <w:left w:val="none" w:sz="0" w:space="0" w:color="auto"/>
        <w:bottom w:val="none" w:sz="0" w:space="0" w:color="auto"/>
        <w:right w:val="none" w:sz="0" w:space="0" w:color="auto"/>
      </w:divBdr>
    </w:div>
    <w:div w:id="725684993">
      <w:bodyDiv w:val="1"/>
      <w:marLeft w:val="0"/>
      <w:marRight w:val="0"/>
      <w:marTop w:val="0"/>
      <w:marBottom w:val="0"/>
      <w:divBdr>
        <w:top w:val="none" w:sz="0" w:space="0" w:color="auto"/>
        <w:left w:val="none" w:sz="0" w:space="0" w:color="auto"/>
        <w:bottom w:val="none" w:sz="0" w:space="0" w:color="auto"/>
        <w:right w:val="none" w:sz="0" w:space="0" w:color="auto"/>
      </w:divBdr>
    </w:div>
    <w:div w:id="726345630">
      <w:bodyDiv w:val="1"/>
      <w:marLeft w:val="0"/>
      <w:marRight w:val="0"/>
      <w:marTop w:val="0"/>
      <w:marBottom w:val="0"/>
      <w:divBdr>
        <w:top w:val="none" w:sz="0" w:space="0" w:color="auto"/>
        <w:left w:val="none" w:sz="0" w:space="0" w:color="auto"/>
        <w:bottom w:val="none" w:sz="0" w:space="0" w:color="auto"/>
        <w:right w:val="none" w:sz="0" w:space="0" w:color="auto"/>
      </w:divBdr>
    </w:div>
    <w:div w:id="727267071">
      <w:bodyDiv w:val="1"/>
      <w:marLeft w:val="0"/>
      <w:marRight w:val="0"/>
      <w:marTop w:val="0"/>
      <w:marBottom w:val="0"/>
      <w:divBdr>
        <w:top w:val="none" w:sz="0" w:space="0" w:color="auto"/>
        <w:left w:val="none" w:sz="0" w:space="0" w:color="auto"/>
        <w:bottom w:val="none" w:sz="0" w:space="0" w:color="auto"/>
        <w:right w:val="none" w:sz="0" w:space="0" w:color="auto"/>
      </w:divBdr>
    </w:div>
    <w:div w:id="727846087">
      <w:bodyDiv w:val="1"/>
      <w:marLeft w:val="0"/>
      <w:marRight w:val="0"/>
      <w:marTop w:val="0"/>
      <w:marBottom w:val="0"/>
      <w:divBdr>
        <w:top w:val="none" w:sz="0" w:space="0" w:color="auto"/>
        <w:left w:val="none" w:sz="0" w:space="0" w:color="auto"/>
        <w:bottom w:val="none" w:sz="0" w:space="0" w:color="auto"/>
        <w:right w:val="none" w:sz="0" w:space="0" w:color="auto"/>
      </w:divBdr>
    </w:div>
    <w:div w:id="727850030">
      <w:bodyDiv w:val="1"/>
      <w:marLeft w:val="0"/>
      <w:marRight w:val="0"/>
      <w:marTop w:val="0"/>
      <w:marBottom w:val="0"/>
      <w:divBdr>
        <w:top w:val="none" w:sz="0" w:space="0" w:color="auto"/>
        <w:left w:val="none" w:sz="0" w:space="0" w:color="auto"/>
        <w:bottom w:val="none" w:sz="0" w:space="0" w:color="auto"/>
        <w:right w:val="none" w:sz="0" w:space="0" w:color="auto"/>
      </w:divBdr>
    </w:div>
    <w:div w:id="728261583">
      <w:bodyDiv w:val="1"/>
      <w:marLeft w:val="0"/>
      <w:marRight w:val="0"/>
      <w:marTop w:val="0"/>
      <w:marBottom w:val="0"/>
      <w:divBdr>
        <w:top w:val="none" w:sz="0" w:space="0" w:color="auto"/>
        <w:left w:val="none" w:sz="0" w:space="0" w:color="auto"/>
        <w:bottom w:val="none" w:sz="0" w:space="0" w:color="auto"/>
        <w:right w:val="none" w:sz="0" w:space="0" w:color="auto"/>
      </w:divBdr>
    </w:div>
    <w:div w:id="729769401">
      <w:bodyDiv w:val="1"/>
      <w:marLeft w:val="0"/>
      <w:marRight w:val="0"/>
      <w:marTop w:val="0"/>
      <w:marBottom w:val="0"/>
      <w:divBdr>
        <w:top w:val="none" w:sz="0" w:space="0" w:color="auto"/>
        <w:left w:val="none" w:sz="0" w:space="0" w:color="auto"/>
        <w:bottom w:val="none" w:sz="0" w:space="0" w:color="auto"/>
        <w:right w:val="none" w:sz="0" w:space="0" w:color="auto"/>
      </w:divBdr>
    </w:div>
    <w:div w:id="730688824">
      <w:bodyDiv w:val="1"/>
      <w:marLeft w:val="0"/>
      <w:marRight w:val="0"/>
      <w:marTop w:val="0"/>
      <w:marBottom w:val="0"/>
      <w:divBdr>
        <w:top w:val="none" w:sz="0" w:space="0" w:color="auto"/>
        <w:left w:val="none" w:sz="0" w:space="0" w:color="auto"/>
        <w:bottom w:val="none" w:sz="0" w:space="0" w:color="auto"/>
        <w:right w:val="none" w:sz="0" w:space="0" w:color="auto"/>
      </w:divBdr>
    </w:div>
    <w:div w:id="731195569">
      <w:bodyDiv w:val="1"/>
      <w:marLeft w:val="0"/>
      <w:marRight w:val="0"/>
      <w:marTop w:val="0"/>
      <w:marBottom w:val="0"/>
      <w:divBdr>
        <w:top w:val="none" w:sz="0" w:space="0" w:color="auto"/>
        <w:left w:val="none" w:sz="0" w:space="0" w:color="auto"/>
        <w:bottom w:val="none" w:sz="0" w:space="0" w:color="auto"/>
        <w:right w:val="none" w:sz="0" w:space="0" w:color="auto"/>
      </w:divBdr>
    </w:div>
    <w:div w:id="731852173">
      <w:bodyDiv w:val="1"/>
      <w:marLeft w:val="0"/>
      <w:marRight w:val="0"/>
      <w:marTop w:val="0"/>
      <w:marBottom w:val="0"/>
      <w:divBdr>
        <w:top w:val="none" w:sz="0" w:space="0" w:color="auto"/>
        <w:left w:val="none" w:sz="0" w:space="0" w:color="auto"/>
        <w:bottom w:val="none" w:sz="0" w:space="0" w:color="auto"/>
        <w:right w:val="none" w:sz="0" w:space="0" w:color="auto"/>
      </w:divBdr>
    </w:div>
    <w:div w:id="732200887">
      <w:bodyDiv w:val="1"/>
      <w:marLeft w:val="0"/>
      <w:marRight w:val="0"/>
      <w:marTop w:val="0"/>
      <w:marBottom w:val="0"/>
      <w:divBdr>
        <w:top w:val="none" w:sz="0" w:space="0" w:color="auto"/>
        <w:left w:val="none" w:sz="0" w:space="0" w:color="auto"/>
        <w:bottom w:val="none" w:sz="0" w:space="0" w:color="auto"/>
        <w:right w:val="none" w:sz="0" w:space="0" w:color="auto"/>
      </w:divBdr>
    </w:div>
    <w:div w:id="734664425">
      <w:bodyDiv w:val="1"/>
      <w:marLeft w:val="0"/>
      <w:marRight w:val="0"/>
      <w:marTop w:val="0"/>
      <w:marBottom w:val="0"/>
      <w:divBdr>
        <w:top w:val="none" w:sz="0" w:space="0" w:color="auto"/>
        <w:left w:val="none" w:sz="0" w:space="0" w:color="auto"/>
        <w:bottom w:val="none" w:sz="0" w:space="0" w:color="auto"/>
        <w:right w:val="none" w:sz="0" w:space="0" w:color="auto"/>
      </w:divBdr>
    </w:div>
    <w:div w:id="735279220">
      <w:bodyDiv w:val="1"/>
      <w:marLeft w:val="0"/>
      <w:marRight w:val="0"/>
      <w:marTop w:val="0"/>
      <w:marBottom w:val="0"/>
      <w:divBdr>
        <w:top w:val="none" w:sz="0" w:space="0" w:color="auto"/>
        <w:left w:val="none" w:sz="0" w:space="0" w:color="auto"/>
        <w:bottom w:val="none" w:sz="0" w:space="0" w:color="auto"/>
        <w:right w:val="none" w:sz="0" w:space="0" w:color="auto"/>
      </w:divBdr>
    </w:div>
    <w:div w:id="736048888">
      <w:bodyDiv w:val="1"/>
      <w:marLeft w:val="0"/>
      <w:marRight w:val="0"/>
      <w:marTop w:val="0"/>
      <w:marBottom w:val="0"/>
      <w:divBdr>
        <w:top w:val="none" w:sz="0" w:space="0" w:color="auto"/>
        <w:left w:val="none" w:sz="0" w:space="0" w:color="auto"/>
        <w:bottom w:val="none" w:sz="0" w:space="0" w:color="auto"/>
        <w:right w:val="none" w:sz="0" w:space="0" w:color="auto"/>
      </w:divBdr>
    </w:div>
    <w:div w:id="736051166">
      <w:bodyDiv w:val="1"/>
      <w:marLeft w:val="0"/>
      <w:marRight w:val="0"/>
      <w:marTop w:val="0"/>
      <w:marBottom w:val="0"/>
      <w:divBdr>
        <w:top w:val="none" w:sz="0" w:space="0" w:color="auto"/>
        <w:left w:val="none" w:sz="0" w:space="0" w:color="auto"/>
        <w:bottom w:val="none" w:sz="0" w:space="0" w:color="auto"/>
        <w:right w:val="none" w:sz="0" w:space="0" w:color="auto"/>
      </w:divBdr>
    </w:div>
    <w:div w:id="736783172">
      <w:bodyDiv w:val="1"/>
      <w:marLeft w:val="0"/>
      <w:marRight w:val="0"/>
      <w:marTop w:val="0"/>
      <w:marBottom w:val="0"/>
      <w:divBdr>
        <w:top w:val="none" w:sz="0" w:space="0" w:color="auto"/>
        <w:left w:val="none" w:sz="0" w:space="0" w:color="auto"/>
        <w:bottom w:val="none" w:sz="0" w:space="0" w:color="auto"/>
        <w:right w:val="none" w:sz="0" w:space="0" w:color="auto"/>
      </w:divBdr>
    </w:div>
    <w:div w:id="736784274">
      <w:bodyDiv w:val="1"/>
      <w:marLeft w:val="0"/>
      <w:marRight w:val="0"/>
      <w:marTop w:val="0"/>
      <w:marBottom w:val="0"/>
      <w:divBdr>
        <w:top w:val="none" w:sz="0" w:space="0" w:color="auto"/>
        <w:left w:val="none" w:sz="0" w:space="0" w:color="auto"/>
        <w:bottom w:val="none" w:sz="0" w:space="0" w:color="auto"/>
        <w:right w:val="none" w:sz="0" w:space="0" w:color="auto"/>
      </w:divBdr>
    </w:div>
    <w:div w:id="736822372">
      <w:bodyDiv w:val="1"/>
      <w:marLeft w:val="0"/>
      <w:marRight w:val="0"/>
      <w:marTop w:val="0"/>
      <w:marBottom w:val="0"/>
      <w:divBdr>
        <w:top w:val="none" w:sz="0" w:space="0" w:color="auto"/>
        <w:left w:val="none" w:sz="0" w:space="0" w:color="auto"/>
        <w:bottom w:val="none" w:sz="0" w:space="0" w:color="auto"/>
        <w:right w:val="none" w:sz="0" w:space="0" w:color="auto"/>
      </w:divBdr>
    </w:div>
    <w:div w:id="737020610">
      <w:bodyDiv w:val="1"/>
      <w:marLeft w:val="0"/>
      <w:marRight w:val="0"/>
      <w:marTop w:val="0"/>
      <w:marBottom w:val="0"/>
      <w:divBdr>
        <w:top w:val="none" w:sz="0" w:space="0" w:color="auto"/>
        <w:left w:val="none" w:sz="0" w:space="0" w:color="auto"/>
        <w:bottom w:val="none" w:sz="0" w:space="0" w:color="auto"/>
        <w:right w:val="none" w:sz="0" w:space="0" w:color="auto"/>
      </w:divBdr>
    </w:div>
    <w:div w:id="738138208">
      <w:bodyDiv w:val="1"/>
      <w:marLeft w:val="0"/>
      <w:marRight w:val="0"/>
      <w:marTop w:val="0"/>
      <w:marBottom w:val="0"/>
      <w:divBdr>
        <w:top w:val="none" w:sz="0" w:space="0" w:color="auto"/>
        <w:left w:val="none" w:sz="0" w:space="0" w:color="auto"/>
        <w:bottom w:val="none" w:sz="0" w:space="0" w:color="auto"/>
        <w:right w:val="none" w:sz="0" w:space="0" w:color="auto"/>
      </w:divBdr>
    </w:div>
    <w:div w:id="738401840">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743331614">
      <w:bodyDiv w:val="1"/>
      <w:marLeft w:val="0"/>
      <w:marRight w:val="0"/>
      <w:marTop w:val="0"/>
      <w:marBottom w:val="0"/>
      <w:divBdr>
        <w:top w:val="none" w:sz="0" w:space="0" w:color="auto"/>
        <w:left w:val="none" w:sz="0" w:space="0" w:color="auto"/>
        <w:bottom w:val="none" w:sz="0" w:space="0" w:color="auto"/>
        <w:right w:val="none" w:sz="0" w:space="0" w:color="auto"/>
      </w:divBdr>
    </w:div>
    <w:div w:id="743528340">
      <w:bodyDiv w:val="1"/>
      <w:marLeft w:val="0"/>
      <w:marRight w:val="0"/>
      <w:marTop w:val="0"/>
      <w:marBottom w:val="0"/>
      <w:divBdr>
        <w:top w:val="none" w:sz="0" w:space="0" w:color="auto"/>
        <w:left w:val="none" w:sz="0" w:space="0" w:color="auto"/>
        <w:bottom w:val="none" w:sz="0" w:space="0" w:color="auto"/>
        <w:right w:val="none" w:sz="0" w:space="0" w:color="auto"/>
      </w:divBdr>
    </w:div>
    <w:div w:id="743650141">
      <w:bodyDiv w:val="1"/>
      <w:marLeft w:val="0"/>
      <w:marRight w:val="0"/>
      <w:marTop w:val="0"/>
      <w:marBottom w:val="0"/>
      <w:divBdr>
        <w:top w:val="none" w:sz="0" w:space="0" w:color="auto"/>
        <w:left w:val="none" w:sz="0" w:space="0" w:color="auto"/>
        <w:bottom w:val="none" w:sz="0" w:space="0" w:color="auto"/>
        <w:right w:val="none" w:sz="0" w:space="0" w:color="auto"/>
      </w:divBdr>
    </w:div>
    <w:div w:id="744231143">
      <w:bodyDiv w:val="1"/>
      <w:marLeft w:val="0"/>
      <w:marRight w:val="0"/>
      <w:marTop w:val="0"/>
      <w:marBottom w:val="0"/>
      <w:divBdr>
        <w:top w:val="none" w:sz="0" w:space="0" w:color="auto"/>
        <w:left w:val="none" w:sz="0" w:space="0" w:color="auto"/>
        <w:bottom w:val="none" w:sz="0" w:space="0" w:color="auto"/>
        <w:right w:val="none" w:sz="0" w:space="0" w:color="auto"/>
      </w:divBdr>
    </w:div>
    <w:div w:id="746343027">
      <w:bodyDiv w:val="1"/>
      <w:marLeft w:val="0"/>
      <w:marRight w:val="0"/>
      <w:marTop w:val="0"/>
      <w:marBottom w:val="0"/>
      <w:divBdr>
        <w:top w:val="none" w:sz="0" w:space="0" w:color="auto"/>
        <w:left w:val="none" w:sz="0" w:space="0" w:color="auto"/>
        <w:bottom w:val="none" w:sz="0" w:space="0" w:color="auto"/>
        <w:right w:val="none" w:sz="0" w:space="0" w:color="auto"/>
      </w:divBdr>
    </w:div>
    <w:div w:id="746726744">
      <w:bodyDiv w:val="1"/>
      <w:marLeft w:val="0"/>
      <w:marRight w:val="0"/>
      <w:marTop w:val="0"/>
      <w:marBottom w:val="0"/>
      <w:divBdr>
        <w:top w:val="none" w:sz="0" w:space="0" w:color="auto"/>
        <w:left w:val="none" w:sz="0" w:space="0" w:color="auto"/>
        <w:bottom w:val="none" w:sz="0" w:space="0" w:color="auto"/>
        <w:right w:val="none" w:sz="0" w:space="0" w:color="auto"/>
      </w:divBdr>
    </w:div>
    <w:div w:id="747312005">
      <w:bodyDiv w:val="1"/>
      <w:marLeft w:val="0"/>
      <w:marRight w:val="0"/>
      <w:marTop w:val="0"/>
      <w:marBottom w:val="0"/>
      <w:divBdr>
        <w:top w:val="none" w:sz="0" w:space="0" w:color="auto"/>
        <w:left w:val="none" w:sz="0" w:space="0" w:color="auto"/>
        <w:bottom w:val="none" w:sz="0" w:space="0" w:color="auto"/>
        <w:right w:val="none" w:sz="0" w:space="0" w:color="auto"/>
      </w:divBdr>
    </w:div>
    <w:div w:id="747655913">
      <w:bodyDiv w:val="1"/>
      <w:marLeft w:val="0"/>
      <w:marRight w:val="0"/>
      <w:marTop w:val="0"/>
      <w:marBottom w:val="0"/>
      <w:divBdr>
        <w:top w:val="none" w:sz="0" w:space="0" w:color="auto"/>
        <w:left w:val="none" w:sz="0" w:space="0" w:color="auto"/>
        <w:bottom w:val="none" w:sz="0" w:space="0" w:color="auto"/>
        <w:right w:val="none" w:sz="0" w:space="0" w:color="auto"/>
      </w:divBdr>
    </w:div>
    <w:div w:id="747924323">
      <w:bodyDiv w:val="1"/>
      <w:marLeft w:val="0"/>
      <w:marRight w:val="0"/>
      <w:marTop w:val="0"/>
      <w:marBottom w:val="0"/>
      <w:divBdr>
        <w:top w:val="none" w:sz="0" w:space="0" w:color="auto"/>
        <w:left w:val="none" w:sz="0" w:space="0" w:color="auto"/>
        <w:bottom w:val="none" w:sz="0" w:space="0" w:color="auto"/>
        <w:right w:val="none" w:sz="0" w:space="0" w:color="auto"/>
      </w:divBdr>
    </w:div>
    <w:div w:id="747925194">
      <w:bodyDiv w:val="1"/>
      <w:marLeft w:val="0"/>
      <w:marRight w:val="0"/>
      <w:marTop w:val="0"/>
      <w:marBottom w:val="0"/>
      <w:divBdr>
        <w:top w:val="none" w:sz="0" w:space="0" w:color="auto"/>
        <w:left w:val="none" w:sz="0" w:space="0" w:color="auto"/>
        <w:bottom w:val="none" w:sz="0" w:space="0" w:color="auto"/>
        <w:right w:val="none" w:sz="0" w:space="0" w:color="auto"/>
      </w:divBdr>
    </w:div>
    <w:div w:id="748425915">
      <w:bodyDiv w:val="1"/>
      <w:marLeft w:val="0"/>
      <w:marRight w:val="0"/>
      <w:marTop w:val="0"/>
      <w:marBottom w:val="0"/>
      <w:divBdr>
        <w:top w:val="none" w:sz="0" w:space="0" w:color="auto"/>
        <w:left w:val="none" w:sz="0" w:space="0" w:color="auto"/>
        <w:bottom w:val="none" w:sz="0" w:space="0" w:color="auto"/>
        <w:right w:val="none" w:sz="0" w:space="0" w:color="auto"/>
      </w:divBdr>
    </w:div>
    <w:div w:id="748884534">
      <w:bodyDiv w:val="1"/>
      <w:marLeft w:val="0"/>
      <w:marRight w:val="0"/>
      <w:marTop w:val="0"/>
      <w:marBottom w:val="0"/>
      <w:divBdr>
        <w:top w:val="none" w:sz="0" w:space="0" w:color="auto"/>
        <w:left w:val="none" w:sz="0" w:space="0" w:color="auto"/>
        <w:bottom w:val="none" w:sz="0" w:space="0" w:color="auto"/>
        <w:right w:val="none" w:sz="0" w:space="0" w:color="auto"/>
      </w:divBdr>
    </w:div>
    <w:div w:id="751395460">
      <w:bodyDiv w:val="1"/>
      <w:marLeft w:val="0"/>
      <w:marRight w:val="0"/>
      <w:marTop w:val="0"/>
      <w:marBottom w:val="0"/>
      <w:divBdr>
        <w:top w:val="none" w:sz="0" w:space="0" w:color="auto"/>
        <w:left w:val="none" w:sz="0" w:space="0" w:color="auto"/>
        <w:bottom w:val="none" w:sz="0" w:space="0" w:color="auto"/>
        <w:right w:val="none" w:sz="0" w:space="0" w:color="auto"/>
      </w:divBdr>
    </w:div>
    <w:div w:id="755249203">
      <w:bodyDiv w:val="1"/>
      <w:marLeft w:val="0"/>
      <w:marRight w:val="0"/>
      <w:marTop w:val="0"/>
      <w:marBottom w:val="0"/>
      <w:divBdr>
        <w:top w:val="none" w:sz="0" w:space="0" w:color="auto"/>
        <w:left w:val="none" w:sz="0" w:space="0" w:color="auto"/>
        <w:bottom w:val="none" w:sz="0" w:space="0" w:color="auto"/>
        <w:right w:val="none" w:sz="0" w:space="0" w:color="auto"/>
      </w:divBdr>
    </w:div>
    <w:div w:id="755833085">
      <w:bodyDiv w:val="1"/>
      <w:marLeft w:val="0"/>
      <w:marRight w:val="0"/>
      <w:marTop w:val="0"/>
      <w:marBottom w:val="0"/>
      <w:divBdr>
        <w:top w:val="none" w:sz="0" w:space="0" w:color="auto"/>
        <w:left w:val="none" w:sz="0" w:space="0" w:color="auto"/>
        <w:bottom w:val="none" w:sz="0" w:space="0" w:color="auto"/>
        <w:right w:val="none" w:sz="0" w:space="0" w:color="auto"/>
      </w:divBdr>
    </w:div>
    <w:div w:id="756948449">
      <w:bodyDiv w:val="1"/>
      <w:marLeft w:val="0"/>
      <w:marRight w:val="0"/>
      <w:marTop w:val="0"/>
      <w:marBottom w:val="0"/>
      <w:divBdr>
        <w:top w:val="none" w:sz="0" w:space="0" w:color="auto"/>
        <w:left w:val="none" w:sz="0" w:space="0" w:color="auto"/>
        <w:bottom w:val="none" w:sz="0" w:space="0" w:color="auto"/>
        <w:right w:val="none" w:sz="0" w:space="0" w:color="auto"/>
      </w:divBdr>
    </w:div>
    <w:div w:id="757797933">
      <w:bodyDiv w:val="1"/>
      <w:marLeft w:val="0"/>
      <w:marRight w:val="0"/>
      <w:marTop w:val="0"/>
      <w:marBottom w:val="0"/>
      <w:divBdr>
        <w:top w:val="none" w:sz="0" w:space="0" w:color="auto"/>
        <w:left w:val="none" w:sz="0" w:space="0" w:color="auto"/>
        <w:bottom w:val="none" w:sz="0" w:space="0" w:color="auto"/>
        <w:right w:val="none" w:sz="0" w:space="0" w:color="auto"/>
      </w:divBdr>
    </w:div>
    <w:div w:id="759332110">
      <w:bodyDiv w:val="1"/>
      <w:marLeft w:val="0"/>
      <w:marRight w:val="0"/>
      <w:marTop w:val="0"/>
      <w:marBottom w:val="0"/>
      <w:divBdr>
        <w:top w:val="none" w:sz="0" w:space="0" w:color="auto"/>
        <w:left w:val="none" w:sz="0" w:space="0" w:color="auto"/>
        <w:bottom w:val="none" w:sz="0" w:space="0" w:color="auto"/>
        <w:right w:val="none" w:sz="0" w:space="0" w:color="auto"/>
      </w:divBdr>
    </w:div>
    <w:div w:id="759834050">
      <w:bodyDiv w:val="1"/>
      <w:marLeft w:val="0"/>
      <w:marRight w:val="0"/>
      <w:marTop w:val="0"/>
      <w:marBottom w:val="0"/>
      <w:divBdr>
        <w:top w:val="none" w:sz="0" w:space="0" w:color="auto"/>
        <w:left w:val="none" w:sz="0" w:space="0" w:color="auto"/>
        <w:bottom w:val="none" w:sz="0" w:space="0" w:color="auto"/>
        <w:right w:val="none" w:sz="0" w:space="0" w:color="auto"/>
      </w:divBdr>
    </w:div>
    <w:div w:id="760495046">
      <w:bodyDiv w:val="1"/>
      <w:marLeft w:val="0"/>
      <w:marRight w:val="0"/>
      <w:marTop w:val="0"/>
      <w:marBottom w:val="0"/>
      <w:divBdr>
        <w:top w:val="none" w:sz="0" w:space="0" w:color="auto"/>
        <w:left w:val="none" w:sz="0" w:space="0" w:color="auto"/>
        <w:bottom w:val="none" w:sz="0" w:space="0" w:color="auto"/>
        <w:right w:val="none" w:sz="0" w:space="0" w:color="auto"/>
      </w:divBdr>
    </w:div>
    <w:div w:id="761223793">
      <w:bodyDiv w:val="1"/>
      <w:marLeft w:val="0"/>
      <w:marRight w:val="0"/>
      <w:marTop w:val="0"/>
      <w:marBottom w:val="0"/>
      <w:divBdr>
        <w:top w:val="none" w:sz="0" w:space="0" w:color="auto"/>
        <w:left w:val="none" w:sz="0" w:space="0" w:color="auto"/>
        <w:bottom w:val="none" w:sz="0" w:space="0" w:color="auto"/>
        <w:right w:val="none" w:sz="0" w:space="0" w:color="auto"/>
      </w:divBdr>
    </w:div>
    <w:div w:id="762456193">
      <w:bodyDiv w:val="1"/>
      <w:marLeft w:val="0"/>
      <w:marRight w:val="0"/>
      <w:marTop w:val="0"/>
      <w:marBottom w:val="0"/>
      <w:divBdr>
        <w:top w:val="none" w:sz="0" w:space="0" w:color="auto"/>
        <w:left w:val="none" w:sz="0" w:space="0" w:color="auto"/>
        <w:bottom w:val="none" w:sz="0" w:space="0" w:color="auto"/>
        <w:right w:val="none" w:sz="0" w:space="0" w:color="auto"/>
      </w:divBdr>
    </w:div>
    <w:div w:id="763771379">
      <w:bodyDiv w:val="1"/>
      <w:marLeft w:val="0"/>
      <w:marRight w:val="0"/>
      <w:marTop w:val="0"/>
      <w:marBottom w:val="0"/>
      <w:divBdr>
        <w:top w:val="none" w:sz="0" w:space="0" w:color="auto"/>
        <w:left w:val="none" w:sz="0" w:space="0" w:color="auto"/>
        <w:bottom w:val="none" w:sz="0" w:space="0" w:color="auto"/>
        <w:right w:val="none" w:sz="0" w:space="0" w:color="auto"/>
      </w:divBdr>
    </w:div>
    <w:div w:id="763888567">
      <w:bodyDiv w:val="1"/>
      <w:marLeft w:val="0"/>
      <w:marRight w:val="0"/>
      <w:marTop w:val="0"/>
      <w:marBottom w:val="0"/>
      <w:divBdr>
        <w:top w:val="none" w:sz="0" w:space="0" w:color="auto"/>
        <w:left w:val="none" w:sz="0" w:space="0" w:color="auto"/>
        <w:bottom w:val="none" w:sz="0" w:space="0" w:color="auto"/>
        <w:right w:val="none" w:sz="0" w:space="0" w:color="auto"/>
      </w:divBdr>
    </w:div>
    <w:div w:id="764233968">
      <w:bodyDiv w:val="1"/>
      <w:marLeft w:val="0"/>
      <w:marRight w:val="0"/>
      <w:marTop w:val="0"/>
      <w:marBottom w:val="0"/>
      <w:divBdr>
        <w:top w:val="none" w:sz="0" w:space="0" w:color="auto"/>
        <w:left w:val="none" w:sz="0" w:space="0" w:color="auto"/>
        <w:bottom w:val="none" w:sz="0" w:space="0" w:color="auto"/>
        <w:right w:val="none" w:sz="0" w:space="0" w:color="auto"/>
      </w:divBdr>
    </w:div>
    <w:div w:id="765930980">
      <w:bodyDiv w:val="1"/>
      <w:marLeft w:val="0"/>
      <w:marRight w:val="0"/>
      <w:marTop w:val="0"/>
      <w:marBottom w:val="0"/>
      <w:divBdr>
        <w:top w:val="none" w:sz="0" w:space="0" w:color="auto"/>
        <w:left w:val="none" w:sz="0" w:space="0" w:color="auto"/>
        <w:bottom w:val="none" w:sz="0" w:space="0" w:color="auto"/>
        <w:right w:val="none" w:sz="0" w:space="0" w:color="auto"/>
      </w:divBdr>
    </w:div>
    <w:div w:id="767627418">
      <w:bodyDiv w:val="1"/>
      <w:marLeft w:val="0"/>
      <w:marRight w:val="0"/>
      <w:marTop w:val="0"/>
      <w:marBottom w:val="0"/>
      <w:divBdr>
        <w:top w:val="none" w:sz="0" w:space="0" w:color="auto"/>
        <w:left w:val="none" w:sz="0" w:space="0" w:color="auto"/>
        <w:bottom w:val="none" w:sz="0" w:space="0" w:color="auto"/>
        <w:right w:val="none" w:sz="0" w:space="0" w:color="auto"/>
      </w:divBdr>
    </w:div>
    <w:div w:id="768432394">
      <w:bodyDiv w:val="1"/>
      <w:marLeft w:val="0"/>
      <w:marRight w:val="0"/>
      <w:marTop w:val="0"/>
      <w:marBottom w:val="0"/>
      <w:divBdr>
        <w:top w:val="none" w:sz="0" w:space="0" w:color="auto"/>
        <w:left w:val="none" w:sz="0" w:space="0" w:color="auto"/>
        <w:bottom w:val="none" w:sz="0" w:space="0" w:color="auto"/>
        <w:right w:val="none" w:sz="0" w:space="0" w:color="auto"/>
      </w:divBdr>
    </w:div>
    <w:div w:id="768618901">
      <w:bodyDiv w:val="1"/>
      <w:marLeft w:val="0"/>
      <w:marRight w:val="0"/>
      <w:marTop w:val="0"/>
      <w:marBottom w:val="0"/>
      <w:divBdr>
        <w:top w:val="none" w:sz="0" w:space="0" w:color="auto"/>
        <w:left w:val="none" w:sz="0" w:space="0" w:color="auto"/>
        <w:bottom w:val="none" w:sz="0" w:space="0" w:color="auto"/>
        <w:right w:val="none" w:sz="0" w:space="0" w:color="auto"/>
      </w:divBdr>
    </w:div>
    <w:div w:id="768890918">
      <w:bodyDiv w:val="1"/>
      <w:marLeft w:val="0"/>
      <w:marRight w:val="0"/>
      <w:marTop w:val="0"/>
      <w:marBottom w:val="0"/>
      <w:divBdr>
        <w:top w:val="none" w:sz="0" w:space="0" w:color="auto"/>
        <w:left w:val="none" w:sz="0" w:space="0" w:color="auto"/>
        <w:bottom w:val="none" w:sz="0" w:space="0" w:color="auto"/>
        <w:right w:val="none" w:sz="0" w:space="0" w:color="auto"/>
      </w:divBdr>
    </w:div>
    <w:div w:id="769206523">
      <w:bodyDiv w:val="1"/>
      <w:marLeft w:val="0"/>
      <w:marRight w:val="0"/>
      <w:marTop w:val="0"/>
      <w:marBottom w:val="0"/>
      <w:divBdr>
        <w:top w:val="none" w:sz="0" w:space="0" w:color="auto"/>
        <w:left w:val="none" w:sz="0" w:space="0" w:color="auto"/>
        <w:bottom w:val="none" w:sz="0" w:space="0" w:color="auto"/>
        <w:right w:val="none" w:sz="0" w:space="0" w:color="auto"/>
      </w:divBdr>
    </w:div>
    <w:div w:id="771896526">
      <w:bodyDiv w:val="1"/>
      <w:marLeft w:val="0"/>
      <w:marRight w:val="0"/>
      <w:marTop w:val="0"/>
      <w:marBottom w:val="0"/>
      <w:divBdr>
        <w:top w:val="none" w:sz="0" w:space="0" w:color="auto"/>
        <w:left w:val="none" w:sz="0" w:space="0" w:color="auto"/>
        <w:bottom w:val="none" w:sz="0" w:space="0" w:color="auto"/>
        <w:right w:val="none" w:sz="0" w:space="0" w:color="auto"/>
      </w:divBdr>
    </w:div>
    <w:div w:id="772743415">
      <w:bodyDiv w:val="1"/>
      <w:marLeft w:val="0"/>
      <w:marRight w:val="0"/>
      <w:marTop w:val="0"/>
      <w:marBottom w:val="0"/>
      <w:divBdr>
        <w:top w:val="none" w:sz="0" w:space="0" w:color="auto"/>
        <w:left w:val="none" w:sz="0" w:space="0" w:color="auto"/>
        <w:bottom w:val="none" w:sz="0" w:space="0" w:color="auto"/>
        <w:right w:val="none" w:sz="0" w:space="0" w:color="auto"/>
      </w:divBdr>
    </w:div>
    <w:div w:id="773549275">
      <w:bodyDiv w:val="1"/>
      <w:marLeft w:val="0"/>
      <w:marRight w:val="0"/>
      <w:marTop w:val="0"/>
      <w:marBottom w:val="0"/>
      <w:divBdr>
        <w:top w:val="none" w:sz="0" w:space="0" w:color="auto"/>
        <w:left w:val="none" w:sz="0" w:space="0" w:color="auto"/>
        <w:bottom w:val="none" w:sz="0" w:space="0" w:color="auto"/>
        <w:right w:val="none" w:sz="0" w:space="0" w:color="auto"/>
      </w:divBdr>
    </w:div>
    <w:div w:id="774324411">
      <w:bodyDiv w:val="1"/>
      <w:marLeft w:val="0"/>
      <w:marRight w:val="0"/>
      <w:marTop w:val="0"/>
      <w:marBottom w:val="0"/>
      <w:divBdr>
        <w:top w:val="none" w:sz="0" w:space="0" w:color="auto"/>
        <w:left w:val="none" w:sz="0" w:space="0" w:color="auto"/>
        <w:bottom w:val="none" w:sz="0" w:space="0" w:color="auto"/>
        <w:right w:val="none" w:sz="0" w:space="0" w:color="auto"/>
      </w:divBdr>
    </w:div>
    <w:div w:id="775323603">
      <w:bodyDiv w:val="1"/>
      <w:marLeft w:val="0"/>
      <w:marRight w:val="0"/>
      <w:marTop w:val="0"/>
      <w:marBottom w:val="0"/>
      <w:divBdr>
        <w:top w:val="none" w:sz="0" w:space="0" w:color="auto"/>
        <w:left w:val="none" w:sz="0" w:space="0" w:color="auto"/>
        <w:bottom w:val="none" w:sz="0" w:space="0" w:color="auto"/>
        <w:right w:val="none" w:sz="0" w:space="0" w:color="auto"/>
      </w:divBdr>
    </w:div>
    <w:div w:id="775906302">
      <w:bodyDiv w:val="1"/>
      <w:marLeft w:val="0"/>
      <w:marRight w:val="0"/>
      <w:marTop w:val="0"/>
      <w:marBottom w:val="0"/>
      <w:divBdr>
        <w:top w:val="none" w:sz="0" w:space="0" w:color="auto"/>
        <w:left w:val="none" w:sz="0" w:space="0" w:color="auto"/>
        <w:bottom w:val="none" w:sz="0" w:space="0" w:color="auto"/>
        <w:right w:val="none" w:sz="0" w:space="0" w:color="auto"/>
      </w:divBdr>
    </w:div>
    <w:div w:id="776028400">
      <w:bodyDiv w:val="1"/>
      <w:marLeft w:val="0"/>
      <w:marRight w:val="0"/>
      <w:marTop w:val="0"/>
      <w:marBottom w:val="0"/>
      <w:divBdr>
        <w:top w:val="none" w:sz="0" w:space="0" w:color="auto"/>
        <w:left w:val="none" w:sz="0" w:space="0" w:color="auto"/>
        <w:bottom w:val="none" w:sz="0" w:space="0" w:color="auto"/>
        <w:right w:val="none" w:sz="0" w:space="0" w:color="auto"/>
      </w:divBdr>
    </w:div>
    <w:div w:id="777481364">
      <w:bodyDiv w:val="1"/>
      <w:marLeft w:val="0"/>
      <w:marRight w:val="0"/>
      <w:marTop w:val="0"/>
      <w:marBottom w:val="0"/>
      <w:divBdr>
        <w:top w:val="none" w:sz="0" w:space="0" w:color="auto"/>
        <w:left w:val="none" w:sz="0" w:space="0" w:color="auto"/>
        <w:bottom w:val="none" w:sz="0" w:space="0" w:color="auto"/>
        <w:right w:val="none" w:sz="0" w:space="0" w:color="auto"/>
      </w:divBdr>
    </w:div>
    <w:div w:id="778109017">
      <w:bodyDiv w:val="1"/>
      <w:marLeft w:val="0"/>
      <w:marRight w:val="0"/>
      <w:marTop w:val="0"/>
      <w:marBottom w:val="0"/>
      <w:divBdr>
        <w:top w:val="none" w:sz="0" w:space="0" w:color="auto"/>
        <w:left w:val="none" w:sz="0" w:space="0" w:color="auto"/>
        <w:bottom w:val="none" w:sz="0" w:space="0" w:color="auto"/>
        <w:right w:val="none" w:sz="0" w:space="0" w:color="auto"/>
      </w:divBdr>
    </w:div>
    <w:div w:id="778255331">
      <w:bodyDiv w:val="1"/>
      <w:marLeft w:val="0"/>
      <w:marRight w:val="0"/>
      <w:marTop w:val="0"/>
      <w:marBottom w:val="0"/>
      <w:divBdr>
        <w:top w:val="none" w:sz="0" w:space="0" w:color="auto"/>
        <w:left w:val="none" w:sz="0" w:space="0" w:color="auto"/>
        <w:bottom w:val="none" w:sz="0" w:space="0" w:color="auto"/>
        <w:right w:val="none" w:sz="0" w:space="0" w:color="auto"/>
      </w:divBdr>
    </w:div>
    <w:div w:id="778839536">
      <w:bodyDiv w:val="1"/>
      <w:marLeft w:val="0"/>
      <w:marRight w:val="0"/>
      <w:marTop w:val="0"/>
      <w:marBottom w:val="0"/>
      <w:divBdr>
        <w:top w:val="none" w:sz="0" w:space="0" w:color="auto"/>
        <w:left w:val="none" w:sz="0" w:space="0" w:color="auto"/>
        <w:bottom w:val="none" w:sz="0" w:space="0" w:color="auto"/>
        <w:right w:val="none" w:sz="0" w:space="0" w:color="auto"/>
      </w:divBdr>
    </w:div>
    <w:div w:id="779495681">
      <w:bodyDiv w:val="1"/>
      <w:marLeft w:val="0"/>
      <w:marRight w:val="0"/>
      <w:marTop w:val="0"/>
      <w:marBottom w:val="0"/>
      <w:divBdr>
        <w:top w:val="none" w:sz="0" w:space="0" w:color="auto"/>
        <w:left w:val="none" w:sz="0" w:space="0" w:color="auto"/>
        <w:bottom w:val="none" w:sz="0" w:space="0" w:color="auto"/>
        <w:right w:val="none" w:sz="0" w:space="0" w:color="auto"/>
      </w:divBdr>
    </w:div>
    <w:div w:id="779953307">
      <w:bodyDiv w:val="1"/>
      <w:marLeft w:val="0"/>
      <w:marRight w:val="0"/>
      <w:marTop w:val="0"/>
      <w:marBottom w:val="0"/>
      <w:divBdr>
        <w:top w:val="none" w:sz="0" w:space="0" w:color="auto"/>
        <w:left w:val="none" w:sz="0" w:space="0" w:color="auto"/>
        <w:bottom w:val="none" w:sz="0" w:space="0" w:color="auto"/>
        <w:right w:val="none" w:sz="0" w:space="0" w:color="auto"/>
      </w:divBdr>
    </w:div>
    <w:div w:id="780419873">
      <w:bodyDiv w:val="1"/>
      <w:marLeft w:val="0"/>
      <w:marRight w:val="0"/>
      <w:marTop w:val="0"/>
      <w:marBottom w:val="0"/>
      <w:divBdr>
        <w:top w:val="none" w:sz="0" w:space="0" w:color="auto"/>
        <w:left w:val="none" w:sz="0" w:space="0" w:color="auto"/>
        <w:bottom w:val="none" w:sz="0" w:space="0" w:color="auto"/>
        <w:right w:val="none" w:sz="0" w:space="0" w:color="auto"/>
      </w:divBdr>
    </w:div>
    <w:div w:id="781847650">
      <w:bodyDiv w:val="1"/>
      <w:marLeft w:val="0"/>
      <w:marRight w:val="0"/>
      <w:marTop w:val="0"/>
      <w:marBottom w:val="0"/>
      <w:divBdr>
        <w:top w:val="none" w:sz="0" w:space="0" w:color="auto"/>
        <w:left w:val="none" w:sz="0" w:space="0" w:color="auto"/>
        <w:bottom w:val="none" w:sz="0" w:space="0" w:color="auto"/>
        <w:right w:val="none" w:sz="0" w:space="0" w:color="auto"/>
      </w:divBdr>
    </w:div>
    <w:div w:id="782268765">
      <w:bodyDiv w:val="1"/>
      <w:marLeft w:val="0"/>
      <w:marRight w:val="0"/>
      <w:marTop w:val="0"/>
      <w:marBottom w:val="0"/>
      <w:divBdr>
        <w:top w:val="none" w:sz="0" w:space="0" w:color="auto"/>
        <w:left w:val="none" w:sz="0" w:space="0" w:color="auto"/>
        <w:bottom w:val="none" w:sz="0" w:space="0" w:color="auto"/>
        <w:right w:val="none" w:sz="0" w:space="0" w:color="auto"/>
      </w:divBdr>
    </w:div>
    <w:div w:id="782697692">
      <w:bodyDiv w:val="1"/>
      <w:marLeft w:val="0"/>
      <w:marRight w:val="0"/>
      <w:marTop w:val="0"/>
      <w:marBottom w:val="0"/>
      <w:divBdr>
        <w:top w:val="none" w:sz="0" w:space="0" w:color="auto"/>
        <w:left w:val="none" w:sz="0" w:space="0" w:color="auto"/>
        <w:bottom w:val="none" w:sz="0" w:space="0" w:color="auto"/>
        <w:right w:val="none" w:sz="0" w:space="0" w:color="auto"/>
      </w:divBdr>
    </w:div>
    <w:div w:id="782921186">
      <w:bodyDiv w:val="1"/>
      <w:marLeft w:val="0"/>
      <w:marRight w:val="0"/>
      <w:marTop w:val="0"/>
      <w:marBottom w:val="0"/>
      <w:divBdr>
        <w:top w:val="none" w:sz="0" w:space="0" w:color="auto"/>
        <w:left w:val="none" w:sz="0" w:space="0" w:color="auto"/>
        <w:bottom w:val="none" w:sz="0" w:space="0" w:color="auto"/>
        <w:right w:val="none" w:sz="0" w:space="0" w:color="auto"/>
      </w:divBdr>
    </w:div>
    <w:div w:id="783310243">
      <w:bodyDiv w:val="1"/>
      <w:marLeft w:val="0"/>
      <w:marRight w:val="0"/>
      <w:marTop w:val="0"/>
      <w:marBottom w:val="0"/>
      <w:divBdr>
        <w:top w:val="none" w:sz="0" w:space="0" w:color="auto"/>
        <w:left w:val="none" w:sz="0" w:space="0" w:color="auto"/>
        <w:bottom w:val="none" w:sz="0" w:space="0" w:color="auto"/>
        <w:right w:val="none" w:sz="0" w:space="0" w:color="auto"/>
      </w:divBdr>
    </w:div>
    <w:div w:id="783841389">
      <w:bodyDiv w:val="1"/>
      <w:marLeft w:val="0"/>
      <w:marRight w:val="0"/>
      <w:marTop w:val="0"/>
      <w:marBottom w:val="0"/>
      <w:divBdr>
        <w:top w:val="none" w:sz="0" w:space="0" w:color="auto"/>
        <w:left w:val="none" w:sz="0" w:space="0" w:color="auto"/>
        <w:bottom w:val="none" w:sz="0" w:space="0" w:color="auto"/>
        <w:right w:val="none" w:sz="0" w:space="0" w:color="auto"/>
      </w:divBdr>
    </w:div>
    <w:div w:id="784545037">
      <w:bodyDiv w:val="1"/>
      <w:marLeft w:val="0"/>
      <w:marRight w:val="0"/>
      <w:marTop w:val="0"/>
      <w:marBottom w:val="0"/>
      <w:divBdr>
        <w:top w:val="none" w:sz="0" w:space="0" w:color="auto"/>
        <w:left w:val="none" w:sz="0" w:space="0" w:color="auto"/>
        <w:bottom w:val="none" w:sz="0" w:space="0" w:color="auto"/>
        <w:right w:val="none" w:sz="0" w:space="0" w:color="auto"/>
      </w:divBdr>
    </w:div>
    <w:div w:id="785544176">
      <w:bodyDiv w:val="1"/>
      <w:marLeft w:val="0"/>
      <w:marRight w:val="0"/>
      <w:marTop w:val="0"/>
      <w:marBottom w:val="0"/>
      <w:divBdr>
        <w:top w:val="none" w:sz="0" w:space="0" w:color="auto"/>
        <w:left w:val="none" w:sz="0" w:space="0" w:color="auto"/>
        <w:bottom w:val="none" w:sz="0" w:space="0" w:color="auto"/>
        <w:right w:val="none" w:sz="0" w:space="0" w:color="auto"/>
      </w:divBdr>
    </w:div>
    <w:div w:id="786042848">
      <w:bodyDiv w:val="1"/>
      <w:marLeft w:val="0"/>
      <w:marRight w:val="0"/>
      <w:marTop w:val="0"/>
      <w:marBottom w:val="0"/>
      <w:divBdr>
        <w:top w:val="none" w:sz="0" w:space="0" w:color="auto"/>
        <w:left w:val="none" w:sz="0" w:space="0" w:color="auto"/>
        <w:bottom w:val="none" w:sz="0" w:space="0" w:color="auto"/>
        <w:right w:val="none" w:sz="0" w:space="0" w:color="auto"/>
      </w:divBdr>
    </w:div>
    <w:div w:id="788205218">
      <w:bodyDiv w:val="1"/>
      <w:marLeft w:val="0"/>
      <w:marRight w:val="0"/>
      <w:marTop w:val="0"/>
      <w:marBottom w:val="0"/>
      <w:divBdr>
        <w:top w:val="none" w:sz="0" w:space="0" w:color="auto"/>
        <w:left w:val="none" w:sz="0" w:space="0" w:color="auto"/>
        <w:bottom w:val="none" w:sz="0" w:space="0" w:color="auto"/>
        <w:right w:val="none" w:sz="0" w:space="0" w:color="auto"/>
      </w:divBdr>
    </w:div>
    <w:div w:id="789205855">
      <w:bodyDiv w:val="1"/>
      <w:marLeft w:val="0"/>
      <w:marRight w:val="0"/>
      <w:marTop w:val="0"/>
      <w:marBottom w:val="0"/>
      <w:divBdr>
        <w:top w:val="none" w:sz="0" w:space="0" w:color="auto"/>
        <w:left w:val="none" w:sz="0" w:space="0" w:color="auto"/>
        <w:bottom w:val="none" w:sz="0" w:space="0" w:color="auto"/>
        <w:right w:val="none" w:sz="0" w:space="0" w:color="auto"/>
      </w:divBdr>
    </w:div>
    <w:div w:id="790441532">
      <w:bodyDiv w:val="1"/>
      <w:marLeft w:val="0"/>
      <w:marRight w:val="0"/>
      <w:marTop w:val="0"/>
      <w:marBottom w:val="0"/>
      <w:divBdr>
        <w:top w:val="none" w:sz="0" w:space="0" w:color="auto"/>
        <w:left w:val="none" w:sz="0" w:space="0" w:color="auto"/>
        <w:bottom w:val="none" w:sz="0" w:space="0" w:color="auto"/>
        <w:right w:val="none" w:sz="0" w:space="0" w:color="auto"/>
      </w:divBdr>
    </w:div>
    <w:div w:id="790708781">
      <w:bodyDiv w:val="1"/>
      <w:marLeft w:val="0"/>
      <w:marRight w:val="0"/>
      <w:marTop w:val="0"/>
      <w:marBottom w:val="0"/>
      <w:divBdr>
        <w:top w:val="none" w:sz="0" w:space="0" w:color="auto"/>
        <w:left w:val="none" w:sz="0" w:space="0" w:color="auto"/>
        <w:bottom w:val="none" w:sz="0" w:space="0" w:color="auto"/>
        <w:right w:val="none" w:sz="0" w:space="0" w:color="auto"/>
      </w:divBdr>
    </w:div>
    <w:div w:id="791243260">
      <w:bodyDiv w:val="1"/>
      <w:marLeft w:val="0"/>
      <w:marRight w:val="0"/>
      <w:marTop w:val="0"/>
      <w:marBottom w:val="0"/>
      <w:divBdr>
        <w:top w:val="none" w:sz="0" w:space="0" w:color="auto"/>
        <w:left w:val="none" w:sz="0" w:space="0" w:color="auto"/>
        <w:bottom w:val="none" w:sz="0" w:space="0" w:color="auto"/>
        <w:right w:val="none" w:sz="0" w:space="0" w:color="auto"/>
      </w:divBdr>
    </w:div>
    <w:div w:id="791360724">
      <w:bodyDiv w:val="1"/>
      <w:marLeft w:val="0"/>
      <w:marRight w:val="0"/>
      <w:marTop w:val="0"/>
      <w:marBottom w:val="0"/>
      <w:divBdr>
        <w:top w:val="none" w:sz="0" w:space="0" w:color="auto"/>
        <w:left w:val="none" w:sz="0" w:space="0" w:color="auto"/>
        <w:bottom w:val="none" w:sz="0" w:space="0" w:color="auto"/>
        <w:right w:val="none" w:sz="0" w:space="0" w:color="auto"/>
      </w:divBdr>
    </w:div>
    <w:div w:id="793132086">
      <w:bodyDiv w:val="1"/>
      <w:marLeft w:val="0"/>
      <w:marRight w:val="0"/>
      <w:marTop w:val="0"/>
      <w:marBottom w:val="0"/>
      <w:divBdr>
        <w:top w:val="none" w:sz="0" w:space="0" w:color="auto"/>
        <w:left w:val="none" w:sz="0" w:space="0" w:color="auto"/>
        <w:bottom w:val="none" w:sz="0" w:space="0" w:color="auto"/>
        <w:right w:val="none" w:sz="0" w:space="0" w:color="auto"/>
      </w:divBdr>
    </w:div>
    <w:div w:id="793212223">
      <w:bodyDiv w:val="1"/>
      <w:marLeft w:val="0"/>
      <w:marRight w:val="0"/>
      <w:marTop w:val="0"/>
      <w:marBottom w:val="0"/>
      <w:divBdr>
        <w:top w:val="none" w:sz="0" w:space="0" w:color="auto"/>
        <w:left w:val="none" w:sz="0" w:space="0" w:color="auto"/>
        <w:bottom w:val="none" w:sz="0" w:space="0" w:color="auto"/>
        <w:right w:val="none" w:sz="0" w:space="0" w:color="auto"/>
      </w:divBdr>
    </w:div>
    <w:div w:id="794328465">
      <w:bodyDiv w:val="1"/>
      <w:marLeft w:val="0"/>
      <w:marRight w:val="0"/>
      <w:marTop w:val="0"/>
      <w:marBottom w:val="0"/>
      <w:divBdr>
        <w:top w:val="none" w:sz="0" w:space="0" w:color="auto"/>
        <w:left w:val="none" w:sz="0" w:space="0" w:color="auto"/>
        <w:bottom w:val="none" w:sz="0" w:space="0" w:color="auto"/>
        <w:right w:val="none" w:sz="0" w:space="0" w:color="auto"/>
      </w:divBdr>
    </w:div>
    <w:div w:id="794955210">
      <w:bodyDiv w:val="1"/>
      <w:marLeft w:val="0"/>
      <w:marRight w:val="0"/>
      <w:marTop w:val="0"/>
      <w:marBottom w:val="0"/>
      <w:divBdr>
        <w:top w:val="none" w:sz="0" w:space="0" w:color="auto"/>
        <w:left w:val="none" w:sz="0" w:space="0" w:color="auto"/>
        <w:bottom w:val="none" w:sz="0" w:space="0" w:color="auto"/>
        <w:right w:val="none" w:sz="0" w:space="0" w:color="auto"/>
      </w:divBdr>
    </w:div>
    <w:div w:id="794956213">
      <w:bodyDiv w:val="1"/>
      <w:marLeft w:val="0"/>
      <w:marRight w:val="0"/>
      <w:marTop w:val="0"/>
      <w:marBottom w:val="0"/>
      <w:divBdr>
        <w:top w:val="none" w:sz="0" w:space="0" w:color="auto"/>
        <w:left w:val="none" w:sz="0" w:space="0" w:color="auto"/>
        <w:bottom w:val="none" w:sz="0" w:space="0" w:color="auto"/>
        <w:right w:val="none" w:sz="0" w:space="0" w:color="auto"/>
      </w:divBdr>
    </w:div>
    <w:div w:id="795222815">
      <w:bodyDiv w:val="1"/>
      <w:marLeft w:val="0"/>
      <w:marRight w:val="0"/>
      <w:marTop w:val="0"/>
      <w:marBottom w:val="0"/>
      <w:divBdr>
        <w:top w:val="none" w:sz="0" w:space="0" w:color="auto"/>
        <w:left w:val="none" w:sz="0" w:space="0" w:color="auto"/>
        <w:bottom w:val="none" w:sz="0" w:space="0" w:color="auto"/>
        <w:right w:val="none" w:sz="0" w:space="0" w:color="auto"/>
      </w:divBdr>
    </w:div>
    <w:div w:id="795678741">
      <w:bodyDiv w:val="1"/>
      <w:marLeft w:val="0"/>
      <w:marRight w:val="0"/>
      <w:marTop w:val="0"/>
      <w:marBottom w:val="0"/>
      <w:divBdr>
        <w:top w:val="none" w:sz="0" w:space="0" w:color="auto"/>
        <w:left w:val="none" w:sz="0" w:space="0" w:color="auto"/>
        <w:bottom w:val="none" w:sz="0" w:space="0" w:color="auto"/>
        <w:right w:val="none" w:sz="0" w:space="0" w:color="auto"/>
      </w:divBdr>
    </w:div>
    <w:div w:id="797652469">
      <w:bodyDiv w:val="1"/>
      <w:marLeft w:val="0"/>
      <w:marRight w:val="0"/>
      <w:marTop w:val="0"/>
      <w:marBottom w:val="0"/>
      <w:divBdr>
        <w:top w:val="none" w:sz="0" w:space="0" w:color="auto"/>
        <w:left w:val="none" w:sz="0" w:space="0" w:color="auto"/>
        <w:bottom w:val="none" w:sz="0" w:space="0" w:color="auto"/>
        <w:right w:val="none" w:sz="0" w:space="0" w:color="auto"/>
      </w:divBdr>
    </w:div>
    <w:div w:id="797838291">
      <w:bodyDiv w:val="1"/>
      <w:marLeft w:val="0"/>
      <w:marRight w:val="0"/>
      <w:marTop w:val="0"/>
      <w:marBottom w:val="0"/>
      <w:divBdr>
        <w:top w:val="none" w:sz="0" w:space="0" w:color="auto"/>
        <w:left w:val="none" w:sz="0" w:space="0" w:color="auto"/>
        <w:bottom w:val="none" w:sz="0" w:space="0" w:color="auto"/>
        <w:right w:val="none" w:sz="0" w:space="0" w:color="auto"/>
      </w:divBdr>
    </w:div>
    <w:div w:id="797845333">
      <w:bodyDiv w:val="1"/>
      <w:marLeft w:val="0"/>
      <w:marRight w:val="0"/>
      <w:marTop w:val="0"/>
      <w:marBottom w:val="0"/>
      <w:divBdr>
        <w:top w:val="none" w:sz="0" w:space="0" w:color="auto"/>
        <w:left w:val="none" w:sz="0" w:space="0" w:color="auto"/>
        <w:bottom w:val="none" w:sz="0" w:space="0" w:color="auto"/>
        <w:right w:val="none" w:sz="0" w:space="0" w:color="auto"/>
      </w:divBdr>
    </w:div>
    <w:div w:id="798643478">
      <w:bodyDiv w:val="1"/>
      <w:marLeft w:val="0"/>
      <w:marRight w:val="0"/>
      <w:marTop w:val="0"/>
      <w:marBottom w:val="0"/>
      <w:divBdr>
        <w:top w:val="none" w:sz="0" w:space="0" w:color="auto"/>
        <w:left w:val="none" w:sz="0" w:space="0" w:color="auto"/>
        <w:bottom w:val="none" w:sz="0" w:space="0" w:color="auto"/>
        <w:right w:val="none" w:sz="0" w:space="0" w:color="auto"/>
      </w:divBdr>
    </w:div>
    <w:div w:id="799227432">
      <w:bodyDiv w:val="1"/>
      <w:marLeft w:val="0"/>
      <w:marRight w:val="0"/>
      <w:marTop w:val="0"/>
      <w:marBottom w:val="0"/>
      <w:divBdr>
        <w:top w:val="none" w:sz="0" w:space="0" w:color="auto"/>
        <w:left w:val="none" w:sz="0" w:space="0" w:color="auto"/>
        <w:bottom w:val="none" w:sz="0" w:space="0" w:color="auto"/>
        <w:right w:val="none" w:sz="0" w:space="0" w:color="auto"/>
      </w:divBdr>
    </w:div>
    <w:div w:id="799569423">
      <w:bodyDiv w:val="1"/>
      <w:marLeft w:val="0"/>
      <w:marRight w:val="0"/>
      <w:marTop w:val="0"/>
      <w:marBottom w:val="0"/>
      <w:divBdr>
        <w:top w:val="none" w:sz="0" w:space="0" w:color="auto"/>
        <w:left w:val="none" w:sz="0" w:space="0" w:color="auto"/>
        <w:bottom w:val="none" w:sz="0" w:space="0" w:color="auto"/>
        <w:right w:val="none" w:sz="0" w:space="0" w:color="auto"/>
      </w:divBdr>
    </w:div>
    <w:div w:id="800535194">
      <w:bodyDiv w:val="1"/>
      <w:marLeft w:val="0"/>
      <w:marRight w:val="0"/>
      <w:marTop w:val="0"/>
      <w:marBottom w:val="0"/>
      <w:divBdr>
        <w:top w:val="none" w:sz="0" w:space="0" w:color="auto"/>
        <w:left w:val="none" w:sz="0" w:space="0" w:color="auto"/>
        <w:bottom w:val="none" w:sz="0" w:space="0" w:color="auto"/>
        <w:right w:val="none" w:sz="0" w:space="0" w:color="auto"/>
      </w:divBdr>
    </w:div>
    <w:div w:id="800810917">
      <w:marLeft w:val="0"/>
      <w:marRight w:val="0"/>
      <w:marTop w:val="0"/>
      <w:marBottom w:val="0"/>
      <w:divBdr>
        <w:top w:val="none" w:sz="0" w:space="0" w:color="auto"/>
        <w:left w:val="none" w:sz="0" w:space="0" w:color="auto"/>
        <w:bottom w:val="none" w:sz="0" w:space="0" w:color="auto"/>
        <w:right w:val="none" w:sz="0" w:space="0" w:color="auto"/>
      </w:divBdr>
    </w:div>
    <w:div w:id="801070474">
      <w:bodyDiv w:val="1"/>
      <w:marLeft w:val="0"/>
      <w:marRight w:val="0"/>
      <w:marTop w:val="0"/>
      <w:marBottom w:val="0"/>
      <w:divBdr>
        <w:top w:val="none" w:sz="0" w:space="0" w:color="auto"/>
        <w:left w:val="none" w:sz="0" w:space="0" w:color="auto"/>
        <w:bottom w:val="none" w:sz="0" w:space="0" w:color="auto"/>
        <w:right w:val="none" w:sz="0" w:space="0" w:color="auto"/>
      </w:divBdr>
    </w:div>
    <w:div w:id="801506035">
      <w:bodyDiv w:val="1"/>
      <w:marLeft w:val="0"/>
      <w:marRight w:val="0"/>
      <w:marTop w:val="0"/>
      <w:marBottom w:val="0"/>
      <w:divBdr>
        <w:top w:val="none" w:sz="0" w:space="0" w:color="auto"/>
        <w:left w:val="none" w:sz="0" w:space="0" w:color="auto"/>
        <w:bottom w:val="none" w:sz="0" w:space="0" w:color="auto"/>
        <w:right w:val="none" w:sz="0" w:space="0" w:color="auto"/>
      </w:divBdr>
    </w:div>
    <w:div w:id="805514954">
      <w:bodyDiv w:val="1"/>
      <w:marLeft w:val="0"/>
      <w:marRight w:val="0"/>
      <w:marTop w:val="0"/>
      <w:marBottom w:val="0"/>
      <w:divBdr>
        <w:top w:val="none" w:sz="0" w:space="0" w:color="auto"/>
        <w:left w:val="none" w:sz="0" w:space="0" w:color="auto"/>
        <w:bottom w:val="none" w:sz="0" w:space="0" w:color="auto"/>
        <w:right w:val="none" w:sz="0" w:space="0" w:color="auto"/>
      </w:divBdr>
    </w:div>
    <w:div w:id="807357851">
      <w:bodyDiv w:val="1"/>
      <w:marLeft w:val="0"/>
      <w:marRight w:val="0"/>
      <w:marTop w:val="0"/>
      <w:marBottom w:val="0"/>
      <w:divBdr>
        <w:top w:val="none" w:sz="0" w:space="0" w:color="auto"/>
        <w:left w:val="none" w:sz="0" w:space="0" w:color="auto"/>
        <w:bottom w:val="none" w:sz="0" w:space="0" w:color="auto"/>
        <w:right w:val="none" w:sz="0" w:space="0" w:color="auto"/>
      </w:divBdr>
    </w:div>
    <w:div w:id="807631731">
      <w:bodyDiv w:val="1"/>
      <w:marLeft w:val="0"/>
      <w:marRight w:val="0"/>
      <w:marTop w:val="0"/>
      <w:marBottom w:val="0"/>
      <w:divBdr>
        <w:top w:val="none" w:sz="0" w:space="0" w:color="auto"/>
        <w:left w:val="none" w:sz="0" w:space="0" w:color="auto"/>
        <w:bottom w:val="none" w:sz="0" w:space="0" w:color="auto"/>
        <w:right w:val="none" w:sz="0" w:space="0" w:color="auto"/>
      </w:divBdr>
    </w:div>
    <w:div w:id="810176142">
      <w:bodyDiv w:val="1"/>
      <w:marLeft w:val="0"/>
      <w:marRight w:val="0"/>
      <w:marTop w:val="0"/>
      <w:marBottom w:val="0"/>
      <w:divBdr>
        <w:top w:val="none" w:sz="0" w:space="0" w:color="auto"/>
        <w:left w:val="none" w:sz="0" w:space="0" w:color="auto"/>
        <w:bottom w:val="none" w:sz="0" w:space="0" w:color="auto"/>
        <w:right w:val="none" w:sz="0" w:space="0" w:color="auto"/>
      </w:divBdr>
    </w:div>
    <w:div w:id="810366105">
      <w:bodyDiv w:val="1"/>
      <w:marLeft w:val="0"/>
      <w:marRight w:val="0"/>
      <w:marTop w:val="0"/>
      <w:marBottom w:val="0"/>
      <w:divBdr>
        <w:top w:val="none" w:sz="0" w:space="0" w:color="auto"/>
        <w:left w:val="none" w:sz="0" w:space="0" w:color="auto"/>
        <w:bottom w:val="none" w:sz="0" w:space="0" w:color="auto"/>
        <w:right w:val="none" w:sz="0" w:space="0" w:color="auto"/>
      </w:divBdr>
    </w:div>
    <w:div w:id="810489131">
      <w:bodyDiv w:val="1"/>
      <w:marLeft w:val="0"/>
      <w:marRight w:val="0"/>
      <w:marTop w:val="0"/>
      <w:marBottom w:val="0"/>
      <w:divBdr>
        <w:top w:val="none" w:sz="0" w:space="0" w:color="auto"/>
        <w:left w:val="none" w:sz="0" w:space="0" w:color="auto"/>
        <w:bottom w:val="none" w:sz="0" w:space="0" w:color="auto"/>
        <w:right w:val="none" w:sz="0" w:space="0" w:color="auto"/>
      </w:divBdr>
    </w:div>
    <w:div w:id="811945933">
      <w:bodyDiv w:val="1"/>
      <w:marLeft w:val="0"/>
      <w:marRight w:val="0"/>
      <w:marTop w:val="0"/>
      <w:marBottom w:val="0"/>
      <w:divBdr>
        <w:top w:val="none" w:sz="0" w:space="0" w:color="auto"/>
        <w:left w:val="none" w:sz="0" w:space="0" w:color="auto"/>
        <w:bottom w:val="none" w:sz="0" w:space="0" w:color="auto"/>
        <w:right w:val="none" w:sz="0" w:space="0" w:color="auto"/>
      </w:divBdr>
    </w:div>
    <w:div w:id="812714284">
      <w:bodyDiv w:val="1"/>
      <w:marLeft w:val="0"/>
      <w:marRight w:val="0"/>
      <w:marTop w:val="0"/>
      <w:marBottom w:val="0"/>
      <w:divBdr>
        <w:top w:val="none" w:sz="0" w:space="0" w:color="auto"/>
        <w:left w:val="none" w:sz="0" w:space="0" w:color="auto"/>
        <w:bottom w:val="none" w:sz="0" w:space="0" w:color="auto"/>
        <w:right w:val="none" w:sz="0" w:space="0" w:color="auto"/>
      </w:divBdr>
    </w:div>
    <w:div w:id="813792092">
      <w:bodyDiv w:val="1"/>
      <w:marLeft w:val="0"/>
      <w:marRight w:val="0"/>
      <w:marTop w:val="0"/>
      <w:marBottom w:val="0"/>
      <w:divBdr>
        <w:top w:val="none" w:sz="0" w:space="0" w:color="auto"/>
        <w:left w:val="none" w:sz="0" w:space="0" w:color="auto"/>
        <w:bottom w:val="none" w:sz="0" w:space="0" w:color="auto"/>
        <w:right w:val="none" w:sz="0" w:space="0" w:color="auto"/>
      </w:divBdr>
    </w:div>
    <w:div w:id="815680628">
      <w:bodyDiv w:val="1"/>
      <w:marLeft w:val="0"/>
      <w:marRight w:val="0"/>
      <w:marTop w:val="0"/>
      <w:marBottom w:val="0"/>
      <w:divBdr>
        <w:top w:val="none" w:sz="0" w:space="0" w:color="auto"/>
        <w:left w:val="none" w:sz="0" w:space="0" w:color="auto"/>
        <w:bottom w:val="none" w:sz="0" w:space="0" w:color="auto"/>
        <w:right w:val="none" w:sz="0" w:space="0" w:color="auto"/>
      </w:divBdr>
    </w:div>
    <w:div w:id="817723996">
      <w:bodyDiv w:val="1"/>
      <w:marLeft w:val="0"/>
      <w:marRight w:val="0"/>
      <w:marTop w:val="0"/>
      <w:marBottom w:val="0"/>
      <w:divBdr>
        <w:top w:val="none" w:sz="0" w:space="0" w:color="auto"/>
        <w:left w:val="none" w:sz="0" w:space="0" w:color="auto"/>
        <w:bottom w:val="none" w:sz="0" w:space="0" w:color="auto"/>
        <w:right w:val="none" w:sz="0" w:space="0" w:color="auto"/>
      </w:divBdr>
    </w:div>
    <w:div w:id="817957196">
      <w:bodyDiv w:val="1"/>
      <w:marLeft w:val="0"/>
      <w:marRight w:val="0"/>
      <w:marTop w:val="0"/>
      <w:marBottom w:val="0"/>
      <w:divBdr>
        <w:top w:val="none" w:sz="0" w:space="0" w:color="auto"/>
        <w:left w:val="none" w:sz="0" w:space="0" w:color="auto"/>
        <w:bottom w:val="none" w:sz="0" w:space="0" w:color="auto"/>
        <w:right w:val="none" w:sz="0" w:space="0" w:color="auto"/>
      </w:divBdr>
    </w:div>
    <w:div w:id="818304509">
      <w:bodyDiv w:val="1"/>
      <w:marLeft w:val="0"/>
      <w:marRight w:val="0"/>
      <w:marTop w:val="0"/>
      <w:marBottom w:val="0"/>
      <w:divBdr>
        <w:top w:val="none" w:sz="0" w:space="0" w:color="auto"/>
        <w:left w:val="none" w:sz="0" w:space="0" w:color="auto"/>
        <w:bottom w:val="none" w:sz="0" w:space="0" w:color="auto"/>
        <w:right w:val="none" w:sz="0" w:space="0" w:color="auto"/>
      </w:divBdr>
    </w:div>
    <w:div w:id="819615793">
      <w:bodyDiv w:val="1"/>
      <w:marLeft w:val="0"/>
      <w:marRight w:val="0"/>
      <w:marTop w:val="0"/>
      <w:marBottom w:val="0"/>
      <w:divBdr>
        <w:top w:val="none" w:sz="0" w:space="0" w:color="auto"/>
        <w:left w:val="none" w:sz="0" w:space="0" w:color="auto"/>
        <w:bottom w:val="none" w:sz="0" w:space="0" w:color="auto"/>
        <w:right w:val="none" w:sz="0" w:space="0" w:color="auto"/>
      </w:divBdr>
    </w:div>
    <w:div w:id="819732778">
      <w:bodyDiv w:val="1"/>
      <w:marLeft w:val="0"/>
      <w:marRight w:val="0"/>
      <w:marTop w:val="0"/>
      <w:marBottom w:val="0"/>
      <w:divBdr>
        <w:top w:val="none" w:sz="0" w:space="0" w:color="auto"/>
        <w:left w:val="none" w:sz="0" w:space="0" w:color="auto"/>
        <w:bottom w:val="none" w:sz="0" w:space="0" w:color="auto"/>
        <w:right w:val="none" w:sz="0" w:space="0" w:color="auto"/>
      </w:divBdr>
    </w:div>
    <w:div w:id="819810761">
      <w:bodyDiv w:val="1"/>
      <w:marLeft w:val="0"/>
      <w:marRight w:val="0"/>
      <w:marTop w:val="0"/>
      <w:marBottom w:val="0"/>
      <w:divBdr>
        <w:top w:val="none" w:sz="0" w:space="0" w:color="auto"/>
        <w:left w:val="none" w:sz="0" w:space="0" w:color="auto"/>
        <w:bottom w:val="none" w:sz="0" w:space="0" w:color="auto"/>
        <w:right w:val="none" w:sz="0" w:space="0" w:color="auto"/>
      </w:divBdr>
    </w:div>
    <w:div w:id="819855866">
      <w:bodyDiv w:val="1"/>
      <w:marLeft w:val="0"/>
      <w:marRight w:val="0"/>
      <w:marTop w:val="0"/>
      <w:marBottom w:val="0"/>
      <w:divBdr>
        <w:top w:val="none" w:sz="0" w:space="0" w:color="auto"/>
        <w:left w:val="none" w:sz="0" w:space="0" w:color="auto"/>
        <w:bottom w:val="none" w:sz="0" w:space="0" w:color="auto"/>
        <w:right w:val="none" w:sz="0" w:space="0" w:color="auto"/>
      </w:divBdr>
    </w:div>
    <w:div w:id="821852535">
      <w:bodyDiv w:val="1"/>
      <w:marLeft w:val="0"/>
      <w:marRight w:val="0"/>
      <w:marTop w:val="0"/>
      <w:marBottom w:val="0"/>
      <w:divBdr>
        <w:top w:val="none" w:sz="0" w:space="0" w:color="auto"/>
        <w:left w:val="none" w:sz="0" w:space="0" w:color="auto"/>
        <w:bottom w:val="none" w:sz="0" w:space="0" w:color="auto"/>
        <w:right w:val="none" w:sz="0" w:space="0" w:color="auto"/>
      </w:divBdr>
    </w:div>
    <w:div w:id="822042478">
      <w:bodyDiv w:val="1"/>
      <w:marLeft w:val="0"/>
      <w:marRight w:val="0"/>
      <w:marTop w:val="0"/>
      <w:marBottom w:val="0"/>
      <w:divBdr>
        <w:top w:val="none" w:sz="0" w:space="0" w:color="auto"/>
        <w:left w:val="none" w:sz="0" w:space="0" w:color="auto"/>
        <w:bottom w:val="none" w:sz="0" w:space="0" w:color="auto"/>
        <w:right w:val="none" w:sz="0" w:space="0" w:color="auto"/>
      </w:divBdr>
    </w:div>
    <w:div w:id="822352941">
      <w:bodyDiv w:val="1"/>
      <w:marLeft w:val="0"/>
      <w:marRight w:val="0"/>
      <w:marTop w:val="0"/>
      <w:marBottom w:val="0"/>
      <w:divBdr>
        <w:top w:val="none" w:sz="0" w:space="0" w:color="auto"/>
        <w:left w:val="none" w:sz="0" w:space="0" w:color="auto"/>
        <w:bottom w:val="none" w:sz="0" w:space="0" w:color="auto"/>
        <w:right w:val="none" w:sz="0" w:space="0" w:color="auto"/>
      </w:divBdr>
    </w:div>
    <w:div w:id="823355097">
      <w:bodyDiv w:val="1"/>
      <w:marLeft w:val="0"/>
      <w:marRight w:val="0"/>
      <w:marTop w:val="0"/>
      <w:marBottom w:val="0"/>
      <w:divBdr>
        <w:top w:val="none" w:sz="0" w:space="0" w:color="auto"/>
        <w:left w:val="none" w:sz="0" w:space="0" w:color="auto"/>
        <w:bottom w:val="none" w:sz="0" w:space="0" w:color="auto"/>
        <w:right w:val="none" w:sz="0" w:space="0" w:color="auto"/>
      </w:divBdr>
    </w:div>
    <w:div w:id="825098691">
      <w:bodyDiv w:val="1"/>
      <w:marLeft w:val="0"/>
      <w:marRight w:val="0"/>
      <w:marTop w:val="0"/>
      <w:marBottom w:val="0"/>
      <w:divBdr>
        <w:top w:val="none" w:sz="0" w:space="0" w:color="auto"/>
        <w:left w:val="none" w:sz="0" w:space="0" w:color="auto"/>
        <w:bottom w:val="none" w:sz="0" w:space="0" w:color="auto"/>
        <w:right w:val="none" w:sz="0" w:space="0" w:color="auto"/>
      </w:divBdr>
    </w:div>
    <w:div w:id="826556151">
      <w:bodyDiv w:val="1"/>
      <w:marLeft w:val="0"/>
      <w:marRight w:val="0"/>
      <w:marTop w:val="0"/>
      <w:marBottom w:val="0"/>
      <w:divBdr>
        <w:top w:val="none" w:sz="0" w:space="0" w:color="auto"/>
        <w:left w:val="none" w:sz="0" w:space="0" w:color="auto"/>
        <w:bottom w:val="none" w:sz="0" w:space="0" w:color="auto"/>
        <w:right w:val="none" w:sz="0" w:space="0" w:color="auto"/>
      </w:divBdr>
    </w:div>
    <w:div w:id="829520258">
      <w:bodyDiv w:val="1"/>
      <w:marLeft w:val="0"/>
      <w:marRight w:val="0"/>
      <w:marTop w:val="0"/>
      <w:marBottom w:val="0"/>
      <w:divBdr>
        <w:top w:val="none" w:sz="0" w:space="0" w:color="auto"/>
        <w:left w:val="none" w:sz="0" w:space="0" w:color="auto"/>
        <w:bottom w:val="none" w:sz="0" w:space="0" w:color="auto"/>
        <w:right w:val="none" w:sz="0" w:space="0" w:color="auto"/>
      </w:divBdr>
    </w:div>
    <w:div w:id="829827094">
      <w:bodyDiv w:val="1"/>
      <w:marLeft w:val="0"/>
      <w:marRight w:val="0"/>
      <w:marTop w:val="0"/>
      <w:marBottom w:val="0"/>
      <w:divBdr>
        <w:top w:val="none" w:sz="0" w:space="0" w:color="auto"/>
        <w:left w:val="none" w:sz="0" w:space="0" w:color="auto"/>
        <w:bottom w:val="none" w:sz="0" w:space="0" w:color="auto"/>
        <w:right w:val="none" w:sz="0" w:space="0" w:color="auto"/>
      </w:divBdr>
    </w:div>
    <w:div w:id="830293191">
      <w:bodyDiv w:val="1"/>
      <w:marLeft w:val="0"/>
      <w:marRight w:val="0"/>
      <w:marTop w:val="0"/>
      <w:marBottom w:val="0"/>
      <w:divBdr>
        <w:top w:val="none" w:sz="0" w:space="0" w:color="auto"/>
        <w:left w:val="none" w:sz="0" w:space="0" w:color="auto"/>
        <w:bottom w:val="none" w:sz="0" w:space="0" w:color="auto"/>
        <w:right w:val="none" w:sz="0" w:space="0" w:color="auto"/>
      </w:divBdr>
    </w:div>
    <w:div w:id="832837544">
      <w:bodyDiv w:val="1"/>
      <w:marLeft w:val="0"/>
      <w:marRight w:val="0"/>
      <w:marTop w:val="0"/>
      <w:marBottom w:val="0"/>
      <w:divBdr>
        <w:top w:val="none" w:sz="0" w:space="0" w:color="auto"/>
        <w:left w:val="none" w:sz="0" w:space="0" w:color="auto"/>
        <w:bottom w:val="none" w:sz="0" w:space="0" w:color="auto"/>
        <w:right w:val="none" w:sz="0" w:space="0" w:color="auto"/>
      </w:divBdr>
    </w:div>
    <w:div w:id="835337840">
      <w:bodyDiv w:val="1"/>
      <w:marLeft w:val="0"/>
      <w:marRight w:val="0"/>
      <w:marTop w:val="0"/>
      <w:marBottom w:val="0"/>
      <w:divBdr>
        <w:top w:val="none" w:sz="0" w:space="0" w:color="auto"/>
        <w:left w:val="none" w:sz="0" w:space="0" w:color="auto"/>
        <w:bottom w:val="none" w:sz="0" w:space="0" w:color="auto"/>
        <w:right w:val="none" w:sz="0" w:space="0" w:color="auto"/>
      </w:divBdr>
    </w:div>
    <w:div w:id="838082117">
      <w:bodyDiv w:val="1"/>
      <w:marLeft w:val="0"/>
      <w:marRight w:val="0"/>
      <w:marTop w:val="0"/>
      <w:marBottom w:val="0"/>
      <w:divBdr>
        <w:top w:val="none" w:sz="0" w:space="0" w:color="auto"/>
        <w:left w:val="none" w:sz="0" w:space="0" w:color="auto"/>
        <w:bottom w:val="none" w:sz="0" w:space="0" w:color="auto"/>
        <w:right w:val="none" w:sz="0" w:space="0" w:color="auto"/>
      </w:divBdr>
    </w:div>
    <w:div w:id="838539544">
      <w:bodyDiv w:val="1"/>
      <w:marLeft w:val="0"/>
      <w:marRight w:val="0"/>
      <w:marTop w:val="0"/>
      <w:marBottom w:val="0"/>
      <w:divBdr>
        <w:top w:val="none" w:sz="0" w:space="0" w:color="auto"/>
        <w:left w:val="none" w:sz="0" w:space="0" w:color="auto"/>
        <w:bottom w:val="none" w:sz="0" w:space="0" w:color="auto"/>
        <w:right w:val="none" w:sz="0" w:space="0" w:color="auto"/>
      </w:divBdr>
    </w:div>
    <w:div w:id="839931181">
      <w:bodyDiv w:val="1"/>
      <w:marLeft w:val="0"/>
      <w:marRight w:val="0"/>
      <w:marTop w:val="0"/>
      <w:marBottom w:val="0"/>
      <w:divBdr>
        <w:top w:val="none" w:sz="0" w:space="0" w:color="auto"/>
        <w:left w:val="none" w:sz="0" w:space="0" w:color="auto"/>
        <w:bottom w:val="none" w:sz="0" w:space="0" w:color="auto"/>
        <w:right w:val="none" w:sz="0" w:space="0" w:color="auto"/>
      </w:divBdr>
    </w:div>
    <w:div w:id="840582266">
      <w:bodyDiv w:val="1"/>
      <w:marLeft w:val="0"/>
      <w:marRight w:val="0"/>
      <w:marTop w:val="0"/>
      <w:marBottom w:val="0"/>
      <w:divBdr>
        <w:top w:val="none" w:sz="0" w:space="0" w:color="auto"/>
        <w:left w:val="none" w:sz="0" w:space="0" w:color="auto"/>
        <w:bottom w:val="none" w:sz="0" w:space="0" w:color="auto"/>
        <w:right w:val="none" w:sz="0" w:space="0" w:color="auto"/>
      </w:divBdr>
    </w:div>
    <w:div w:id="840654903">
      <w:bodyDiv w:val="1"/>
      <w:marLeft w:val="0"/>
      <w:marRight w:val="0"/>
      <w:marTop w:val="0"/>
      <w:marBottom w:val="0"/>
      <w:divBdr>
        <w:top w:val="none" w:sz="0" w:space="0" w:color="auto"/>
        <w:left w:val="none" w:sz="0" w:space="0" w:color="auto"/>
        <w:bottom w:val="none" w:sz="0" w:space="0" w:color="auto"/>
        <w:right w:val="none" w:sz="0" w:space="0" w:color="auto"/>
      </w:divBdr>
    </w:div>
    <w:div w:id="842008729">
      <w:bodyDiv w:val="1"/>
      <w:marLeft w:val="0"/>
      <w:marRight w:val="0"/>
      <w:marTop w:val="0"/>
      <w:marBottom w:val="0"/>
      <w:divBdr>
        <w:top w:val="none" w:sz="0" w:space="0" w:color="auto"/>
        <w:left w:val="none" w:sz="0" w:space="0" w:color="auto"/>
        <w:bottom w:val="none" w:sz="0" w:space="0" w:color="auto"/>
        <w:right w:val="none" w:sz="0" w:space="0" w:color="auto"/>
      </w:divBdr>
    </w:div>
    <w:div w:id="842158982">
      <w:bodyDiv w:val="1"/>
      <w:marLeft w:val="0"/>
      <w:marRight w:val="0"/>
      <w:marTop w:val="0"/>
      <w:marBottom w:val="0"/>
      <w:divBdr>
        <w:top w:val="none" w:sz="0" w:space="0" w:color="auto"/>
        <w:left w:val="none" w:sz="0" w:space="0" w:color="auto"/>
        <w:bottom w:val="none" w:sz="0" w:space="0" w:color="auto"/>
        <w:right w:val="none" w:sz="0" w:space="0" w:color="auto"/>
      </w:divBdr>
    </w:div>
    <w:div w:id="843205277">
      <w:bodyDiv w:val="1"/>
      <w:marLeft w:val="0"/>
      <w:marRight w:val="0"/>
      <w:marTop w:val="0"/>
      <w:marBottom w:val="0"/>
      <w:divBdr>
        <w:top w:val="none" w:sz="0" w:space="0" w:color="auto"/>
        <w:left w:val="none" w:sz="0" w:space="0" w:color="auto"/>
        <w:bottom w:val="none" w:sz="0" w:space="0" w:color="auto"/>
        <w:right w:val="none" w:sz="0" w:space="0" w:color="auto"/>
      </w:divBdr>
    </w:div>
    <w:div w:id="843782688">
      <w:bodyDiv w:val="1"/>
      <w:marLeft w:val="0"/>
      <w:marRight w:val="0"/>
      <w:marTop w:val="0"/>
      <w:marBottom w:val="0"/>
      <w:divBdr>
        <w:top w:val="none" w:sz="0" w:space="0" w:color="auto"/>
        <w:left w:val="none" w:sz="0" w:space="0" w:color="auto"/>
        <w:bottom w:val="none" w:sz="0" w:space="0" w:color="auto"/>
        <w:right w:val="none" w:sz="0" w:space="0" w:color="auto"/>
      </w:divBdr>
    </w:div>
    <w:div w:id="844855824">
      <w:bodyDiv w:val="1"/>
      <w:marLeft w:val="0"/>
      <w:marRight w:val="0"/>
      <w:marTop w:val="0"/>
      <w:marBottom w:val="0"/>
      <w:divBdr>
        <w:top w:val="none" w:sz="0" w:space="0" w:color="auto"/>
        <w:left w:val="none" w:sz="0" w:space="0" w:color="auto"/>
        <w:bottom w:val="none" w:sz="0" w:space="0" w:color="auto"/>
        <w:right w:val="none" w:sz="0" w:space="0" w:color="auto"/>
      </w:divBdr>
    </w:div>
    <w:div w:id="845678382">
      <w:bodyDiv w:val="1"/>
      <w:marLeft w:val="0"/>
      <w:marRight w:val="0"/>
      <w:marTop w:val="0"/>
      <w:marBottom w:val="0"/>
      <w:divBdr>
        <w:top w:val="none" w:sz="0" w:space="0" w:color="auto"/>
        <w:left w:val="none" w:sz="0" w:space="0" w:color="auto"/>
        <w:bottom w:val="none" w:sz="0" w:space="0" w:color="auto"/>
        <w:right w:val="none" w:sz="0" w:space="0" w:color="auto"/>
      </w:divBdr>
    </w:div>
    <w:div w:id="846361328">
      <w:bodyDiv w:val="1"/>
      <w:marLeft w:val="0"/>
      <w:marRight w:val="0"/>
      <w:marTop w:val="0"/>
      <w:marBottom w:val="0"/>
      <w:divBdr>
        <w:top w:val="none" w:sz="0" w:space="0" w:color="auto"/>
        <w:left w:val="none" w:sz="0" w:space="0" w:color="auto"/>
        <w:bottom w:val="none" w:sz="0" w:space="0" w:color="auto"/>
        <w:right w:val="none" w:sz="0" w:space="0" w:color="auto"/>
      </w:divBdr>
    </w:div>
    <w:div w:id="846361706">
      <w:bodyDiv w:val="1"/>
      <w:marLeft w:val="0"/>
      <w:marRight w:val="0"/>
      <w:marTop w:val="0"/>
      <w:marBottom w:val="0"/>
      <w:divBdr>
        <w:top w:val="none" w:sz="0" w:space="0" w:color="auto"/>
        <w:left w:val="none" w:sz="0" w:space="0" w:color="auto"/>
        <w:bottom w:val="none" w:sz="0" w:space="0" w:color="auto"/>
        <w:right w:val="none" w:sz="0" w:space="0" w:color="auto"/>
      </w:divBdr>
    </w:div>
    <w:div w:id="848985173">
      <w:bodyDiv w:val="1"/>
      <w:marLeft w:val="0"/>
      <w:marRight w:val="0"/>
      <w:marTop w:val="0"/>
      <w:marBottom w:val="0"/>
      <w:divBdr>
        <w:top w:val="none" w:sz="0" w:space="0" w:color="auto"/>
        <w:left w:val="none" w:sz="0" w:space="0" w:color="auto"/>
        <w:bottom w:val="none" w:sz="0" w:space="0" w:color="auto"/>
        <w:right w:val="none" w:sz="0" w:space="0" w:color="auto"/>
      </w:divBdr>
    </w:div>
    <w:div w:id="849566467">
      <w:bodyDiv w:val="1"/>
      <w:marLeft w:val="0"/>
      <w:marRight w:val="0"/>
      <w:marTop w:val="0"/>
      <w:marBottom w:val="0"/>
      <w:divBdr>
        <w:top w:val="none" w:sz="0" w:space="0" w:color="auto"/>
        <w:left w:val="none" w:sz="0" w:space="0" w:color="auto"/>
        <w:bottom w:val="none" w:sz="0" w:space="0" w:color="auto"/>
        <w:right w:val="none" w:sz="0" w:space="0" w:color="auto"/>
      </w:divBdr>
    </w:div>
    <w:div w:id="850408506">
      <w:bodyDiv w:val="1"/>
      <w:marLeft w:val="0"/>
      <w:marRight w:val="0"/>
      <w:marTop w:val="0"/>
      <w:marBottom w:val="0"/>
      <w:divBdr>
        <w:top w:val="none" w:sz="0" w:space="0" w:color="auto"/>
        <w:left w:val="none" w:sz="0" w:space="0" w:color="auto"/>
        <w:bottom w:val="none" w:sz="0" w:space="0" w:color="auto"/>
        <w:right w:val="none" w:sz="0" w:space="0" w:color="auto"/>
      </w:divBdr>
    </w:div>
    <w:div w:id="850532190">
      <w:bodyDiv w:val="1"/>
      <w:marLeft w:val="0"/>
      <w:marRight w:val="0"/>
      <w:marTop w:val="0"/>
      <w:marBottom w:val="0"/>
      <w:divBdr>
        <w:top w:val="none" w:sz="0" w:space="0" w:color="auto"/>
        <w:left w:val="none" w:sz="0" w:space="0" w:color="auto"/>
        <w:bottom w:val="none" w:sz="0" w:space="0" w:color="auto"/>
        <w:right w:val="none" w:sz="0" w:space="0" w:color="auto"/>
      </w:divBdr>
    </w:div>
    <w:div w:id="851146251">
      <w:bodyDiv w:val="1"/>
      <w:marLeft w:val="0"/>
      <w:marRight w:val="0"/>
      <w:marTop w:val="0"/>
      <w:marBottom w:val="0"/>
      <w:divBdr>
        <w:top w:val="none" w:sz="0" w:space="0" w:color="auto"/>
        <w:left w:val="none" w:sz="0" w:space="0" w:color="auto"/>
        <w:bottom w:val="none" w:sz="0" w:space="0" w:color="auto"/>
        <w:right w:val="none" w:sz="0" w:space="0" w:color="auto"/>
      </w:divBdr>
    </w:div>
    <w:div w:id="852112605">
      <w:bodyDiv w:val="1"/>
      <w:marLeft w:val="0"/>
      <w:marRight w:val="0"/>
      <w:marTop w:val="0"/>
      <w:marBottom w:val="0"/>
      <w:divBdr>
        <w:top w:val="none" w:sz="0" w:space="0" w:color="auto"/>
        <w:left w:val="none" w:sz="0" w:space="0" w:color="auto"/>
        <w:bottom w:val="none" w:sz="0" w:space="0" w:color="auto"/>
        <w:right w:val="none" w:sz="0" w:space="0" w:color="auto"/>
      </w:divBdr>
    </w:div>
    <w:div w:id="852259348">
      <w:bodyDiv w:val="1"/>
      <w:marLeft w:val="0"/>
      <w:marRight w:val="0"/>
      <w:marTop w:val="0"/>
      <w:marBottom w:val="0"/>
      <w:divBdr>
        <w:top w:val="none" w:sz="0" w:space="0" w:color="auto"/>
        <w:left w:val="none" w:sz="0" w:space="0" w:color="auto"/>
        <w:bottom w:val="none" w:sz="0" w:space="0" w:color="auto"/>
        <w:right w:val="none" w:sz="0" w:space="0" w:color="auto"/>
      </w:divBdr>
    </w:div>
    <w:div w:id="853148500">
      <w:bodyDiv w:val="1"/>
      <w:marLeft w:val="0"/>
      <w:marRight w:val="0"/>
      <w:marTop w:val="0"/>
      <w:marBottom w:val="0"/>
      <w:divBdr>
        <w:top w:val="none" w:sz="0" w:space="0" w:color="auto"/>
        <w:left w:val="none" w:sz="0" w:space="0" w:color="auto"/>
        <w:bottom w:val="none" w:sz="0" w:space="0" w:color="auto"/>
        <w:right w:val="none" w:sz="0" w:space="0" w:color="auto"/>
      </w:divBdr>
    </w:div>
    <w:div w:id="853693172">
      <w:bodyDiv w:val="1"/>
      <w:marLeft w:val="0"/>
      <w:marRight w:val="0"/>
      <w:marTop w:val="0"/>
      <w:marBottom w:val="0"/>
      <w:divBdr>
        <w:top w:val="none" w:sz="0" w:space="0" w:color="auto"/>
        <w:left w:val="none" w:sz="0" w:space="0" w:color="auto"/>
        <w:bottom w:val="none" w:sz="0" w:space="0" w:color="auto"/>
        <w:right w:val="none" w:sz="0" w:space="0" w:color="auto"/>
      </w:divBdr>
    </w:div>
    <w:div w:id="854225565">
      <w:bodyDiv w:val="1"/>
      <w:marLeft w:val="0"/>
      <w:marRight w:val="0"/>
      <w:marTop w:val="0"/>
      <w:marBottom w:val="0"/>
      <w:divBdr>
        <w:top w:val="none" w:sz="0" w:space="0" w:color="auto"/>
        <w:left w:val="none" w:sz="0" w:space="0" w:color="auto"/>
        <w:bottom w:val="none" w:sz="0" w:space="0" w:color="auto"/>
        <w:right w:val="none" w:sz="0" w:space="0" w:color="auto"/>
      </w:divBdr>
    </w:div>
    <w:div w:id="854802086">
      <w:bodyDiv w:val="1"/>
      <w:marLeft w:val="0"/>
      <w:marRight w:val="0"/>
      <w:marTop w:val="0"/>
      <w:marBottom w:val="0"/>
      <w:divBdr>
        <w:top w:val="none" w:sz="0" w:space="0" w:color="auto"/>
        <w:left w:val="none" w:sz="0" w:space="0" w:color="auto"/>
        <w:bottom w:val="none" w:sz="0" w:space="0" w:color="auto"/>
        <w:right w:val="none" w:sz="0" w:space="0" w:color="auto"/>
      </w:divBdr>
    </w:div>
    <w:div w:id="854878631">
      <w:bodyDiv w:val="1"/>
      <w:marLeft w:val="0"/>
      <w:marRight w:val="0"/>
      <w:marTop w:val="0"/>
      <w:marBottom w:val="0"/>
      <w:divBdr>
        <w:top w:val="none" w:sz="0" w:space="0" w:color="auto"/>
        <w:left w:val="none" w:sz="0" w:space="0" w:color="auto"/>
        <w:bottom w:val="none" w:sz="0" w:space="0" w:color="auto"/>
        <w:right w:val="none" w:sz="0" w:space="0" w:color="auto"/>
      </w:divBdr>
    </w:div>
    <w:div w:id="854923046">
      <w:bodyDiv w:val="1"/>
      <w:marLeft w:val="0"/>
      <w:marRight w:val="0"/>
      <w:marTop w:val="0"/>
      <w:marBottom w:val="0"/>
      <w:divBdr>
        <w:top w:val="none" w:sz="0" w:space="0" w:color="auto"/>
        <w:left w:val="none" w:sz="0" w:space="0" w:color="auto"/>
        <w:bottom w:val="none" w:sz="0" w:space="0" w:color="auto"/>
        <w:right w:val="none" w:sz="0" w:space="0" w:color="auto"/>
      </w:divBdr>
    </w:div>
    <w:div w:id="855313581">
      <w:bodyDiv w:val="1"/>
      <w:marLeft w:val="0"/>
      <w:marRight w:val="0"/>
      <w:marTop w:val="0"/>
      <w:marBottom w:val="0"/>
      <w:divBdr>
        <w:top w:val="none" w:sz="0" w:space="0" w:color="auto"/>
        <w:left w:val="none" w:sz="0" w:space="0" w:color="auto"/>
        <w:bottom w:val="none" w:sz="0" w:space="0" w:color="auto"/>
        <w:right w:val="none" w:sz="0" w:space="0" w:color="auto"/>
      </w:divBdr>
    </w:div>
    <w:div w:id="859127788">
      <w:bodyDiv w:val="1"/>
      <w:marLeft w:val="0"/>
      <w:marRight w:val="0"/>
      <w:marTop w:val="0"/>
      <w:marBottom w:val="0"/>
      <w:divBdr>
        <w:top w:val="none" w:sz="0" w:space="0" w:color="auto"/>
        <w:left w:val="none" w:sz="0" w:space="0" w:color="auto"/>
        <w:bottom w:val="none" w:sz="0" w:space="0" w:color="auto"/>
        <w:right w:val="none" w:sz="0" w:space="0" w:color="auto"/>
      </w:divBdr>
    </w:div>
    <w:div w:id="859977151">
      <w:bodyDiv w:val="1"/>
      <w:marLeft w:val="0"/>
      <w:marRight w:val="0"/>
      <w:marTop w:val="0"/>
      <w:marBottom w:val="0"/>
      <w:divBdr>
        <w:top w:val="none" w:sz="0" w:space="0" w:color="auto"/>
        <w:left w:val="none" w:sz="0" w:space="0" w:color="auto"/>
        <w:bottom w:val="none" w:sz="0" w:space="0" w:color="auto"/>
        <w:right w:val="none" w:sz="0" w:space="0" w:color="auto"/>
      </w:divBdr>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863708415">
      <w:bodyDiv w:val="1"/>
      <w:marLeft w:val="0"/>
      <w:marRight w:val="0"/>
      <w:marTop w:val="0"/>
      <w:marBottom w:val="0"/>
      <w:divBdr>
        <w:top w:val="none" w:sz="0" w:space="0" w:color="auto"/>
        <w:left w:val="none" w:sz="0" w:space="0" w:color="auto"/>
        <w:bottom w:val="none" w:sz="0" w:space="0" w:color="auto"/>
        <w:right w:val="none" w:sz="0" w:space="0" w:color="auto"/>
      </w:divBdr>
    </w:div>
    <w:div w:id="863979254">
      <w:bodyDiv w:val="1"/>
      <w:marLeft w:val="0"/>
      <w:marRight w:val="0"/>
      <w:marTop w:val="0"/>
      <w:marBottom w:val="0"/>
      <w:divBdr>
        <w:top w:val="none" w:sz="0" w:space="0" w:color="auto"/>
        <w:left w:val="none" w:sz="0" w:space="0" w:color="auto"/>
        <w:bottom w:val="none" w:sz="0" w:space="0" w:color="auto"/>
        <w:right w:val="none" w:sz="0" w:space="0" w:color="auto"/>
      </w:divBdr>
    </w:div>
    <w:div w:id="863985152">
      <w:bodyDiv w:val="1"/>
      <w:marLeft w:val="0"/>
      <w:marRight w:val="0"/>
      <w:marTop w:val="0"/>
      <w:marBottom w:val="0"/>
      <w:divBdr>
        <w:top w:val="none" w:sz="0" w:space="0" w:color="auto"/>
        <w:left w:val="none" w:sz="0" w:space="0" w:color="auto"/>
        <w:bottom w:val="none" w:sz="0" w:space="0" w:color="auto"/>
        <w:right w:val="none" w:sz="0" w:space="0" w:color="auto"/>
      </w:divBdr>
    </w:div>
    <w:div w:id="864438145">
      <w:bodyDiv w:val="1"/>
      <w:marLeft w:val="0"/>
      <w:marRight w:val="0"/>
      <w:marTop w:val="0"/>
      <w:marBottom w:val="0"/>
      <w:divBdr>
        <w:top w:val="none" w:sz="0" w:space="0" w:color="auto"/>
        <w:left w:val="none" w:sz="0" w:space="0" w:color="auto"/>
        <w:bottom w:val="none" w:sz="0" w:space="0" w:color="auto"/>
        <w:right w:val="none" w:sz="0" w:space="0" w:color="auto"/>
      </w:divBdr>
    </w:div>
    <w:div w:id="865026485">
      <w:bodyDiv w:val="1"/>
      <w:marLeft w:val="0"/>
      <w:marRight w:val="0"/>
      <w:marTop w:val="0"/>
      <w:marBottom w:val="0"/>
      <w:divBdr>
        <w:top w:val="none" w:sz="0" w:space="0" w:color="auto"/>
        <w:left w:val="none" w:sz="0" w:space="0" w:color="auto"/>
        <w:bottom w:val="none" w:sz="0" w:space="0" w:color="auto"/>
        <w:right w:val="none" w:sz="0" w:space="0" w:color="auto"/>
      </w:divBdr>
    </w:div>
    <w:div w:id="866406247">
      <w:bodyDiv w:val="1"/>
      <w:marLeft w:val="0"/>
      <w:marRight w:val="0"/>
      <w:marTop w:val="0"/>
      <w:marBottom w:val="0"/>
      <w:divBdr>
        <w:top w:val="none" w:sz="0" w:space="0" w:color="auto"/>
        <w:left w:val="none" w:sz="0" w:space="0" w:color="auto"/>
        <w:bottom w:val="none" w:sz="0" w:space="0" w:color="auto"/>
        <w:right w:val="none" w:sz="0" w:space="0" w:color="auto"/>
      </w:divBdr>
    </w:div>
    <w:div w:id="868105529">
      <w:bodyDiv w:val="1"/>
      <w:marLeft w:val="0"/>
      <w:marRight w:val="0"/>
      <w:marTop w:val="0"/>
      <w:marBottom w:val="0"/>
      <w:divBdr>
        <w:top w:val="none" w:sz="0" w:space="0" w:color="auto"/>
        <w:left w:val="none" w:sz="0" w:space="0" w:color="auto"/>
        <w:bottom w:val="none" w:sz="0" w:space="0" w:color="auto"/>
        <w:right w:val="none" w:sz="0" w:space="0" w:color="auto"/>
      </w:divBdr>
    </w:div>
    <w:div w:id="870415637">
      <w:bodyDiv w:val="1"/>
      <w:marLeft w:val="0"/>
      <w:marRight w:val="0"/>
      <w:marTop w:val="0"/>
      <w:marBottom w:val="0"/>
      <w:divBdr>
        <w:top w:val="none" w:sz="0" w:space="0" w:color="auto"/>
        <w:left w:val="none" w:sz="0" w:space="0" w:color="auto"/>
        <w:bottom w:val="none" w:sz="0" w:space="0" w:color="auto"/>
        <w:right w:val="none" w:sz="0" w:space="0" w:color="auto"/>
      </w:divBdr>
    </w:div>
    <w:div w:id="870924252">
      <w:bodyDiv w:val="1"/>
      <w:marLeft w:val="0"/>
      <w:marRight w:val="0"/>
      <w:marTop w:val="0"/>
      <w:marBottom w:val="0"/>
      <w:divBdr>
        <w:top w:val="none" w:sz="0" w:space="0" w:color="auto"/>
        <w:left w:val="none" w:sz="0" w:space="0" w:color="auto"/>
        <w:bottom w:val="none" w:sz="0" w:space="0" w:color="auto"/>
        <w:right w:val="none" w:sz="0" w:space="0" w:color="auto"/>
      </w:divBdr>
    </w:div>
    <w:div w:id="871190156">
      <w:bodyDiv w:val="1"/>
      <w:marLeft w:val="0"/>
      <w:marRight w:val="0"/>
      <w:marTop w:val="0"/>
      <w:marBottom w:val="0"/>
      <w:divBdr>
        <w:top w:val="none" w:sz="0" w:space="0" w:color="auto"/>
        <w:left w:val="none" w:sz="0" w:space="0" w:color="auto"/>
        <w:bottom w:val="none" w:sz="0" w:space="0" w:color="auto"/>
        <w:right w:val="none" w:sz="0" w:space="0" w:color="auto"/>
      </w:divBdr>
    </w:div>
    <w:div w:id="871380425">
      <w:bodyDiv w:val="1"/>
      <w:marLeft w:val="0"/>
      <w:marRight w:val="0"/>
      <w:marTop w:val="0"/>
      <w:marBottom w:val="0"/>
      <w:divBdr>
        <w:top w:val="none" w:sz="0" w:space="0" w:color="auto"/>
        <w:left w:val="none" w:sz="0" w:space="0" w:color="auto"/>
        <w:bottom w:val="none" w:sz="0" w:space="0" w:color="auto"/>
        <w:right w:val="none" w:sz="0" w:space="0" w:color="auto"/>
      </w:divBdr>
    </w:div>
    <w:div w:id="871841626">
      <w:bodyDiv w:val="1"/>
      <w:marLeft w:val="0"/>
      <w:marRight w:val="0"/>
      <w:marTop w:val="0"/>
      <w:marBottom w:val="0"/>
      <w:divBdr>
        <w:top w:val="none" w:sz="0" w:space="0" w:color="auto"/>
        <w:left w:val="none" w:sz="0" w:space="0" w:color="auto"/>
        <w:bottom w:val="none" w:sz="0" w:space="0" w:color="auto"/>
        <w:right w:val="none" w:sz="0" w:space="0" w:color="auto"/>
      </w:divBdr>
    </w:div>
    <w:div w:id="871960334">
      <w:bodyDiv w:val="1"/>
      <w:marLeft w:val="0"/>
      <w:marRight w:val="0"/>
      <w:marTop w:val="0"/>
      <w:marBottom w:val="0"/>
      <w:divBdr>
        <w:top w:val="none" w:sz="0" w:space="0" w:color="auto"/>
        <w:left w:val="none" w:sz="0" w:space="0" w:color="auto"/>
        <w:bottom w:val="none" w:sz="0" w:space="0" w:color="auto"/>
        <w:right w:val="none" w:sz="0" w:space="0" w:color="auto"/>
      </w:divBdr>
    </w:div>
    <w:div w:id="874007988">
      <w:bodyDiv w:val="1"/>
      <w:marLeft w:val="0"/>
      <w:marRight w:val="0"/>
      <w:marTop w:val="0"/>
      <w:marBottom w:val="0"/>
      <w:divBdr>
        <w:top w:val="none" w:sz="0" w:space="0" w:color="auto"/>
        <w:left w:val="none" w:sz="0" w:space="0" w:color="auto"/>
        <w:bottom w:val="none" w:sz="0" w:space="0" w:color="auto"/>
        <w:right w:val="none" w:sz="0" w:space="0" w:color="auto"/>
      </w:divBdr>
    </w:div>
    <w:div w:id="874076318">
      <w:bodyDiv w:val="1"/>
      <w:marLeft w:val="0"/>
      <w:marRight w:val="0"/>
      <w:marTop w:val="0"/>
      <w:marBottom w:val="0"/>
      <w:divBdr>
        <w:top w:val="none" w:sz="0" w:space="0" w:color="auto"/>
        <w:left w:val="none" w:sz="0" w:space="0" w:color="auto"/>
        <w:bottom w:val="none" w:sz="0" w:space="0" w:color="auto"/>
        <w:right w:val="none" w:sz="0" w:space="0" w:color="auto"/>
      </w:divBdr>
    </w:div>
    <w:div w:id="874971910">
      <w:bodyDiv w:val="1"/>
      <w:marLeft w:val="0"/>
      <w:marRight w:val="0"/>
      <w:marTop w:val="0"/>
      <w:marBottom w:val="0"/>
      <w:divBdr>
        <w:top w:val="none" w:sz="0" w:space="0" w:color="auto"/>
        <w:left w:val="none" w:sz="0" w:space="0" w:color="auto"/>
        <w:bottom w:val="none" w:sz="0" w:space="0" w:color="auto"/>
        <w:right w:val="none" w:sz="0" w:space="0" w:color="auto"/>
      </w:divBdr>
    </w:div>
    <w:div w:id="879973549">
      <w:bodyDiv w:val="1"/>
      <w:marLeft w:val="0"/>
      <w:marRight w:val="0"/>
      <w:marTop w:val="0"/>
      <w:marBottom w:val="0"/>
      <w:divBdr>
        <w:top w:val="none" w:sz="0" w:space="0" w:color="auto"/>
        <w:left w:val="none" w:sz="0" w:space="0" w:color="auto"/>
        <w:bottom w:val="none" w:sz="0" w:space="0" w:color="auto"/>
        <w:right w:val="none" w:sz="0" w:space="0" w:color="auto"/>
      </w:divBdr>
    </w:div>
    <w:div w:id="880244813">
      <w:bodyDiv w:val="1"/>
      <w:marLeft w:val="0"/>
      <w:marRight w:val="0"/>
      <w:marTop w:val="0"/>
      <w:marBottom w:val="0"/>
      <w:divBdr>
        <w:top w:val="none" w:sz="0" w:space="0" w:color="auto"/>
        <w:left w:val="none" w:sz="0" w:space="0" w:color="auto"/>
        <w:bottom w:val="none" w:sz="0" w:space="0" w:color="auto"/>
        <w:right w:val="none" w:sz="0" w:space="0" w:color="auto"/>
      </w:divBdr>
    </w:div>
    <w:div w:id="880558132">
      <w:bodyDiv w:val="1"/>
      <w:marLeft w:val="0"/>
      <w:marRight w:val="0"/>
      <w:marTop w:val="0"/>
      <w:marBottom w:val="0"/>
      <w:divBdr>
        <w:top w:val="none" w:sz="0" w:space="0" w:color="auto"/>
        <w:left w:val="none" w:sz="0" w:space="0" w:color="auto"/>
        <w:bottom w:val="none" w:sz="0" w:space="0" w:color="auto"/>
        <w:right w:val="none" w:sz="0" w:space="0" w:color="auto"/>
      </w:divBdr>
    </w:div>
    <w:div w:id="881746218">
      <w:bodyDiv w:val="1"/>
      <w:marLeft w:val="0"/>
      <w:marRight w:val="0"/>
      <w:marTop w:val="0"/>
      <w:marBottom w:val="0"/>
      <w:divBdr>
        <w:top w:val="none" w:sz="0" w:space="0" w:color="auto"/>
        <w:left w:val="none" w:sz="0" w:space="0" w:color="auto"/>
        <w:bottom w:val="none" w:sz="0" w:space="0" w:color="auto"/>
        <w:right w:val="none" w:sz="0" w:space="0" w:color="auto"/>
      </w:divBdr>
    </w:div>
    <w:div w:id="883518213">
      <w:bodyDiv w:val="1"/>
      <w:marLeft w:val="0"/>
      <w:marRight w:val="0"/>
      <w:marTop w:val="0"/>
      <w:marBottom w:val="0"/>
      <w:divBdr>
        <w:top w:val="none" w:sz="0" w:space="0" w:color="auto"/>
        <w:left w:val="none" w:sz="0" w:space="0" w:color="auto"/>
        <w:bottom w:val="none" w:sz="0" w:space="0" w:color="auto"/>
        <w:right w:val="none" w:sz="0" w:space="0" w:color="auto"/>
      </w:divBdr>
    </w:div>
    <w:div w:id="887953302">
      <w:bodyDiv w:val="1"/>
      <w:marLeft w:val="0"/>
      <w:marRight w:val="0"/>
      <w:marTop w:val="0"/>
      <w:marBottom w:val="0"/>
      <w:divBdr>
        <w:top w:val="none" w:sz="0" w:space="0" w:color="auto"/>
        <w:left w:val="none" w:sz="0" w:space="0" w:color="auto"/>
        <w:bottom w:val="none" w:sz="0" w:space="0" w:color="auto"/>
        <w:right w:val="none" w:sz="0" w:space="0" w:color="auto"/>
      </w:divBdr>
    </w:div>
    <w:div w:id="890072866">
      <w:bodyDiv w:val="1"/>
      <w:marLeft w:val="0"/>
      <w:marRight w:val="0"/>
      <w:marTop w:val="0"/>
      <w:marBottom w:val="0"/>
      <w:divBdr>
        <w:top w:val="none" w:sz="0" w:space="0" w:color="auto"/>
        <w:left w:val="none" w:sz="0" w:space="0" w:color="auto"/>
        <w:bottom w:val="none" w:sz="0" w:space="0" w:color="auto"/>
        <w:right w:val="none" w:sz="0" w:space="0" w:color="auto"/>
      </w:divBdr>
    </w:div>
    <w:div w:id="890119610">
      <w:bodyDiv w:val="1"/>
      <w:marLeft w:val="0"/>
      <w:marRight w:val="0"/>
      <w:marTop w:val="0"/>
      <w:marBottom w:val="0"/>
      <w:divBdr>
        <w:top w:val="none" w:sz="0" w:space="0" w:color="auto"/>
        <w:left w:val="none" w:sz="0" w:space="0" w:color="auto"/>
        <w:bottom w:val="none" w:sz="0" w:space="0" w:color="auto"/>
        <w:right w:val="none" w:sz="0" w:space="0" w:color="auto"/>
      </w:divBdr>
    </w:div>
    <w:div w:id="893008450">
      <w:bodyDiv w:val="1"/>
      <w:marLeft w:val="0"/>
      <w:marRight w:val="0"/>
      <w:marTop w:val="0"/>
      <w:marBottom w:val="0"/>
      <w:divBdr>
        <w:top w:val="none" w:sz="0" w:space="0" w:color="auto"/>
        <w:left w:val="none" w:sz="0" w:space="0" w:color="auto"/>
        <w:bottom w:val="none" w:sz="0" w:space="0" w:color="auto"/>
        <w:right w:val="none" w:sz="0" w:space="0" w:color="auto"/>
      </w:divBdr>
    </w:div>
    <w:div w:id="893735864">
      <w:bodyDiv w:val="1"/>
      <w:marLeft w:val="0"/>
      <w:marRight w:val="0"/>
      <w:marTop w:val="0"/>
      <w:marBottom w:val="0"/>
      <w:divBdr>
        <w:top w:val="none" w:sz="0" w:space="0" w:color="auto"/>
        <w:left w:val="none" w:sz="0" w:space="0" w:color="auto"/>
        <w:bottom w:val="none" w:sz="0" w:space="0" w:color="auto"/>
        <w:right w:val="none" w:sz="0" w:space="0" w:color="auto"/>
      </w:divBdr>
    </w:div>
    <w:div w:id="894394730">
      <w:bodyDiv w:val="1"/>
      <w:marLeft w:val="0"/>
      <w:marRight w:val="0"/>
      <w:marTop w:val="0"/>
      <w:marBottom w:val="0"/>
      <w:divBdr>
        <w:top w:val="none" w:sz="0" w:space="0" w:color="auto"/>
        <w:left w:val="none" w:sz="0" w:space="0" w:color="auto"/>
        <w:bottom w:val="none" w:sz="0" w:space="0" w:color="auto"/>
        <w:right w:val="none" w:sz="0" w:space="0" w:color="auto"/>
      </w:divBdr>
    </w:div>
    <w:div w:id="894580514">
      <w:bodyDiv w:val="1"/>
      <w:marLeft w:val="0"/>
      <w:marRight w:val="0"/>
      <w:marTop w:val="0"/>
      <w:marBottom w:val="0"/>
      <w:divBdr>
        <w:top w:val="none" w:sz="0" w:space="0" w:color="auto"/>
        <w:left w:val="none" w:sz="0" w:space="0" w:color="auto"/>
        <w:bottom w:val="none" w:sz="0" w:space="0" w:color="auto"/>
        <w:right w:val="none" w:sz="0" w:space="0" w:color="auto"/>
      </w:divBdr>
    </w:div>
    <w:div w:id="894706945">
      <w:bodyDiv w:val="1"/>
      <w:marLeft w:val="0"/>
      <w:marRight w:val="0"/>
      <w:marTop w:val="0"/>
      <w:marBottom w:val="0"/>
      <w:divBdr>
        <w:top w:val="none" w:sz="0" w:space="0" w:color="auto"/>
        <w:left w:val="none" w:sz="0" w:space="0" w:color="auto"/>
        <w:bottom w:val="none" w:sz="0" w:space="0" w:color="auto"/>
        <w:right w:val="none" w:sz="0" w:space="0" w:color="auto"/>
      </w:divBdr>
    </w:div>
    <w:div w:id="895433641">
      <w:bodyDiv w:val="1"/>
      <w:marLeft w:val="0"/>
      <w:marRight w:val="0"/>
      <w:marTop w:val="0"/>
      <w:marBottom w:val="0"/>
      <w:divBdr>
        <w:top w:val="none" w:sz="0" w:space="0" w:color="auto"/>
        <w:left w:val="none" w:sz="0" w:space="0" w:color="auto"/>
        <w:bottom w:val="none" w:sz="0" w:space="0" w:color="auto"/>
        <w:right w:val="none" w:sz="0" w:space="0" w:color="auto"/>
      </w:divBdr>
    </w:div>
    <w:div w:id="896009901">
      <w:bodyDiv w:val="1"/>
      <w:marLeft w:val="0"/>
      <w:marRight w:val="0"/>
      <w:marTop w:val="0"/>
      <w:marBottom w:val="0"/>
      <w:divBdr>
        <w:top w:val="none" w:sz="0" w:space="0" w:color="auto"/>
        <w:left w:val="none" w:sz="0" w:space="0" w:color="auto"/>
        <w:bottom w:val="none" w:sz="0" w:space="0" w:color="auto"/>
        <w:right w:val="none" w:sz="0" w:space="0" w:color="auto"/>
      </w:divBdr>
    </w:div>
    <w:div w:id="897014562">
      <w:bodyDiv w:val="1"/>
      <w:marLeft w:val="0"/>
      <w:marRight w:val="0"/>
      <w:marTop w:val="0"/>
      <w:marBottom w:val="0"/>
      <w:divBdr>
        <w:top w:val="none" w:sz="0" w:space="0" w:color="auto"/>
        <w:left w:val="none" w:sz="0" w:space="0" w:color="auto"/>
        <w:bottom w:val="none" w:sz="0" w:space="0" w:color="auto"/>
        <w:right w:val="none" w:sz="0" w:space="0" w:color="auto"/>
      </w:divBdr>
    </w:div>
    <w:div w:id="897284991">
      <w:bodyDiv w:val="1"/>
      <w:marLeft w:val="0"/>
      <w:marRight w:val="0"/>
      <w:marTop w:val="0"/>
      <w:marBottom w:val="0"/>
      <w:divBdr>
        <w:top w:val="none" w:sz="0" w:space="0" w:color="auto"/>
        <w:left w:val="none" w:sz="0" w:space="0" w:color="auto"/>
        <w:bottom w:val="none" w:sz="0" w:space="0" w:color="auto"/>
        <w:right w:val="none" w:sz="0" w:space="0" w:color="auto"/>
      </w:divBdr>
    </w:div>
    <w:div w:id="897518485">
      <w:bodyDiv w:val="1"/>
      <w:marLeft w:val="0"/>
      <w:marRight w:val="0"/>
      <w:marTop w:val="0"/>
      <w:marBottom w:val="0"/>
      <w:divBdr>
        <w:top w:val="none" w:sz="0" w:space="0" w:color="auto"/>
        <w:left w:val="none" w:sz="0" w:space="0" w:color="auto"/>
        <w:bottom w:val="none" w:sz="0" w:space="0" w:color="auto"/>
        <w:right w:val="none" w:sz="0" w:space="0" w:color="auto"/>
      </w:divBdr>
    </w:div>
    <w:div w:id="897784589">
      <w:bodyDiv w:val="1"/>
      <w:marLeft w:val="0"/>
      <w:marRight w:val="0"/>
      <w:marTop w:val="0"/>
      <w:marBottom w:val="0"/>
      <w:divBdr>
        <w:top w:val="none" w:sz="0" w:space="0" w:color="auto"/>
        <w:left w:val="none" w:sz="0" w:space="0" w:color="auto"/>
        <w:bottom w:val="none" w:sz="0" w:space="0" w:color="auto"/>
        <w:right w:val="none" w:sz="0" w:space="0" w:color="auto"/>
      </w:divBdr>
    </w:div>
    <w:div w:id="897981078">
      <w:bodyDiv w:val="1"/>
      <w:marLeft w:val="0"/>
      <w:marRight w:val="0"/>
      <w:marTop w:val="0"/>
      <w:marBottom w:val="0"/>
      <w:divBdr>
        <w:top w:val="none" w:sz="0" w:space="0" w:color="auto"/>
        <w:left w:val="none" w:sz="0" w:space="0" w:color="auto"/>
        <w:bottom w:val="none" w:sz="0" w:space="0" w:color="auto"/>
        <w:right w:val="none" w:sz="0" w:space="0" w:color="auto"/>
      </w:divBdr>
    </w:div>
    <w:div w:id="898319323">
      <w:bodyDiv w:val="1"/>
      <w:marLeft w:val="0"/>
      <w:marRight w:val="0"/>
      <w:marTop w:val="0"/>
      <w:marBottom w:val="0"/>
      <w:divBdr>
        <w:top w:val="none" w:sz="0" w:space="0" w:color="auto"/>
        <w:left w:val="none" w:sz="0" w:space="0" w:color="auto"/>
        <w:bottom w:val="none" w:sz="0" w:space="0" w:color="auto"/>
        <w:right w:val="none" w:sz="0" w:space="0" w:color="auto"/>
      </w:divBdr>
    </w:div>
    <w:div w:id="898714649">
      <w:bodyDiv w:val="1"/>
      <w:marLeft w:val="0"/>
      <w:marRight w:val="0"/>
      <w:marTop w:val="0"/>
      <w:marBottom w:val="0"/>
      <w:divBdr>
        <w:top w:val="none" w:sz="0" w:space="0" w:color="auto"/>
        <w:left w:val="none" w:sz="0" w:space="0" w:color="auto"/>
        <w:bottom w:val="none" w:sz="0" w:space="0" w:color="auto"/>
        <w:right w:val="none" w:sz="0" w:space="0" w:color="auto"/>
      </w:divBdr>
    </w:div>
    <w:div w:id="899175485">
      <w:bodyDiv w:val="1"/>
      <w:marLeft w:val="0"/>
      <w:marRight w:val="0"/>
      <w:marTop w:val="0"/>
      <w:marBottom w:val="0"/>
      <w:divBdr>
        <w:top w:val="none" w:sz="0" w:space="0" w:color="auto"/>
        <w:left w:val="none" w:sz="0" w:space="0" w:color="auto"/>
        <w:bottom w:val="none" w:sz="0" w:space="0" w:color="auto"/>
        <w:right w:val="none" w:sz="0" w:space="0" w:color="auto"/>
      </w:divBdr>
    </w:div>
    <w:div w:id="899294395">
      <w:bodyDiv w:val="1"/>
      <w:marLeft w:val="0"/>
      <w:marRight w:val="0"/>
      <w:marTop w:val="0"/>
      <w:marBottom w:val="0"/>
      <w:divBdr>
        <w:top w:val="none" w:sz="0" w:space="0" w:color="auto"/>
        <w:left w:val="none" w:sz="0" w:space="0" w:color="auto"/>
        <w:bottom w:val="none" w:sz="0" w:space="0" w:color="auto"/>
        <w:right w:val="none" w:sz="0" w:space="0" w:color="auto"/>
      </w:divBdr>
    </w:div>
    <w:div w:id="899901034">
      <w:bodyDiv w:val="1"/>
      <w:marLeft w:val="0"/>
      <w:marRight w:val="0"/>
      <w:marTop w:val="0"/>
      <w:marBottom w:val="0"/>
      <w:divBdr>
        <w:top w:val="none" w:sz="0" w:space="0" w:color="auto"/>
        <w:left w:val="none" w:sz="0" w:space="0" w:color="auto"/>
        <w:bottom w:val="none" w:sz="0" w:space="0" w:color="auto"/>
        <w:right w:val="none" w:sz="0" w:space="0" w:color="auto"/>
      </w:divBdr>
    </w:div>
    <w:div w:id="900024031">
      <w:marLeft w:val="0"/>
      <w:marRight w:val="0"/>
      <w:marTop w:val="0"/>
      <w:marBottom w:val="0"/>
      <w:divBdr>
        <w:top w:val="none" w:sz="0" w:space="0" w:color="auto"/>
        <w:left w:val="none" w:sz="0" w:space="0" w:color="auto"/>
        <w:bottom w:val="none" w:sz="0" w:space="0" w:color="auto"/>
        <w:right w:val="none" w:sz="0" w:space="0" w:color="auto"/>
      </w:divBdr>
    </w:div>
    <w:div w:id="900141251">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02250971">
      <w:bodyDiv w:val="1"/>
      <w:marLeft w:val="0"/>
      <w:marRight w:val="0"/>
      <w:marTop w:val="0"/>
      <w:marBottom w:val="0"/>
      <w:divBdr>
        <w:top w:val="none" w:sz="0" w:space="0" w:color="auto"/>
        <w:left w:val="none" w:sz="0" w:space="0" w:color="auto"/>
        <w:bottom w:val="none" w:sz="0" w:space="0" w:color="auto"/>
        <w:right w:val="none" w:sz="0" w:space="0" w:color="auto"/>
      </w:divBdr>
    </w:div>
    <w:div w:id="902374018">
      <w:bodyDiv w:val="1"/>
      <w:marLeft w:val="0"/>
      <w:marRight w:val="0"/>
      <w:marTop w:val="0"/>
      <w:marBottom w:val="0"/>
      <w:divBdr>
        <w:top w:val="none" w:sz="0" w:space="0" w:color="auto"/>
        <w:left w:val="none" w:sz="0" w:space="0" w:color="auto"/>
        <w:bottom w:val="none" w:sz="0" w:space="0" w:color="auto"/>
        <w:right w:val="none" w:sz="0" w:space="0" w:color="auto"/>
      </w:divBdr>
    </w:div>
    <w:div w:id="903025944">
      <w:bodyDiv w:val="1"/>
      <w:marLeft w:val="0"/>
      <w:marRight w:val="0"/>
      <w:marTop w:val="0"/>
      <w:marBottom w:val="0"/>
      <w:divBdr>
        <w:top w:val="none" w:sz="0" w:space="0" w:color="auto"/>
        <w:left w:val="none" w:sz="0" w:space="0" w:color="auto"/>
        <w:bottom w:val="none" w:sz="0" w:space="0" w:color="auto"/>
        <w:right w:val="none" w:sz="0" w:space="0" w:color="auto"/>
      </w:divBdr>
    </w:div>
    <w:div w:id="903296767">
      <w:bodyDiv w:val="1"/>
      <w:marLeft w:val="0"/>
      <w:marRight w:val="0"/>
      <w:marTop w:val="0"/>
      <w:marBottom w:val="0"/>
      <w:divBdr>
        <w:top w:val="none" w:sz="0" w:space="0" w:color="auto"/>
        <w:left w:val="none" w:sz="0" w:space="0" w:color="auto"/>
        <w:bottom w:val="none" w:sz="0" w:space="0" w:color="auto"/>
        <w:right w:val="none" w:sz="0" w:space="0" w:color="auto"/>
      </w:divBdr>
    </w:div>
    <w:div w:id="904335937">
      <w:bodyDiv w:val="1"/>
      <w:marLeft w:val="0"/>
      <w:marRight w:val="0"/>
      <w:marTop w:val="0"/>
      <w:marBottom w:val="0"/>
      <w:divBdr>
        <w:top w:val="none" w:sz="0" w:space="0" w:color="auto"/>
        <w:left w:val="none" w:sz="0" w:space="0" w:color="auto"/>
        <w:bottom w:val="none" w:sz="0" w:space="0" w:color="auto"/>
        <w:right w:val="none" w:sz="0" w:space="0" w:color="auto"/>
      </w:divBdr>
    </w:div>
    <w:div w:id="905604728">
      <w:bodyDiv w:val="1"/>
      <w:marLeft w:val="0"/>
      <w:marRight w:val="0"/>
      <w:marTop w:val="0"/>
      <w:marBottom w:val="0"/>
      <w:divBdr>
        <w:top w:val="none" w:sz="0" w:space="0" w:color="auto"/>
        <w:left w:val="none" w:sz="0" w:space="0" w:color="auto"/>
        <w:bottom w:val="none" w:sz="0" w:space="0" w:color="auto"/>
        <w:right w:val="none" w:sz="0" w:space="0" w:color="auto"/>
      </w:divBdr>
      <w:divsChild>
        <w:div w:id="114370210">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7813102">
      <w:bodyDiv w:val="1"/>
      <w:marLeft w:val="0"/>
      <w:marRight w:val="0"/>
      <w:marTop w:val="0"/>
      <w:marBottom w:val="0"/>
      <w:divBdr>
        <w:top w:val="none" w:sz="0" w:space="0" w:color="auto"/>
        <w:left w:val="none" w:sz="0" w:space="0" w:color="auto"/>
        <w:bottom w:val="none" w:sz="0" w:space="0" w:color="auto"/>
        <w:right w:val="none" w:sz="0" w:space="0" w:color="auto"/>
      </w:divBdr>
    </w:div>
    <w:div w:id="908421793">
      <w:bodyDiv w:val="1"/>
      <w:marLeft w:val="0"/>
      <w:marRight w:val="0"/>
      <w:marTop w:val="0"/>
      <w:marBottom w:val="0"/>
      <w:divBdr>
        <w:top w:val="none" w:sz="0" w:space="0" w:color="auto"/>
        <w:left w:val="none" w:sz="0" w:space="0" w:color="auto"/>
        <w:bottom w:val="none" w:sz="0" w:space="0" w:color="auto"/>
        <w:right w:val="none" w:sz="0" w:space="0" w:color="auto"/>
      </w:divBdr>
    </w:div>
    <w:div w:id="911428665">
      <w:bodyDiv w:val="1"/>
      <w:marLeft w:val="0"/>
      <w:marRight w:val="0"/>
      <w:marTop w:val="0"/>
      <w:marBottom w:val="0"/>
      <w:divBdr>
        <w:top w:val="none" w:sz="0" w:space="0" w:color="auto"/>
        <w:left w:val="none" w:sz="0" w:space="0" w:color="auto"/>
        <w:bottom w:val="none" w:sz="0" w:space="0" w:color="auto"/>
        <w:right w:val="none" w:sz="0" w:space="0" w:color="auto"/>
      </w:divBdr>
    </w:div>
    <w:div w:id="911476215">
      <w:bodyDiv w:val="1"/>
      <w:marLeft w:val="0"/>
      <w:marRight w:val="0"/>
      <w:marTop w:val="0"/>
      <w:marBottom w:val="0"/>
      <w:divBdr>
        <w:top w:val="none" w:sz="0" w:space="0" w:color="auto"/>
        <w:left w:val="none" w:sz="0" w:space="0" w:color="auto"/>
        <w:bottom w:val="none" w:sz="0" w:space="0" w:color="auto"/>
        <w:right w:val="none" w:sz="0" w:space="0" w:color="auto"/>
      </w:divBdr>
    </w:div>
    <w:div w:id="911693846">
      <w:bodyDiv w:val="1"/>
      <w:marLeft w:val="0"/>
      <w:marRight w:val="0"/>
      <w:marTop w:val="0"/>
      <w:marBottom w:val="0"/>
      <w:divBdr>
        <w:top w:val="none" w:sz="0" w:space="0" w:color="auto"/>
        <w:left w:val="none" w:sz="0" w:space="0" w:color="auto"/>
        <w:bottom w:val="none" w:sz="0" w:space="0" w:color="auto"/>
        <w:right w:val="none" w:sz="0" w:space="0" w:color="auto"/>
      </w:divBdr>
    </w:div>
    <w:div w:id="911811942">
      <w:bodyDiv w:val="1"/>
      <w:marLeft w:val="0"/>
      <w:marRight w:val="0"/>
      <w:marTop w:val="0"/>
      <w:marBottom w:val="0"/>
      <w:divBdr>
        <w:top w:val="none" w:sz="0" w:space="0" w:color="auto"/>
        <w:left w:val="none" w:sz="0" w:space="0" w:color="auto"/>
        <w:bottom w:val="none" w:sz="0" w:space="0" w:color="auto"/>
        <w:right w:val="none" w:sz="0" w:space="0" w:color="auto"/>
      </w:divBdr>
    </w:div>
    <w:div w:id="912082914">
      <w:bodyDiv w:val="1"/>
      <w:marLeft w:val="0"/>
      <w:marRight w:val="0"/>
      <w:marTop w:val="0"/>
      <w:marBottom w:val="0"/>
      <w:divBdr>
        <w:top w:val="none" w:sz="0" w:space="0" w:color="auto"/>
        <w:left w:val="none" w:sz="0" w:space="0" w:color="auto"/>
        <w:bottom w:val="none" w:sz="0" w:space="0" w:color="auto"/>
        <w:right w:val="none" w:sz="0" w:space="0" w:color="auto"/>
      </w:divBdr>
    </w:div>
    <w:div w:id="912130342">
      <w:bodyDiv w:val="1"/>
      <w:marLeft w:val="0"/>
      <w:marRight w:val="0"/>
      <w:marTop w:val="0"/>
      <w:marBottom w:val="0"/>
      <w:divBdr>
        <w:top w:val="none" w:sz="0" w:space="0" w:color="auto"/>
        <w:left w:val="none" w:sz="0" w:space="0" w:color="auto"/>
        <w:bottom w:val="none" w:sz="0" w:space="0" w:color="auto"/>
        <w:right w:val="none" w:sz="0" w:space="0" w:color="auto"/>
      </w:divBdr>
    </w:div>
    <w:div w:id="912279177">
      <w:bodyDiv w:val="1"/>
      <w:marLeft w:val="0"/>
      <w:marRight w:val="0"/>
      <w:marTop w:val="0"/>
      <w:marBottom w:val="0"/>
      <w:divBdr>
        <w:top w:val="none" w:sz="0" w:space="0" w:color="auto"/>
        <w:left w:val="none" w:sz="0" w:space="0" w:color="auto"/>
        <w:bottom w:val="none" w:sz="0" w:space="0" w:color="auto"/>
        <w:right w:val="none" w:sz="0" w:space="0" w:color="auto"/>
      </w:divBdr>
    </w:div>
    <w:div w:id="912664805">
      <w:bodyDiv w:val="1"/>
      <w:marLeft w:val="0"/>
      <w:marRight w:val="0"/>
      <w:marTop w:val="0"/>
      <w:marBottom w:val="0"/>
      <w:divBdr>
        <w:top w:val="none" w:sz="0" w:space="0" w:color="auto"/>
        <w:left w:val="none" w:sz="0" w:space="0" w:color="auto"/>
        <w:bottom w:val="none" w:sz="0" w:space="0" w:color="auto"/>
        <w:right w:val="none" w:sz="0" w:space="0" w:color="auto"/>
      </w:divBdr>
    </w:div>
    <w:div w:id="912852724">
      <w:bodyDiv w:val="1"/>
      <w:marLeft w:val="0"/>
      <w:marRight w:val="0"/>
      <w:marTop w:val="0"/>
      <w:marBottom w:val="0"/>
      <w:divBdr>
        <w:top w:val="none" w:sz="0" w:space="0" w:color="auto"/>
        <w:left w:val="none" w:sz="0" w:space="0" w:color="auto"/>
        <w:bottom w:val="none" w:sz="0" w:space="0" w:color="auto"/>
        <w:right w:val="none" w:sz="0" w:space="0" w:color="auto"/>
      </w:divBdr>
    </w:div>
    <w:div w:id="914247289">
      <w:bodyDiv w:val="1"/>
      <w:marLeft w:val="0"/>
      <w:marRight w:val="0"/>
      <w:marTop w:val="0"/>
      <w:marBottom w:val="0"/>
      <w:divBdr>
        <w:top w:val="none" w:sz="0" w:space="0" w:color="auto"/>
        <w:left w:val="none" w:sz="0" w:space="0" w:color="auto"/>
        <w:bottom w:val="none" w:sz="0" w:space="0" w:color="auto"/>
        <w:right w:val="none" w:sz="0" w:space="0" w:color="auto"/>
      </w:divBdr>
    </w:div>
    <w:div w:id="914437012">
      <w:bodyDiv w:val="1"/>
      <w:marLeft w:val="0"/>
      <w:marRight w:val="0"/>
      <w:marTop w:val="0"/>
      <w:marBottom w:val="0"/>
      <w:divBdr>
        <w:top w:val="none" w:sz="0" w:space="0" w:color="auto"/>
        <w:left w:val="none" w:sz="0" w:space="0" w:color="auto"/>
        <w:bottom w:val="none" w:sz="0" w:space="0" w:color="auto"/>
        <w:right w:val="none" w:sz="0" w:space="0" w:color="auto"/>
      </w:divBdr>
    </w:div>
    <w:div w:id="915287032">
      <w:bodyDiv w:val="1"/>
      <w:marLeft w:val="0"/>
      <w:marRight w:val="0"/>
      <w:marTop w:val="0"/>
      <w:marBottom w:val="0"/>
      <w:divBdr>
        <w:top w:val="none" w:sz="0" w:space="0" w:color="auto"/>
        <w:left w:val="none" w:sz="0" w:space="0" w:color="auto"/>
        <w:bottom w:val="none" w:sz="0" w:space="0" w:color="auto"/>
        <w:right w:val="none" w:sz="0" w:space="0" w:color="auto"/>
      </w:divBdr>
    </w:div>
    <w:div w:id="916132311">
      <w:bodyDiv w:val="1"/>
      <w:marLeft w:val="0"/>
      <w:marRight w:val="0"/>
      <w:marTop w:val="0"/>
      <w:marBottom w:val="0"/>
      <w:divBdr>
        <w:top w:val="none" w:sz="0" w:space="0" w:color="auto"/>
        <w:left w:val="none" w:sz="0" w:space="0" w:color="auto"/>
        <w:bottom w:val="none" w:sz="0" w:space="0" w:color="auto"/>
        <w:right w:val="none" w:sz="0" w:space="0" w:color="auto"/>
      </w:divBdr>
    </w:div>
    <w:div w:id="916986531">
      <w:bodyDiv w:val="1"/>
      <w:marLeft w:val="0"/>
      <w:marRight w:val="0"/>
      <w:marTop w:val="0"/>
      <w:marBottom w:val="0"/>
      <w:divBdr>
        <w:top w:val="none" w:sz="0" w:space="0" w:color="auto"/>
        <w:left w:val="none" w:sz="0" w:space="0" w:color="auto"/>
        <w:bottom w:val="none" w:sz="0" w:space="0" w:color="auto"/>
        <w:right w:val="none" w:sz="0" w:space="0" w:color="auto"/>
      </w:divBdr>
    </w:div>
    <w:div w:id="921064164">
      <w:bodyDiv w:val="1"/>
      <w:marLeft w:val="0"/>
      <w:marRight w:val="0"/>
      <w:marTop w:val="0"/>
      <w:marBottom w:val="0"/>
      <w:divBdr>
        <w:top w:val="none" w:sz="0" w:space="0" w:color="auto"/>
        <w:left w:val="none" w:sz="0" w:space="0" w:color="auto"/>
        <w:bottom w:val="none" w:sz="0" w:space="0" w:color="auto"/>
        <w:right w:val="none" w:sz="0" w:space="0" w:color="auto"/>
      </w:divBdr>
    </w:div>
    <w:div w:id="921335035">
      <w:bodyDiv w:val="1"/>
      <w:marLeft w:val="0"/>
      <w:marRight w:val="0"/>
      <w:marTop w:val="0"/>
      <w:marBottom w:val="0"/>
      <w:divBdr>
        <w:top w:val="none" w:sz="0" w:space="0" w:color="auto"/>
        <w:left w:val="none" w:sz="0" w:space="0" w:color="auto"/>
        <w:bottom w:val="none" w:sz="0" w:space="0" w:color="auto"/>
        <w:right w:val="none" w:sz="0" w:space="0" w:color="auto"/>
      </w:divBdr>
    </w:div>
    <w:div w:id="922639732">
      <w:bodyDiv w:val="1"/>
      <w:marLeft w:val="0"/>
      <w:marRight w:val="0"/>
      <w:marTop w:val="0"/>
      <w:marBottom w:val="0"/>
      <w:divBdr>
        <w:top w:val="none" w:sz="0" w:space="0" w:color="auto"/>
        <w:left w:val="none" w:sz="0" w:space="0" w:color="auto"/>
        <w:bottom w:val="none" w:sz="0" w:space="0" w:color="auto"/>
        <w:right w:val="none" w:sz="0" w:space="0" w:color="auto"/>
      </w:divBdr>
    </w:div>
    <w:div w:id="923222716">
      <w:bodyDiv w:val="1"/>
      <w:marLeft w:val="0"/>
      <w:marRight w:val="0"/>
      <w:marTop w:val="0"/>
      <w:marBottom w:val="0"/>
      <w:divBdr>
        <w:top w:val="none" w:sz="0" w:space="0" w:color="auto"/>
        <w:left w:val="none" w:sz="0" w:space="0" w:color="auto"/>
        <w:bottom w:val="none" w:sz="0" w:space="0" w:color="auto"/>
        <w:right w:val="none" w:sz="0" w:space="0" w:color="auto"/>
      </w:divBdr>
    </w:div>
    <w:div w:id="925459686">
      <w:bodyDiv w:val="1"/>
      <w:marLeft w:val="0"/>
      <w:marRight w:val="0"/>
      <w:marTop w:val="0"/>
      <w:marBottom w:val="0"/>
      <w:divBdr>
        <w:top w:val="none" w:sz="0" w:space="0" w:color="auto"/>
        <w:left w:val="none" w:sz="0" w:space="0" w:color="auto"/>
        <w:bottom w:val="none" w:sz="0" w:space="0" w:color="auto"/>
        <w:right w:val="none" w:sz="0" w:space="0" w:color="auto"/>
      </w:divBdr>
    </w:div>
    <w:div w:id="930621494">
      <w:bodyDiv w:val="1"/>
      <w:marLeft w:val="0"/>
      <w:marRight w:val="0"/>
      <w:marTop w:val="0"/>
      <w:marBottom w:val="0"/>
      <w:divBdr>
        <w:top w:val="none" w:sz="0" w:space="0" w:color="auto"/>
        <w:left w:val="none" w:sz="0" w:space="0" w:color="auto"/>
        <w:bottom w:val="none" w:sz="0" w:space="0" w:color="auto"/>
        <w:right w:val="none" w:sz="0" w:space="0" w:color="auto"/>
      </w:divBdr>
    </w:div>
    <w:div w:id="930698383">
      <w:bodyDiv w:val="1"/>
      <w:marLeft w:val="0"/>
      <w:marRight w:val="0"/>
      <w:marTop w:val="0"/>
      <w:marBottom w:val="0"/>
      <w:divBdr>
        <w:top w:val="none" w:sz="0" w:space="0" w:color="auto"/>
        <w:left w:val="none" w:sz="0" w:space="0" w:color="auto"/>
        <w:bottom w:val="none" w:sz="0" w:space="0" w:color="auto"/>
        <w:right w:val="none" w:sz="0" w:space="0" w:color="auto"/>
      </w:divBdr>
    </w:div>
    <w:div w:id="931088270">
      <w:bodyDiv w:val="1"/>
      <w:marLeft w:val="0"/>
      <w:marRight w:val="0"/>
      <w:marTop w:val="0"/>
      <w:marBottom w:val="0"/>
      <w:divBdr>
        <w:top w:val="none" w:sz="0" w:space="0" w:color="auto"/>
        <w:left w:val="none" w:sz="0" w:space="0" w:color="auto"/>
        <w:bottom w:val="none" w:sz="0" w:space="0" w:color="auto"/>
        <w:right w:val="none" w:sz="0" w:space="0" w:color="auto"/>
      </w:divBdr>
    </w:div>
    <w:div w:id="932670584">
      <w:bodyDiv w:val="1"/>
      <w:marLeft w:val="0"/>
      <w:marRight w:val="0"/>
      <w:marTop w:val="0"/>
      <w:marBottom w:val="0"/>
      <w:divBdr>
        <w:top w:val="none" w:sz="0" w:space="0" w:color="auto"/>
        <w:left w:val="none" w:sz="0" w:space="0" w:color="auto"/>
        <w:bottom w:val="none" w:sz="0" w:space="0" w:color="auto"/>
        <w:right w:val="none" w:sz="0" w:space="0" w:color="auto"/>
      </w:divBdr>
    </w:div>
    <w:div w:id="933048809">
      <w:bodyDiv w:val="1"/>
      <w:marLeft w:val="0"/>
      <w:marRight w:val="0"/>
      <w:marTop w:val="0"/>
      <w:marBottom w:val="0"/>
      <w:divBdr>
        <w:top w:val="none" w:sz="0" w:space="0" w:color="auto"/>
        <w:left w:val="none" w:sz="0" w:space="0" w:color="auto"/>
        <w:bottom w:val="none" w:sz="0" w:space="0" w:color="auto"/>
        <w:right w:val="none" w:sz="0" w:space="0" w:color="auto"/>
      </w:divBdr>
    </w:div>
    <w:div w:id="933247874">
      <w:bodyDiv w:val="1"/>
      <w:marLeft w:val="0"/>
      <w:marRight w:val="0"/>
      <w:marTop w:val="0"/>
      <w:marBottom w:val="0"/>
      <w:divBdr>
        <w:top w:val="none" w:sz="0" w:space="0" w:color="auto"/>
        <w:left w:val="none" w:sz="0" w:space="0" w:color="auto"/>
        <w:bottom w:val="none" w:sz="0" w:space="0" w:color="auto"/>
        <w:right w:val="none" w:sz="0" w:space="0" w:color="auto"/>
      </w:divBdr>
    </w:div>
    <w:div w:id="933367418">
      <w:bodyDiv w:val="1"/>
      <w:marLeft w:val="0"/>
      <w:marRight w:val="0"/>
      <w:marTop w:val="0"/>
      <w:marBottom w:val="0"/>
      <w:divBdr>
        <w:top w:val="none" w:sz="0" w:space="0" w:color="auto"/>
        <w:left w:val="none" w:sz="0" w:space="0" w:color="auto"/>
        <w:bottom w:val="none" w:sz="0" w:space="0" w:color="auto"/>
        <w:right w:val="none" w:sz="0" w:space="0" w:color="auto"/>
      </w:divBdr>
    </w:div>
    <w:div w:id="936445409">
      <w:bodyDiv w:val="1"/>
      <w:marLeft w:val="0"/>
      <w:marRight w:val="0"/>
      <w:marTop w:val="0"/>
      <w:marBottom w:val="0"/>
      <w:divBdr>
        <w:top w:val="none" w:sz="0" w:space="0" w:color="auto"/>
        <w:left w:val="none" w:sz="0" w:space="0" w:color="auto"/>
        <w:bottom w:val="none" w:sz="0" w:space="0" w:color="auto"/>
        <w:right w:val="none" w:sz="0" w:space="0" w:color="auto"/>
      </w:divBdr>
    </w:div>
    <w:div w:id="936866316">
      <w:bodyDiv w:val="1"/>
      <w:marLeft w:val="0"/>
      <w:marRight w:val="0"/>
      <w:marTop w:val="0"/>
      <w:marBottom w:val="0"/>
      <w:divBdr>
        <w:top w:val="none" w:sz="0" w:space="0" w:color="auto"/>
        <w:left w:val="none" w:sz="0" w:space="0" w:color="auto"/>
        <w:bottom w:val="none" w:sz="0" w:space="0" w:color="auto"/>
        <w:right w:val="none" w:sz="0" w:space="0" w:color="auto"/>
      </w:divBdr>
    </w:div>
    <w:div w:id="938098821">
      <w:bodyDiv w:val="1"/>
      <w:marLeft w:val="0"/>
      <w:marRight w:val="0"/>
      <w:marTop w:val="0"/>
      <w:marBottom w:val="0"/>
      <w:divBdr>
        <w:top w:val="none" w:sz="0" w:space="0" w:color="auto"/>
        <w:left w:val="none" w:sz="0" w:space="0" w:color="auto"/>
        <w:bottom w:val="none" w:sz="0" w:space="0" w:color="auto"/>
        <w:right w:val="none" w:sz="0" w:space="0" w:color="auto"/>
      </w:divBdr>
    </w:div>
    <w:div w:id="938148708">
      <w:bodyDiv w:val="1"/>
      <w:marLeft w:val="0"/>
      <w:marRight w:val="0"/>
      <w:marTop w:val="0"/>
      <w:marBottom w:val="0"/>
      <w:divBdr>
        <w:top w:val="none" w:sz="0" w:space="0" w:color="auto"/>
        <w:left w:val="none" w:sz="0" w:space="0" w:color="auto"/>
        <w:bottom w:val="none" w:sz="0" w:space="0" w:color="auto"/>
        <w:right w:val="none" w:sz="0" w:space="0" w:color="auto"/>
      </w:divBdr>
    </w:div>
    <w:div w:id="939069748">
      <w:bodyDiv w:val="1"/>
      <w:marLeft w:val="0"/>
      <w:marRight w:val="0"/>
      <w:marTop w:val="0"/>
      <w:marBottom w:val="0"/>
      <w:divBdr>
        <w:top w:val="none" w:sz="0" w:space="0" w:color="auto"/>
        <w:left w:val="none" w:sz="0" w:space="0" w:color="auto"/>
        <w:bottom w:val="none" w:sz="0" w:space="0" w:color="auto"/>
        <w:right w:val="none" w:sz="0" w:space="0" w:color="auto"/>
      </w:divBdr>
    </w:div>
    <w:div w:id="940574431">
      <w:bodyDiv w:val="1"/>
      <w:marLeft w:val="0"/>
      <w:marRight w:val="0"/>
      <w:marTop w:val="0"/>
      <w:marBottom w:val="0"/>
      <w:divBdr>
        <w:top w:val="none" w:sz="0" w:space="0" w:color="auto"/>
        <w:left w:val="none" w:sz="0" w:space="0" w:color="auto"/>
        <w:bottom w:val="none" w:sz="0" w:space="0" w:color="auto"/>
        <w:right w:val="none" w:sz="0" w:space="0" w:color="auto"/>
      </w:divBdr>
      <w:divsChild>
        <w:div w:id="217786058">
          <w:marLeft w:val="0"/>
          <w:marRight w:val="0"/>
          <w:marTop w:val="0"/>
          <w:marBottom w:val="0"/>
          <w:divBdr>
            <w:top w:val="none" w:sz="0" w:space="0" w:color="auto"/>
            <w:left w:val="none" w:sz="0" w:space="0" w:color="auto"/>
            <w:bottom w:val="none" w:sz="0" w:space="0" w:color="auto"/>
            <w:right w:val="none" w:sz="0" w:space="0" w:color="auto"/>
          </w:divBdr>
        </w:div>
        <w:div w:id="814027501">
          <w:marLeft w:val="0"/>
          <w:marRight w:val="0"/>
          <w:marTop w:val="0"/>
          <w:marBottom w:val="0"/>
          <w:divBdr>
            <w:top w:val="none" w:sz="0" w:space="0" w:color="auto"/>
            <w:left w:val="none" w:sz="0" w:space="0" w:color="auto"/>
            <w:bottom w:val="none" w:sz="0" w:space="0" w:color="auto"/>
            <w:right w:val="none" w:sz="0" w:space="0" w:color="auto"/>
          </w:divBdr>
        </w:div>
        <w:div w:id="388844483">
          <w:marLeft w:val="0"/>
          <w:marRight w:val="0"/>
          <w:marTop w:val="0"/>
          <w:marBottom w:val="0"/>
          <w:divBdr>
            <w:top w:val="none" w:sz="0" w:space="0" w:color="auto"/>
            <w:left w:val="none" w:sz="0" w:space="0" w:color="auto"/>
            <w:bottom w:val="none" w:sz="0" w:space="0" w:color="auto"/>
            <w:right w:val="none" w:sz="0" w:space="0" w:color="auto"/>
          </w:divBdr>
        </w:div>
        <w:div w:id="552546169">
          <w:marLeft w:val="0"/>
          <w:marRight w:val="0"/>
          <w:marTop w:val="0"/>
          <w:marBottom w:val="0"/>
          <w:divBdr>
            <w:top w:val="none" w:sz="0" w:space="0" w:color="auto"/>
            <w:left w:val="none" w:sz="0" w:space="0" w:color="auto"/>
            <w:bottom w:val="none" w:sz="0" w:space="0" w:color="auto"/>
            <w:right w:val="none" w:sz="0" w:space="0" w:color="auto"/>
          </w:divBdr>
        </w:div>
        <w:div w:id="1540582799">
          <w:marLeft w:val="0"/>
          <w:marRight w:val="0"/>
          <w:marTop w:val="0"/>
          <w:marBottom w:val="0"/>
          <w:divBdr>
            <w:top w:val="none" w:sz="0" w:space="0" w:color="auto"/>
            <w:left w:val="none" w:sz="0" w:space="0" w:color="auto"/>
            <w:bottom w:val="none" w:sz="0" w:space="0" w:color="auto"/>
            <w:right w:val="none" w:sz="0" w:space="0" w:color="auto"/>
          </w:divBdr>
        </w:div>
        <w:div w:id="1097365108">
          <w:marLeft w:val="0"/>
          <w:marRight w:val="0"/>
          <w:marTop w:val="0"/>
          <w:marBottom w:val="0"/>
          <w:divBdr>
            <w:top w:val="none" w:sz="0" w:space="0" w:color="auto"/>
            <w:left w:val="none" w:sz="0" w:space="0" w:color="auto"/>
            <w:bottom w:val="none" w:sz="0" w:space="0" w:color="auto"/>
            <w:right w:val="none" w:sz="0" w:space="0" w:color="auto"/>
          </w:divBdr>
        </w:div>
        <w:div w:id="1873032235">
          <w:marLeft w:val="0"/>
          <w:marRight w:val="0"/>
          <w:marTop w:val="0"/>
          <w:marBottom w:val="0"/>
          <w:divBdr>
            <w:top w:val="none" w:sz="0" w:space="0" w:color="auto"/>
            <w:left w:val="none" w:sz="0" w:space="0" w:color="auto"/>
            <w:bottom w:val="none" w:sz="0" w:space="0" w:color="auto"/>
            <w:right w:val="none" w:sz="0" w:space="0" w:color="auto"/>
          </w:divBdr>
        </w:div>
        <w:div w:id="1651250991">
          <w:marLeft w:val="0"/>
          <w:marRight w:val="0"/>
          <w:marTop w:val="0"/>
          <w:marBottom w:val="0"/>
          <w:divBdr>
            <w:top w:val="none" w:sz="0" w:space="0" w:color="auto"/>
            <w:left w:val="none" w:sz="0" w:space="0" w:color="auto"/>
            <w:bottom w:val="none" w:sz="0" w:space="0" w:color="auto"/>
            <w:right w:val="none" w:sz="0" w:space="0" w:color="auto"/>
          </w:divBdr>
        </w:div>
        <w:div w:id="1686130605">
          <w:marLeft w:val="0"/>
          <w:marRight w:val="0"/>
          <w:marTop w:val="0"/>
          <w:marBottom w:val="0"/>
          <w:divBdr>
            <w:top w:val="none" w:sz="0" w:space="0" w:color="auto"/>
            <w:left w:val="none" w:sz="0" w:space="0" w:color="auto"/>
            <w:bottom w:val="none" w:sz="0" w:space="0" w:color="auto"/>
            <w:right w:val="none" w:sz="0" w:space="0" w:color="auto"/>
          </w:divBdr>
        </w:div>
        <w:div w:id="795952298">
          <w:marLeft w:val="0"/>
          <w:marRight w:val="0"/>
          <w:marTop w:val="0"/>
          <w:marBottom w:val="0"/>
          <w:divBdr>
            <w:top w:val="none" w:sz="0" w:space="0" w:color="auto"/>
            <w:left w:val="none" w:sz="0" w:space="0" w:color="auto"/>
            <w:bottom w:val="none" w:sz="0" w:space="0" w:color="auto"/>
            <w:right w:val="none" w:sz="0" w:space="0" w:color="auto"/>
          </w:divBdr>
        </w:div>
        <w:div w:id="1335495254">
          <w:marLeft w:val="0"/>
          <w:marRight w:val="0"/>
          <w:marTop w:val="0"/>
          <w:marBottom w:val="0"/>
          <w:divBdr>
            <w:top w:val="none" w:sz="0" w:space="0" w:color="auto"/>
            <w:left w:val="none" w:sz="0" w:space="0" w:color="auto"/>
            <w:bottom w:val="none" w:sz="0" w:space="0" w:color="auto"/>
            <w:right w:val="none" w:sz="0" w:space="0" w:color="auto"/>
          </w:divBdr>
        </w:div>
        <w:div w:id="568881632">
          <w:marLeft w:val="0"/>
          <w:marRight w:val="0"/>
          <w:marTop w:val="0"/>
          <w:marBottom w:val="0"/>
          <w:divBdr>
            <w:top w:val="none" w:sz="0" w:space="0" w:color="auto"/>
            <w:left w:val="none" w:sz="0" w:space="0" w:color="auto"/>
            <w:bottom w:val="none" w:sz="0" w:space="0" w:color="auto"/>
            <w:right w:val="none" w:sz="0" w:space="0" w:color="auto"/>
          </w:divBdr>
        </w:div>
        <w:div w:id="1161315306">
          <w:marLeft w:val="0"/>
          <w:marRight w:val="0"/>
          <w:marTop w:val="0"/>
          <w:marBottom w:val="0"/>
          <w:divBdr>
            <w:top w:val="none" w:sz="0" w:space="0" w:color="auto"/>
            <w:left w:val="none" w:sz="0" w:space="0" w:color="auto"/>
            <w:bottom w:val="none" w:sz="0" w:space="0" w:color="auto"/>
            <w:right w:val="none" w:sz="0" w:space="0" w:color="auto"/>
          </w:divBdr>
        </w:div>
        <w:div w:id="2047755293">
          <w:marLeft w:val="0"/>
          <w:marRight w:val="0"/>
          <w:marTop w:val="0"/>
          <w:marBottom w:val="0"/>
          <w:divBdr>
            <w:top w:val="none" w:sz="0" w:space="0" w:color="auto"/>
            <w:left w:val="none" w:sz="0" w:space="0" w:color="auto"/>
            <w:bottom w:val="none" w:sz="0" w:space="0" w:color="auto"/>
            <w:right w:val="none" w:sz="0" w:space="0" w:color="auto"/>
          </w:divBdr>
        </w:div>
        <w:div w:id="418723171">
          <w:marLeft w:val="0"/>
          <w:marRight w:val="0"/>
          <w:marTop w:val="0"/>
          <w:marBottom w:val="0"/>
          <w:divBdr>
            <w:top w:val="none" w:sz="0" w:space="0" w:color="auto"/>
            <w:left w:val="none" w:sz="0" w:space="0" w:color="auto"/>
            <w:bottom w:val="none" w:sz="0" w:space="0" w:color="auto"/>
            <w:right w:val="none" w:sz="0" w:space="0" w:color="auto"/>
          </w:divBdr>
        </w:div>
        <w:div w:id="527524967">
          <w:marLeft w:val="0"/>
          <w:marRight w:val="0"/>
          <w:marTop w:val="0"/>
          <w:marBottom w:val="0"/>
          <w:divBdr>
            <w:top w:val="none" w:sz="0" w:space="0" w:color="auto"/>
            <w:left w:val="none" w:sz="0" w:space="0" w:color="auto"/>
            <w:bottom w:val="none" w:sz="0" w:space="0" w:color="auto"/>
            <w:right w:val="none" w:sz="0" w:space="0" w:color="auto"/>
          </w:divBdr>
        </w:div>
        <w:div w:id="1856578957">
          <w:marLeft w:val="0"/>
          <w:marRight w:val="0"/>
          <w:marTop w:val="0"/>
          <w:marBottom w:val="0"/>
          <w:divBdr>
            <w:top w:val="none" w:sz="0" w:space="0" w:color="auto"/>
            <w:left w:val="none" w:sz="0" w:space="0" w:color="auto"/>
            <w:bottom w:val="none" w:sz="0" w:space="0" w:color="auto"/>
            <w:right w:val="none" w:sz="0" w:space="0" w:color="auto"/>
          </w:divBdr>
        </w:div>
        <w:div w:id="716511046">
          <w:marLeft w:val="0"/>
          <w:marRight w:val="0"/>
          <w:marTop w:val="0"/>
          <w:marBottom w:val="0"/>
          <w:divBdr>
            <w:top w:val="none" w:sz="0" w:space="0" w:color="auto"/>
            <w:left w:val="none" w:sz="0" w:space="0" w:color="auto"/>
            <w:bottom w:val="none" w:sz="0" w:space="0" w:color="auto"/>
            <w:right w:val="none" w:sz="0" w:space="0" w:color="auto"/>
          </w:divBdr>
        </w:div>
        <w:div w:id="1551915297">
          <w:marLeft w:val="0"/>
          <w:marRight w:val="0"/>
          <w:marTop w:val="0"/>
          <w:marBottom w:val="0"/>
          <w:divBdr>
            <w:top w:val="none" w:sz="0" w:space="0" w:color="auto"/>
            <w:left w:val="none" w:sz="0" w:space="0" w:color="auto"/>
            <w:bottom w:val="none" w:sz="0" w:space="0" w:color="auto"/>
            <w:right w:val="none" w:sz="0" w:space="0" w:color="auto"/>
          </w:divBdr>
        </w:div>
        <w:div w:id="1511331915">
          <w:marLeft w:val="0"/>
          <w:marRight w:val="0"/>
          <w:marTop w:val="0"/>
          <w:marBottom w:val="0"/>
          <w:divBdr>
            <w:top w:val="none" w:sz="0" w:space="0" w:color="auto"/>
            <w:left w:val="none" w:sz="0" w:space="0" w:color="auto"/>
            <w:bottom w:val="none" w:sz="0" w:space="0" w:color="auto"/>
            <w:right w:val="none" w:sz="0" w:space="0" w:color="auto"/>
          </w:divBdr>
        </w:div>
        <w:div w:id="1953050692">
          <w:marLeft w:val="0"/>
          <w:marRight w:val="0"/>
          <w:marTop w:val="0"/>
          <w:marBottom w:val="0"/>
          <w:divBdr>
            <w:top w:val="none" w:sz="0" w:space="0" w:color="auto"/>
            <w:left w:val="none" w:sz="0" w:space="0" w:color="auto"/>
            <w:bottom w:val="none" w:sz="0" w:space="0" w:color="auto"/>
            <w:right w:val="none" w:sz="0" w:space="0" w:color="auto"/>
          </w:divBdr>
        </w:div>
        <w:div w:id="1231387736">
          <w:marLeft w:val="0"/>
          <w:marRight w:val="0"/>
          <w:marTop w:val="0"/>
          <w:marBottom w:val="0"/>
          <w:divBdr>
            <w:top w:val="none" w:sz="0" w:space="0" w:color="auto"/>
            <w:left w:val="none" w:sz="0" w:space="0" w:color="auto"/>
            <w:bottom w:val="none" w:sz="0" w:space="0" w:color="auto"/>
            <w:right w:val="none" w:sz="0" w:space="0" w:color="auto"/>
          </w:divBdr>
        </w:div>
        <w:div w:id="2004117556">
          <w:marLeft w:val="0"/>
          <w:marRight w:val="0"/>
          <w:marTop w:val="0"/>
          <w:marBottom w:val="0"/>
          <w:divBdr>
            <w:top w:val="none" w:sz="0" w:space="0" w:color="auto"/>
            <w:left w:val="none" w:sz="0" w:space="0" w:color="auto"/>
            <w:bottom w:val="none" w:sz="0" w:space="0" w:color="auto"/>
            <w:right w:val="none" w:sz="0" w:space="0" w:color="auto"/>
          </w:divBdr>
        </w:div>
      </w:divsChild>
    </w:div>
    <w:div w:id="941650673">
      <w:bodyDiv w:val="1"/>
      <w:marLeft w:val="0"/>
      <w:marRight w:val="0"/>
      <w:marTop w:val="0"/>
      <w:marBottom w:val="0"/>
      <w:divBdr>
        <w:top w:val="none" w:sz="0" w:space="0" w:color="auto"/>
        <w:left w:val="none" w:sz="0" w:space="0" w:color="auto"/>
        <w:bottom w:val="none" w:sz="0" w:space="0" w:color="auto"/>
        <w:right w:val="none" w:sz="0" w:space="0" w:color="auto"/>
      </w:divBdr>
    </w:div>
    <w:div w:id="942032027">
      <w:bodyDiv w:val="1"/>
      <w:marLeft w:val="0"/>
      <w:marRight w:val="0"/>
      <w:marTop w:val="0"/>
      <w:marBottom w:val="0"/>
      <w:divBdr>
        <w:top w:val="none" w:sz="0" w:space="0" w:color="auto"/>
        <w:left w:val="none" w:sz="0" w:space="0" w:color="auto"/>
        <w:bottom w:val="none" w:sz="0" w:space="0" w:color="auto"/>
        <w:right w:val="none" w:sz="0" w:space="0" w:color="auto"/>
      </w:divBdr>
    </w:div>
    <w:div w:id="944993713">
      <w:bodyDiv w:val="1"/>
      <w:marLeft w:val="0"/>
      <w:marRight w:val="0"/>
      <w:marTop w:val="0"/>
      <w:marBottom w:val="0"/>
      <w:divBdr>
        <w:top w:val="none" w:sz="0" w:space="0" w:color="auto"/>
        <w:left w:val="none" w:sz="0" w:space="0" w:color="auto"/>
        <w:bottom w:val="none" w:sz="0" w:space="0" w:color="auto"/>
        <w:right w:val="none" w:sz="0" w:space="0" w:color="auto"/>
      </w:divBdr>
    </w:div>
    <w:div w:id="946817107">
      <w:bodyDiv w:val="1"/>
      <w:marLeft w:val="0"/>
      <w:marRight w:val="0"/>
      <w:marTop w:val="0"/>
      <w:marBottom w:val="0"/>
      <w:divBdr>
        <w:top w:val="none" w:sz="0" w:space="0" w:color="auto"/>
        <w:left w:val="none" w:sz="0" w:space="0" w:color="auto"/>
        <w:bottom w:val="none" w:sz="0" w:space="0" w:color="auto"/>
        <w:right w:val="none" w:sz="0" w:space="0" w:color="auto"/>
      </w:divBdr>
    </w:div>
    <w:div w:id="950630883">
      <w:bodyDiv w:val="1"/>
      <w:marLeft w:val="0"/>
      <w:marRight w:val="0"/>
      <w:marTop w:val="0"/>
      <w:marBottom w:val="0"/>
      <w:divBdr>
        <w:top w:val="none" w:sz="0" w:space="0" w:color="auto"/>
        <w:left w:val="none" w:sz="0" w:space="0" w:color="auto"/>
        <w:bottom w:val="none" w:sz="0" w:space="0" w:color="auto"/>
        <w:right w:val="none" w:sz="0" w:space="0" w:color="auto"/>
      </w:divBdr>
    </w:div>
    <w:div w:id="951134836">
      <w:bodyDiv w:val="1"/>
      <w:marLeft w:val="0"/>
      <w:marRight w:val="0"/>
      <w:marTop w:val="0"/>
      <w:marBottom w:val="0"/>
      <w:divBdr>
        <w:top w:val="none" w:sz="0" w:space="0" w:color="auto"/>
        <w:left w:val="none" w:sz="0" w:space="0" w:color="auto"/>
        <w:bottom w:val="none" w:sz="0" w:space="0" w:color="auto"/>
        <w:right w:val="none" w:sz="0" w:space="0" w:color="auto"/>
      </w:divBdr>
    </w:div>
    <w:div w:id="953173468">
      <w:bodyDiv w:val="1"/>
      <w:marLeft w:val="0"/>
      <w:marRight w:val="0"/>
      <w:marTop w:val="0"/>
      <w:marBottom w:val="0"/>
      <w:divBdr>
        <w:top w:val="none" w:sz="0" w:space="0" w:color="auto"/>
        <w:left w:val="none" w:sz="0" w:space="0" w:color="auto"/>
        <w:bottom w:val="none" w:sz="0" w:space="0" w:color="auto"/>
        <w:right w:val="none" w:sz="0" w:space="0" w:color="auto"/>
      </w:divBdr>
    </w:div>
    <w:div w:id="954483616">
      <w:bodyDiv w:val="1"/>
      <w:marLeft w:val="0"/>
      <w:marRight w:val="0"/>
      <w:marTop w:val="0"/>
      <w:marBottom w:val="0"/>
      <w:divBdr>
        <w:top w:val="none" w:sz="0" w:space="0" w:color="auto"/>
        <w:left w:val="none" w:sz="0" w:space="0" w:color="auto"/>
        <w:bottom w:val="none" w:sz="0" w:space="0" w:color="auto"/>
        <w:right w:val="none" w:sz="0" w:space="0" w:color="auto"/>
      </w:divBdr>
    </w:div>
    <w:div w:id="956447466">
      <w:bodyDiv w:val="1"/>
      <w:marLeft w:val="0"/>
      <w:marRight w:val="0"/>
      <w:marTop w:val="0"/>
      <w:marBottom w:val="0"/>
      <w:divBdr>
        <w:top w:val="none" w:sz="0" w:space="0" w:color="auto"/>
        <w:left w:val="none" w:sz="0" w:space="0" w:color="auto"/>
        <w:bottom w:val="none" w:sz="0" w:space="0" w:color="auto"/>
        <w:right w:val="none" w:sz="0" w:space="0" w:color="auto"/>
      </w:divBdr>
    </w:div>
    <w:div w:id="957955887">
      <w:bodyDiv w:val="1"/>
      <w:marLeft w:val="0"/>
      <w:marRight w:val="0"/>
      <w:marTop w:val="0"/>
      <w:marBottom w:val="0"/>
      <w:divBdr>
        <w:top w:val="none" w:sz="0" w:space="0" w:color="auto"/>
        <w:left w:val="none" w:sz="0" w:space="0" w:color="auto"/>
        <w:bottom w:val="none" w:sz="0" w:space="0" w:color="auto"/>
        <w:right w:val="none" w:sz="0" w:space="0" w:color="auto"/>
      </w:divBdr>
    </w:div>
    <w:div w:id="959995857">
      <w:bodyDiv w:val="1"/>
      <w:marLeft w:val="0"/>
      <w:marRight w:val="0"/>
      <w:marTop w:val="0"/>
      <w:marBottom w:val="0"/>
      <w:divBdr>
        <w:top w:val="none" w:sz="0" w:space="0" w:color="auto"/>
        <w:left w:val="none" w:sz="0" w:space="0" w:color="auto"/>
        <w:bottom w:val="none" w:sz="0" w:space="0" w:color="auto"/>
        <w:right w:val="none" w:sz="0" w:space="0" w:color="auto"/>
      </w:divBdr>
    </w:div>
    <w:div w:id="961114445">
      <w:bodyDiv w:val="1"/>
      <w:marLeft w:val="0"/>
      <w:marRight w:val="0"/>
      <w:marTop w:val="0"/>
      <w:marBottom w:val="0"/>
      <w:divBdr>
        <w:top w:val="none" w:sz="0" w:space="0" w:color="auto"/>
        <w:left w:val="none" w:sz="0" w:space="0" w:color="auto"/>
        <w:bottom w:val="none" w:sz="0" w:space="0" w:color="auto"/>
        <w:right w:val="none" w:sz="0" w:space="0" w:color="auto"/>
      </w:divBdr>
    </w:div>
    <w:div w:id="962148885">
      <w:bodyDiv w:val="1"/>
      <w:marLeft w:val="0"/>
      <w:marRight w:val="0"/>
      <w:marTop w:val="0"/>
      <w:marBottom w:val="0"/>
      <w:divBdr>
        <w:top w:val="none" w:sz="0" w:space="0" w:color="auto"/>
        <w:left w:val="none" w:sz="0" w:space="0" w:color="auto"/>
        <w:bottom w:val="none" w:sz="0" w:space="0" w:color="auto"/>
        <w:right w:val="none" w:sz="0" w:space="0" w:color="auto"/>
      </w:divBdr>
    </w:div>
    <w:div w:id="962463088">
      <w:bodyDiv w:val="1"/>
      <w:marLeft w:val="0"/>
      <w:marRight w:val="0"/>
      <w:marTop w:val="0"/>
      <w:marBottom w:val="0"/>
      <w:divBdr>
        <w:top w:val="none" w:sz="0" w:space="0" w:color="auto"/>
        <w:left w:val="none" w:sz="0" w:space="0" w:color="auto"/>
        <w:bottom w:val="none" w:sz="0" w:space="0" w:color="auto"/>
        <w:right w:val="none" w:sz="0" w:space="0" w:color="auto"/>
      </w:divBdr>
    </w:div>
    <w:div w:id="965769662">
      <w:bodyDiv w:val="1"/>
      <w:marLeft w:val="0"/>
      <w:marRight w:val="0"/>
      <w:marTop w:val="0"/>
      <w:marBottom w:val="0"/>
      <w:divBdr>
        <w:top w:val="none" w:sz="0" w:space="0" w:color="auto"/>
        <w:left w:val="none" w:sz="0" w:space="0" w:color="auto"/>
        <w:bottom w:val="none" w:sz="0" w:space="0" w:color="auto"/>
        <w:right w:val="none" w:sz="0" w:space="0" w:color="auto"/>
      </w:divBdr>
    </w:div>
    <w:div w:id="966012300">
      <w:bodyDiv w:val="1"/>
      <w:marLeft w:val="0"/>
      <w:marRight w:val="0"/>
      <w:marTop w:val="0"/>
      <w:marBottom w:val="0"/>
      <w:divBdr>
        <w:top w:val="none" w:sz="0" w:space="0" w:color="auto"/>
        <w:left w:val="none" w:sz="0" w:space="0" w:color="auto"/>
        <w:bottom w:val="none" w:sz="0" w:space="0" w:color="auto"/>
        <w:right w:val="none" w:sz="0" w:space="0" w:color="auto"/>
      </w:divBdr>
    </w:div>
    <w:div w:id="974137307">
      <w:bodyDiv w:val="1"/>
      <w:marLeft w:val="0"/>
      <w:marRight w:val="0"/>
      <w:marTop w:val="0"/>
      <w:marBottom w:val="0"/>
      <w:divBdr>
        <w:top w:val="none" w:sz="0" w:space="0" w:color="auto"/>
        <w:left w:val="none" w:sz="0" w:space="0" w:color="auto"/>
        <w:bottom w:val="none" w:sz="0" w:space="0" w:color="auto"/>
        <w:right w:val="none" w:sz="0" w:space="0" w:color="auto"/>
      </w:divBdr>
    </w:div>
    <w:div w:id="976228893">
      <w:bodyDiv w:val="1"/>
      <w:marLeft w:val="0"/>
      <w:marRight w:val="0"/>
      <w:marTop w:val="0"/>
      <w:marBottom w:val="0"/>
      <w:divBdr>
        <w:top w:val="none" w:sz="0" w:space="0" w:color="auto"/>
        <w:left w:val="none" w:sz="0" w:space="0" w:color="auto"/>
        <w:bottom w:val="none" w:sz="0" w:space="0" w:color="auto"/>
        <w:right w:val="none" w:sz="0" w:space="0" w:color="auto"/>
      </w:divBdr>
    </w:div>
    <w:div w:id="976954665">
      <w:bodyDiv w:val="1"/>
      <w:marLeft w:val="0"/>
      <w:marRight w:val="0"/>
      <w:marTop w:val="0"/>
      <w:marBottom w:val="0"/>
      <w:divBdr>
        <w:top w:val="none" w:sz="0" w:space="0" w:color="auto"/>
        <w:left w:val="none" w:sz="0" w:space="0" w:color="auto"/>
        <w:bottom w:val="none" w:sz="0" w:space="0" w:color="auto"/>
        <w:right w:val="none" w:sz="0" w:space="0" w:color="auto"/>
      </w:divBdr>
    </w:div>
    <w:div w:id="978417382">
      <w:bodyDiv w:val="1"/>
      <w:marLeft w:val="0"/>
      <w:marRight w:val="0"/>
      <w:marTop w:val="0"/>
      <w:marBottom w:val="0"/>
      <w:divBdr>
        <w:top w:val="none" w:sz="0" w:space="0" w:color="auto"/>
        <w:left w:val="none" w:sz="0" w:space="0" w:color="auto"/>
        <w:bottom w:val="none" w:sz="0" w:space="0" w:color="auto"/>
        <w:right w:val="none" w:sz="0" w:space="0" w:color="auto"/>
      </w:divBdr>
    </w:div>
    <w:div w:id="979072082">
      <w:bodyDiv w:val="1"/>
      <w:marLeft w:val="0"/>
      <w:marRight w:val="0"/>
      <w:marTop w:val="0"/>
      <w:marBottom w:val="0"/>
      <w:divBdr>
        <w:top w:val="none" w:sz="0" w:space="0" w:color="auto"/>
        <w:left w:val="none" w:sz="0" w:space="0" w:color="auto"/>
        <w:bottom w:val="none" w:sz="0" w:space="0" w:color="auto"/>
        <w:right w:val="none" w:sz="0" w:space="0" w:color="auto"/>
      </w:divBdr>
    </w:div>
    <w:div w:id="979307173">
      <w:bodyDiv w:val="1"/>
      <w:marLeft w:val="0"/>
      <w:marRight w:val="0"/>
      <w:marTop w:val="0"/>
      <w:marBottom w:val="0"/>
      <w:divBdr>
        <w:top w:val="none" w:sz="0" w:space="0" w:color="auto"/>
        <w:left w:val="none" w:sz="0" w:space="0" w:color="auto"/>
        <w:bottom w:val="none" w:sz="0" w:space="0" w:color="auto"/>
        <w:right w:val="none" w:sz="0" w:space="0" w:color="auto"/>
      </w:divBdr>
    </w:div>
    <w:div w:id="979578833">
      <w:bodyDiv w:val="1"/>
      <w:marLeft w:val="0"/>
      <w:marRight w:val="0"/>
      <w:marTop w:val="0"/>
      <w:marBottom w:val="0"/>
      <w:divBdr>
        <w:top w:val="none" w:sz="0" w:space="0" w:color="auto"/>
        <w:left w:val="none" w:sz="0" w:space="0" w:color="auto"/>
        <w:bottom w:val="none" w:sz="0" w:space="0" w:color="auto"/>
        <w:right w:val="none" w:sz="0" w:space="0" w:color="auto"/>
      </w:divBdr>
    </w:div>
    <w:div w:id="980691642">
      <w:bodyDiv w:val="1"/>
      <w:marLeft w:val="0"/>
      <w:marRight w:val="0"/>
      <w:marTop w:val="0"/>
      <w:marBottom w:val="0"/>
      <w:divBdr>
        <w:top w:val="none" w:sz="0" w:space="0" w:color="auto"/>
        <w:left w:val="none" w:sz="0" w:space="0" w:color="auto"/>
        <w:bottom w:val="none" w:sz="0" w:space="0" w:color="auto"/>
        <w:right w:val="none" w:sz="0" w:space="0" w:color="auto"/>
      </w:divBdr>
    </w:div>
    <w:div w:id="981618653">
      <w:bodyDiv w:val="1"/>
      <w:marLeft w:val="0"/>
      <w:marRight w:val="0"/>
      <w:marTop w:val="0"/>
      <w:marBottom w:val="0"/>
      <w:divBdr>
        <w:top w:val="none" w:sz="0" w:space="0" w:color="auto"/>
        <w:left w:val="none" w:sz="0" w:space="0" w:color="auto"/>
        <w:bottom w:val="none" w:sz="0" w:space="0" w:color="auto"/>
        <w:right w:val="none" w:sz="0" w:space="0" w:color="auto"/>
      </w:divBdr>
    </w:div>
    <w:div w:id="982008437">
      <w:bodyDiv w:val="1"/>
      <w:marLeft w:val="0"/>
      <w:marRight w:val="0"/>
      <w:marTop w:val="0"/>
      <w:marBottom w:val="0"/>
      <w:divBdr>
        <w:top w:val="none" w:sz="0" w:space="0" w:color="auto"/>
        <w:left w:val="none" w:sz="0" w:space="0" w:color="auto"/>
        <w:bottom w:val="none" w:sz="0" w:space="0" w:color="auto"/>
        <w:right w:val="none" w:sz="0" w:space="0" w:color="auto"/>
      </w:divBdr>
    </w:div>
    <w:div w:id="982271261">
      <w:bodyDiv w:val="1"/>
      <w:marLeft w:val="0"/>
      <w:marRight w:val="0"/>
      <w:marTop w:val="0"/>
      <w:marBottom w:val="0"/>
      <w:divBdr>
        <w:top w:val="none" w:sz="0" w:space="0" w:color="auto"/>
        <w:left w:val="none" w:sz="0" w:space="0" w:color="auto"/>
        <w:bottom w:val="none" w:sz="0" w:space="0" w:color="auto"/>
        <w:right w:val="none" w:sz="0" w:space="0" w:color="auto"/>
      </w:divBdr>
    </w:div>
    <w:div w:id="983892968">
      <w:bodyDiv w:val="1"/>
      <w:marLeft w:val="0"/>
      <w:marRight w:val="0"/>
      <w:marTop w:val="0"/>
      <w:marBottom w:val="0"/>
      <w:divBdr>
        <w:top w:val="none" w:sz="0" w:space="0" w:color="auto"/>
        <w:left w:val="none" w:sz="0" w:space="0" w:color="auto"/>
        <w:bottom w:val="none" w:sz="0" w:space="0" w:color="auto"/>
        <w:right w:val="none" w:sz="0" w:space="0" w:color="auto"/>
      </w:divBdr>
    </w:div>
    <w:div w:id="984357200">
      <w:bodyDiv w:val="1"/>
      <w:marLeft w:val="0"/>
      <w:marRight w:val="0"/>
      <w:marTop w:val="0"/>
      <w:marBottom w:val="0"/>
      <w:divBdr>
        <w:top w:val="none" w:sz="0" w:space="0" w:color="auto"/>
        <w:left w:val="none" w:sz="0" w:space="0" w:color="auto"/>
        <w:bottom w:val="none" w:sz="0" w:space="0" w:color="auto"/>
        <w:right w:val="none" w:sz="0" w:space="0" w:color="auto"/>
      </w:divBdr>
    </w:div>
    <w:div w:id="984550618">
      <w:bodyDiv w:val="1"/>
      <w:marLeft w:val="0"/>
      <w:marRight w:val="0"/>
      <w:marTop w:val="0"/>
      <w:marBottom w:val="0"/>
      <w:divBdr>
        <w:top w:val="none" w:sz="0" w:space="0" w:color="auto"/>
        <w:left w:val="none" w:sz="0" w:space="0" w:color="auto"/>
        <w:bottom w:val="none" w:sz="0" w:space="0" w:color="auto"/>
        <w:right w:val="none" w:sz="0" w:space="0" w:color="auto"/>
      </w:divBdr>
    </w:div>
    <w:div w:id="984814726">
      <w:bodyDiv w:val="1"/>
      <w:marLeft w:val="0"/>
      <w:marRight w:val="0"/>
      <w:marTop w:val="0"/>
      <w:marBottom w:val="0"/>
      <w:divBdr>
        <w:top w:val="none" w:sz="0" w:space="0" w:color="auto"/>
        <w:left w:val="none" w:sz="0" w:space="0" w:color="auto"/>
        <w:bottom w:val="none" w:sz="0" w:space="0" w:color="auto"/>
        <w:right w:val="none" w:sz="0" w:space="0" w:color="auto"/>
      </w:divBdr>
    </w:div>
    <w:div w:id="986132057">
      <w:bodyDiv w:val="1"/>
      <w:marLeft w:val="0"/>
      <w:marRight w:val="0"/>
      <w:marTop w:val="0"/>
      <w:marBottom w:val="0"/>
      <w:divBdr>
        <w:top w:val="none" w:sz="0" w:space="0" w:color="auto"/>
        <w:left w:val="none" w:sz="0" w:space="0" w:color="auto"/>
        <w:bottom w:val="none" w:sz="0" w:space="0" w:color="auto"/>
        <w:right w:val="none" w:sz="0" w:space="0" w:color="auto"/>
      </w:divBdr>
    </w:div>
    <w:div w:id="988631927">
      <w:bodyDiv w:val="1"/>
      <w:marLeft w:val="0"/>
      <w:marRight w:val="0"/>
      <w:marTop w:val="0"/>
      <w:marBottom w:val="0"/>
      <w:divBdr>
        <w:top w:val="none" w:sz="0" w:space="0" w:color="auto"/>
        <w:left w:val="none" w:sz="0" w:space="0" w:color="auto"/>
        <w:bottom w:val="none" w:sz="0" w:space="0" w:color="auto"/>
        <w:right w:val="none" w:sz="0" w:space="0" w:color="auto"/>
      </w:divBdr>
    </w:div>
    <w:div w:id="990060334">
      <w:bodyDiv w:val="1"/>
      <w:marLeft w:val="0"/>
      <w:marRight w:val="0"/>
      <w:marTop w:val="0"/>
      <w:marBottom w:val="0"/>
      <w:divBdr>
        <w:top w:val="none" w:sz="0" w:space="0" w:color="auto"/>
        <w:left w:val="none" w:sz="0" w:space="0" w:color="auto"/>
        <w:bottom w:val="none" w:sz="0" w:space="0" w:color="auto"/>
        <w:right w:val="none" w:sz="0" w:space="0" w:color="auto"/>
      </w:divBdr>
    </w:div>
    <w:div w:id="990521877">
      <w:bodyDiv w:val="1"/>
      <w:marLeft w:val="0"/>
      <w:marRight w:val="0"/>
      <w:marTop w:val="0"/>
      <w:marBottom w:val="0"/>
      <w:divBdr>
        <w:top w:val="none" w:sz="0" w:space="0" w:color="auto"/>
        <w:left w:val="none" w:sz="0" w:space="0" w:color="auto"/>
        <w:bottom w:val="none" w:sz="0" w:space="0" w:color="auto"/>
        <w:right w:val="none" w:sz="0" w:space="0" w:color="auto"/>
      </w:divBdr>
    </w:div>
    <w:div w:id="991059946">
      <w:bodyDiv w:val="1"/>
      <w:marLeft w:val="0"/>
      <w:marRight w:val="0"/>
      <w:marTop w:val="0"/>
      <w:marBottom w:val="0"/>
      <w:divBdr>
        <w:top w:val="none" w:sz="0" w:space="0" w:color="auto"/>
        <w:left w:val="none" w:sz="0" w:space="0" w:color="auto"/>
        <w:bottom w:val="none" w:sz="0" w:space="0" w:color="auto"/>
        <w:right w:val="none" w:sz="0" w:space="0" w:color="auto"/>
      </w:divBdr>
    </w:div>
    <w:div w:id="991376419">
      <w:bodyDiv w:val="1"/>
      <w:marLeft w:val="0"/>
      <w:marRight w:val="0"/>
      <w:marTop w:val="0"/>
      <w:marBottom w:val="0"/>
      <w:divBdr>
        <w:top w:val="none" w:sz="0" w:space="0" w:color="auto"/>
        <w:left w:val="none" w:sz="0" w:space="0" w:color="auto"/>
        <w:bottom w:val="none" w:sz="0" w:space="0" w:color="auto"/>
        <w:right w:val="none" w:sz="0" w:space="0" w:color="auto"/>
      </w:divBdr>
    </w:div>
    <w:div w:id="991636126">
      <w:bodyDiv w:val="1"/>
      <w:marLeft w:val="0"/>
      <w:marRight w:val="0"/>
      <w:marTop w:val="0"/>
      <w:marBottom w:val="0"/>
      <w:divBdr>
        <w:top w:val="none" w:sz="0" w:space="0" w:color="auto"/>
        <w:left w:val="none" w:sz="0" w:space="0" w:color="auto"/>
        <w:bottom w:val="none" w:sz="0" w:space="0" w:color="auto"/>
        <w:right w:val="none" w:sz="0" w:space="0" w:color="auto"/>
      </w:divBdr>
    </w:div>
    <w:div w:id="994845040">
      <w:bodyDiv w:val="1"/>
      <w:marLeft w:val="0"/>
      <w:marRight w:val="0"/>
      <w:marTop w:val="0"/>
      <w:marBottom w:val="0"/>
      <w:divBdr>
        <w:top w:val="none" w:sz="0" w:space="0" w:color="auto"/>
        <w:left w:val="none" w:sz="0" w:space="0" w:color="auto"/>
        <w:bottom w:val="none" w:sz="0" w:space="0" w:color="auto"/>
        <w:right w:val="none" w:sz="0" w:space="0" w:color="auto"/>
      </w:divBdr>
    </w:div>
    <w:div w:id="995379069">
      <w:bodyDiv w:val="1"/>
      <w:marLeft w:val="0"/>
      <w:marRight w:val="0"/>
      <w:marTop w:val="0"/>
      <w:marBottom w:val="0"/>
      <w:divBdr>
        <w:top w:val="none" w:sz="0" w:space="0" w:color="auto"/>
        <w:left w:val="none" w:sz="0" w:space="0" w:color="auto"/>
        <w:bottom w:val="none" w:sz="0" w:space="0" w:color="auto"/>
        <w:right w:val="none" w:sz="0" w:space="0" w:color="auto"/>
      </w:divBdr>
    </w:div>
    <w:div w:id="995689771">
      <w:bodyDiv w:val="1"/>
      <w:marLeft w:val="0"/>
      <w:marRight w:val="0"/>
      <w:marTop w:val="0"/>
      <w:marBottom w:val="0"/>
      <w:divBdr>
        <w:top w:val="none" w:sz="0" w:space="0" w:color="auto"/>
        <w:left w:val="none" w:sz="0" w:space="0" w:color="auto"/>
        <w:bottom w:val="none" w:sz="0" w:space="0" w:color="auto"/>
        <w:right w:val="none" w:sz="0" w:space="0" w:color="auto"/>
      </w:divBdr>
    </w:div>
    <w:div w:id="997732394">
      <w:bodyDiv w:val="1"/>
      <w:marLeft w:val="0"/>
      <w:marRight w:val="0"/>
      <w:marTop w:val="0"/>
      <w:marBottom w:val="0"/>
      <w:divBdr>
        <w:top w:val="none" w:sz="0" w:space="0" w:color="auto"/>
        <w:left w:val="none" w:sz="0" w:space="0" w:color="auto"/>
        <w:bottom w:val="none" w:sz="0" w:space="0" w:color="auto"/>
        <w:right w:val="none" w:sz="0" w:space="0" w:color="auto"/>
      </w:divBdr>
    </w:div>
    <w:div w:id="998122080">
      <w:bodyDiv w:val="1"/>
      <w:marLeft w:val="0"/>
      <w:marRight w:val="0"/>
      <w:marTop w:val="0"/>
      <w:marBottom w:val="0"/>
      <w:divBdr>
        <w:top w:val="none" w:sz="0" w:space="0" w:color="auto"/>
        <w:left w:val="none" w:sz="0" w:space="0" w:color="auto"/>
        <w:bottom w:val="none" w:sz="0" w:space="0" w:color="auto"/>
        <w:right w:val="none" w:sz="0" w:space="0" w:color="auto"/>
      </w:divBdr>
    </w:div>
    <w:div w:id="998579621">
      <w:bodyDiv w:val="1"/>
      <w:marLeft w:val="0"/>
      <w:marRight w:val="0"/>
      <w:marTop w:val="0"/>
      <w:marBottom w:val="0"/>
      <w:divBdr>
        <w:top w:val="none" w:sz="0" w:space="0" w:color="auto"/>
        <w:left w:val="none" w:sz="0" w:space="0" w:color="auto"/>
        <w:bottom w:val="none" w:sz="0" w:space="0" w:color="auto"/>
        <w:right w:val="none" w:sz="0" w:space="0" w:color="auto"/>
      </w:divBdr>
    </w:div>
    <w:div w:id="998772900">
      <w:bodyDiv w:val="1"/>
      <w:marLeft w:val="0"/>
      <w:marRight w:val="0"/>
      <w:marTop w:val="0"/>
      <w:marBottom w:val="0"/>
      <w:divBdr>
        <w:top w:val="none" w:sz="0" w:space="0" w:color="auto"/>
        <w:left w:val="none" w:sz="0" w:space="0" w:color="auto"/>
        <w:bottom w:val="none" w:sz="0" w:space="0" w:color="auto"/>
        <w:right w:val="none" w:sz="0" w:space="0" w:color="auto"/>
      </w:divBdr>
    </w:div>
    <w:div w:id="1000352497">
      <w:bodyDiv w:val="1"/>
      <w:marLeft w:val="0"/>
      <w:marRight w:val="0"/>
      <w:marTop w:val="0"/>
      <w:marBottom w:val="0"/>
      <w:divBdr>
        <w:top w:val="none" w:sz="0" w:space="0" w:color="auto"/>
        <w:left w:val="none" w:sz="0" w:space="0" w:color="auto"/>
        <w:bottom w:val="none" w:sz="0" w:space="0" w:color="auto"/>
        <w:right w:val="none" w:sz="0" w:space="0" w:color="auto"/>
      </w:divBdr>
    </w:div>
    <w:div w:id="1000429241">
      <w:bodyDiv w:val="1"/>
      <w:marLeft w:val="0"/>
      <w:marRight w:val="0"/>
      <w:marTop w:val="0"/>
      <w:marBottom w:val="0"/>
      <w:divBdr>
        <w:top w:val="none" w:sz="0" w:space="0" w:color="auto"/>
        <w:left w:val="none" w:sz="0" w:space="0" w:color="auto"/>
        <w:bottom w:val="none" w:sz="0" w:space="0" w:color="auto"/>
        <w:right w:val="none" w:sz="0" w:space="0" w:color="auto"/>
      </w:divBdr>
    </w:div>
    <w:div w:id="1003122334">
      <w:bodyDiv w:val="1"/>
      <w:marLeft w:val="0"/>
      <w:marRight w:val="0"/>
      <w:marTop w:val="0"/>
      <w:marBottom w:val="0"/>
      <w:divBdr>
        <w:top w:val="none" w:sz="0" w:space="0" w:color="auto"/>
        <w:left w:val="none" w:sz="0" w:space="0" w:color="auto"/>
        <w:bottom w:val="none" w:sz="0" w:space="0" w:color="auto"/>
        <w:right w:val="none" w:sz="0" w:space="0" w:color="auto"/>
      </w:divBdr>
    </w:div>
    <w:div w:id="1003163603">
      <w:bodyDiv w:val="1"/>
      <w:marLeft w:val="0"/>
      <w:marRight w:val="0"/>
      <w:marTop w:val="0"/>
      <w:marBottom w:val="0"/>
      <w:divBdr>
        <w:top w:val="none" w:sz="0" w:space="0" w:color="auto"/>
        <w:left w:val="none" w:sz="0" w:space="0" w:color="auto"/>
        <w:bottom w:val="none" w:sz="0" w:space="0" w:color="auto"/>
        <w:right w:val="none" w:sz="0" w:space="0" w:color="auto"/>
      </w:divBdr>
    </w:div>
    <w:div w:id="1004746139">
      <w:bodyDiv w:val="1"/>
      <w:marLeft w:val="0"/>
      <w:marRight w:val="0"/>
      <w:marTop w:val="0"/>
      <w:marBottom w:val="0"/>
      <w:divBdr>
        <w:top w:val="none" w:sz="0" w:space="0" w:color="auto"/>
        <w:left w:val="none" w:sz="0" w:space="0" w:color="auto"/>
        <w:bottom w:val="none" w:sz="0" w:space="0" w:color="auto"/>
        <w:right w:val="none" w:sz="0" w:space="0" w:color="auto"/>
      </w:divBdr>
    </w:div>
    <w:div w:id="1005018703">
      <w:bodyDiv w:val="1"/>
      <w:marLeft w:val="0"/>
      <w:marRight w:val="0"/>
      <w:marTop w:val="0"/>
      <w:marBottom w:val="0"/>
      <w:divBdr>
        <w:top w:val="none" w:sz="0" w:space="0" w:color="auto"/>
        <w:left w:val="none" w:sz="0" w:space="0" w:color="auto"/>
        <w:bottom w:val="none" w:sz="0" w:space="0" w:color="auto"/>
        <w:right w:val="none" w:sz="0" w:space="0" w:color="auto"/>
      </w:divBdr>
    </w:div>
    <w:div w:id="1005205308">
      <w:bodyDiv w:val="1"/>
      <w:marLeft w:val="0"/>
      <w:marRight w:val="0"/>
      <w:marTop w:val="0"/>
      <w:marBottom w:val="0"/>
      <w:divBdr>
        <w:top w:val="none" w:sz="0" w:space="0" w:color="auto"/>
        <w:left w:val="none" w:sz="0" w:space="0" w:color="auto"/>
        <w:bottom w:val="none" w:sz="0" w:space="0" w:color="auto"/>
        <w:right w:val="none" w:sz="0" w:space="0" w:color="auto"/>
      </w:divBdr>
    </w:div>
    <w:div w:id="1005940085">
      <w:bodyDiv w:val="1"/>
      <w:marLeft w:val="0"/>
      <w:marRight w:val="0"/>
      <w:marTop w:val="0"/>
      <w:marBottom w:val="0"/>
      <w:divBdr>
        <w:top w:val="none" w:sz="0" w:space="0" w:color="auto"/>
        <w:left w:val="none" w:sz="0" w:space="0" w:color="auto"/>
        <w:bottom w:val="none" w:sz="0" w:space="0" w:color="auto"/>
        <w:right w:val="none" w:sz="0" w:space="0" w:color="auto"/>
      </w:divBdr>
    </w:div>
    <w:div w:id="1006446369">
      <w:bodyDiv w:val="1"/>
      <w:marLeft w:val="0"/>
      <w:marRight w:val="0"/>
      <w:marTop w:val="0"/>
      <w:marBottom w:val="0"/>
      <w:divBdr>
        <w:top w:val="none" w:sz="0" w:space="0" w:color="auto"/>
        <w:left w:val="none" w:sz="0" w:space="0" w:color="auto"/>
        <w:bottom w:val="none" w:sz="0" w:space="0" w:color="auto"/>
        <w:right w:val="none" w:sz="0" w:space="0" w:color="auto"/>
      </w:divBdr>
    </w:div>
    <w:div w:id="1007748421">
      <w:bodyDiv w:val="1"/>
      <w:marLeft w:val="0"/>
      <w:marRight w:val="0"/>
      <w:marTop w:val="0"/>
      <w:marBottom w:val="0"/>
      <w:divBdr>
        <w:top w:val="none" w:sz="0" w:space="0" w:color="auto"/>
        <w:left w:val="none" w:sz="0" w:space="0" w:color="auto"/>
        <w:bottom w:val="none" w:sz="0" w:space="0" w:color="auto"/>
        <w:right w:val="none" w:sz="0" w:space="0" w:color="auto"/>
      </w:divBdr>
    </w:div>
    <w:div w:id="1008168705">
      <w:bodyDiv w:val="1"/>
      <w:marLeft w:val="0"/>
      <w:marRight w:val="0"/>
      <w:marTop w:val="0"/>
      <w:marBottom w:val="0"/>
      <w:divBdr>
        <w:top w:val="none" w:sz="0" w:space="0" w:color="auto"/>
        <w:left w:val="none" w:sz="0" w:space="0" w:color="auto"/>
        <w:bottom w:val="none" w:sz="0" w:space="0" w:color="auto"/>
        <w:right w:val="none" w:sz="0" w:space="0" w:color="auto"/>
      </w:divBdr>
    </w:div>
    <w:div w:id="1008170909">
      <w:bodyDiv w:val="1"/>
      <w:marLeft w:val="0"/>
      <w:marRight w:val="0"/>
      <w:marTop w:val="0"/>
      <w:marBottom w:val="0"/>
      <w:divBdr>
        <w:top w:val="none" w:sz="0" w:space="0" w:color="auto"/>
        <w:left w:val="none" w:sz="0" w:space="0" w:color="auto"/>
        <w:bottom w:val="none" w:sz="0" w:space="0" w:color="auto"/>
        <w:right w:val="none" w:sz="0" w:space="0" w:color="auto"/>
      </w:divBdr>
    </w:div>
    <w:div w:id="1008219789">
      <w:bodyDiv w:val="1"/>
      <w:marLeft w:val="0"/>
      <w:marRight w:val="0"/>
      <w:marTop w:val="0"/>
      <w:marBottom w:val="0"/>
      <w:divBdr>
        <w:top w:val="none" w:sz="0" w:space="0" w:color="auto"/>
        <w:left w:val="none" w:sz="0" w:space="0" w:color="auto"/>
        <w:bottom w:val="none" w:sz="0" w:space="0" w:color="auto"/>
        <w:right w:val="none" w:sz="0" w:space="0" w:color="auto"/>
      </w:divBdr>
    </w:div>
    <w:div w:id="1008680055">
      <w:bodyDiv w:val="1"/>
      <w:marLeft w:val="0"/>
      <w:marRight w:val="0"/>
      <w:marTop w:val="0"/>
      <w:marBottom w:val="0"/>
      <w:divBdr>
        <w:top w:val="none" w:sz="0" w:space="0" w:color="auto"/>
        <w:left w:val="none" w:sz="0" w:space="0" w:color="auto"/>
        <w:bottom w:val="none" w:sz="0" w:space="0" w:color="auto"/>
        <w:right w:val="none" w:sz="0" w:space="0" w:color="auto"/>
      </w:divBdr>
    </w:div>
    <w:div w:id="1009410862">
      <w:bodyDiv w:val="1"/>
      <w:marLeft w:val="0"/>
      <w:marRight w:val="0"/>
      <w:marTop w:val="0"/>
      <w:marBottom w:val="0"/>
      <w:divBdr>
        <w:top w:val="none" w:sz="0" w:space="0" w:color="auto"/>
        <w:left w:val="none" w:sz="0" w:space="0" w:color="auto"/>
        <w:bottom w:val="none" w:sz="0" w:space="0" w:color="auto"/>
        <w:right w:val="none" w:sz="0" w:space="0" w:color="auto"/>
      </w:divBdr>
    </w:div>
    <w:div w:id="1010139088">
      <w:bodyDiv w:val="1"/>
      <w:marLeft w:val="0"/>
      <w:marRight w:val="0"/>
      <w:marTop w:val="0"/>
      <w:marBottom w:val="0"/>
      <w:divBdr>
        <w:top w:val="none" w:sz="0" w:space="0" w:color="auto"/>
        <w:left w:val="none" w:sz="0" w:space="0" w:color="auto"/>
        <w:bottom w:val="none" w:sz="0" w:space="0" w:color="auto"/>
        <w:right w:val="none" w:sz="0" w:space="0" w:color="auto"/>
      </w:divBdr>
    </w:div>
    <w:div w:id="1010184082">
      <w:bodyDiv w:val="1"/>
      <w:marLeft w:val="0"/>
      <w:marRight w:val="0"/>
      <w:marTop w:val="0"/>
      <w:marBottom w:val="0"/>
      <w:divBdr>
        <w:top w:val="none" w:sz="0" w:space="0" w:color="auto"/>
        <w:left w:val="none" w:sz="0" w:space="0" w:color="auto"/>
        <w:bottom w:val="none" w:sz="0" w:space="0" w:color="auto"/>
        <w:right w:val="none" w:sz="0" w:space="0" w:color="auto"/>
      </w:divBdr>
    </w:div>
    <w:div w:id="1010958877">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1294080">
      <w:bodyDiv w:val="1"/>
      <w:marLeft w:val="0"/>
      <w:marRight w:val="0"/>
      <w:marTop w:val="0"/>
      <w:marBottom w:val="0"/>
      <w:divBdr>
        <w:top w:val="none" w:sz="0" w:space="0" w:color="auto"/>
        <w:left w:val="none" w:sz="0" w:space="0" w:color="auto"/>
        <w:bottom w:val="none" w:sz="0" w:space="0" w:color="auto"/>
        <w:right w:val="none" w:sz="0" w:space="0" w:color="auto"/>
      </w:divBdr>
    </w:div>
    <w:div w:id="1011950418">
      <w:bodyDiv w:val="1"/>
      <w:marLeft w:val="0"/>
      <w:marRight w:val="0"/>
      <w:marTop w:val="0"/>
      <w:marBottom w:val="0"/>
      <w:divBdr>
        <w:top w:val="none" w:sz="0" w:space="0" w:color="auto"/>
        <w:left w:val="none" w:sz="0" w:space="0" w:color="auto"/>
        <w:bottom w:val="none" w:sz="0" w:space="0" w:color="auto"/>
        <w:right w:val="none" w:sz="0" w:space="0" w:color="auto"/>
      </w:divBdr>
    </w:div>
    <w:div w:id="1013070260">
      <w:bodyDiv w:val="1"/>
      <w:marLeft w:val="0"/>
      <w:marRight w:val="0"/>
      <w:marTop w:val="0"/>
      <w:marBottom w:val="0"/>
      <w:divBdr>
        <w:top w:val="none" w:sz="0" w:space="0" w:color="auto"/>
        <w:left w:val="none" w:sz="0" w:space="0" w:color="auto"/>
        <w:bottom w:val="none" w:sz="0" w:space="0" w:color="auto"/>
        <w:right w:val="none" w:sz="0" w:space="0" w:color="auto"/>
      </w:divBdr>
    </w:div>
    <w:div w:id="1013460310">
      <w:bodyDiv w:val="1"/>
      <w:marLeft w:val="0"/>
      <w:marRight w:val="0"/>
      <w:marTop w:val="0"/>
      <w:marBottom w:val="0"/>
      <w:divBdr>
        <w:top w:val="none" w:sz="0" w:space="0" w:color="auto"/>
        <w:left w:val="none" w:sz="0" w:space="0" w:color="auto"/>
        <w:bottom w:val="none" w:sz="0" w:space="0" w:color="auto"/>
        <w:right w:val="none" w:sz="0" w:space="0" w:color="auto"/>
      </w:divBdr>
    </w:div>
    <w:div w:id="1013728071">
      <w:bodyDiv w:val="1"/>
      <w:marLeft w:val="0"/>
      <w:marRight w:val="0"/>
      <w:marTop w:val="0"/>
      <w:marBottom w:val="0"/>
      <w:divBdr>
        <w:top w:val="none" w:sz="0" w:space="0" w:color="auto"/>
        <w:left w:val="none" w:sz="0" w:space="0" w:color="auto"/>
        <w:bottom w:val="none" w:sz="0" w:space="0" w:color="auto"/>
        <w:right w:val="none" w:sz="0" w:space="0" w:color="auto"/>
      </w:divBdr>
    </w:div>
    <w:div w:id="101537637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
    <w:div w:id="1016352074">
      <w:bodyDiv w:val="1"/>
      <w:marLeft w:val="0"/>
      <w:marRight w:val="0"/>
      <w:marTop w:val="0"/>
      <w:marBottom w:val="0"/>
      <w:divBdr>
        <w:top w:val="none" w:sz="0" w:space="0" w:color="auto"/>
        <w:left w:val="none" w:sz="0" w:space="0" w:color="auto"/>
        <w:bottom w:val="none" w:sz="0" w:space="0" w:color="auto"/>
        <w:right w:val="none" w:sz="0" w:space="0" w:color="auto"/>
      </w:divBdr>
    </w:div>
    <w:div w:id="1016419747">
      <w:bodyDiv w:val="1"/>
      <w:marLeft w:val="0"/>
      <w:marRight w:val="0"/>
      <w:marTop w:val="0"/>
      <w:marBottom w:val="0"/>
      <w:divBdr>
        <w:top w:val="none" w:sz="0" w:space="0" w:color="auto"/>
        <w:left w:val="none" w:sz="0" w:space="0" w:color="auto"/>
        <w:bottom w:val="none" w:sz="0" w:space="0" w:color="auto"/>
        <w:right w:val="none" w:sz="0" w:space="0" w:color="auto"/>
      </w:divBdr>
    </w:div>
    <w:div w:id="1017384197">
      <w:bodyDiv w:val="1"/>
      <w:marLeft w:val="0"/>
      <w:marRight w:val="0"/>
      <w:marTop w:val="0"/>
      <w:marBottom w:val="0"/>
      <w:divBdr>
        <w:top w:val="none" w:sz="0" w:space="0" w:color="auto"/>
        <w:left w:val="none" w:sz="0" w:space="0" w:color="auto"/>
        <w:bottom w:val="none" w:sz="0" w:space="0" w:color="auto"/>
        <w:right w:val="none" w:sz="0" w:space="0" w:color="auto"/>
      </w:divBdr>
    </w:div>
    <w:div w:id="1017582213">
      <w:bodyDiv w:val="1"/>
      <w:marLeft w:val="0"/>
      <w:marRight w:val="0"/>
      <w:marTop w:val="0"/>
      <w:marBottom w:val="0"/>
      <w:divBdr>
        <w:top w:val="none" w:sz="0" w:space="0" w:color="auto"/>
        <w:left w:val="none" w:sz="0" w:space="0" w:color="auto"/>
        <w:bottom w:val="none" w:sz="0" w:space="0" w:color="auto"/>
        <w:right w:val="none" w:sz="0" w:space="0" w:color="auto"/>
      </w:divBdr>
    </w:div>
    <w:div w:id="1017657621">
      <w:bodyDiv w:val="1"/>
      <w:marLeft w:val="0"/>
      <w:marRight w:val="0"/>
      <w:marTop w:val="0"/>
      <w:marBottom w:val="0"/>
      <w:divBdr>
        <w:top w:val="none" w:sz="0" w:space="0" w:color="auto"/>
        <w:left w:val="none" w:sz="0" w:space="0" w:color="auto"/>
        <w:bottom w:val="none" w:sz="0" w:space="0" w:color="auto"/>
        <w:right w:val="none" w:sz="0" w:space="0" w:color="auto"/>
      </w:divBdr>
    </w:div>
    <w:div w:id="1019551272">
      <w:bodyDiv w:val="1"/>
      <w:marLeft w:val="0"/>
      <w:marRight w:val="0"/>
      <w:marTop w:val="0"/>
      <w:marBottom w:val="0"/>
      <w:divBdr>
        <w:top w:val="none" w:sz="0" w:space="0" w:color="auto"/>
        <w:left w:val="none" w:sz="0" w:space="0" w:color="auto"/>
        <w:bottom w:val="none" w:sz="0" w:space="0" w:color="auto"/>
        <w:right w:val="none" w:sz="0" w:space="0" w:color="auto"/>
      </w:divBdr>
    </w:div>
    <w:div w:id="1019552391">
      <w:bodyDiv w:val="1"/>
      <w:marLeft w:val="0"/>
      <w:marRight w:val="0"/>
      <w:marTop w:val="0"/>
      <w:marBottom w:val="0"/>
      <w:divBdr>
        <w:top w:val="none" w:sz="0" w:space="0" w:color="auto"/>
        <w:left w:val="none" w:sz="0" w:space="0" w:color="auto"/>
        <w:bottom w:val="none" w:sz="0" w:space="0" w:color="auto"/>
        <w:right w:val="none" w:sz="0" w:space="0" w:color="auto"/>
      </w:divBdr>
    </w:div>
    <w:div w:id="1020275972">
      <w:bodyDiv w:val="1"/>
      <w:marLeft w:val="0"/>
      <w:marRight w:val="0"/>
      <w:marTop w:val="0"/>
      <w:marBottom w:val="0"/>
      <w:divBdr>
        <w:top w:val="none" w:sz="0" w:space="0" w:color="auto"/>
        <w:left w:val="none" w:sz="0" w:space="0" w:color="auto"/>
        <w:bottom w:val="none" w:sz="0" w:space="0" w:color="auto"/>
        <w:right w:val="none" w:sz="0" w:space="0" w:color="auto"/>
      </w:divBdr>
    </w:div>
    <w:div w:id="1021662015">
      <w:bodyDiv w:val="1"/>
      <w:marLeft w:val="0"/>
      <w:marRight w:val="0"/>
      <w:marTop w:val="0"/>
      <w:marBottom w:val="0"/>
      <w:divBdr>
        <w:top w:val="none" w:sz="0" w:space="0" w:color="auto"/>
        <w:left w:val="none" w:sz="0" w:space="0" w:color="auto"/>
        <w:bottom w:val="none" w:sz="0" w:space="0" w:color="auto"/>
        <w:right w:val="none" w:sz="0" w:space="0" w:color="auto"/>
      </w:divBdr>
    </w:div>
    <w:div w:id="1022630440">
      <w:bodyDiv w:val="1"/>
      <w:marLeft w:val="0"/>
      <w:marRight w:val="0"/>
      <w:marTop w:val="0"/>
      <w:marBottom w:val="0"/>
      <w:divBdr>
        <w:top w:val="none" w:sz="0" w:space="0" w:color="auto"/>
        <w:left w:val="none" w:sz="0" w:space="0" w:color="auto"/>
        <w:bottom w:val="none" w:sz="0" w:space="0" w:color="auto"/>
        <w:right w:val="none" w:sz="0" w:space="0" w:color="auto"/>
      </w:divBdr>
    </w:div>
    <w:div w:id="1023095865">
      <w:bodyDiv w:val="1"/>
      <w:marLeft w:val="0"/>
      <w:marRight w:val="0"/>
      <w:marTop w:val="0"/>
      <w:marBottom w:val="0"/>
      <w:divBdr>
        <w:top w:val="none" w:sz="0" w:space="0" w:color="auto"/>
        <w:left w:val="none" w:sz="0" w:space="0" w:color="auto"/>
        <w:bottom w:val="none" w:sz="0" w:space="0" w:color="auto"/>
        <w:right w:val="none" w:sz="0" w:space="0" w:color="auto"/>
      </w:divBdr>
    </w:div>
    <w:div w:id="1023675192">
      <w:bodyDiv w:val="1"/>
      <w:marLeft w:val="0"/>
      <w:marRight w:val="0"/>
      <w:marTop w:val="0"/>
      <w:marBottom w:val="0"/>
      <w:divBdr>
        <w:top w:val="none" w:sz="0" w:space="0" w:color="auto"/>
        <w:left w:val="none" w:sz="0" w:space="0" w:color="auto"/>
        <w:bottom w:val="none" w:sz="0" w:space="0" w:color="auto"/>
        <w:right w:val="none" w:sz="0" w:space="0" w:color="auto"/>
      </w:divBdr>
    </w:div>
    <w:div w:id="1024088458">
      <w:bodyDiv w:val="1"/>
      <w:marLeft w:val="0"/>
      <w:marRight w:val="0"/>
      <w:marTop w:val="0"/>
      <w:marBottom w:val="0"/>
      <w:divBdr>
        <w:top w:val="none" w:sz="0" w:space="0" w:color="auto"/>
        <w:left w:val="none" w:sz="0" w:space="0" w:color="auto"/>
        <w:bottom w:val="none" w:sz="0" w:space="0" w:color="auto"/>
        <w:right w:val="none" w:sz="0" w:space="0" w:color="auto"/>
      </w:divBdr>
    </w:div>
    <w:div w:id="1025638895">
      <w:bodyDiv w:val="1"/>
      <w:marLeft w:val="0"/>
      <w:marRight w:val="0"/>
      <w:marTop w:val="0"/>
      <w:marBottom w:val="0"/>
      <w:divBdr>
        <w:top w:val="none" w:sz="0" w:space="0" w:color="auto"/>
        <w:left w:val="none" w:sz="0" w:space="0" w:color="auto"/>
        <w:bottom w:val="none" w:sz="0" w:space="0" w:color="auto"/>
        <w:right w:val="none" w:sz="0" w:space="0" w:color="auto"/>
      </w:divBdr>
    </w:div>
    <w:div w:id="1028141957">
      <w:bodyDiv w:val="1"/>
      <w:marLeft w:val="0"/>
      <w:marRight w:val="0"/>
      <w:marTop w:val="0"/>
      <w:marBottom w:val="0"/>
      <w:divBdr>
        <w:top w:val="none" w:sz="0" w:space="0" w:color="auto"/>
        <w:left w:val="none" w:sz="0" w:space="0" w:color="auto"/>
        <w:bottom w:val="none" w:sz="0" w:space="0" w:color="auto"/>
        <w:right w:val="none" w:sz="0" w:space="0" w:color="auto"/>
      </w:divBdr>
    </w:div>
    <w:div w:id="1029338572">
      <w:bodyDiv w:val="1"/>
      <w:marLeft w:val="0"/>
      <w:marRight w:val="0"/>
      <w:marTop w:val="0"/>
      <w:marBottom w:val="0"/>
      <w:divBdr>
        <w:top w:val="none" w:sz="0" w:space="0" w:color="auto"/>
        <w:left w:val="none" w:sz="0" w:space="0" w:color="auto"/>
        <w:bottom w:val="none" w:sz="0" w:space="0" w:color="auto"/>
        <w:right w:val="none" w:sz="0" w:space="0" w:color="auto"/>
      </w:divBdr>
    </w:div>
    <w:div w:id="1031029794">
      <w:bodyDiv w:val="1"/>
      <w:marLeft w:val="0"/>
      <w:marRight w:val="0"/>
      <w:marTop w:val="0"/>
      <w:marBottom w:val="0"/>
      <w:divBdr>
        <w:top w:val="none" w:sz="0" w:space="0" w:color="auto"/>
        <w:left w:val="none" w:sz="0" w:space="0" w:color="auto"/>
        <w:bottom w:val="none" w:sz="0" w:space="0" w:color="auto"/>
        <w:right w:val="none" w:sz="0" w:space="0" w:color="auto"/>
      </w:divBdr>
    </w:div>
    <w:div w:id="1031687241">
      <w:bodyDiv w:val="1"/>
      <w:marLeft w:val="0"/>
      <w:marRight w:val="0"/>
      <w:marTop w:val="0"/>
      <w:marBottom w:val="0"/>
      <w:divBdr>
        <w:top w:val="none" w:sz="0" w:space="0" w:color="auto"/>
        <w:left w:val="none" w:sz="0" w:space="0" w:color="auto"/>
        <w:bottom w:val="none" w:sz="0" w:space="0" w:color="auto"/>
        <w:right w:val="none" w:sz="0" w:space="0" w:color="auto"/>
      </w:divBdr>
    </w:div>
    <w:div w:id="1033310021">
      <w:bodyDiv w:val="1"/>
      <w:marLeft w:val="0"/>
      <w:marRight w:val="0"/>
      <w:marTop w:val="0"/>
      <w:marBottom w:val="0"/>
      <w:divBdr>
        <w:top w:val="none" w:sz="0" w:space="0" w:color="auto"/>
        <w:left w:val="none" w:sz="0" w:space="0" w:color="auto"/>
        <w:bottom w:val="none" w:sz="0" w:space="0" w:color="auto"/>
        <w:right w:val="none" w:sz="0" w:space="0" w:color="auto"/>
      </w:divBdr>
    </w:div>
    <w:div w:id="1034115204">
      <w:bodyDiv w:val="1"/>
      <w:marLeft w:val="0"/>
      <w:marRight w:val="0"/>
      <w:marTop w:val="0"/>
      <w:marBottom w:val="0"/>
      <w:divBdr>
        <w:top w:val="none" w:sz="0" w:space="0" w:color="auto"/>
        <w:left w:val="none" w:sz="0" w:space="0" w:color="auto"/>
        <w:bottom w:val="none" w:sz="0" w:space="0" w:color="auto"/>
        <w:right w:val="none" w:sz="0" w:space="0" w:color="auto"/>
      </w:divBdr>
    </w:div>
    <w:div w:id="1035349378">
      <w:bodyDiv w:val="1"/>
      <w:marLeft w:val="0"/>
      <w:marRight w:val="0"/>
      <w:marTop w:val="0"/>
      <w:marBottom w:val="0"/>
      <w:divBdr>
        <w:top w:val="none" w:sz="0" w:space="0" w:color="auto"/>
        <w:left w:val="none" w:sz="0" w:space="0" w:color="auto"/>
        <w:bottom w:val="none" w:sz="0" w:space="0" w:color="auto"/>
        <w:right w:val="none" w:sz="0" w:space="0" w:color="auto"/>
      </w:divBdr>
    </w:div>
    <w:div w:id="1036008546">
      <w:bodyDiv w:val="1"/>
      <w:marLeft w:val="0"/>
      <w:marRight w:val="0"/>
      <w:marTop w:val="0"/>
      <w:marBottom w:val="0"/>
      <w:divBdr>
        <w:top w:val="none" w:sz="0" w:space="0" w:color="auto"/>
        <w:left w:val="none" w:sz="0" w:space="0" w:color="auto"/>
        <w:bottom w:val="none" w:sz="0" w:space="0" w:color="auto"/>
        <w:right w:val="none" w:sz="0" w:space="0" w:color="auto"/>
      </w:divBdr>
    </w:div>
    <w:div w:id="1036076864">
      <w:bodyDiv w:val="1"/>
      <w:marLeft w:val="0"/>
      <w:marRight w:val="0"/>
      <w:marTop w:val="0"/>
      <w:marBottom w:val="0"/>
      <w:divBdr>
        <w:top w:val="none" w:sz="0" w:space="0" w:color="auto"/>
        <w:left w:val="none" w:sz="0" w:space="0" w:color="auto"/>
        <w:bottom w:val="none" w:sz="0" w:space="0" w:color="auto"/>
        <w:right w:val="none" w:sz="0" w:space="0" w:color="auto"/>
      </w:divBdr>
    </w:div>
    <w:div w:id="1036346410">
      <w:bodyDiv w:val="1"/>
      <w:marLeft w:val="0"/>
      <w:marRight w:val="0"/>
      <w:marTop w:val="0"/>
      <w:marBottom w:val="0"/>
      <w:divBdr>
        <w:top w:val="none" w:sz="0" w:space="0" w:color="auto"/>
        <w:left w:val="none" w:sz="0" w:space="0" w:color="auto"/>
        <w:bottom w:val="none" w:sz="0" w:space="0" w:color="auto"/>
        <w:right w:val="none" w:sz="0" w:space="0" w:color="auto"/>
      </w:divBdr>
    </w:div>
    <w:div w:id="1036849354">
      <w:bodyDiv w:val="1"/>
      <w:marLeft w:val="0"/>
      <w:marRight w:val="0"/>
      <w:marTop w:val="0"/>
      <w:marBottom w:val="0"/>
      <w:divBdr>
        <w:top w:val="none" w:sz="0" w:space="0" w:color="auto"/>
        <w:left w:val="none" w:sz="0" w:space="0" w:color="auto"/>
        <w:bottom w:val="none" w:sz="0" w:space="0" w:color="auto"/>
        <w:right w:val="none" w:sz="0" w:space="0" w:color="auto"/>
      </w:divBdr>
    </w:div>
    <w:div w:id="1037588350">
      <w:bodyDiv w:val="1"/>
      <w:marLeft w:val="0"/>
      <w:marRight w:val="0"/>
      <w:marTop w:val="0"/>
      <w:marBottom w:val="0"/>
      <w:divBdr>
        <w:top w:val="none" w:sz="0" w:space="0" w:color="auto"/>
        <w:left w:val="none" w:sz="0" w:space="0" w:color="auto"/>
        <w:bottom w:val="none" w:sz="0" w:space="0" w:color="auto"/>
        <w:right w:val="none" w:sz="0" w:space="0" w:color="auto"/>
      </w:divBdr>
    </w:div>
    <w:div w:id="1038119404">
      <w:bodyDiv w:val="1"/>
      <w:marLeft w:val="0"/>
      <w:marRight w:val="0"/>
      <w:marTop w:val="0"/>
      <w:marBottom w:val="0"/>
      <w:divBdr>
        <w:top w:val="none" w:sz="0" w:space="0" w:color="auto"/>
        <w:left w:val="none" w:sz="0" w:space="0" w:color="auto"/>
        <w:bottom w:val="none" w:sz="0" w:space="0" w:color="auto"/>
        <w:right w:val="none" w:sz="0" w:space="0" w:color="auto"/>
      </w:divBdr>
    </w:div>
    <w:div w:id="1038554671">
      <w:bodyDiv w:val="1"/>
      <w:marLeft w:val="0"/>
      <w:marRight w:val="0"/>
      <w:marTop w:val="0"/>
      <w:marBottom w:val="0"/>
      <w:divBdr>
        <w:top w:val="none" w:sz="0" w:space="0" w:color="auto"/>
        <w:left w:val="none" w:sz="0" w:space="0" w:color="auto"/>
        <w:bottom w:val="none" w:sz="0" w:space="0" w:color="auto"/>
        <w:right w:val="none" w:sz="0" w:space="0" w:color="auto"/>
      </w:divBdr>
    </w:div>
    <w:div w:id="1038623131">
      <w:bodyDiv w:val="1"/>
      <w:marLeft w:val="0"/>
      <w:marRight w:val="0"/>
      <w:marTop w:val="0"/>
      <w:marBottom w:val="0"/>
      <w:divBdr>
        <w:top w:val="none" w:sz="0" w:space="0" w:color="auto"/>
        <w:left w:val="none" w:sz="0" w:space="0" w:color="auto"/>
        <w:bottom w:val="none" w:sz="0" w:space="0" w:color="auto"/>
        <w:right w:val="none" w:sz="0" w:space="0" w:color="auto"/>
      </w:divBdr>
    </w:div>
    <w:div w:id="1042166795">
      <w:bodyDiv w:val="1"/>
      <w:marLeft w:val="0"/>
      <w:marRight w:val="0"/>
      <w:marTop w:val="0"/>
      <w:marBottom w:val="0"/>
      <w:divBdr>
        <w:top w:val="none" w:sz="0" w:space="0" w:color="auto"/>
        <w:left w:val="none" w:sz="0" w:space="0" w:color="auto"/>
        <w:bottom w:val="none" w:sz="0" w:space="0" w:color="auto"/>
        <w:right w:val="none" w:sz="0" w:space="0" w:color="auto"/>
      </w:divBdr>
    </w:div>
    <w:div w:id="1042369476">
      <w:bodyDiv w:val="1"/>
      <w:marLeft w:val="0"/>
      <w:marRight w:val="0"/>
      <w:marTop w:val="0"/>
      <w:marBottom w:val="0"/>
      <w:divBdr>
        <w:top w:val="none" w:sz="0" w:space="0" w:color="auto"/>
        <w:left w:val="none" w:sz="0" w:space="0" w:color="auto"/>
        <w:bottom w:val="none" w:sz="0" w:space="0" w:color="auto"/>
        <w:right w:val="none" w:sz="0" w:space="0" w:color="auto"/>
      </w:divBdr>
    </w:div>
    <w:div w:id="1044790338">
      <w:bodyDiv w:val="1"/>
      <w:marLeft w:val="0"/>
      <w:marRight w:val="0"/>
      <w:marTop w:val="0"/>
      <w:marBottom w:val="0"/>
      <w:divBdr>
        <w:top w:val="none" w:sz="0" w:space="0" w:color="auto"/>
        <w:left w:val="none" w:sz="0" w:space="0" w:color="auto"/>
        <w:bottom w:val="none" w:sz="0" w:space="0" w:color="auto"/>
        <w:right w:val="none" w:sz="0" w:space="0" w:color="auto"/>
      </w:divBdr>
    </w:div>
    <w:div w:id="1044906649">
      <w:bodyDiv w:val="1"/>
      <w:marLeft w:val="0"/>
      <w:marRight w:val="0"/>
      <w:marTop w:val="0"/>
      <w:marBottom w:val="0"/>
      <w:divBdr>
        <w:top w:val="none" w:sz="0" w:space="0" w:color="auto"/>
        <w:left w:val="none" w:sz="0" w:space="0" w:color="auto"/>
        <w:bottom w:val="none" w:sz="0" w:space="0" w:color="auto"/>
        <w:right w:val="none" w:sz="0" w:space="0" w:color="auto"/>
      </w:divBdr>
    </w:div>
    <w:div w:id="1046953744">
      <w:bodyDiv w:val="1"/>
      <w:marLeft w:val="0"/>
      <w:marRight w:val="0"/>
      <w:marTop w:val="0"/>
      <w:marBottom w:val="0"/>
      <w:divBdr>
        <w:top w:val="none" w:sz="0" w:space="0" w:color="auto"/>
        <w:left w:val="none" w:sz="0" w:space="0" w:color="auto"/>
        <w:bottom w:val="none" w:sz="0" w:space="0" w:color="auto"/>
        <w:right w:val="none" w:sz="0" w:space="0" w:color="auto"/>
      </w:divBdr>
    </w:div>
    <w:div w:id="1047146997">
      <w:bodyDiv w:val="1"/>
      <w:marLeft w:val="0"/>
      <w:marRight w:val="0"/>
      <w:marTop w:val="0"/>
      <w:marBottom w:val="0"/>
      <w:divBdr>
        <w:top w:val="none" w:sz="0" w:space="0" w:color="auto"/>
        <w:left w:val="none" w:sz="0" w:space="0" w:color="auto"/>
        <w:bottom w:val="none" w:sz="0" w:space="0" w:color="auto"/>
        <w:right w:val="none" w:sz="0" w:space="0" w:color="auto"/>
      </w:divBdr>
    </w:div>
    <w:div w:id="1048720085">
      <w:bodyDiv w:val="1"/>
      <w:marLeft w:val="0"/>
      <w:marRight w:val="0"/>
      <w:marTop w:val="0"/>
      <w:marBottom w:val="0"/>
      <w:divBdr>
        <w:top w:val="none" w:sz="0" w:space="0" w:color="auto"/>
        <w:left w:val="none" w:sz="0" w:space="0" w:color="auto"/>
        <w:bottom w:val="none" w:sz="0" w:space="0" w:color="auto"/>
        <w:right w:val="none" w:sz="0" w:space="0" w:color="auto"/>
      </w:divBdr>
    </w:div>
    <w:div w:id="1049652412">
      <w:bodyDiv w:val="1"/>
      <w:marLeft w:val="0"/>
      <w:marRight w:val="0"/>
      <w:marTop w:val="0"/>
      <w:marBottom w:val="0"/>
      <w:divBdr>
        <w:top w:val="none" w:sz="0" w:space="0" w:color="auto"/>
        <w:left w:val="none" w:sz="0" w:space="0" w:color="auto"/>
        <w:bottom w:val="none" w:sz="0" w:space="0" w:color="auto"/>
        <w:right w:val="none" w:sz="0" w:space="0" w:color="auto"/>
      </w:divBdr>
    </w:div>
    <w:div w:id="1049768133">
      <w:bodyDiv w:val="1"/>
      <w:marLeft w:val="0"/>
      <w:marRight w:val="0"/>
      <w:marTop w:val="0"/>
      <w:marBottom w:val="0"/>
      <w:divBdr>
        <w:top w:val="none" w:sz="0" w:space="0" w:color="auto"/>
        <w:left w:val="none" w:sz="0" w:space="0" w:color="auto"/>
        <w:bottom w:val="none" w:sz="0" w:space="0" w:color="auto"/>
        <w:right w:val="none" w:sz="0" w:space="0" w:color="auto"/>
      </w:divBdr>
    </w:div>
    <w:div w:id="1049913810">
      <w:bodyDiv w:val="1"/>
      <w:marLeft w:val="0"/>
      <w:marRight w:val="0"/>
      <w:marTop w:val="0"/>
      <w:marBottom w:val="0"/>
      <w:divBdr>
        <w:top w:val="none" w:sz="0" w:space="0" w:color="auto"/>
        <w:left w:val="none" w:sz="0" w:space="0" w:color="auto"/>
        <w:bottom w:val="none" w:sz="0" w:space="0" w:color="auto"/>
        <w:right w:val="none" w:sz="0" w:space="0" w:color="auto"/>
      </w:divBdr>
    </w:div>
    <w:div w:id="1054620503">
      <w:bodyDiv w:val="1"/>
      <w:marLeft w:val="0"/>
      <w:marRight w:val="0"/>
      <w:marTop w:val="0"/>
      <w:marBottom w:val="0"/>
      <w:divBdr>
        <w:top w:val="none" w:sz="0" w:space="0" w:color="auto"/>
        <w:left w:val="none" w:sz="0" w:space="0" w:color="auto"/>
        <w:bottom w:val="none" w:sz="0" w:space="0" w:color="auto"/>
        <w:right w:val="none" w:sz="0" w:space="0" w:color="auto"/>
      </w:divBdr>
    </w:div>
    <w:div w:id="1055741048">
      <w:bodyDiv w:val="1"/>
      <w:marLeft w:val="0"/>
      <w:marRight w:val="0"/>
      <w:marTop w:val="0"/>
      <w:marBottom w:val="0"/>
      <w:divBdr>
        <w:top w:val="none" w:sz="0" w:space="0" w:color="auto"/>
        <w:left w:val="none" w:sz="0" w:space="0" w:color="auto"/>
        <w:bottom w:val="none" w:sz="0" w:space="0" w:color="auto"/>
        <w:right w:val="none" w:sz="0" w:space="0" w:color="auto"/>
      </w:divBdr>
    </w:div>
    <w:div w:id="1055743114">
      <w:bodyDiv w:val="1"/>
      <w:marLeft w:val="0"/>
      <w:marRight w:val="0"/>
      <w:marTop w:val="0"/>
      <w:marBottom w:val="0"/>
      <w:divBdr>
        <w:top w:val="none" w:sz="0" w:space="0" w:color="auto"/>
        <w:left w:val="none" w:sz="0" w:space="0" w:color="auto"/>
        <w:bottom w:val="none" w:sz="0" w:space="0" w:color="auto"/>
        <w:right w:val="none" w:sz="0" w:space="0" w:color="auto"/>
      </w:divBdr>
    </w:div>
    <w:div w:id="1056709533">
      <w:bodyDiv w:val="1"/>
      <w:marLeft w:val="0"/>
      <w:marRight w:val="0"/>
      <w:marTop w:val="0"/>
      <w:marBottom w:val="0"/>
      <w:divBdr>
        <w:top w:val="none" w:sz="0" w:space="0" w:color="auto"/>
        <w:left w:val="none" w:sz="0" w:space="0" w:color="auto"/>
        <w:bottom w:val="none" w:sz="0" w:space="0" w:color="auto"/>
        <w:right w:val="none" w:sz="0" w:space="0" w:color="auto"/>
      </w:divBdr>
    </w:div>
    <w:div w:id="1056972106">
      <w:bodyDiv w:val="1"/>
      <w:marLeft w:val="0"/>
      <w:marRight w:val="0"/>
      <w:marTop w:val="0"/>
      <w:marBottom w:val="0"/>
      <w:divBdr>
        <w:top w:val="none" w:sz="0" w:space="0" w:color="auto"/>
        <w:left w:val="none" w:sz="0" w:space="0" w:color="auto"/>
        <w:bottom w:val="none" w:sz="0" w:space="0" w:color="auto"/>
        <w:right w:val="none" w:sz="0" w:space="0" w:color="auto"/>
      </w:divBdr>
    </w:div>
    <w:div w:id="1058363638">
      <w:bodyDiv w:val="1"/>
      <w:marLeft w:val="0"/>
      <w:marRight w:val="0"/>
      <w:marTop w:val="0"/>
      <w:marBottom w:val="0"/>
      <w:divBdr>
        <w:top w:val="none" w:sz="0" w:space="0" w:color="auto"/>
        <w:left w:val="none" w:sz="0" w:space="0" w:color="auto"/>
        <w:bottom w:val="none" w:sz="0" w:space="0" w:color="auto"/>
        <w:right w:val="none" w:sz="0" w:space="0" w:color="auto"/>
      </w:divBdr>
    </w:div>
    <w:div w:id="1059328690">
      <w:bodyDiv w:val="1"/>
      <w:marLeft w:val="0"/>
      <w:marRight w:val="0"/>
      <w:marTop w:val="0"/>
      <w:marBottom w:val="0"/>
      <w:divBdr>
        <w:top w:val="none" w:sz="0" w:space="0" w:color="auto"/>
        <w:left w:val="none" w:sz="0" w:space="0" w:color="auto"/>
        <w:bottom w:val="none" w:sz="0" w:space="0" w:color="auto"/>
        <w:right w:val="none" w:sz="0" w:space="0" w:color="auto"/>
      </w:divBdr>
    </w:div>
    <w:div w:id="1059593807">
      <w:bodyDiv w:val="1"/>
      <w:marLeft w:val="0"/>
      <w:marRight w:val="0"/>
      <w:marTop w:val="0"/>
      <w:marBottom w:val="0"/>
      <w:divBdr>
        <w:top w:val="none" w:sz="0" w:space="0" w:color="auto"/>
        <w:left w:val="none" w:sz="0" w:space="0" w:color="auto"/>
        <w:bottom w:val="none" w:sz="0" w:space="0" w:color="auto"/>
        <w:right w:val="none" w:sz="0" w:space="0" w:color="auto"/>
      </w:divBdr>
    </w:div>
    <w:div w:id="1059674466">
      <w:bodyDiv w:val="1"/>
      <w:marLeft w:val="0"/>
      <w:marRight w:val="0"/>
      <w:marTop w:val="0"/>
      <w:marBottom w:val="0"/>
      <w:divBdr>
        <w:top w:val="none" w:sz="0" w:space="0" w:color="auto"/>
        <w:left w:val="none" w:sz="0" w:space="0" w:color="auto"/>
        <w:bottom w:val="none" w:sz="0" w:space="0" w:color="auto"/>
        <w:right w:val="none" w:sz="0" w:space="0" w:color="auto"/>
      </w:divBdr>
    </w:div>
    <w:div w:id="1061319973">
      <w:bodyDiv w:val="1"/>
      <w:marLeft w:val="0"/>
      <w:marRight w:val="0"/>
      <w:marTop w:val="0"/>
      <w:marBottom w:val="0"/>
      <w:divBdr>
        <w:top w:val="none" w:sz="0" w:space="0" w:color="auto"/>
        <w:left w:val="none" w:sz="0" w:space="0" w:color="auto"/>
        <w:bottom w:val="none" w:sz="0" w:space="0" w:color="auto"/>
        <w:right w:val="none" w:sz="0" w:space="0" w:color="auto"/>
      </w:divBdr>
    </w:div>
    <w:div w:id="1062025824">
      <w:bodyDiv w:val="1"/>
      <w:marLeft w:val="0"/>
      <w:marRight w:val="0"/>
      <w:marTop w:val="0"/>
      <w:marBottom w:val="0"/>
      <w:divBdr>
        <w:top w:val="none" w:sz="0" w:space="0" w:color="auto"/>
        <w:left w:val="none" w:sz="0" w:space="0" w:color="auto"/>
        <w:bottom w:val="none" w:sz="0" w:space="0" w:color="auto"/>
        <w:right w:val="none" w:sz="0" w:space="0" w:color="auto"/>
      </w:divBdr>
    </w:div>
    <w:div w:id="1062749511">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 w:id="1064566991">
      <w:bodyDiv w:val="1"/>
      <w:marLeft w:val="0"/>
      <w:marRight w:val="0"/>
      <w:marTop w:val="0"/>
      <w:marBottom w:val="0"/>
      <w:divBdr>
        <w:top w:val="none" w:sz="0" w:space="0" w:color="auto"/>
        <w:left w:val="none" w:sz="0" w:space="0" w:color="auto"/>
        <w:bottom w:val="none" w:sz="0" w:space="0" w:color="auto"/>
        <w:right w:val="none" w:sz="0" w:space="0" w:color="auto"/>
      </w:divBdr>
    </w:div>
    <w:div w:id="1066756584">
      <w:bodyDiv w:val="1"/>
      <w:marLeft w:val="0"/>
      <w:marRight w:val="0"/>
      <w:marTop w:val="0"/>
      <w:marBottom w:val="0"/>
      <w:divBdr>
        <w:top w:val="none" w:sz="0" w:space="0" w:color="auto"/>
        <w:left w:val="none" w:sz="0" w:space="0" w:color="auto"/>
        <w:bottom w:val="none" w:sz="0" w:space="0" w:color="auto"/>
        <w:right w:val="none" w:sz="0" w:space="0" w:color="auto"/>
      </w:divBdr>
    </w:div>
    <w:div w:id="1067655806">
      <w:bodyDiv w:val="1"/>
      <w:marLeft w:val="0"/>
      <w:marRight w:val="0"/>
      <w:marTop w:val="0"/>
      <w:marBottom w:val="0"/>
      <w:divBdr>
        <w:top w:val="none" w:sz="0" w:space="0" w:color="auto"/>
        <w:left w:val="none" w:sz="0" w:space="0" w:color="auto"/>
        <w:bottom w:val="none" w:sz="0" w:space="0" w:color="auto"/>
        <w:right w:val="none" w:sz="0" w:space="0" w:color="auto"/>
      </w:divBdr>
    </w:div>
    <w:div w:id="1068574355">
      <w:bodyDiv w:val="1"/>
      <w:marLeft w:val="0"/>
      <w:marRight w:val="0"/>
      <w:marTop w:val="0"/>
      <w:marBottom w:val="0"/>
      <w:divBdr>
        <w:top w:val="none" w:sz="0" w:space="0" w:color="auto"/>
        <w:left w:val="none" w:sz="0" w:space="0" w:color="auto"/>
        <w:bottom w:val="none" w:sz="0" w:space="0" w:color="auto"/>
        <w:right w:val="none" w:sz="0" w:space="0" w:color="auto"/>
      </w:divBdr>
    </w:div>
    <w:div w:id="1069421985">
      <w:bodyDiv w:val="1"/>
      <w:marLeft w:val="0"/>
      <w:marRight w:val="0"/>
      <w:marTop w:val="0"/>
      <w:marBottom w:val="0"/>
      <w:divBdr>
        <w:top w:val="none" w:sz="0" w:space="0" w:color="auto"/>
        <w:left w:val="none" w:sz="0" w:space="0" w:color="auto"/>
        <w:bottom w:val="none" w:sz="0" w:space="0" w:color="auto"/>
        <w:right w:val="none" w:sz="0" w:space="0" w:color="auto"/>
      </w:divBdr>
    </w:div>
    <w:div w:id="1070738731">
      <w:bodyDiv w:val="1"/>
      <w:marLeft w:val="0"/>
      <w:marRight w:val="0"/>
      <w:marTop w:val="0"/>
      <w:marBottom w:val="0"/>
      <w:divBdr>
        <w:top w:val="none" w:sz="0" w:space="0" w:color="auto"/>
        <w:left w:val="none" w:sz="0" w:space="0" w:color="auto"/>
        <w:bottom w:val="none" w:sz="0" w:space="0" w:color="auto"/>
        <w:right w:val="none" w:sz="0" w:space="0" w:color="auto"/>
      </w:divBdr>
    </w:div>
    <w:div w:id="1071080219">
      <w:bodyDiv w:val="1"/>
      <w:marLeft w:val="0"/>
      <w:marRight w:val="0"/>
      <w:marTop w:val="0"/>
      <w:marBottom w:val="0"/>
      <w:divBdr>
        <w:top w:val="none" w:sz="0" w:space="0" w:color="auto"/>
        <w:left w:val="none" w:sz="0" w:space="0" w:color="auto"/>
        <w:bottom w:val="none" w:sz="0" w:space="0" w:color="auto"/>
        <w:right w:val="none" w:sz="0" w:space="0" w:color="auto"/>
      </w:divBdr>
    </w:div>
    <w:div w:id="1071657634">
      <w:bodyDiv w:val="1"/>
      <w:marLeft w:val="0"/>
      <w:marRight w:val="0"/>
      <w:marTop w:val="0"/>
      <w:marBottom w:val="0"/>
      <w:divBdr>
        <w:top w:val="none" w:sz="0" w:space="0" w:color="auto"/>
        <w:left w:val="none" w:sz="0" w:space="0" w:color="auto"/>
        <w:bottom w:val="none" w:sz="0" w:space="0" w:color="auto"/>
        <w:right w:val="none" w:sz="0" w:space="0" w:color="auto"/>
      </w:divBdr>
    </w:div>
    <w:div w:id="1071851062">
      <w:bodyDiv w:val="1"/>
      <w:marLeft w:val="0"/>
      <w:marRight w:val="0"/>
      <w:marTop w:val="0"/>
      <w:marBottom w:val="0"/>
      <w:divBdr>
        <w:top w:val="none" w:sz="0" w:space="0" w:color="auto"/>
        <w:left w:val="none" w:sz="0" w:space="0" w:color="auto"/>
        <w:bottom w:val="none" w:sz="0" w:space="0" w:color="auto"/>
        <w:right w:val="none" w:sz="0" w:space="0" w:color="auto"/>
      </w:divBdr>
    </w:div>
    <w:div w:id="1074201339">
      <w:bodyDiv w:val="1"/>
      <w:marLeft w:val="0"/>
      <w:marRight w:val="0"/>
      <w:marTop w:val="0"/>
      <w:marBottom w:val="0"/>
      <w:divBdr>
        <w:top w:val="none" w:sz="0" w:space="0" w:color="auto"/>
        <w:left w:val="none" w:sz="0" w:space="0" w:color="auto"/>
        <w:bottom w:val="none" w:sz="0" w:space="0" w:color="auto"/>
        <w:right w:val="none" w:sz="0" w:space="0" w:color="auto"/>
      </w:divBdr>
    </w:div>
    <w:div w:id="1076509823">
      <w:bodyDiv w:val="1"/>
      <w:marLeft w:val="0"/>
      <w:marRight w:val="0"/>
      <w:marTop w:val="0"/>
      <w:marBottom w:val="0"/>
      <w:divBdr>
        <w:top w:val="none" w:sz="0" w:space="0" w:color="auto"/>
        <w:left w:val="none" w:sz="0" w:space="0" w:color="auto"/>
        <w:bottom w:val="none" w:sz="0" w:space="0" w:color="auto"/>
        <w:right w:val="none" w:sz="0" w:space="0" w:color="auto"/>
      </w:divBdr>
    </w:div>
    <w:div w:id="1078864497">
      <w:bodyDiv w:val="1"/>
      <w:marLeft w:val="0"/>
      <w:marRight w:val="0"/>
      <w:marTop w:val="0"/>
      <w:marBottom w:val="0"/>
      <w:divBdr>
        <w:top w:val="none" w:sz="0" w:space="0" w:color="auto"/>
        <w:left w:val="none" w:sz="0" w:space="0" w:color="auto"/>
        <w:bottom w:val="none" w:sz="0" w:space="0" w:color="auto"/>
        <w:right w:val="none" w:sz="0" w:space="0" w:color="auto"/>
      </w:divBdr>
    </w:div>
    <w:div w:id="1079400851">
      <w:bodyDiv w:val="1"/>
      <w:marLeft w:val="0"/>
      <w:marRight w:val="0"/>
      <w:marTop w:val="0"/>
      <w:marBottom w:val="0"/>
      <w:divBdr>
        <w:top w:val="none" w:sz="0" w:space="0" w:color="auto"/>
        <w:left w:val="none" w:sz="0" w:space="0" w:color="auto"/>
        <w:bottom w:val="none" w:sz="0" w:space="0" w:color="auto"/>
        <w:right w:val="none" w:sz="0" w:space="0" w:color="auto"/>
      </w:divBdr>
    </w:div>
    <w:div w:id="1079910389">
      <w:bodyDiv w:val="1"/>
      <w:marLeft w:val="0"/>
      <w:marRight w:val="0"/>
      <w:marTop w:val="0"/>
      <w:marBottom w:val="0"/>
      <w:divBdr>
        <w:top w:val="none" w:sz="0" w:space="0" w:color="auto"/>
        <w:left w:val="none" w:sz="0" w:space="0" w:color="auto"/>
        <w:bottom w:val="none" w:sz="0" w:space="0" w:color="auto"/>
        <w:right w:val="none" w:sz="0" w:space="0" w:color="auto"/>
      </w:divBdr>
    </w:div>
    <w:div w:id="1080179387">
      <w:bodyDiv w:val="1"/>
      <w:marLeft w:val="0"/>
      <w:marRight w:val="0"/>
      <w:marTop w:val="0"/>
      <w:marBottom w:val="0"/>
      <w:divBdr>
        <w:top w:val="none" w:sz="0" w:space="0" w:color="auto"/>
        <w:left w:val="none" w:sz="0" w:space="0" w:color="auto"/>
        <w:bottom w:val="none" w:sz="0" w:space="0" w:color="auto"/>
        <w:right w:val="none" w:sz="0" w:space="0" w:color="auto"/>
      </w:divBdr>
    </w:div>
    <w:div w:id="1081179470">
      <w:bodyDiv w:val="1"/>
      <w:marLeft w:val="0"/>
      <w:marRight w:val="0"/>
      <w:marTop w:val="0"/>
      <w:marBottom w:val="0"/>
      <w:divBdr>
        <w:top w:val="none" w:sz="0" w:space="0" w:color="auto"/>
        <w:left w:val="none" w:sz="0" w:space="0" w:color="auto"/>
        <w:bottom w:val="none" w:sz="0" w:space="0" w:color="auto"/>
        <w:right w:val="none" w:sz="0" w:space="0" w:color="auto"/>
      </w:divBdr>
    </w:div>
    <w:div w:id="1081413383">
      <w:bodyDiv w:val="1"/>
      <w:marLeft w:val="0"/>
      <w:marRight w:val="0"/>
      <w:marTop w:val="0"/>
      <w:marBottom w:val="0"/>
      <w:divBdr>
        <w:top w:val="none" w:sz="0" w:space="0" w:color="auto"/>
        <w:left w:val="none" w:sz="0" w:space="0" w:color="auto"/>
        <w:bottom w:val="none" w:sz="0" w:space="0" w:color="auto"/>
        <w:right w:val="none" w:sz="0" w:space="0" w:color="auto"/>
      </w:divBdr>
    </w:div>
    <w:div w:id="1081830229">
      <w:bodyDiv w:val="1"/>
      <w:marLeft w:val="0"/>
      <w:marRight w:val="0"/>
      <w:marTop w:val="0"/>
      <w:marBottom w:val="0"/>
      <w:divBdr>
        <w:top w:val="none" w:sz="0" w:space="0" w:color="auto"/>
        <w:left w:val="none" w:sz="0" w:space="0" w:color="auto"/>
        <w:bottom w:val="none" w:sz="0" w:space="0" w:color="auto"/>
        <w:right w:val="none" w:sz="0" w:space="0" w:color="auto"/>
      </w:divBdr>
    </w:div>
    <w:div w:id="1084031551">
      <w:bodyDiv w:val="1"/>
      <w:marLeft w:val="0"/>
      <w:marRight w:val="0"/>
      <w:marTop w:val="0"/>
      <w:marBottom w:val="0"/>
      <w:divBdr>
        <w:top w:val="none" w:sz="0" w:space="0" w:color="auto"/>
        <w:left w:val="none" w:sz="0" w:space="0" w:color="auto"/>
        <w:bottom w:val="none" w:sz="0" w:space="0" w:color="auto"/>
        <w:right w:val="none" w:sz="0" w:space="0" w:color="auto"/>
      </w:divBdr>
    </w:div>
    <w:div w:id="1084650424">
      <w:bodyDiv w:val="1"/>
      <w:marLeft w:val="0"/>
      <w:marRight w:val="0"/>
      <w:marTop w:val="0"/>
      <w:marBottom w:val="0"/>
      <w:divBdr>
        <w:top w:val="none" w:sz="0" w:space="0" w:color="auto"/>
        <w:left w:val="none" w:sz="0" w:space="0" w:color="auto"/>
        <w:bottom w:val="none" w:sz="0" w:space="0" w:color="auto"/>
        <w:right w:val="none" w:sz="0" w:space="0" w:color="auto"/>
      </w:divBdr>
    </w:div>
    <w:div w:id="1084839314">
      <w:bodyDiv w:val="1"/>
      <w:marLeft w:val="0"/>
      <w:marRight w:val="0"/>
      <w:marTop w:val="0"/>
      <w:marBottom w:val="0"/>
      <w:divBdr>
        <w:top w:val="none" w:sz="0" w:space="0" w:color="auto"/>
        <w:left w:val="none" w:sz="0" w:space="0" w:color="auto"/>
        <w:bottom w:val="none" w:sz="0" w:space="0" w:color="auto"/>
        <w:right w:val="none" w:sz="0" w:space="0" w:color="auto"/>
      </w:divBdr>
    </w:div>
    <w:div w:id="1085343246">
      <w:bodyDiv w:val="1"/>
      <w:marLeft w:val="0"/>
      <w:marRight w:val="0"/>
      <w:marTop w:val="0"/>
      <w:marBottom w:val="0"/>
      <w:divBdr>
        <w:top w:val="none" w:sz="0" w:space="0" w:color="auto"/>
        <w:left w:val="none" w:sz="0" w:space="0" w:color="auto"/>
        <w:bottom w:val="none" w:sz="0" w:space="0" w:color="auto"/>
        <w:right w:val="none" w:sz="0" w:space="0" w:color="auto"/>
      </w:divBdr>
    </w:div>
    <w:div w:id="1085569502">
      <w:bodyDiv w:val="1"/>
      <w:marLeft w:val="0"/>
      <w:marRight w:val="0"/>
      <w:marTop w:val="0"/>
      <w:marBottom w:val="0"/>
      <w:divBdr>
        <w:top w:val="none" w:sz="0" w:space="0" w:color="auto"/>
        <w:left w:val="none" w:sz="0" w:space="0" w:color="auto"/>
        <w:bottom w:val="none" w:sz="0" w:space="0" w:color="auto"/>
        <w:right w:val="none" w:sz="0" w:space="0" w:color="auto"/>
      </w:divBdr>
    </w:div>
    <w:div w:id="1087578839">
      <w:marLeft w:val="0"/>
      <w:marRight w:val="0"/>
      <w:marTop w:val="0"/>
      <w:marBottom w:val="0"/>
      <w:divBdr>
        <w:top w:val="none" w:sz="0" w:space="0" w:color="auto"/>
        <w:left w:val="none" w:sz="0" w:space="0" w:color="auto"/>
        <w:bottom w:val="none" w:sz="0" w:space="0" w:color="auto"/>
        <w:right w:val="none" w:sz="0" w:space="0" w:color="auto"/>
      </w:divBdr>
    </w:div>
    <w:div w:id="1087581662">
      <w:bodyDiv w:val="1"/>
      <w:marLeft w:val="0"/>
      <w:marRight w:val="0"/>
      <w:marTop w:val="0"/>
      <w:marBottom w:val="0"/>
      <w:divBdr>
        <w:top w:val="none" w:sz="0" w:space="0" w:color="auto"/>
        <w:left w:val="none" w:sz="0" w:space="0" w:color="auto"/>
        <w:bottom w:val="none" w:sz="0" w:space="0" w:color="auto"/>
        <w:right w:val="none" w:sz="0" w:space="0" w:color="auto"/>
      </w:divBdr>
    </w:div>
    <w:div w:id="1089353569">
      <w:bodyDiv w:val="1"/>
      <w:marLeft w:val="0"/>
      <w:marRight w:val="0"/>
      <w:marTop w:val="0"/>
      <w:marBottom w:val="0"/>
      <w:divBdr>
        <w:top w:val="none" w:sz="0" w:space="0" w:color="auto"/>
        <w:left w:val="none" w:sz="0" w:space="0" w:color="auto"/>
        <w:bottom w:val="none" w:sz="0" w:space="0" w:color="auto"/>
        <w:right w:val="none" w:sz="0" w:space="0" w:color="auto"/>
      </w:divBdr>
    </w:div>
    <w:div w:id="1091437062">
      <w:bodyDiv w:val="1"/>
      <w:marLeft w:val="0"/>
      <w:marRight w:val="0"/>
      <w:marTop w:val="0"/>
      <w:marBottom w:val="0"/>
      <w:divBdr>
        <w:top w:val="none" w:sz="0" w:space="0" w:color="auto"/>
        <w:left w:val="none" w:sz="0" w:space="0" w:color="auto"/>
        <w:bottom w:val="none" w:sz="0" w:space="0" w:color="auto"/>
        <w:right w:val="none" w:sz="0" w:space="0" w:color="auto"/>
      </w:divBdr>
    </w:div>
    <w:div w:id="1092897281">
      <w:bodyDiv w:val="1"/>
      <w:marLeft w:val="0"/>
      <w:marRight w:val="0"/>
      <w:marTop w:val="0"/>
      <w:marBottom w:val="0"/>
      <w:divBdr>
        <w:top w:val="none" w:sz="0" w:space="0" w:color="auto"/>
        <w:left w:val="none" w:sz="0" w:space="0" w:color="auto"/>
        <w:bottom w:val="none" w:sz="0" w:space="0" w:color="auto"/>
        <w:right w:val="none" w:sz="0" w:space="0" w:color="auto"/>
      </w:divBdr>
    </w:div>
    <w:div w:id="1092898026">
      <w:bodyDiv w:val="1"/>
      <w:marLeft w:val="0"/>
      <w:marRight w:val="0"/>
      <w:marTop w:val="0"/>
      <w:marBottom w:val="0"/>
      <w:divBdr>
        <w:top w:val="none" w:sz="0" w:space="0" w:color="auto"/>
        <w:left w:val="none" w:sz="0" w:space="0" w:color="auto"/>
        <w:bottom w:val="none" w:sz="0" w:space="0" w:color="auto"/>
        <w:right w:val="none" w:sz="0" w:space="0" w:color="auto"/>
      </w:divBdr>
    </w:div>
    <w:div w:id="1093009589">
      <w:bodyDiv w:val="1"/>
      <w:marLeft w:val="0"/>
      <w:marRight w:val="0"/>
      <w:marTop w:val="0"/>
      <w:marBottom w:val="0"/>
      <w:divBdr>
        <w:top w:val="none" w:sz="0" w:space="0" w:color="auto"/>
        <w:left w:val="none" w:sz="0" w:space="0" w:color="auto"/>
        <w:bottom w:val="none" w:sz="0" w:space="0" w:color="auto"/>
        <w:right w:val="none" w:sz="0" w:space="0" w:color="auto"/>
      </w:divBdr>
    </w:div>
    <w:div w:id="1094395336">
      <w:bodyDiv w:val="1"/>
      <w:marLeft w:val="0"/>
      <w:marRight w:val="0"/>
      <w:marTop w:val="0"/>
      <w:marBottom w:val="0"/>
      <w:divBdr>
        <w:top w:val="none" w:sz="0" w:space="0" w:color="auto"/>
        <w:left w:val="none" w:sz="0" w:space="0" w:color="auto"/>
        <w:bottom w:val="none" w:sz="0" w:space="0" w:color="auto"/>
        <w:right w:val="none" w:sz="0" w:space="0" w:color="auto"/>
      </w:divBdr>
    </w:div>
    <w:div w:id="1097092533">
      <w:bodyDiv w:val="1"/>
      <w:marLeft w:val="0"/>
      <w:marRight w:val="0"/>
      <w:marTop w:val="0"/>
      <w:marBottom w:val="0"/>
      <w:divBdr>
        <w:top w:val="none" w:sz="0" w:space="0" w:color="auto"/>
        <w:left w:val="none" w:sz="0" w:space="0" w:color="auto"/>
        <w:bottom w:val="none" w:sz="0" w:space="0" w:color="auto"/>
        <w:right w:val="none" w:sz="0" w:space="0" w:color="auto"/>
      </w:divBdr>
    </w:div>
    <w:div w:id="1097359935">
      <w:bodyDiv w:val="1"/>
      <w:marLeft w:val="0"/>
      <w:marRight w:val="0"/>
      <w:marTop w:val="0"/>
      <w:marBottom w:val="0"/>
      <w:divBdr>
        <w:top w:val="none" w:sz="0" w:space="0" w:color="auto"/>
        <w:left w:val="none" w:sz="0" w:space="0" w:color="auto"/>
        <w:bottom w:val="none" w:sz="0" w:space="0" w:color="auto"/>
        <w:right w:val="none" w:sz="0" w:space="0" w:color="auto"/>
      </w:divBdr>
    </w:div>
    <w:div w:id="1099594915">
      <w:bodyDiv w:val="1"/>
      <w:marLeft w:val="0"/>
      <w:marRight w:val="0"/>
      <w:marTop w:val="0"/>
      <w:marBottom w:val="0"/>
      <w:divBdr>
        <w:top w:val="none" w:sz="0" w:space="0" w:color="auto"/>
        <w:left w:val="none" w:sz="0" w:space="0" w:color="auto"/>
        <w:bottom w:val="none" w:sz="0" w:space="0" w:color="auto"/>
        <w:right w:val="none" w:sz="0" w:space="0" w:color="auto"/>
      </w:divBdr>
    </w:div>
    <w:div w:id="1100225460">
      <w:bodyDiv w:val="1"/>
      <w:marLeft w:val="0"/>
      <w:marRight w:val="0"/>
      <w:marTop w:val="0"/>
      <w:marBottom w:val="0"/>
      <w:divBdr>
        <w:top w:val="none" w:sz="0" w:space="0" w:color="auto"/>
        <w:left w:val="none" w:sz="0" w:space="0" w:color="auto"/>
        <w:bottom w:val="none" w:sz="0" w:space="0" w:color="auto"/>
        <w:right w:val="none" w:sz="0" w:space="0" w:color="auto"/>
      </w:divBdr>
    </w:div>
    <w:div w:id="1100367679">
      <w:bodyDiv w:val="1"/>
      <w:marLeft w:val="0"/>
      <w:marRight w:val="0"/>
      <w:marTop w:val="0"/>
      <w:marBottom w:val="0"/>
      <w:divBdr>
        <w:top w:val="none" w:sz="0" w:space="0" w:color="auto"/>
        <w:left w:val="none" w:sz="0" w:space="0" w:color="auto"/>
        <w:bottom w:val="none" w:sz="0" w:space="0" w:color="auto"/>
        <w:right w:val="none" w:sz="0" w:space="0" w:color="auto"/>
      </w:divBdr>
    </w:div>
    <w:div w:id="1100560932">
      <w:bodyDiv w:val="1"/>
      <w:marLeft w:val="0"/>
      <w:marRight w:val="0"/>
      <w:marTop w:val="0"/>
      <w:marBottom w:val="0"/>
      <w:divBdr>
        <w:top w:val="none" w:sz="0" w:space="0" w:color="auto"/>
        <w:left w:val="none" w:sz="0" w:space="0" w:color="auto"/>
        <w:bottom w:val="none" w:sz="0" w:space="0" w:color="auto"/>
        <w:right w:val="none" w:sz="0" w:space="0" w:color="auto"/>
      </w:divBdr>
    </w:div>
    <w:div w:id="1100758185">
      <w:bodyDiv w:val="1"/>
      <w:marLeft w:val="0"/>
      <w:marRight w:val="0"/>
      <w:marTop w:val="0"/>
      <w:marBottom w:val="0"/>
      <w:divBdr>
        <w:top w:val="none" w:sz="0" w:space="0" w:color="auto"/>
        <w:left w:val="none" w:sz="0" w:space="0" w:color="auto"/>
        <w:bottom w:val="none" w:sz="0" w:space="0" w:color="auto"/>
        <w:right w:val="none" w:sz="0" w:space="0" w:color="auto"/>
      </w:divBdr>
    </w:div>
    <w:div w:id="1101412994">
      <w:bodyDiv w:val="1"/>
      <w:marLeft w:val="0"/>
      <w:marRight w:val="0"/>
      <w:marTop w:val="0"/>
      <w:marBottom w:val="0"/>
      <w:divBdr>
        <w:top w:val="none" w:sz="0" w:space="0" w:color="auto"/>
        <w:left w:val="none" w:sz="0" w:space="0" w:color="auto"/>
        <w:bottom w:val="none" w:sz="0" w:space="0" w:color="auto"/>
        <w:right w:val="none" w:sz="0" w:space="0" w:color="auto"/>
      </w:divBdr>
    </w:div>
    <w:div w:id="1103652347">
      <w:bodyDiv w:val="1"/>
      <w:marLeft w:val="0"/>
      <w:marRight w:val="0"/>
      <w:marTop w:val="0"/>
      <w:marBottom w:val="0"/>
      <w:divBdr>
        <w:top w:val="none" w:sz="0" w:space="0" w:color="auto"/>
        <w:left w:val="none" w:sz="0" w:space="0" w:color="auto"/>
        <w:bottom w:val="none" w:sz="0" w:space="0" w:color="auto"/>
        <w:right w:val="none" w:sz="0" w:space="0" w:color="auto"/>
      </w:divBdr>
    </w:div>
    <w:div w:id="1104614587">
      <w:bodyDiv w:val="1"/>
      <w:marLeft w:val="0"/>
      <w:marRight w:val="0"/>
      <w:marTop w:val="0"/>
      <w:marBottom w:val="0"/>
      <w:divBdr>
        <w:top w:val="none" w:sz="0" w:space="0" w:color="auto"/>
        <w:left w:val="none" w:sz="0" w:space="0" w:color="auto"/>
        <w:bottom w:val="none" w:sz="0" w:space="0" w:color="auto"/>
        <w:right w:val="none" w:sz="0" w:space="0" w:color="auto"/>
      </w:divBdr>
    </w:div>
    <w:div w:id="1107970262">
      <w:bodyDiv w:val="1"/>
      <w:marLeft w:val="0"/>
      <w:marRight w:val="0"/>
      <w:marTop w:val="0"/>
      <w:marBottom w:val="0"/>
      <w:divBdr>
        <w:top w:val="none" w:sz="0" w:space="0" w:color="auto"/>
        <w:left w:val="none" w:sz="0" w:space="0" w:color="auto"/>
        <w:bottom w:val="none" w:sz="0" w:space="0" w:color="auto"/>
        <w:right w:val="none" w:sz="0" w:space="0" w:color="auto"/>
      </w:divBdr>
    </w:div>
    <w:div w:id="1108966083">
      <w:bodyDiv w:val="1"/>
      <w:marLeft w:val="0"/>
      <w:marRight w:val="0"/>
      <w:marTop w:val="0"/>
      <w:marBottom w:val="0"/>
      <w:divBdr>
        <w:top w:val="none" w:sz="0" w:space="0" w:color="auto"/>
        <w:left w:val="none" w:sz="0" w:space="0" w:color="auto"/>
        <w:bottom w:val="none" w:sz="0" w:space="0" w:color="auto"/>
        <w:right w:val="none" w:sz="0" w:space="0" w:color="auto"/>
      </w:divBdr>
    </w:div>
    <w:div w:id="1109010141">
      <w:bodyDiv w:val="1"/>
      <w:marLeft w:val="0"/>
      <w:marRight w:val="0"/>
      <w:marTop w:val="0"/>
      <w:marBottom w:val="0"/>
      <w:divBdr>
        <w:top w:val="none" w:sz="0" w:space="0" w:color="auto"/>
        <w:left w:val="none" w:sz="0" w:space="0" w:color="auto"/>
        <w:bottom w:val="none" w:sz="0" w:space="0" w:color="auto"/>
        <w:right w:val="none" w:sz="0" w:space="0" w:color="auto"/>
      </w:divBdr>
    </w:div>
    <w:div w:id="1109734846">
      <w:bodyDiv w:val="1"/>
      <w:marLeft w:val="0"/>
      <w:marRight w:val="0"/>
      <w:marTop w:val="0"/>
      <w:marBottom w:val="0"/>
      <w:divBdr>
        <w:top w:val="none" w:sz="0" w:space="0" w:color="auto"/>
        <w:left w:val="none" w:sz="0" w:space="0" w:color="auto"/>
        <w:bottom w:val="none" w:sz="0" w:space="0" w:color="auto"/>
        <w:right w:val="none" w:sz="0" w:space="0" w:color="auto"/>
      </w:divBdr>
    </w:div>
    <w:div w:id="1110394072">
      <w:bodyDiv w:val="1"/>
      <w:marLeft w:val="0"/>
      <w:marRight w:val="0"/>
      <w:marTop w:val="0"/>
      <w:marBottom w:val="0"/>
      <w:divBdr>
        <w:top w:val="none" w:sz="0" w:space="0" w:color="auto"/>
        <w:left w:val="none" w:sz="0" w:space="0" w:color="auto"/>
        <w:bottom w:val="none" w:sz="0" w:space="0" w:color="auto"/>
        <w:right w:val="none" w:sz="0" w:space="0" w:color="auto"/>
      </w:divBdr>
    </w:div>
    <w:div w:id="1111634140">
      <w:bodyDiv w:val="1"/>
      <w:marLeft w:val="0"/>
      <w:marRight w:val="0"/>
      <w:marTop w:val="0"/>
      <w:marBottom w:val="0"/>
      <w:divBdr>
        <w:top w:val="none" w:sz="0" w:space="0" w:color="auto"/>
        <w:left w:val="none" w:sz="0" w:space="0" w:color="auto"/>
        <w:bottom w:val="none" w:sz="0" w:space="0" w:color="auto"/>
        <w:right w:val="none" w:sz="0" w:space="0" w:color="auto"/>
      </w:divBdr>
    </w:div>
    <w:div w:id="1112016033">
      <w:bodyDiv w:val="1"/>
      <w:marLeft w:val="0"/>
      <w:marRight w:val="0"/>
      <w:marTop w:val="0"/>
      <w:marBottom w:val="0"/>
      <w:divBdr>
        <w:top w:val="none" w:sz="0" w:space="0" w:color="auto"/>
        <w:left w:val="none" w:sz="0" w:space="0" w:color="auto"/>
        <w:bottom w:val="none" w:sz="0" w:space="0" w:color="auto"/>
        <w:right w:val="none" w:sz="0" w:space="0" w:color="auto"/>
      </w:divBdr>
    </w:div>
    <w:div w:id="1114249600">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828526">
      <w:bodyDiv w:val="1"/>
      <w:marLeft w:val="0"/>
      <w:marRight w:val="0"/>
      <w:marTop w:val="0"/>
      <w:marBottom w:val="0"/>
      <w:divBdr>
        <w:top w:val="none" w:sz="0" w:space="0" w:color="auto"/>
        <w:left w:val="none" w:sz="0" w:space="0" w:color="auto"/>
        <w:bottom w:val="none" w:sz="0" w:space="0" w:color="auto"/>
        <w:right w:val="none" w:sz="0" w:space="0" w:color="auto"/>
      </w:divBdr>
    </w:div>
    <w:div w:id="1117875401">
      <w:bodyDiv w:val="1"/>
      <w:marLeft w:val="0"/>
      <w:marRight w:val="0"/>
      <w:marTop w:val="0"/>
      <w:marBottom w:val="0"/>
      <w:divBdr>
        <w:top w:val="none" w:sz="0" w:space="0" w:color="auto"/>
        <w:left w:val="none" w:sz="0" w:space="0" w:color="auto"/>
        <w:bottom w:val="none" w:sz="0" w:space="0" w:color="auto"/>
        <w:right w:val="none" w:sz="0" w:space="0" w:color="auto"/>
      </w:divBdr>
    </w:div>
    <w:div w:id="1118376077">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717157">
      <w:bodyDiv w:val="1"/>
      <w:marLeft w:val="0"/>
      <w:marRight w:val="0"/>
      <w:marTop w:val="0"/>
      <w:marBottom w:val="0"/>
      <w:divBdr>
        <w:top w:val="none" w:sz="0" w:space="0" w:color="auto"/>
        <w:left w:val="none" w:sz="0" w:space="0" w:color="auto"/>
        <w:bottom w:val="none" w:sz="0" w:space="0" w:color="auto"/>
        <w:right w:val="none" w:sz="0" w:space="0" w:color="auto"/>
      </w:divBdr>
    </w:div>
    <w:div w:id="1120344886">
      <w:bodyDiv w:val="1"/>
      <w:marLeft w:val="0"/>
      <w:marRight w:val="0"/>
      <w:marTop w:val="0"/>
      <w:marBottom w:val="0"/>
      <w:divBdr>
        <w:top w:val="none" w:sz="0" w:space="0" w:color="auto"/>
        <w:left w:val="none" w:sz="0" w:space="0" w:color="auto"/>
        <w:bottom w:val="none" w:sz="0" w:space="0" w:color="auto"/>
        <w:right w:val="none" w:sz="0" w:space="0" w:color="auto"/>
      </w:divBdr>
    </w:div>
    <w:div w:id="1122387196">
      <w:bodyDiv w:val="1"/>
      <w:marLeft w:val="0"/>
      <w:marRight w:val="0"/>
      <w:marTop w:val="0"/>
      <w:marBottom w:val="0"/>
      <w:divBdr>
        <w:top w:val="none" w:sz="0" w:space="0" w:color="auto"/>
        <w:left w:val="none" w:sz="0" w:space="0" w:color="auto"/>
        <w:bottom w:val="none" w:sz="0" w:space="0" w:color="auto"/>
        <w:right w:val="none" w:sz="0" w:space="0" w:color="auto"/>
      </w:divBdr>
    </w:div>
    <w:div w:id="1122461358">
      <w:bodyDiv w:val="1"/>
      <w:marLeft w:val="0"/>
      <w:marRight w:val="0"/>
      <w:marTop w:val="0"/>
      <w:marBottom w:val="0"/>
      <w:divBdr>
        <w:top w:val="none" w:sz="0" w:space="0" w:color="auto"/>
        <w:left w:val="none" w:sz="0" w:space="0" w:color="auto"/>
        <w:bottom w:val="none" w:sz="0" w:space="0" w:color="auto"/>
        <w:right w:val="none" w:sz="0" w:space="0" w:color="auto"/>
      </w:divBdr>
    </w:div>
    <w:div w:id="1125613079">
      <w:bodyDiv w:val="1"/>
      <w:marLeft w:val="0"/>
      <w:marRight w:val="0"/>
      <w:marTop w:val="0"/>
      <w:marBottom w:val="0"/>
      <w:divBdr>
        <w:top w:val="none" w:sz="0" w:space="0" w:color="auto"/>
        <w:left w:val="none" w:sz="0" w:space="0" w:color="auto"/>
        <w:bottom w:val="none" w:sz="0" w:space="0" w:color="auto"/>
        <w:right w:val="none" w:sz="0" w:space="0" w:color="auto"/>
      </w:divBdr>
    </w:div>
    <w:div w:id="1127889589">
      <w:bodyDiv w:val="1"/>
      <w:marLeft w:val="0"/>
      <w:marRight w:val="0"/>
      <w:marTop w:val="0"/>
      <w:marBottom w:val="0"/>
      <w:divBdr>
        <w:top w:val="none" w:sz="0" w:space="0" w:color="auto"/>
        <w:left w:val="none" w:sz="0" w:space="0" w:color="auto"/>
        <w:bottom w:val="none" w:sz="0" w:space="0" w:color="auto"/>
        <w:right w:val="none" w:sz="0" w:space="0" w:color="auto"/>
      </w:divBdr>
    </w:div>
    <w:div w:id="1129324810">
      <w:bodyDiv w:val="1"/>
      <w:marLeft w:val="0"/>
      <w:marRight w:val="0"/>
      <w:marTop w:val="0"/>
      <w:marBottom w:val="0"/>
      <w:divBdr>
        <w:top w:val="none" w:sz="0" w:space="0" w:color="auto"/>
        <w:left w:val="none" w:sz="0" w:space="0" w:color="auto"/>
        <w:bottom w:val="none" w:sz="0" w:space="0" w:color="auto"/>
        <w:right w:val="none" w:sz="0" w:space="0" w:color="auto"/>
      </w:divBdr>
    </w:div>
    <w:div w:id="1130392184">
      <w:bodyDiv w:val="1"/>
      <w:marLeft w:val="0"/>
      <w:marRight w:val="0"/>
      <w:marTop w:val="0"/>
      <w:marBottom w:val="0"/>
      <w:divBdr>
        <w:top w:val="none" w:sz="0" w:space="0" w:color="auto"/>
        <w:left w:val="none" w:sz="0" w:space="0" w:color="auto"/>
        <w:bottom w:val="none" w:sz="0" w:space="0" w:color="auto"/>
        <w:right w:val="none" w:sz="0" w:space="0" w:color="auto"/>
      </w:divBdr>
    </w:div>
    <w:div w:id="1131437472">
      <w:bodyDiv w:val="1"/>
      <w:marLeft w:val="0"/>
      <w:marRight w:val="0"/>
      <w:marTop w:val="0"/>
      <w:marBottom w:val="0"/>
      <w:divBdr>
        <w:top w:val="none" w:sz="0" w:space="0" w:color="auto"/>
        <w:left w:val="none" w:sz="0" w:space="0" w:color="auto"/>
        <w:bottom w:val="none" w:sz="0" w:space="0" w:color="auto"/>
        <w:right w:val="none" w:sz="0" w:space="0" w:color="auto"/>
      </w:divBdr>
    </w:div>
    <w:div w:id="1131900794">
      <w:bodyDiv w:val="1"/>
      <w:marLeft w:val="0"/>
      <w:marRight w:val="0"/>
      <w:marTop w:val="0"/>
      <w:marBottom w:val="0"/>
      <w:divBdr>
        <w:top w:val="none" w:sz="0" w:space="0" w:color="auto"/>
        <w:left w:val="none" w:sz="0" w:space="0" w:color="auto"/>
        <w:bottom w:val="none" w:sz="0" w:space="0" w:color="auto"/>
        <w:right w:val="none" w:sz="0" w:space="0" w:color="auto"/>
      </w:divBdr>
    </w:div>
    <w:div w:id="1132400294">
      <w:bodyDiv w:val="1"/>
      <w:marLeft w:val="0"/>
      <w:marRight w:val="0"/>
      <w:marTop w:val="0"/>
      <w:marBottom w:val="0"/>
      <w:divBdr>
        <w:top w:val="none" w:sz="0" w:space="0" w:color="auto"/>
        <w:left w:val="none" w:sz="0" w:space="0" w:color="auto"/>
        <w:bottom w:val="none" w:sz="0" w:space="0" w:color="auto"/>
        <w:right w:val="none" w:sz="0" w:space="0" w:color="auto"/>
      </w:divBdr>
    </w:div>
    <w:div w:id="1134299826">
      <w:bodyDiv w:val="1"/>
      <w:marLeft w:val="0"/>
      <w:marRight w:val="0"/>
      <w:marTop w:val="0"/>
      <w:marBottom w:val="0"/>
      <w:divBdr>
        <w:top w:val="none" w:sz="0" w:space="0" w:color="auto"/>
        <w:left w:val="none" w:sz="0" w:space="0" w:color="auto"/>
        <w:bottom w:val="none" w:sz="0" w:space="0" w:color="auto"/>
        <w:right w:val="none" w:sz="0" w:space="0" w:color="auto"/>
      </w:divBdr>
    </w:div>
    <w:div w:id="1135833489">
      <w:bodyDiv w:val="1"/>
      <w:marLeft w:val="0"/>
      <w:marRight w:val="0"/>
      <w:marTop w:val="0"/>
      <w:marBottom w:val="0"/>
      <w:divBdr>
        <w:top w:val="none" w:sz="0" w:space="0" w:color="auto"/>
        <w:left w:val="none" w:sz="0" w:space="0" w:color="auto"/>
        <w:bottom w:val="none" w:sz="0" w:space="0" w:color="auto"/>
        <w:right w:val="none" w:sz="0" w:space="0" w:color="auto"/>
      </w:divBdr>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sChild>
        <w:div w:id="11759331">
          <w:marLeft w:val="0"/>
          <w:marRight w:val="0"/>
          <w:marTop w:val="0"/>
          <w:marBottom w:val="0"/>
          <w:divBdr>
            <w:top w:val="none" w:sz="0" w:space="0" w:color="auto"/>
            <w:left w:val="none" w:sz="0" w:space="0" w:color="auto"/>
            <w:bottom w:val="none" w:sz="0" w:space="0" w:color="auto"/>
            <w:right w:val="none" w:sz="0" w:space="0" w:color="auto"/>
          </w:divBdr>
        </w:div>
        <w:div w:id="17856375">
          <w:marLeft w:val="0"/>
          <w:marRight w:val="0"/>
          <w:marTop w:val="0"/>
          <w:marBottom w:val="0"/>
          <w:divBdr>
            <w:top w:val="none" w:sz="0" w:space="0" w:color="auto"/>
            <w:left w:val="none" w:sz="0" w:space="0" w:color="auto"/>
            <w:bottom w:val="none" w:sz="0" w:space="0" w:color="auto"/>
            <w:right w:val="none" w:sz="0" w:space="0" w:color="auto"/>
          </w:divBdr>
        </w:div>
        <w:div w:id="278336193">
          <w:marLeft w:val="0"/>
          <w:marRight w:val="0"/>
          <w:marTop w:val="0"/>
          <w:marBottom w:val="0"/>
          <w:divBdr>
            <w:top w:val="none" w:sz="0" w:space="0" w:color="auto"/>
            <w:left w:val="none" w:sz="0" w:space="0" w:color="auto"/>
            <w:bottom w:val="none" w:sz="0" w:space="0" w:color="auto"/>
            <w:right w:val="none" w:sz="0" w:space="0" w:color="auto"/>
          </w:divBdr>
        </w:div>
      </w:divsChild>
    </w:div>
    <w:div w:id="1137651182">
      <w:bodyDiv w:val="1"/>
      <w:marLeft w:val="0"/>
      <w:marRight w:val="0"/>
      <w:marTop w:val="0"/>
      <w:marBottom w:val="0"/>
      <w:divBdr>
        <w:top w:val="none" w:sz="0" w:space="0" w:color="auto"/>
        <w:left w:val="none" w:sz="0" w:space="0" w:color="auto"/>
        <w:bottom w:val="none" w:sz="0" w:space="0" w:color="auto"/>
        <w:right w:val="none" w:sz="0" w:space="0" w:color="auto"/>
      </w:divBdr>
    </w:div>
    <w:div w:id="1138260681">
      <w:bodyDiv w:val="1"/>
      <w:marLeft w:val="0"/>
      <w:marRight w:val="0"/>
      <w:marTop w:val="0"/>
      <w:marBottom w:val="0"/>
      <w:divBdr>
        <w:top w:val="none" w:sz="0" w:space="0" w:color="auto"/>
        <w:left w:val="none" w:sz="0" w:space="0" w:color="auto"/>
        <w:bottom w:val="none" w:sz="0" w:space="0" w:color="auto"/>
        <w:right w:val="none" w:sz="0" w:space="0" w:color="auto"/>
      </w:divBdr>
    </w:div>
    <w:div w:id="1138953689">
      <w:bodyDiv w:val="1"/>
      <w:marLeft w:val="0"/>
      <w:marRight w:val="0"/>
      <w:marTop w:val="0"/>
      <w:marBottom w:val="0"/>
      <w:divBdr>
        <w:top w:val="none" w:sz="0" w:space="0" w:color="auto"/>
        <w:left w:val="none" w:sz="0" w:space="0" w:color="auto"/>
        <w:bottom w:val="none" w:sz="0" w:space="0" w:color="auto"/>
        <w:right w:val="none" w:sz="0" w:space="0" w:color="auto"/>
      </w:divBdr>
    </w:div>
    <w:div w:id="1139423896">
      <w:bodyDiv w:val="1"/>
      <w:marLeft w:val="0"/>
      <w:marRight w:val="0"/>
      <w:marTop w:val="0"/>
      <w:marBottom w:val="0"/>
      <w:divBdr>
        <w:top w:val="none" w:sz="0" w:space="0" w:color="auto"/>
        <w:left w:val="none" w:sz="0" w:space="0" w:color="auto"/>
        <w:bottom w:val="none" w:sz="0" w:space="0" w:color="auto"/>
        <w:right w:val="none" w:sz="0" w:space="0" w:color="auto"/>
      </w:divBdr>
    </w:div>
    <w:div w:id="1141381959">
      <w:bodyDiv w:val="1"/>
      <w:marLeft w:val="0"/>
      <w:marRight w:val="0"/>
      <w:marTop w:val="0"/>
      <w:marBottom w:val="0"/>
      <w:divBdr>
        <w:top w:val="none" w:sz="0" w:space="0" w:color="auto"/>
        <w:left w:val="none" w:sz="0" w:space="0" w:color="auto"/>
        <w:bottom w:val="none" w:sz="0" w:space="0" w:color="auto"/>
        <w:right w:val="none" w:sz="0" w:space="0" w:color="auto"/>
      </w:divBdr>
    </w:div>
    <w:div w:id="1141651829">
      <w:bodyDiv w:val="1"/>
      <w:marLeft w:val="0"/>
      <w:marRight w:val="0"/>
      <w:marTop w:val="0"/>
      <w:marBottom w:val="0"/>
      <w:divBdr>
        <w:top w:val="none" w:sz="0" w:space="0" w:color="auto"/>
        <w:left w:val="none" w:sz="0" w:space="0" w:color="auto"/>
        <w:bottom w:val="none" w:sz="0" w:space="0" w:color="auto"/>
        <w:right w:val="none" w:sz="0" w:space="0" w:color="auto"/>
      </w:divBdr>
    </w:div>
    <w:div w:id="1145008582">
      <w:marLeft w:val="0"/>
      <w:marRight w:val="0"/>
      <w:marTop w:val="0"/>
      <w:marBottom w:val="0"/>
      <w:divBdr>
        <w:top w:val="none" w:sz="0" w:space="0" w:color="auto"/>
        <w:left w:val="none" w:sz="0" w:space="0" w:color="auto"/>
        <w:bottom w:val="none" w:sz="0" w:space="0" w:color="auto"/>
        <w:right w:val="none" w:sz="0" w:space="0" w:color="auto"/>
      </w:divBdr>
    </w:div>
    <w:div w:id="1147749711">
      <w:bodyDiv w:val="1"/>
      <w:marLeft w:val="0"/>
      <w:marRight w:val="0"/>
      <w:marTop w:val="0"/>
      <w:marBottom w:val="0"/>
      <w:divBdr>
        <w:top w:val="none" w:sz="0" w:space="0" w:color="auto"/>
        <w:left w:val="none" w:sz="0" w:space="0" w:color="auto"/>
        <w:bottom w:val="none" w:sz="0" w:space="0" w:color="auto"/>
        <w:right w:val="none" w:sz="0" w:space="0" w:color="auto"/>
      </w:divBdr>
    </w:div>
    <w:div w:id="1148548554">
      <w:bodyDiv w:val="1"/>
      <w:marLeft w:val="0"/>
      <w:marRight w:val="0"/>
      <w:marTop w:val="0"/>
      <w:marBottom w:val="0"/>
      <w:divBdr>
        <w:top w:val="none" w:sz="0" w:space="0" w:color="auto"/>
        <w:left w:val="none" w:sz="0" w:space="0" w:color="auto"/>
        <w:bottom w:val="none" w:sz="0" w:space="0" w:color="auto"/>
        <w:right w:val="none" w:sz="0" w:space="0" w:color="auto"/>
      </w:divBdr>
    </w:div>
    <w:div w:id="1149177391">
      <w:bodyDiv w:val="1"/>
      <w:marLeft w:val="0"/>
      <w:marRight w:val="0"/>
      <w:marTop w:val="0"/>
      <w:marBottom w:val="0"/>
      <w:divBdr>
        <w:top w:val="none" w:sz="0" w:space="0" w:color="auto"/>
        <w:left w:val="none" w:sz="0" w:space="0" w:color="auto"/>
        <w:bottom w:val="none" w:sz="0" w:space="0" w:color="auto"/>
        <w:right w:val="none" w:sz="0" w:space="0" w:color="auto"/>
      </w:divBdr>
    </w:div>
    <w:div w:id="1149250039">
      <w:bodyDiv w:val="1"/>
      <w:marLeft w:val="0"/>
      <w:marRight w:val="0"/>
      <w:marTop w:val="0"/>
      <w:marBottom w:val="0"/>
      <w:divBdr>
        <w:top w:val="none" w:sz="0" w:space="0" w:color="auto"/>
        <w:left w:val="none" w:sz="0" w:space="0" w:color="auto"/>
        <w:bottom w:val="none" w:sz="0" w:space="0" w:color="auto"/>
        <w:right w:val="none" w:sz="0" w:space="0" w:color="auto"/>
      </w:divBdr>
    </w:div>
    <w:div w:id="1149899932">
      <w:bodyDiv w:val="1"/>
      <w:marLeft w:val="0"/>
      <w:marRight w:val="0"/>
      <w:marTop w:val="0"/>
      <w:marBottom w:val="0"/>
      <w:divBdr>
        <w:top w:val="none" w:sz="0" w:space="0" w:color="auto"/>
        <w:left w:val="none" w:sz="0" w:space="0" w:color="auto"/>
        <w:bottom w:val="none" w:sz="0" w:space="0" w:color="auto"/>
        <w:right w:val="none" w:sz="0" w:space="0" w:color="auto"/>
      </w:divBdr>
    </w:div>
    <w:div w:id="1151016671">
      <w:bodyDiv w:val="1"/>
      <w:marLeft w:val="0"/>
      <w:marRight w:val="0"/>
      <w:marTop w:val="0"/>
      <w:marBottom w:val="0"/>
      <w:divBdr>
        <w:top w:val="none" w:sz="0" w:space="0" w:color="auto"/>
        <w:left w:val="none" w:sz="0" w:space="0" w:color="auto"/>
        <w:bottom w:val="none" w:sz="0" w:space="0" w:color="auto"/>
        <w:right w:val="none" w:sz="0" w:space="0" w:color="auto"/>
      </w:divBdr>
    </w:div>
    <w:div w:id="1151949371">
      <w:bodyDiv w:val="1"/>
      <w:marLeft w:val="0"/>
      <w:marRight w:val="0"/>
      <w:marTop w:val="0"/>
      <w:marBottom w:val="0"/>
      <w:divBdr>
        <w:top w:val="none" w:sz="0" w:space="0" w:color="auto"/>
        <w:left w:val="none" w:sz="0" w:space="0" w:color="auto"/>
        <w:bottom w:val="none" w:sz="0" w:space="0" w:color="auto"/>
        <w:right w:val="none" w:sz="0" w:space="0" w:color="auto"/>
      </w:divBdr>
    </w:div>
    <w:div w:id="1154175020">
      <w:bodyDiv w:val="1"/>
      <w:marLeft w:val="0"/>
      <w:marRight w:val="0"/>
      <w:marTop w:val="0"/>
      <w:marBottom w:val="0"/>
      <w:divBdr>
        <w:top w:val="none" w:sz="0" w:space="0" w:color="auto"/>
        <w:left w:val="none" w:sz="0" w:space="0" w:color="auto"/>
        <w:bottom w:val="none" w:sz="0" w:space="0" w:color="auto"/>
        <w:right w:val="none" w:sz="0" w:space="0" w:color="auto"/>
      </w:divBdr>
    </w:div>
    <w:div w:id="1155955069">
      <w:bodyDiv w:val="1"/>
      <w:marLeft w:val="0"/>
      <w:marRight w:val="0"/>
      <w:marTop w:val="0"/>
      <w:marBottom w:val="0"/>
      <w:divBdr>
        <w:top w:val="none" w:sz="0" w:space="0" w:color="auto"/>
        <w:left w:val="none" w:sz="0" w:space="0" w:color="auto"/>
        <w:bottom w:val="none" w:sz="0" w:space="0" w:color="auto"/>
        <w:right w:val="none" w:sz="0" w:space="0" w:color="auto"/>
      </w:divBdr>
    </w:div>
    <w:div w:id="1157303518">
      <w:bodyDiv w:val="1"/>
      <w:marLeft w:val="0"/>
      <w:marRight w:val="0"/>
      <w:marTop w:val="0"/>
      <w:marBottom w:val="0"/>
      <w:divBdr>
        <w:top w:val="none" w:sz="0" w:space="0" w:color="auto"/>
        <w:left w:val="none" w:sz="0" w:space="0" w:color="auto"/>
        <w:bottom w:val="none" w:sz="0" w:space="0" w:color="auto"/>
        <w:right w:val="none" w:sz="0" w:space="0" w:color="auto"/>
      </w:divBdr>
    </w:div>
    <w:div w:id="1157646852">
      <w:bodyDiv w:val="1"/>
      <w:marLeft w:val="0"/>
      <w:marRight w:val="0"/>
      <w:marTop w:val="0"/>
      <w:marBottom w:val="0"/>
      <w:divBdr>
        <w:top w:val="none" w:sz="0" w:space="0" w:color="auto"/>
        <w:left w:val="none" w:sz="0" w:space="0" w:color="auto"/>
        <w:bottom w:val="none" w:sz="0" w:space="0" w:color="auto"/>
        <w:right w:val="none" w:sz="0" w:space="0" w:color="auto"/>
      </w:divBdr>
    </w:div>
    <w:div w:id="1157918060">
      <w:bodyDiv w:val="1"/>
      <w:marLeft w:val="0"/>
      <w:marRight w:val="0"/>
      <w:marTop w:val="0"/>
      <w:marBottom w:val="0"/>
      <w:divBdr>
        <w:top w:val="none" w:sz="0" w:space="0" w:color="auto"/>
        <w:left w:val="none" w:sz="0" w:space="0" w:color="auto"/>
        <w:bottom w:val="none" w:sz="0" w:space="0" w:color="auto"/>
        <w:right w:val="none" w:sz="0" w:space="0" w:color="auto"/>
      </w:divBdr>
    </w:div>
    <w:div w:id="1158230583">
      <w:bodyDiv w:val="1"/>
      <w:marLeft w:val="0"/>
      <w:marRight w:val="0"/>
      <w:marTop w:val="0"/>
      <w:marBottom w:val="0"/>
      <w:divBdr>
        <w:top w:val="none" w:sz="0" w:space="0" w:color="auto"/>
        <w:left w:val="none" w:sz="0" w:space="0" w:color="auto"/>
        <w:bottom w:val="none" w:sz="0" w:space="0" w:color="auto"/>
        <w:right w:val="none" w:sz="0" w:space="0" w:color="auto"/>
      </w:divBdr>
    </w:div>
    <w:div w:id="1158231563">
      <w:bodyDiv w:val="1"/>
      <w:marLeft w:val="0"/>
      <w:marRight w:val="0"/>
      <w:marTop w:val="0"/>
      <w:marBottom w:val="0"/>
      <w:divBdr>
        <w:top w:val="none" w:sz="0" w:space="0" w:color="auto"/>
        <w:left w:val="none" w:sz="0" w:space="0" w:color="auto"/>
        <w:bottom w:val="none" w:sz="0" w:space="0" w:color="auto"/>
        <w:right w:val="none" w:sz="0" w:space="0" w:color="auto"/>
      </w:divBdr>
    </w:div>
    <w:div w:id="1159420783">
      <w:bodyDiv w:val="1"/>
      <w:marLeft w:val="0"/>
      <w:marRight w:val="0"/>
      <w:marTop w:val="0"/>
      <w:marBottom w:val="0"/>
      <w:divBdr>
        <w:top w:val="none" w:sz="0" w:space="0" w:color="auto"/>
        <w:left w:val="none" w:sz="0" w:space="0" w:color="auto"/>
        <w:bottom w:val="none" w:sz="0" w:space="0" w:color="auto"/>
        <w:right w:val="none" w:sz="0" w:space="0" w:color="auto"/>
      </w:divBdr>
    </w:div>
    <w:div w:id="1159729664">
      <w:bodyDiv w:val="1"/>
      <w:marLeft w:val="0"/>
      <w:marRight w:val="0"/>
      <w:marTop w:val="0"/>
      <w:marBottom w:val="0"/>
      <w:divBdr>
        <w:top w:val="none" w:sz="0" w:space="0" w:color="auto"/>
        <w:left w:val="none" w:sz="0" w:space="0" w:color="auto"/>
        <w:bottom w:val="none" w:sz="0" w:space="0" w:color="auto"/>
        <w:right w:val="none" w:sz="0" w:space="0" w:color="auto"/>
      </w:divBdr>
    </w:div>
    <w:div w:id="1159805765">
      <w:bodyDiv w:val="1"/>
      <w:marLeft w:val="0"/>
      <w:marRight w:val="0"/>
      <w:marTop w:val="0"/>
      <w:marBottom w:val="0"/>
      <w:divBdr>
        <w:top w:val="none" w:sz="0" w:space="0" w:color="auto"/>
        <w:left w:val="none" w:sz="0" w:space="0" w:color="auto"/>
        <w:bottom w:val="none" w:sz="0" w:space="0" w:color="auto"/>
        <w:right w:val="none" w:sz="0" w:space="0" w:color="auto"/>
      </w:divBdr>
    </w:div>
    <w:div w:id="1160467340">
      <w:bodyDiv w:val="1"/>
      <w:marLeft w:val="0"/>
      <w:marRight w:val="0"/>
      <w:marTop w:val="0"/>
      <w:marBottom w:val="0"/>
      <w:divBdr>
        <w:top w:val="none" w:sz="0" w:space="0" w:color="auto"/>
        <w:left w:val="none" w:sz="0" w:space="0" w:color="auto"/>
        <w:bottom w:val="none" w:sz="0" w:space="0" w:color="auto"/>
        <w:right w:val="none" w:sz="0" w:space="0" w:color="auto"/>
      </w:divBdr>
    </w:div>
    <w:div w:id="1162739994">
      <w:bodyDiv w:val="1"/>
      <w:marLeft w:val="0"/>
      <w:marRight w:val="0"/>
      <w:marTop w:val="0"/>
      <w:marBottom w:val="0"/>
      <w:divBdr>
        <w:top w:val="none" w:sz="0" w:space="0" w:color="auto"/>
        <w:left w:val="none" w:sz="0" w:space="0" w:color="auto"/>
        <w:bottom w:val="none" w:sz="0" w:space="0" w:color="auto"/>
        <w:right w:val="none" w:sz="0" w:space="0" w:color="auto"/>
      </w:divBdr>
    </w:div>
    <w:div w:id="1162811311">
      <w:bodyDiv w:val="1"/>
      <w:marLeft w:val="0"/>
      <w:marRight w:val="0"/>
      <w:marTop w:val="0"/>
      <w:marBottom w:val="0"/>
      <w:divBdr>
        <w:top w:val="none" w:sz="0" w:space="0" w:color="auto"/>
        <w:left w:val="none" w:sz="0" w:space="0" w:color="auto"/>
        <w:bottom w:val="none" w:sz="0" w:space="0" w:color="auto"/>
        <w:right w:val="none" w:sz="0" w:space="0" w:color="auto"/>
      </w:divBdr>
    </w:div>
    <w:div w:id="1163855339">
      <w:bodyDiv w:val="1"/>
      <w:marLeft w:val="0"/>
      <w:marRight w:val="0"/>
      <w:marTop w:val="0"/>
      <w:marBottom w:val="0"/>
      <w:divBdr>
        <w:top w:val="none" w:sz="0" w:space="0" w:color="auto"/>
        <w:left w:val="none" w:sz="0" w:space="0" w:color="auto"/>
        <w:bottom w:val="none" w:sz="0" w:space="0" w:color="auto"/>
        <w:right w:val="none" w:sz="0" w:space="0" w:color="auto"/>
      </w:divBdr>
    </w:div>
    <w:div w:id="1164583832">
      <w:bodyDiv w:val="1"/>
      <w:marLeft w:val="0"/>
      <w:marRight w:val="0"/>
      <w:marTop w:val="0"/>
      <w:marBottom w:val="0"/>
      <w:divBdr>
        <w:top w:val="none" w:sz="0" w:space="0" w:color="auto"/>
        <w:left w:val="none" w:sz="0" w:space="0" w:color="auto"/>
        <w:bottom w:val="none" w:sz="0" w:space="0" w:color="auto"/>
        <w:right w:val="none" w:sz="0" w:space="0" w:color="auto"/>
      </w:divBdr>
    </w:div>
    <w:div w:id="1165705257">
      <w:bodyDiv w:val="1"/>
      <w:marLeft w:val="0"/>
      <w:marRight w:val="0"/>
      <w:marTop w:val="0"/>
      <w:marBottom w:val="0"/>
      <w:divBdr>
        <w:top w:val="none" w:sz="0" w:space="0" w:color="auto"/>
        <w:left w:val="none" w:sz="0" w:space="0" w:color="auto"/>
        <w:bottom w:val="none" w:sz="0" w:space="0" w:color="auto"/>
        <w:right w:val="none" w:sz="0" w:space="0" w:color="auto"/>
      </w:divBdr>
    </w:div>
    <w:div w:id="1165826047">
      <w:bodyDiv w:val="1"/>
      <w:marLeft w:val="0"/>
      <w:marRight w:val="0"/>
      <w:marTop w:val="0"/>
      <w:marBottom w:val="0"/>
      <w:divBdr>
        <w:top w:val="none" w:sz="0" w:space="0" w:color="auto"/>
        <w:left w:val="none" w:sz="0" w:space="0" w:color="auto"/>
        <w:bottom w:val="none" w:sz="0" w:space="0" w:color="auto"/>
        <w:right w:val="none" w:sz="0" w:space="0" w:color="auto"/>
      </w:divBdr>
    </w:div>
    <w:div w:id="1166558570">
      <w:bodyDiv w:val="1"/>
      <w:marLeft w:val="0"/>
      <w:marRight w:val="0"/>
      <w:marTop w:val="0"/>
      <w:marBottom w:val="0"/>
      <w:divBdr>
        <w:top w:val="none" w:sz="0" w:space="0" w:color="auto"/>
        <w:left w:val="none" w:sz="0" w:space="0" w:color="auto"/>
        <w:bottom w:val="none" w:sz="0" w:space="0" w:color="auto"/>
        <w:right w:val="none" w:sz="0" w:space="0" w:color="auto"/>
      </w:divBdr>
    </w:div>
    <w:div w:id="1166939555">
      <w:bodyDiv w:val="1"/>
      <w:marLeft w:val="0"/>
      <w:marRight w:val="0"/>
      <w:marTop w:val="0"/>
      <w:marBottom w:val="0"/>
      <w:divBdr>
        <w:top w:val="none" w:sz="0" w:space="0" w:color="auto"/>
        <w:left w:val="none" w:sz="0" w:space="0" w:color="auto"/>
        <w:bottom w:val="none" w:sz="0" w:space="0" w:color="auto"/>
        <w:right w:val="none" w:sz="0" w:space="0" w:color="auto"/>
      </w:divBdr>
    </w:div>
    <w:div w:id="1168061231">
      <w:bodyDiv w:val="1"/>
      <w:marLeft w:val="0"/>
      <w:marRight w:val="0"/>
      <w:marTop w:val="0"/>
      <w:marBottom w:val="0"/>
      <w:divBdr>
        <w:top w:val="none" w:sz="0" w:space="0" w:color="auto"/>
        <w:left w:val="none" w:sz="0" w:space="0" w:color="auto"/>
        <w:bottom w:val="none" w:sz="0" w:space="0" w:color="auto"/>
        <w:right w:val="none" w:sz="0" w:space="0" w:color="auto"/>
      </w:divBdr>
    </w:div>
    <w:div w:id="1168247676">
      <w:bodyDiv w:val="1"/>
      <w:marLeft w:val="0"/>
      <w:marRight w:val="0"/>
      <w:marTop w:val="0"/>
      <w:marBottom w:val="0"/>
      <w:divBdr>
        <w:top w:val="none" w:sz="0" w:space="0" w:color="auto"/>
        <w:left w:val="none" w:sz="0" w:space="0" w:color="auto"/>
        <w:bottom w:val="none" w:sz="0" w:space="0" w:color="auto"/>
        <w:right w:val="none" w:sz="0" w:space="0" w:color="auto"/>
      </w:divBdr>
    </w:div>
    <w:div w:id="1168324810">
      <w:bodyDiv w:val="1"/>
      <w:marLeft w:val="0"/>
      <w:marRight w:val="0"/>
      <w:marTop w:val="0"/>
      <w:marBottom w:val="0"/>
      <w:divBdr>
        <w:top w:val="none" w:sz="0" w:space="0" w:color="auto"/>
        <w:left w:val="none" w:sz="0" w:space="0" w:color="auto"/>
        <w:bottom w:val="none" w:sz="0" w:space="0" w:color="auto"/>
        <w:right w:val="none" w:sz="0" w:space="0" w:color="auto"/>
      </w:divBdr>
    </w:div>
    <w:div w:id="1169367537">
      <w:bodyDiv w:val="1"/>
      <w:marLeft w:val="0"/>
      <w:marRight w:val="0"/>
      <w:marTop w:val="0"/>
      <w:marBottom w:val="0"/>
      <w:divBdr>
        <w:top w:val="none" w:sz="0" w:space="0" w:color="auto"/>
        <w:left w:val="none" w:sz="0" w:space="0" w:color="auto"/>
        <w:bottom w:val="none" w:sz="0" w:space="0" w:color="auto"/>
        <w:right w:val="none" w:sz="0" w:space="0" w:color="auto"/>
      </w:divBdr>
    </w:div>
    <w:div w:id="1169951764">
      <w:bodyDiv w:val="1"/>
      <w:marLeft w:val="0"/>
      <w:marRight w:val="0"/>
      <w:marTop w:val="0"/>
      <w:marBottom w:val="0"/>
      <w:divBdr>
        <w:top w:val="none" w:sz="0" w:space="0" w:color="auto"/>
        <w:left w:val="none" w:sz="0" w:space="0" w:color="auto"/>
        <w:bottom w:val="none" w:sz="0" w:space="0" w:color="auto"/>
        <w:right w:val="none" w:sz="0" w:space="0" w:color="auto"/>
      </w:divBdr>
    </w:div>
    <w:div w:id="1170750922">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171262836">
      <w:bodyDiv w:val="1"/>
      <w:marLeft w:val="0"/>
      <w:marRight w:val="0"/>
      <w:marTop w:val="0"/>
      <w:marBottom w:val="0"/>
      <w:divBdr>
        <w:top w:val="none" w:sz="0" w:space="0" w:color="auto"/>
        <w:left w:val="none" w:sz="0" w:space="0" w:color="auto"/>
        <w:bottom w:val="none" w:sz="0" w:space="0" w:color="auto"/>
        <w:right w:val="none" w:sz="0" w:space="0" w:color="auto"/>
      </w:divBdr>
    </w:div>
    <w:div w:id="1171482159">
      <w:bodyDiv w:val="1"/>
      <w:marLeft w:val="0"/>
      <w:marRight w:val="0"/>
      <w:marTop w:val="0"/>
      <w:marBottom w:val="0"/>
      <w:divBdr>
        <w:top w:val="none" w:sz="0" w:space="0" w:color="auto"/>
        <w:left w:val="none" w:sz="0" w:space="0" w:color="auto"/>
        <w:bottom w:val="none" w:sz="0" w:space="0" w:color="auto"/>
        <w:right w:val="none" w:sz="0" w:space="0" w:color="auto"/>
      </w:divBdr>
    </w:div>
    <w:div w:id="1171991184">
      <w:bodyDiv w:val="1"/>
      <w:marLeft w:val="0"/>
      <w:marRight w:val="0"/>
      <w:marTop w:val="0"/>
      <w:marBottom w:val="0"/>
      <w:divBdr>
        <w:top w:val="none" w:sz="0" w:space="0" w:color="auto"/>
        <w:left w:val="none" w:sz="0" w:space="0" w:color="auto"/>
        <w:bottom w:val="none" w:sz="0" w:space="0" w:color="auto"/>
        <w:right w:val="none" w:sz="0" w:space="0" w:color="auto"/>
      </w:divBdr>
    </w:div>
    <w:div w:id="1173881637">
      <w:bodyDiv w:val="1"/>
      <w:marLeft w:val="0"/>
      <w:marRight w:val="0"/>
      <w:marTop w:val="0"/>
      <w:marBottom w:val="0"/>
      <w:divBdr>
        <w:top w:val="none" w:sz="0" w:space="0" w:color="auto"/>
        <w:left w:val="none" w:sz="0" w:space="0" w:color="auto"/>
        <w:bottom w:val="none" w:sz="0" w:space="0" w:color="auto"/>
        <w:right w:val="none" w:sz="0" w:space="0" w:color="auto"/>
      </w:divBdr>
    </w:div>
    <w:div w:id="1177110083">
      <w:bodyDiv w:val="1"/>
      <w:marLeft w:val="0"/>
      <w:marRight w:val="0"/>
      <w:marTop w:val="0"/>
      <w:marBottom w:val="0"/>
      <w:divBdr>
        <w:top w:val="none" w:sz="0" w:space="0" w:color="auto"/>
        <w:left w:val="none" w:sz="0" w:space="0" w:color="auto"/>
        <w:bottom w:val="none" w:sz="0" w:space="0" w:color="auto"/>
        <w:right w:val="none" w:sz="0" w:space="0" w:color="auto"/>
      </w:divBdr>
    </w:div>
    <w:div w:id="1177842783">
      <w:bodyDiv w:val="1"/>
      <w:marLeft w:val="0"/>
      <w:marRight w:val="0"/>
      <w:marTop w:val="0"/>
      <w:marBottom w:val="0"/>
      <w:divBdr>
        <w:top w:val="none" w:sz="0" w:space="0" w:color="auto"/>
        <w:left w:val="none" w:sz="0" w:space="0" w:color="auto"/>
        <w:bottom w:val="none" w:sz="0" w:space="0" w:color="auto"/>
        <w:right w:val="none" w:sz="0" w:space="0" w:color="auto"/>
      </w:divBdr>
    </w:div>
    <w:div w:id="1178421941">
      <w:bodyDiv w:val="1"/>
      <w:marLeft w:val="0"/>
      <w:marRight w:val="0"/>
      <w:marTop w:val="0"/>
      <w:marBottom w:val="0"/>
      <w:divBdr>
        <w:top w:val="none" w:sz="0" w:space="0" w:color="auto"/>
        <w:left w:val="none" w:sz="0" w:space="0" w:color="auto"/>
        <w:bottom w:val="none" w:sz="0" w:space="0" w:color="auto"/>
        <w:right w:val="none" w:sz="0" w:space="0" w:color="auto"/>
      </w:divBdr>
    </w:div>
    <w:div w:id="1179662714">
      <w:bodyDiv w:val="1"/>
      <w:marLeft w:val="0"/>
      <w:marRight w:val="0"/>
      <w:marTop w:val="0"/>
      <w:marBottom w:val="0"/>
      <w:divBdr>
        <w:top w:val="none" w:sz="0" w:space="0" w:color="auto"/>
        <w:left w:val="none" w:sz="0" w:space="0" w:color="auto"/>
        <w:bottom w:val="none" w:sz="0" w:space="0" w:color="auto"/>
        <w:right w:val="none" w:sz="0" w:space="0" w:color="auto"/>
      </w:divBdr>
    </w:div>
    <w:div w:id="1185627974">
      <w:bodyDiv w:val="1"/>
      <w:marLeft w:val="0"/>
      <w:marRight w:val="0"/>
      <w:marTop w:val="0"/>
      <w:marBottom w:val="0"/>
      <w:divBdr>
        <w:top w:val="none" w:sz="0" w:space="0" w:color="auto"/>
        <w:left w:val="none" w:sz="0" w:space="0" w:color="auto"/>
        <w:bottom w:val="none" w:sz="0" w:space="0" w:color="auto"/>
        <w:right w:val="none" w:sz="0" w:space="0" w:color="auto"/>
      </w:divBdr>
    </w:div>
    <w:div w:id="1186938735">
      <w:bodyDiv w:val="1"/>
      <w:marLeft w:val="0"/>
      <w:marRight w:val="0"/>
      <w:marTop w:val="0"/>
      <w:marBottom w:val="0"/>
      <w:divBdr>
        <w:top w:val="none" w:sz="0" w:space="0" w:color="auto"/>
        <w:left w:val="none" w:sz="0" w:space="0" w:color="auto"/>
        <w:bottom w:val="none" w:sz="0" w:space="0" w:color="auto"/>
        <w:right w:val="none" w:sz="0" w:space="0" w:color="auto"/>
      </w:divBdr>
    </w:div>
    <w:div w:id="1187061193">
      <w:bodyDiv w:val="1"/>
      <w:marLeft w:val="0"/>
      <w:marRight w:val="0"/>
      <w:marTop w:val="0"/>
      <w:marBottom w:val="0"/>
      <w:divBdr>
        <w:top w:val="none" w:sz="0" w:space="0" w:color="auto"/>
        <w:left w:val="none" w:sz="0" w:space="0" w:color="auto"/>
        <w:bottom w:val="none" w:sz="0" w:space="0" w:color="auto"/>
        <w:right w:val="none" w:sz="0" w:space="0" w:color="auto"/>
      </w:divBdr>
    </w:div>
    <w:div w:id="1187215188">
      <w:bodyDiv w:val="1"/>
      <w:marLeft w:val="0"/>
      <w:marRight w:val="0"/>
      <w:marTop w:val="0"/>
      <w:marBottom w:val="0"/>
      <w:divBdr>
        <w:top w:val="none" w:sz="0" w:space="0" w:color="auto"/>
        <w:left w:val="none" w:sz="0" w:space="0" w:color="auto"/>
        <w:bottom w:val="none" w:sz="0" w:space="0" w:color="auto"/>
        <w:right w:val="none" w:sz="0" w:space="0" w:color="auto"/>
      </w:divBdr>
    </w:div>
    <w:div w:id="1188981900">
      <w:bodyDiv w:val="1"/>
      <w:marLeft w:val="0"/>
      <w:marRight w:val="0"/>
      <w:marTop w:val="0"/>
      <w:marBottom w:val="0"/>
      <w:divBdr>
        <w:top w:val="none" w:sz="0" w:space="0" w:color="auto"/>
        <w:left w:val="none" w:sz="0" w:space="0" w:color="auto"/>
        <w:bottom w:val="none" w:sz="0" w:space="0" w:color="auto"/>
        <w:right w:val="none" w:sz="0" w:space="0" w:color="auto"/>
      </w:divBdr>
    </w:div>
    <w:div w:id="1189177849">
      <w:bodyDiv w:val="1"/>
      <w:marLeft w:val="0"/>
      <w:marRight w:val="0"/>
      <w:marTop w:val="0"/>
      <w:marBottom w:val="0"/>
      <w:divBdr>
        <w:top w:val="none" w:sz="0" w:space="0" w:color="auto"/>
        <w:left w:val="none" w:sz="0" w:space="0" w:color="auto"/>
        <w:bottom w:val="none" w:sz="0" w:space="0" w:color="auto"/>
        <w:right w:val="none" w:sz="0" w:space="0" w:color="auto"/>
      </w:divBdr>
    </w:div>
    <w:div w:id="1190683363">
      <w:bodyDiv w:val="1"/>
      <w:marLeft w:val="0"/>
      <w:marRight w:val="0"/>
      <w:marTop w:val="0"/>
      <w:marBottom w:val="0"/>
      <w:divBdr>
        <w:top w:val="none" w:sz="0" w:space="0" w:color="auto"/>
        <w:left w:val="none" w:sz="0" w:space="0" w:color="auto"/>
        <w:bottom w:val="none" w:sz="0" w:space="0" w:color="auto"/>
        <w:right w:val="none" w:sz="0" w:space="0" w:color="auto"/>
      </w:divBdr>
    </w:div>
    <w:div w:id="1195655878">
      <w:bodyDiv w:val="1"/>
      <w:marLeft w:val="0"/>
      <w:marRight w:val="0"/>
      <w:marTop w:val="0"/>
      <w:marBottom w:val="0"/>
      <w:divBdr>
        <w:top w:val="none" w:sz="0" w:space="0" w:color="auto"/>
        <w:left w:val="none" w:sz="0" w:space="0" w:color="auto"/>
        <w:bottom w:val="none" w:sz="0" w:space="0" w:color="auto"/>
        <w:right w:val="none" w:sz="0" w:space="0" w:color="auto"/>
      </w:divBdr>
    </w:div>
    <w:div w:id="1196114705">
      <w:bodyDiv w:val="1"/>
      <w:marLeft w:val="0"/>
      <w:marRight w:val="0"/>
      <w:marTop w:val="0"/>
      <w:marBottom w:val="0"/>
      <w:divBdr>
        <w:top w:val="none" w:sz="0" w:space="0" w:color="auto"/>
        <w:left w:val="none" w:sz="0" w:space="0" w:color="auto"/>
        <w:bottom w:val="none" w:sz="0" w:space="0" w:color="auto"/>
        <w:right w:val="none" w:sz="0" w:space="0" w:color="auto"/>
      </w:divBdr>
    </w:div>
    <w:div w:id="1196234871">
      <w:bodyDiv w:val="1"/>
      <w:marLeft w:val="0"/>
      <w:marRight w:val="0"/>
      <w:marTop w:val="0"/>
      <w:marBottom w:val="0"/>
      <w:divBdr>
        <w:top w:val="none" w:sz="0" w:space="0" w:color="auto"/>
        <w:left w:val="none" w:sz="0" w:space="0" w:color="auto"/>
        <w:bottom w:val="none" w:sz="0" w:space="0" w:color="auto"/>
        <w:right w:val="none" w:sz="0" w:space="0" w:color="auto"/>
      </w:divBdr>
    </w:div>
    <w:div w:id="1196315113">
      <w:bodyDiv w:val="1"/>
      <w:marLeft w:val="0"/>
      <w:marRight w:val="0"/>
      <w:marTop w:val="0"/>
      <w:marBottom w:val="0"/>
      <w:divBdr>
        <w:top w:val="none" w:sz="0" w:space="0" w:color="auto"/>
        <w:left w:val="none" w:sz="0" w:space="0" w:color="auto"/>
        <w:bottom w:val="none" w:sz="0" w:space="0" w:color="auto"/>
        <w:right w:val="none" w:sz="0" w:space="0" w:color="auto"/>
      </w:divBdr>
    </w:div>
    <w:div w:id="1197893793">
      <w:bodyDiv w:val="1"/>
      <w:marLeft w:val="0"/>
      <w:marRight w:val="0"/>
      <w:marTop w:val="0"/>
      <w:marBottom w:val="0"/>
      <w:divBdr>
        <w:top w:val="none" w:sz="0" w:space="0" w:color="auto"/>
        <w:left w:val="none" w:sz="0" w:space="0" w:color="auto"/>
        <w:bottom w:val="none" w:sz="0" w:space="0" w:color="auto"/>
        <w:right w:val="none" w:sz="0" w:space="0" w:color="auto"/>
      </w:divBdr>
    </w:div>
    <w:div w:id="1200432382">
      <w:bodyDiv w:val="1"/>
      <w:marLeft w:val="0"/>
      <w:marRight w:val="0"/>
      <w:marTop w:val="0"/>
      <w:marBottom w:val="0"/>
      <w:divBdr>
        <w:top w:val="none" w:sz="0" w:space="0" w:color="auto"/>
        <w:left w:val="none" w:sz="0" w:space="0" w:color="auto"/>
        <w:bottom w:val="none" w:sz="0" w:space="0" w:color="auto"/>
        <w:right w:val="none" w:sz="0" w:space="0" w:color="auto"/>
      </w:divBdr>
    </w:div>
    <w:div w:id="1203788769">
      <w:bodyDiv w:val="1"/>
      <w:marLeft w:val="0"/>
      <w:marRight w:val="0"/>
      <w:marTop w:val="0"/>
      <w:marBottom w:val="0"/>
      <w:divBdr>
        <w:top w:val="none" w:sz="0" w:space="0" w:color="auto"/>
        <w:left w:val="none" w:sz="0" w:space="0" w:color="auto"/>
        <w:bottom w:val="none" w:sz="0" w:space="0" w:color="auto"/>
        <w:right w:val="none" w:sz="0" w:space="0" w:color="auto"/>
      </w:divBdr>
    </w:div>
    <w:div w:id="1204826935">
      <w:bodyDiv w:val="1"/>
      <w:marLeft w:val="0"/>
      <w:marRight w:val="0"/>
      <w:marTop w:val="0"/>
      <w:marBottom w:val="0"/>
      <w:divBdr>
        <w:top w:val="none" w:sz="0" w:space="0" w:color="auto"/>
        <w:left w:val="none" w:sz="0" w:space="0" w:color="auto"/>
        <w:bottom w:val="none" w:sz="0" w:space="0" w:color="auto"/>
        <w:right w:val="none" w:sz="0" w:space="0" w:color="auto"/>
      </w:divBdr>
    </w:div>
    <w:div w:id="1205362530">
      <w:bodyDiv w:val="1"/>
      <w:marLeft w:val="0"/>
      <w:marRight w:val="0"/>
      <w:marTop w:val="0"/>
      <w:marBottom w:val="0"/>
      <w:divBdr>
        <w:top w:val="none" w:sz="0" w:space="0" w:color="auto"/>
        <w:left w:val="none" w:sz="0" w:space="0" w:color="auto"/>
        <w:bottom w:val="none" w:sz="0" w:space="0" w:color="auto"/>
        <w:right w:val="none" w:sz="0" w:space="0" w:color="auto"/>
      </w:divBdr>
    </w:div>
    <w:div w:id="1206139788">
      <w:bodyDiv w:val="1"/>
      <w:marLeft w:val="0"/>
      <w:marRight w:val="0"/>
      <w:marTop w:val="0"/>
      <w:marBottom w:val="0"/>
      <w:divBdr>
        <w:top w:val="none" w:sz="0" w:space="0" w:color="auto"/>
        <w:left w:val="none" w:sz="0" w:space="0" w:color="auto"/>
        <w:bottom w:val="none" w:sz="0" w:space="0" w:color="auto"/>
        <w:right w:val="none" w:sz="0" w:space="0" w:color="auto"/>
      </w:divBdr>
    </w:div>
    <w:div w:id="1206722305">
      <w:bodyDiv w:val="1"/>
      <w:marLeft w:val="0"/>
      <w:marRight w:val="0"/>
      <w:marTop w:val="0"/>
      <w:marBottom w:val="0"/>
      <w:divBdr>
        <w:top w:val="none" w:sz="0" w:space="0" w:color="auto"/>
        <w:left w:val="none" w:sz="0" w:space="0" w:color="auto"/>
        <w:bottom w:val="none" w:sz="0" w:space="0" w:color="auto"/>
        <w:right w:val="none" w:sz="0" w:space="0" w:color="auto"/>
      </w:divBdr>
    </w:div>
    <w:div w:id="1206990754">
      <w:bodyDiv w:val="1"/>
      <w:marLeft w:val="0"/>
      <w:marRight w:val="0"/>
      <w:marTop w:val="0"/>
      <w:marBottom w:val="0"/>
      <w:divBdr>
        <w:top w:val="none" w:sz="0" w:space="0" w:color="auto"/>
        <w:left w:val="none" w:sz="0" w:space="0" w:color="auto"/>
        <w:bottom w:val="none" w:sz="0" w:space="0" w:color="auto"/>
        <w:right w:val="none" w:sz="0" w:space="0" w:color="auto"/>
      </w:divBdr>
    </w:div>
    <w:div w:id="1207373136">
      <w:bodyDiv w:val="1"/>
      <w:marLeft w:val="0"/>
      <w:marRight w:val="0"/>
      <w:marTop w:val="0"/>
      <w:marBottom w:val="0"/>
      <w:divBdr>
        <w:top w:val="none" w:sz="0" w:space="0" w:color="auto"/>
        <w:left w:val="none" w:sz="0" w:space="0" w:color="auto"/>
        <w:bottom w:val="none" w:sz="0" w:space="0" w:color="auto"/>
        <w:right w:val="none" w:sz="0" w:space="0" w:color="auto"/>
      </w:divBdr>
    </w:div>
    <w:div w:id="1208564239">
      <w:bodyDiv w:val="1"/>
      <w:marLeft w:val="0"/>
      <w:marRight w:val="0"/>
      <w:marTop w:val="0"/>
      <w:marBottom w:val="0"/>
      <w:divBdr>
        <w:top w:val="none" w:sz="0" w:space="0" w:color="auto"/>
        <w:left w:val="none" w:sz="0" w:space="0" w:color="auto"/>
        <w:bottom w:val="none" w:sz="0" w:space="0" w:color="auto"/>
        <w:right w:val="none" w:sz="0" w:space="0" w:color="auto"/>
      </w:divBdr>
    </w:div>
    <w:div w:id="1208570771">
      <w:bodyDiv w:val="1"/>
      <w:marLeft w:val="0"/>
      <w:marRight w:val="0"/>
      <w:marTop w:val="0"/>
      <w:marBottom w:val="0"/>
      <w:divBdr>
        <w:top w:val="none" w:sz="0" w:space="0" w:color="auto"/>
        <w:left w:val="none" w:sz="0" w:space="0" w:color="auto"/>
        <w:bottom w:val="none" w:sz="0" w:space="0" w:color="auto"/>
        <w:right w:val="none" w:sz="0" w:space="0" w:color="auto"/>
      </w:divBdr>
    </w:div>
    <w:div w:id="1208950299">
      <w:bodyDiv w:val="1"/>
      <w:marLeft w:val="0"/>
      <w:marRight w:val="0"/>
      <w:marTop w:val="0"/>
      <w:marBottom w:val="0"/>
      <w:divBdr>
        <w:top w:val="none" w:sz="0" w:space="0" w:color="auto"/>
        <w:left w:val="none" w:sz="0" w:space="0" w:color="auto"/>
        <w:bottom w:val="none" w:sz="0" w:space="0" w:color="auto"/>
        <w:right w:val="none" w:sz="0" w:space="0" w:color="auto"/>
      </w:divBdr>
    </w:div>
    <w:div w:id="1209147525">
      <w:bodyDiv w:val="1"/>
      <w:marLeft w:val="0"/>
      <w:marRight w:val="0"/>
      <w:marTop w:val="0"/>
      <w:marBottom w:val="0"/>
      <w:divBdr>
        <w:top w:val="none" w:sz="0" w:space="0" w:color="auto"/>
        <w:left w:val="none" w:sz="0" w:space="0" w:color="auto"/>
        <w:bottom w:val="none" w:sz="0" w:space="0" w:color="auto"/>
        <w:right w:val="none" w:sz="0" w:space="0" w:color="auto"/>
      </w:divBdr>
    </w:div>
    <w:div w:id="1211842542">
      <w:bodyDiv w:val="1"/>
      <w:marLeft w:val="0"/>
      <w:marRight w:val="0"/>
      <w:marTop w:val="0"/>
      <w:marBottom w:val="0"/>
      <w:divBdr>
        <w:top w:val="none" w:sz="0" w:space="0" w:color="auto"/>
        <w:left w:val="none" w:sz="0" w:space="0" w:color="auto"/>
        <w:bottom w:val="none" w:sz="0" w:space="0" w:color="auto"/>
        <w:right w:val="none" w:sz="0" w:space="0" w:color="auto"/>
      </w:divBdr>
    </w:div>
    <w:div w:id="1211848041">
      <w:bodyDiv w:val="1"/>
      <w:marLeft w:val="0"/>
      <w:marRight w:val="0"/>
      <w:marTop w:val="0"/>
      <w:marBottom w:val="0"/>
      <w:divBdr>
        <w:top w:val="none" w:sz="0" w:space="0" w:color="auto"/>
        <w:left w:val="none" w:sz="0" w:space="0" w:color="auto"/>
        <w:bottom w:val="none" w:sz="0" w:space="0" w:color="auto"/>
        <w:right w:val="none" w:sz="0" w:space="0" w:color="auto"/>
      </w:divBdr>
    </w:div>
    <w:div w:id="1212113190">
      <w:bodyDiv w:val="1"/>
      <w:marLeft w:val="0"/>
      <w:marRight w:val="0"/>
      <w:marTop w:val="0"/>
      <w:marBottom w:val="0"/>
      <w:divBdr>
        <w:top w:val="none" w:sz="0" w:space="0" w:color="auto"/>
        <w:left w:val="none" w:sz="0" w:space="0" w:color="auto"/>
        <w:bottom w:val="none" w:sz="0" w:space="0" w:color="auto"/>
        <w:right w:val="none" w:sz="0" w:space="0" w:color="auto"/>
      </w:divBdr>
    </w:div>
    <w:div w:id="1215001072">
      <w:bodyDiv w:val="1"/>
      <w:marLeft w:val="0"/>
      <w:marRight w:val="0"/>
      <w:marTop w:val="0"/>
      <w:marBottom w:val="0"/>
      <w:divBdr>
        <w:top w:val="none" w:sz="0" w:space="0" w:color="auto"/>
        <w:left w:val="none" w:sz="0" w:space="0" w:color="auto"/>
        <w:bottom w:val="none" w:sz="0" w:space="0" w:color="auto"/>
        <w:right w:val="none" w:sz="0" w:space="0" w:color="auto"/>
      </w:divBdr>
    </w:div>
    <w:div w:id="1215241708">
      <w:bodyDiv w:val="1"/>
      <w:marLeft w:val="0"/>
      <w:marRight w:val="0"/>
      <w:marTop w:val="0"/>
      <w:marBottom w:val="0"/>
      <w:divBdr>
        <w:top w:val="none" w:sz="0" w:space="0" w:color="auto"/>
        <w:left w:val="none" w:sz="0" w:space="0" w:color="auto"/>
        <w:bottom w:val="none" w:sz="0" w:space="0" w:color="auto"/>
        <w:right w:val="none" w:sz="0" w:space="0" w:color="auto"/>
      </w:divBdr>
    </w:div>
    <w:div w:id="1216812834">
      <w:bodyDiv w:val="1"/>
      <w:marLeft w:val="0"/>
      <w:marRight w:val="0"/>
      <w:marTop w:val="0"/>
      <w:marBottom w:val="0"/>
      <w:divBdr>
        <w:top w:val="none" w:sz="0" w:space="0" w:color="auto"/>
        <w:left w:val="none" w:sz="0" w:space="0" w:color="auto"/>
        <w:bottom w:val="none" w:sz="0" w:space="0" w:color="auto"/>
        <w:right w:val="none" w:sz="0" w:space="0" w:color="auto"/>
      </w:divBdr>
    </w:div>
    <w:div w:id="1219197410">
      <w:bodyDiv w:val="1"/>
      <w:marLeft w:val="0"/>
      <w:marRight w:val="0"/>
      <w:marTop w:val="0"/>
      <w:marBottom w:val="0"/>
      <w:divBdr>
        <w:top w:val="none" w:sz="0" w:space="0" w:color="auto"/>
        <w:left w:val="none" w:sz="0" w:space="0" w:color="auto"/>
        <w:bottom w:val="none" w:sz="0" w:space="0" w:color="auto"/>
        <w:right w:val="none" w:sz="0" w:space="0" w:color="auto"/>
      </w:divBdr>
    </w:div>
    <w:div w:id="1221793594">
      <w:bodyDiv w:val="1"/>
      <w:marLeft w:val="0"/>
      <w:marRight w:val="0"/>
      <w:marTop w:val="0"/>
      <w:marBottom w:val="0"/>
      <w:divBdr>
        <w:top w:val="none" w:sz="0" w:space="0" w:color="auto"/>
        <w:left w:val="none" w:sz="0" w:space="0" w:color="auto"/>
        <w:bottom w:val="none" w:sz="0" w:space="0" w:color="auto"/>
        <w:right w:val="none" w:sz="0" w:space="0" w:color="auto"/>
      </w:divBdr>
    </w:div>
    <w:div w:id="1223325153">
      <w:bodyDiv w:val="1"/>
      <w:marLeft w:val="0"/>
      <w:marRight w:val="0"/>
      <w:marTop w:val="0"/>
      <w:marBottom w:val="0"/>
      <w:divBdr>
        <w:top w:val="none" w:sz="0" w:space="0" w:color="auto"/>
        <w:left w:val="none" w:sz="0" w:space="0" w:color="auto"/>
        <w:bottom w:val="none" w:sz="0" w:space="0" w:color="auto"/>
        <w:right w:val="none" w:sz="0" w:space="0" w:color="auto"/>
      </w:divBdr>
    </w:div>
    <w:div w:id="1223950818">
      <w:bodyDiv w:val="1"/>
      <w:marLeft w:val="0"/>
      <w:marRight w:val="0"/>
      <w:marTop w:val="0"/>
      <w:marBottom w:val="0"/>
      <w:divBdr>
        <w:top w:val="none" w:sz="0" w:space="0" w:color="auto"/>
        <w:left w:val="none" w:sz="0" w:space="0" w:color="auto"/>
        <w:bottom w:val="none" w:sz="0" w:space="0" w:color="auto"/>
        <w:right w:val="none" w:sz="0" w:space="0" w:color="auto"/>
      </w:divBdr>
    </w:div>
    <w:div w:id="1226144624">
      <w:bodyDiv w:val="1"/>
      <w:marLeft w:val="0"/>
      <w:marRight w:val="0"/>
      <w:marTop w:val="0"/>
      <w:marBottom w:val="0"/>
      <w:divBdr>
        <w:top w:val="none" w:sz="0" w:space="0" w:color="auto"/>
        <w:left w:val="none" w:sz="0" w:space="0" w:color="auto"/>
        <w:bottom w:val="none" w:sz="0" w:space="0" w:color="auto"/>
        <w:right w:val="none" w:sz="0" w:space="0" w:color="auto"/>
      </w:divBdr>
    </w:div>
    <w:div w:id="1228569377">
      <w:bodyDiv w:val="1"/>
      <w:marLeft w:val="0"/>
      <w:marRight w:val="0"/>
      <w:marTop w:val="0"/>
      <w:marBottom w:val="0"/>
      <w:divBdr>
        <w:top w:val="none" w:sz="0" w:space="0" w:color="auto"/>
        <w:left w:val="none" w:sz="0" w:space="0" w:color="auto"/>
        <w:bottom w:val="none" w:sz="0" w:space="0" w:color="auto"/>
        <w:right w:val="none" w:sz="0" w:space="0" w:color="auto"/>
      </w:divBdr>
    </w:div>
    <w:div w:id="1230966725">
      <w:bodyDiv w:val="1"/>
      <w:marLeft w:val="0"/>
      <w:marRight w:val="0"/>
      <w:marTop w:val="0"/>
      <w:marBottom w:val="0"/>
      <w:divBdr>
        <w:top w:val="none" w:sz="0" w:space="0" w:color="auto"/>
        <w:left w:val="none" w:sz="0" w:space="0" w:color="auto"/>
        <w:bottom w:val="none" w:sz="0" w:space="0" w:color="auto"/>
        <w:right w:val="none" w:sz="0" w:space="0" w:color="auto"/>
      </w:divBdr>
    </w:div>
    <w:div w:id="1231041030">
      <w:bodyDiv w:val="1"/>
      <w:marLeft w:val="0"/>
      <w:marRight w:val="0"/>
      <w:marTop w:val="0"/>
      <w:marBottom w:val="0"/>
      <w:divBdr>
        <w:top w:val="none" w:sz="0" w:space="0" w:color="auto"/>
        <w:left w:val="none" w:sz="0" w:space="0" w:color="auto"/>
        <w:bottom w:val="none" w:sz="0" w:space="0" w:color="auto"/>
        <w:right w:val="none" w:sz="0" w:space="0" w:color="auto"/>
      </w:divBdr>
    </w:div>
    <w:div w:id="1233003293">
      <w:bodyDiv w:val="1"/>
      <w:marLeft w:val="0"/>
      <w:marRight w:val="0"/>
      <w:marTop w:val="0"/>
      <w:marBottom w:val="0"/>
      <w:divBdr>
        <w:top w:val="none" w:sz="0" w:space="0" w:color="auto"/>
        <w:left w:val="none" w:sz="0" w:space="0" w:color="auto"/>
        <w:bottom w:val="none" w:sz="0" w:space="0" w:color="auto"/>
        <w:right w:val="none" w:sz="0" w:space="0" w:color="auto"/>
      </w:divBdr>
    </w:div>
    <w:div w:id="1234702215">
      <w:bodyDiv w:val="1"/>
      <w:marLeft w:val="0"/>
      <w:marRight w:val="0"/>
      <w:marTop w:val="0"/>
      <w:marBottom w:val="0"/>
      <w:divBdr>
        <w:top w:val="none" w:sz="0" w:space="0" w:color="auto"/>
        <w:left w:val="none" w:sz="0" w:space="0" w:color="auto"/>
        <w:bottom w:val="none" w:sz="0" w:space="0" w:color="auto"/>
        <w:right w:val="none" w:sz="0" w:space="0" w:color="auto"/>
      </w:divBdr>
    </w:div>
    <w:div w:id="1236088889">
      <w:bodyDiv w:val="1"/>
      <w:marLeft w:val="0"/>
      <w:marRight w:val="0"/>
      <w:marTop w:val="0"/>
      <w:marBottom w:val="0"/>
      <w:divBdr>
        <w:top w:val="none" w:sz="0" w:space="0" w:color="auto"/>
        <w:left w:val="none" w:sz="0" w:space="0" w:color="auto"/>
        <w:bottom w:val="none" w:sz="0" w:space="0" w:color="auto"/>
        <w:right w:val="none" w:sz="0" w:space="0" w:color="auto"/>
      </w:divBdr>
    </w:div>
    <w:div w:id="1236163703">
      <w:bodyDiv w:val="1"/>
      <w:marLeft w:val="0"/>
      <w:marRight w:val="0"/>
      <w:marTop w:val="0"/>
      <w:marBottom w:val="0"/>
      <w:divBdr>
        <w:top w:val="none" w:sz="0" w:space="0" w:color="auto"/>
        <w:left w:val="none" w:sz="0" w:space="0" w:color="auto"/>
        <w:bottom w:val="none" w:sz="0" w:space="0" w:color="auto"/>
        <w:right w:val="none" w:sz="0" w:space="0" w:color="auto"/>
      </w:divBdr>
    </w:div>
    <w:div w:id="1236434820">
      <w:bodyDiv w:val="1"/>
      <w:marLeft w:val="0"/>
      <w:marRight w:val="0"/>
      <w:marTop w:val="0"/>
      <w:marBottom w:val="0"/>
      <w:divBdr>
        <w:top w:val="none" w:sz="0" w:space="0" w:color="auto"/>
        <w:left w:val="none" w:sz="0" w:space="0" w:color="auto"/>
        <w:bottom w:val="none" w:sz="0" w:space="0" w:color="auto"/>
        <w:right w:val="none" w:sz="0" w:space="0" w:color="auto"/>
      </w:divBdr>
    </w:div>
    <w:div w:id="1238053546">
      <w:bodyDiv w:val="1"/>
      <w:marLeft w:val="0"/>
      <w:marRight w:val="0"/>
      <w:marTop w:val="0"/>
      <w:marBottom w:val="0"/>
      <w:divBdr>
        <w:top w:val="none" w:sz="0" w:space="0" w:color="auto"/>
        <w:left w:val="none" w:sz="0" w:space="0" w:color="auto"/>
        <w:bottom w:val="none" w:sz="0" w:space="0" w:color="auto"/>
        <w:right w:val="none" w:sz="0" w:space="0" w:color="auto"/>
      </w:divBdr>
    </w:div>
    <w:div w:id="1239898194">
      <w:bodyDiv w:val="1"/>
      <w:marLeft w:val="0"/>
      <w:marRight w:val="0"/>
      <w:marTop w:val="0"/>
      <w:marBottom w:val="0"/>
      <w:divBdr>
        <w:top w:val="none" w:sz="0" w:space="0" w:color="auto"/>
        <w:left w:val="none" w:sz="0" w:space="0" w:color="auto"/>
        <w:bottom w:val="none" w:sz="0" w:space="0" w:color="auto"/>
        <w:right w:val="none" w:sz="0" w:space="0" w:color="auto"/>
      </w:divBdr>
    </w:div>
    <w:div w:id="1239901613">
      <w:bodyDiv w:val="1"/>
      <w:marLeft w:val="0"/>
      <w:marRight w:val="0"/>
      <w:marTop w:val="0"/>
      <w:marBottom w:val="0"/>
      <w:divBdr>
        <w:top w:val="none" w:sz="0" w:space="0" w:color="auto"/>
        <w:left w:val="none" w:sz="0" w:space="0" w:color="auto"/>
        <w:bottom w:val="none" w:sz="0" w:space="0" w:color="auto"/>
        <w:right w:val="none" w:sz="0" w:space="0" w:color="auto"/>
      </w:divBdr>
    </w:div>
    <w:div w:id="1239946245">
      <w:bodyDiv w:val="1"/>
      <w:marLeft w:val="0"/>
      <w:marRight w:val="0"/>
      <w:marTop w:val="0"/>
      <w:marBottom w:val="0"/>
      <w:divBdr>
        <w:top w:val="none" w:sz="0" w:space="0" w:color="auto"/>
        <w:left w:val="none" w:sz="0" w:space="0" w:color="auto"/>
        <w:bottom w:val="none" w:sz="0" w:space="0" w:color="auto"/>
        <w:right w:val="none" w:sz="0" w:space="0" w:color="auto"/>
      </w:divBdr>
    </w:div>
    <w:div w:id="1240748842">
      <w:bodyDiv w:val="1"/>
      <w:marLeft w:val="0"/>
      <w:marRight w:val="0"/>
      <w:marTop w:val="0"/>
      <w:marBottom w:val="0"/>
      <w:divBdr>
        <w:top w:val="none" w:sz="0" w:space="0" w:color="auto"/>
        <w:left w:val="none" w:sz="0" w:space="0" w:color="auto"/>
        <w:bottom w:val="none" w:sz="0" w:space="0" w:color="auto"/>
        <w:right w:val="none" w:sz="0" w:space="0" w:color="auto"/>
      </w:divBdr>
    </w:div>
    <w:div w:id="1241328297">
      <w:bodyDiv w:val="1"/>
      <w:marLeft w:val="0"/>
      <w:marRight w:val="0"/>
      <w:marTop w:val="0"/>
      <w:marBottom w:val="0"/>
      <w:divBdr>
        <w:top w:val="none" w:sz="0" w:space="0" w:color="auto"/>
        <w:left w:val="none" w:sz="0" w:space="0" w:color="auto"/>
        <w:bottom w:val="none" w:sz="0" w:space="0" w:color="auto"/>
        <w:right w:val="none" w:sz="0" w:space="0" w:color="auto"/>
      </w:divBdr>
    </w:div>
    <w:div w:id="1242058812">
      <w:bodyDiv w:val="1"/>
      <w:marLeft w:val="0"/>
      <w:marRight w:val="0"/>
      <w:marTop w:val="0"/>
      <w:marBottom w:val="0"/>
      <w:divBdr>
        <w:top w:val="none" w:sz="0" w:space="0" w:color="auto"/>
        <w:left w:val="none" w:sz="0" w:space="0" w:color="auto"/>
        <w:bottom w:val="none" w:sz="0" w:space="0" w:color="auto"/>
        <w:right w:val="none" w:sz="0" w:space="0" w:color="auto"/>
      </w:divBdr>
    </w:div>
    <w:div w:id="1245143403">
      <w:bodyDiv w:val="1"/>
      <w:marLeft w:val="0"/>
      <w:marRight w:val="0"/>
      <w:marTop w:val="0"/>
      <w:marBottom w:val="0"/>
      <w:divBdr>
        <w:top w:val="none" w:sz="0" w:space="0" w:color="auto"/>
        <w:left w:val="none" w:sz="0" w:space="0" w:color="auto"/>
        <w:bottom w:val="none" w:sz="0" w:space="0" w:color="auto"/>
        <w:right w:val="none" w:sz="0" w:space="0" w:color="auto"/>
      </w:divBdr>
    </w:div>
    <w:div w:id="1245334258">
      <w:bodyDiv w:val="1"/>
      <w:marLeft w:val="0"/>
      <w:marRight w:val="0"/>
      <w:marTop w:val="0"/>
      <w:marBottom w:val="0"/>
      <w:divBdr>
        <w:top w:val="none" w:sz="0" w:space="0" w:color="auto"/>
        <w:left w:val="none" w:sz="0" w:space="0" w:color="auto"/>
        <w:bottom w:val="none" w:sz="0" w:space="0" w:color="auto"/>
        <w:right w:val="none" w:sz="0" w:space="0" w:color="auto"/>
      </w:divBdr>
    </w:div>
    <w:div w:id="1245410545">
      <w:bodyDiv w:val="1"/>
      <w:marLeft w:val="0"/>
      <w:marRight w:val="0"/>
      <w:marTop w:val="0"/>
      <w:marBottom w:val="0"/>
      <w:divBdr>
        <w:top w:val="none" w:sz="0" w:space="0" w:color="auto"/>
        <w:left w:val="none" w:sz="0" w:space="0" w:color="auto"/>
        <w:bottom w:val="none" w:sz="0" w:space="0" w:color="auto"/>
        <w:right w:val="none" w:sz="0" w:space="0" w:color="auto"/>
      </w:divBdr>
    </w:div>
    <w:div w:id="1249193985">
      <w:bodyDiv w:val="1"/>
      <w:marLeft w:val="0"/>
      <w:marRight w:val="0"/>
      <w:marTop w:val="0"/>
      <w:marBottom w:val="0"/>
      <w:divBdr>
        <w:top w:val="none" w:sz="0" w:space="0" w:color="auto"/>
        <w:left w:val="none" w:sz="0" w:space="0" w:color="auto"/>
        <w:bottom w:val="none" w:sz="0" w:space="0" w:color="auto"/>
        <w:right w:val="none" w:sz="0" w:space="0" w:color="auto"/>
      </w:divBdr>
    </w:div>
    <w:div w:id="1251159874">
      <w:bodyDiv w:val="1"/>
      <w:marLeft w:val="0"/>
      <w:marRight w:val="0"/>
      <w:marTop w:val="0"/>
      <w:marBottom w:val="0"/>
      <w:divBdr>
        <w:top w:val="none" w:sz="0" w:space="0" w:color="auto"/>
        <w:left w:val="none" w:sz="0" w:space="0" w:color="auto"/>
        <w:bottom w:val="none" w:sz="0" w:space="0" w:color="auto"/>
        <w:right w:val="none" w:sz="0" w:space="0" w:color="auto"/>
      </w:divBdr>
    </w:div>
    <w:div w:id="1252275523">
      <w:bodyDiv w:val="1"/>
      <w:marLeft w:val="0"/>
      <w:marRight w:val="0"/>
      <w:marTop w:val="0"/>
      <w:marBottom w:val="0"/>
      <w:divBdr>
        <w:top w:val="none" w:sz="0" w:space="0" w:color="auto"/>
        <w:left w:val="none" w:sz="0" w:space="0" w:color="auto"/>
        <w:bottom w:val="none" w:sz="0" w:space="0" w:color="auto"/>
        <w:right w:val="none" w:sz="0" w:space="0" w:color="auto"/>
      </w:divBdr>
    </w:div>
    <w:div w:id="1252352472">
      <w:bodyDiv w:val="1"/>
      <w:marLeft w:val="0"/>
      <w:marRight w:val="0"/>
      <w:marTop w:val="0"/>
      <w:marBottom w:val="0"/>
      <w:divBdr>
        <w:top w:val="none" w:sz="0" w:space="0" w:color="auto"/>
        <w:left w:val="none" w:sz="0" w:space="0" w:color="auto"/>
        <w:bottom w:val="none" w:sz="0" w:space="0" w:color="auto"/>
        <w:right w:val="none" w:sz="0" w:space="0" w:color="auto"/>
      </w:divBdr>
    </w:div>
    <w:div w:id="1252473496">
      <w:bodyDiv w:val="1"/>
      <w:marLeft w:val="0"/>
      <w:marRight w:val="0"/>
      <w:marTop w:val="0"/>
      <w:marBottom w:val="0"/>
      <w:divBdr>
        <w:top w:val="none" w:sz="0" w:space="0" w:color="auto"/>
        <w:left w:val="none" w:sz="0" w:space="0" w:color="auto"/>
        <w:bottom w:val="none" w:sz="0" w:space="0" w:color="auto"/>
        <w:right w:val="none" w:sz="0" w:space="0" w:color="auto"/>
      </w:divBdr>
    </w:div>
    <w:div w:id="1253513890">
      <w:bodyDiv w:val="1"/>
      <w:marLeft w:val="0"/>
      <w:marRight w:val="0"/>
      <w:marTop w:val="0"/>
      <w:marBottom w:val="0"/>
      <w:divBdr>
        <w:top w:val="none" w:sz="0" w:space="0" w:color="auto"/>
        <w:left w:val="none" w:sz="0" w:space="0" w:color="auto"/>
        <w:bottom w:val="none" w:sz="0" w:space="0" w:color="auto"/>
        <w:right w:val="none" w:sz="0" w:space="0" w:color="auto"/>
      </w:divBdr>
    </w:div>
    <w:div w:id="1253900527">
      <w:bodyDiv w:val="1"/>
      <w:marLeft w:val="0"/>
      <w:marRight w:val="0"/>
      <w:marTop w:val="0"/>
      <w:marBottom w:val="0"/>
      <w:divBdr>
        <w:top w:val="none" w:sz="0" w:space="0" w:color="auto"/>
        <w:left w:val="none" w:sz="0" w:space="0" w:color="auto"/>
        <w:bottom w:val="none" w:sz="0" w:space="0" w:color="auto"/>
        <w:right w:val="none" w:sz="0" w:space="0" w:color="auto"/>
      </w:divBdr>
    </w:div>
    <w:div w:id="1254435485">
      <w:bodyDiv w:val="1"/>
      <w:marLeft w:val="0"/>
      <w:marRight w:val="0"/>
      <w:marTop w:val="0"/>
      <w:marBottom w:val="0"/>
      <w:divBdr>
        <w:top w:val="none" w:sz="0" w:space="0" w:color="auto"/>
        <w:left w:val="none" w:sz="0" w:space="0" w:color="auto"/>
        <w:bottom w:val="none" w:sz="0" w:space="0" w:color="auto"/>
        <w:right w:val="none" w:sz="0" w:space="0" w:color="auto"/>
      </w:divBdr>
    </w:div>
    <w:div w:id="1254780874">
      <w:bodyDiv w:val="1"/>
      <w:marLeft w:val="0"/>
      <w:marRight w:val="0"/>
      <w:marTop w:val="0"/>
      <w:marBottom w:val="0"/>
      <w:divBdr>
        <w:top w:val="none" w:sz="0" w:space="0" w:color="auto"/>
        <w:left w:val="none" w:sz="0" w:space="0" w:color="auto"/>
        <w:bottom w:val="none" w:sz="0" w:space="0" w:color="auto"/>
        <w:right w:val="none" w:sz="0" w:space="0" w:color="auto"/>
      </w:divBdr>
    </w:div>
    <w:div w:id="1254899317">
      <w:bodyDiv w:val="1"/>
      <w:marLeft w:val="0"/>
      <w:marRight w:val="0"/>
      <w:marTop w:val="0"/>
      <w:marBottom w:val="0"/>
      <w:divBdr>
        <w:top w:val="none" w:sz="0" w:space="0" w:color="auto"/>
        <w:left w:val="none" w:sz="0" w:space="0" w:color="auto"/>
        <w:bottom w:val="none" w:sz="0" w:space="0" w:color="auto"/>
        <w:right w:val="none" w:sz="0" w:space="0" w:color="auto"/>
      </w:divBdr>
    </w:div>
    <w:div w:id="1255046321">
      <w:bodyDiv w:val="1"/>
      <w:marLeft w:val="0"/>
      <w:marRight w:val="0"/>
      <w:marTop w:val="0"/>
      <w:marBottom w:val="0"/>
      <w:divBdr>
        <w:top w:val="none" w:sz="0" w:space="0" w:color="auto"/>
        <w:left w:val="none" w:sz="0" w:space="0" w:color="auto"/>
        <w:bottom w:val="none" w:sz="0" w:space="0" w:color="auto"/>
        <w:right w:val="none" w:sz="0" w:space="0" w:color="auto"/>
      </w:divBdr>
    </w:div>
    <w:div w:id="1256401251">
      <w:bodyDiv w:val="1"/>
      <w:marLeft w:val="0"/>
      <w:marRight w:val="0"/>
      <w:marTop w:val="0"/>
      <w:marBottom w:val="0"/>
      <w:divBdr>
        <w:top w:val="none" w:sz="0" w:space="0" w:color="auto"/>
        <w:left w:val="none" w:sz="0" w:space="0" w:color="auto"/>
        <w:bottom w:val="none" w:sz="0" w:space="0" w:color="auto"/>
        <w:right w:val="none" w:sz="0" w:space="0" w:color="auto"/>
      </w:divBdr>
    </w:div>
    <w:div w:id="1256474806">
      <w:bodyDiv w:val="1"/>
      <w:marLeft w:val="0"/>
      <w:marRight w:val="0"/>
      <w:marTop w:val="0"/>
      <w:marBottom w:val="0"/>
      <w:divBdr>
        <w:top w:val="none" w:sz="0" w:space="0" w:color="auto"/>
        <w:left w:val="none" w:sz="0" w:space="0" w:color="auto"/>
        <w:bottom w:val="none" w:sz="0" w:space="0" w:color="auto"/>
        <w:right w:val="none" w:sz="0" w:space="0" w:color="auto"/>
      </w:divBdr>
    </w:div>
    <w:div w:id="1256550829">
      <w:bodyDiv w:val="1"/>
      <w:marLeft w:val="0"/>
      <w:marRight w:val="0"/>
      <w:marTop w:val="0"/>
      <w:marBottom w:val="0"/>
      <w:divBdr>
        <w:top w:val="none" w:sz="0" w:space="0" w:color="auto"/>
        <w:left w:val="none" w:sz="0" w:space="0" w:color="auto"/>
        <w:bottom w:val="none" w:sz="0" w:space="0" w:color="auto"/>
        <w:right w:val="none" w:sz="0" w:space="0" w:color="auto"/>
      </w:divBdr>
    </w:div>
    <w:div w:id="1257329861">
      <w:bodyDiv w:val="1"/>
      <w:marLeft w:val="0"/>
      <w:marRight w:val="0"/>
      <w:marTop w:val="0"/>
      <w:marBottom w:val="0"/>
      <w:divBdr>
        <w:top w:val="none" w:sz="0" w:space="0" w:color="auto"/>
        <w:left w:val="none" w:sz="0" w:space="0" w:color="auto"/>
        <w:bottom w:val="none" w:sz="0" w:space="0" w:color="auto"/>
        <w:right w:val="none" w:sz="0" w:space="0" w:color="auto"/>
      </w:divBdr>
    </w:div>
    <w:div w:id="1257589921">
      <w:bodyDiv w:val="1"/>
      <w:marLeft w:val="0"/>
      <w:marRight w:val="0"/>
      <w:marTop w:val="0"/>
      <w:marBottom w:val="0"/>
      <w:divBdr>
        <w:top w:val="none" w:sz="0" w:space="0" w:color="auto"/>
        <w:left w:val="none" w:sz="0" w:space="0" w:color="auto"/>
        <w:bottom w:val="none" w:sz="0" w:space="0" w:color="auto"/>
        <w:right w:val="none" w:sz="0" w:space="0" w:color="auto"/>
      </w:divBdr>
    </w:div>
    <w:div w:id="1258057846">
      <w:bodyDiv w:val="1"/>
      <w:marLeft w:val="0"/>
      <w:marRight w:val="0"/>
      <w:marTop w:val="0"/>
      <w:marBottom w:val="0"/>
      <w:divBdr>
        <w:top w:val="none" w:sz="0" w:space="0" w:color="auto"/>
        <w:left w:val="none" w:sz="0" w:space="0" w:color="auto"/>
        <w:bottom w:val="none" w:sz="0" w:space="0" w:color="auto"/>
        <w:right w:val="none" w:sz="0" w:space="0" w:color="auto"/>
      </w:divBdr>
    </w:div>
    <w:div w:id="1258907759">
      <w:bodyDiv w:val="1"/>
      <w:marLeft w:val="0"/>
      <w:marRight w:val="0"/>
      <w:marTop w:val="0"/>
      <w:marBottom w:val="0"/>
      <w:divBdr>
        <w:top w:val="none" w:sz="0" w:space="0" w:color="auto"/>
        <w:left w:val="none" w:sz="0" w:space="0" w:color="auto"/>
        <w:bottom w:val="none" w:sz="0" w:space="0" w:color="auto"/>
        <w:right w:val="none" w:sz="0" w:space="0" w:color="auto"/>
      </w:divBdr>
    </w:div>
    <w:div w:id="1261177172">
      <w:bodyDiv w:val="1"/>
      <w:marLeft w:val="0"/>
      <w:marRight w:val="0"/>
      <w:marTop w:val="0"/>
      <w:marBottom w:val="0"/>
      <w:divBdr>
        <w:top w:val="none" w:sz="0" w:space="0" w:color="auto"/>
        <w:left w:val="none" w:sz="0" w:space="0" w:color="auto"/>
        <w:bottom w:val="none" w:sz="0" w:space="0" w:color="auto"/>
        <w:right w:val="none" w:sz="0" w:space="0" w:color="auto"/>
      </w:divBdr>
    </w:div>
    <w:div w:id="1261451795">
      <w:bodyDiv w:val="1"/>
      <w:marLeft w:val="0"/>
      <w:marRight w:val="0"/>
      <w:marTop w:val="0"/>
      <w:marBottom w:val="0"/>
      <w:divBdr>
        <w:top w:val="none" w:sz="0" w:space="0" w:color="auto"/>
        <w:left w:val="none" w:sz="0" w:space="0" w:color="auto"/>
        <w:bottom w:val="none" w:sz="0" w:space="0" w:color="auto"/>
        <w:right w:val="none" w:sz="0" w:space="0" w:color="auto"/>
      </w:divBdr>
    </w:div>
    <w:div w:id="1262027799">
      <w:bodyDiv w:val="1"/>
      <w:marLeft w:val="0"/>
      <w:marRight w:val="0"/>
      <w:marTop w:val="0"/>
      <w:marBottom w:val="0"/>
      <w:divBdr>
        <w:top w:val="none" w:sz="0" w:space="0" w:color="auto"/>
        <w:left w:val="none" w:sz="0" w:space="0" w:color="auto"/>
        <w:bottom w:val="none" w:sz="0" w:space="0" w:color="auto"/>
        <w:right w:val="none" w:sz="0" w:space="0" w:color="auto"/>
      </w:divBdr>
    </w:div>
    <w:div w:id="1264147492">
      <w:bodyDiv w:val="1"/>
      <w:marLeft w:val="0"/>
      <w:marRight w:val="0"/>
      <w:marTop w:val="0"/>
      <w:marBottom w:val="0"/>
      <w:divBdr>
        <w:top w:val="none" w:sz="0" w:space="0" w:color="auto"/>
        <w:left w:val="none" w:sz="0" w:space="0" w:color="auto"/>
        <w:bottom w:val="none" w:sz="0" w:space="0" w:color="auto"/>
        <w:right w:val="none" w:sz="0" w:space="0" w:color="auto"/>
      </w:divBdr>
    </w:div>
    <w:div w:id="1266308526">
      <w:bodyDiv w:val="1"/>
      <w:marLeft w:val="0"/>
      <w:marRight w:val="0"/>
      <w:marTop w:val="0"/>
      <w:marBottom w:val="0"/>
      <w:divBdr>
        <w:top w:val="none" w:sz="0" w:space="0" w:color="auto"/>
        <w:left w:val="none" w:sz="0" w:space="0" w:color="auto"/>
        <w:bottom w:val="none" w:sz="0" w:space="0" w:color="auto"/>
        <w:right w:val="none" w:sz="0" w:space="0" w:color="auto"/>
      </w:divBdr>
    </w:div>
    <w:div w:id="1266687939">
      <w:bodyDiv w:val="1"/>
      <w:marLeft w:val="0"/>
      <w:marRight w:val="0"/>
      <w:marTop w:val="0"/>
      <w:marBottom w:val="0"/>
      <w:divBdr>
        <w:top w:val="none" w:sz="0" w:space="0" w:color="auto"/>
        <w:left w:val="none" w:sz="0" w:space="0" w:color="auto"/>
        <w:bottom w:val="none" w:sz="0" w:space="0" w:color="auto"/>
        <w:right w:val="none" w:sz="0" w:space="0" w:color="auto"/>
      </w:divBdr>
    </w:div>
    <w:div w:id="1267350316">
      <w:bodyDiv w:val="1"/>
      <w:marLeft w:val="0"/>
      <w:marRight w:val="0"/>
      <w:marTop w:val="0"/>
      <w:marBottom w:val="0"/>
      <w:divBdr>
        <w:top w:val="none" w:sz="0" w:space="0" w:color="auto"/>
        <w:left w:val="none" w:sz="0" w:space="0" w:color="auto"/>
        <w:bottom w:val="none" w:sz="0" w:space="0" w:color="auto"/>
        <w:right w:val="none" w:sz="0" w:space="0" w:color="auto"/>
      </w:divBdr>
    </w:div>
    <w:div w:id="1271546234">
      <w:bodyDiv w:val="1"/>
      <w:marLeft w:val="0"/>
      <w:marRight w:val="0"/>
      <w:marTop w:val="0"/>
      <w:marBottom w:val="0"/>
      <w:divBdr>
        <w:top w:val="none" w:sz="0" w:space="0" w:color="auto"/>
        <w:left w:val="none" w:sz="0" w:space="0" w:color="auto"/>
        <w:bottom w:val="none" w:sz="0" w:space="0" w:color="auto"/>
        <w:right w:val="none" w:sz="0" w:space="0" w:color="auto"/>
      </w:divBdr>
    </w:div>
    <w:div w:id="1272929485">
      <w:bodyDiv w:val="1"/>
      <w:marLeft w:val="0"/>
      <w:marRight w:val="0"/>
      <w:marTop w:val="0"/>
      <w:marBottom w:val="0"/>
      <w:divBdr>
        <w:top w:val="none" w:sz="0" w:space="0" w:color="auto"/>
        <w:left w:val="none" w:sz="0" w:space="0" w:color="auto"/>
        <w:bottom w:val="none" w:sz="0" w:space="0" w:color="auto"/>
        <w:right w:val="none" w:sz="0" w:space="0" w:color="auto"/>
      </w:divBdr>
    </w:div>
    <w:div w:id="1276407009">
      <w:bodyDiv w:val="1"/>
      <w:marLeft w:val="0"/>
      <w:marRight w:val="0"/>
      <w:marTop w:val="0"/>
      <w:marBottom w:val="0"/>
      <w:divBdr>
        <w:top w:val="none" w:sz="0" w:space="0" w:color="auto"/>
        <w:left w:val="none" w:sz="0" w:space="0" w:color="auto"/>
        <w:bottom w:val="none" w:sz="0" w:space="0" w:color="auto"/>
        <w:right w:val="none" w:sz="0" w:space="0" w:color="auto"/>
      </w:divBdr>
    </w:div>
    <w:div w:id="1277758891">
      <w:bodyDiv w:val="1"/>
      <w:marLeft w:val="0"/>
      <w:marRight w:val="0"/>
      <w:marTop w:val="0"/>
      <w:marBottom w:val="0"/>
      <w:divBdr>
        <w:top w:val="none" w:sz="0" w:space="0" w:color="auto"/>
        <w:left w:val="none" w:sz="0" w:space="0" w:color="auto"/>
        <w:bottom w:val="none" w:sz="0" w:space="0" w:color="auto"/>
        <w:right w:val="none" w:sz="0" w:space="0" w:color="auto"/>
      </w:divBdr>
    </w:div>
    <w:div w:id="1278676696">
      <w:bodyDiv w:val="1"/>
      <w:marLeft w:val="0"/>
      <w:marRight w:val="0"/>
      <w:marTop w:val="0"/>
      <w:marBottom w:val="0"/>
      <w:divBdr>
        <w:top w:val="none" w:sz="0" w:space="0" w:color="auto"/>
        <w:left w:val="none" w:sz="0" w:space="0" w:color="auto"/>
        <w:bottom w:val="none" w:sz="0" w:space="0" w:color="auto"/>
        <w:right w:val="none" w:sz="0" w:space="0" w:color="auto"/>
      </w:divBdr>
    </w:div>
    <w:div w:id="1279264609">
      <w:bodyDiv w:val="1"/>
      <w:marLeft w:val="0"/>
      <w:marRight w:val="0"/>
      <w:marTop w:val="0"/>
      <w:marBottom w:val="0"/>
      <w:divBdr>
        <w:top w:val="none" w:sz="0" w:space="0" w:color="auto"/>
        <w:left w:val="none" w:sz="0" w:space="0" w:color="auto"/>
        <w:bottom w:val="none" w:sz="0" w:space="0" w:color="auto"/>
        <w:right w:val="none" w:sz="0" w:space="0" w:color="auto"/>
      </w:divBdr>
    </w:div>
    <w:div w:id="1280333663">
      <w:bodyDiv w:val="1"/>
      <w:marLeft w:val="0"/>
      <w:marRight w:val="0"/>
      <w:marTop w:val="0"/>
      <w:marBottom w:val="0"/>
      <w:divBdr>
        <w:top w:val="none" w:sz="0" w:space="0" w:color="auto"/>
        <w:left w:val="none" w:sz="0" w:space="0" w:color="auto"/>
        <w:bottom w:val="none" w:sz="0" w:space="0" w:color="auto"/>
        <w:right w:val="none" w:sz="0" w:space="0" w:color="auto"/>
      </w:divBdr>
    </w:div>
    <w:div w:id="1280532185">
      <w:bodyDiv w:val="1"/>
      <w:marLeft w:val="0"/>
      <w:marRight w:val="0"/>
      <w:marTop w:val="0"/>
      <w:marBottom w:val="0"/>
      <w:divBdr>
        <w:top w:val="none" w:sz="0" w:space="0" w:color="auto"/>
        <w:left w:val="none" w:sz="0" w:space="0" w:color="auto"/>
        <w:bottom w:val="none" w:sz="0" w:space="0" w:color="auto"/>
        <w:right w:val="none" w:sz="0" w:space="0" w:color="auto"/>
      </w:divBdr>
    </w:div>
    <w:div w:id="1282108113">
      <w:bodyDiv w:val="1"/>
      <w:marLeft w:val="0"/>
      <w:marRight w:val="0"/>
      <w:marTop w:val="0"/>
      <w:marBottom w:val="0"/>
      <w:divBdr>
        <w:top w:val="none" w:sz="0" w:space="0" w:color="auto"/>
        <w:left w:val="none" w:sz="0" w:space="0" w:color="auto"/>
        <w:bottom w:val="none" w:sz="0" w:space="0" w:color="auto"/>
        <w:right w:val="none" w:sz="0" w:space="0" w:color="auto"/>
      </w:divBdr>
    </w:div>
    <w:div w:id="1282416994">
      <w:bodyDiv w:val="1"/>
      <w:marLeft w:val="0"/>
      <w:marRight w:val="0"/>
      <w:marTop w:val="0"/>
      <w:marBottom w:val="0"/>
      <w:divBdr>
        <w:top w:val="none" w:sz="0" w:space="0" w:color="auto"/>
        <w:left w:val="none" w:sz="0" w:space="0" w:color="auto"/>
        <w:bottom w:val="none" w:sz="0" w:space="0" w:color="auto"/>
        <w:right w:val="none" w:sz="0" w:space="0" w:color="auto"/>
      </w:divBdr>
    </w:div>
    <w:div w:id="1283146245">
      <w:bodyDiv w:val="1"/>
      <w:marLeft w:val="0"/>
      <w:marRight w:val="0"/>
      <w:marTop w:val="0"/>
      <w:marBottom w:val="0"/>
      <w:divBdr>
        <w:top w:val="none" w:sz="0" w:space="0" w:color="auto"/>
        <w:left w:val="none" w:sz="0" w:space="0" w:color="auto"/>
        <w:bottom w:val="none" w:sz="0" w:space="0" w:color="auto"/>
        <w:right w:val="none" w:sz="0" w:space="0" w:color="auto"/>
      </w:divBdr>
    </w:div>
    <w:div w:id="1285774271">
      <w:bodyDiv w:val="1"/>
      <w:marLeft w:val="0"/>
      <w:marRight w:val="0"/>
      <w:marTop w:val="0"/>
      <w:marBottom w:val="0"/>
      <w:divBdr>
        <w:top w:val="none" w:sz="0" w:space="0" w:color="auto"/>
        <w:left w:val="none" w:sz="0" w:space="0" w:color="auto"/>
        <w:bottom w:val="none" w:sz="0" w:space="0" w:color="auto"/>
        <w:right w:val="none" w:sz="0" w:space="0" w:color="auto"/>
      </w:divBdr>
    </w:div>
    <w:div w:id="1286231703">
      <w:bodyDiv w:val="1"/>
      <w:marLeft w:val="0"/>
      <w:marRight w:val="0"/>
      <w:marTop w:val="0"/>
      <w:marBottom w:val="0"/>
      <w:divBdr>
        <w:top w:val="none" w:sz="0" w:space="0" w:color="auto"/>
        <w:left w:val="none" w:sz="0" w:space="0" w:color="auto"/>
        <w:bottom w:val="none" w:sz="0" w:space="0" w:color="auto"/>
        <w:right w:val="none" w:sz="0" w:space="0" w:color="auto"/>
      </w:divBdr>
    </w:div>
    <w:div w:id="1286354291">
      <w:bodyDiv w:val="1"/>
      <w:marLeft w:val="0"/>
      <w:marRight w:val="0"/>
      <w:marTop w:val="0"/>
      <w:marBottom w:val="0"/>
      <w:divBdr>
        <w:top w:val="none" w:sz="0" w:space="0" w:color="auto"/>
        <w:left w:val="none" w:sz="0" w:space="0" w:color="auto"/>
        <w:bottom w:val="none" w:sz="0" w:space="0" w:color="auto"/>
        <w:right w:val="none" w:sz="0" w:space="0" w:color="auto"/>
      </w:divBdr>
    </w:div>
    <w:div w:id="1287741154">
      <w:bodyDiv w:val="1"/>
      <w:marLeft w:val="0"/>
      <w:marRight w:val="0"/>
      <w:marTop w:val="0"/>
      <w:marBottom w:val="0"/>
      <w:divBdr>
        <w:top w:val="none" w:sz="0" w:space="0" w:color="auto"/>
        <w:left w:val="none" w:sz="0" w:space="0" w:color="auto"/>
        <w:bottom w:val="none" w:sz="0" w:space="0" w:color="auto"/>
        <w:right w:val="none" w:sz="0" w:space="0" w:color="auto"/>
      </w:divBdr>
    </w:div>
    <w:div w:id="1288245500">
      <w:bodyDiv w:val="1"/>
      <w:marLeft w:val="0"/>
      <w:marRight w:val="0"/>
      <w:marTop w:val="0"/>
      <w:marBottom w:val="0"/>
      <w:divBdr>
        <w:top w:val="none" w:sz="0" w:space="0" w:color="auto"/>
        <w:left w:val="none" w:sz="0" w:space="0" w:color="auto"/>
        <w:bottom w:val="none" w:sz="0" w:space="0" w:color="auto"/>
        <w:right w:val="none" w:sz="0" w:space="0" w:color="auto"/>
      </w:divBdr>
      <w:divsChild>
        <w:div w:id="1551571939">
          <w:marLeft w:val="0"/>
          <w:marRight w:val="0"/>
          <w:marTop w:val="0"/>
          <w:marBottom w:val="0"/>
          <w:divBdr>
            <w:top w:val="none" w:sz="0" w:space="0" w:color="auto"/>
            <w:left w:val="none" w:sz="0" w:space="0" w:color="auto"/>
            <w:bottom w:val="none" w:sz="0" w:space="0" w:color="auto"/>
            <w:right w:val="none" w:sz="0" w:space="0" w:color="auto"/>
          </w:divBdr>
        </w:div>
        <w:div w:id="1690180879">
          <w:marLeft w:val="0"/>
          <w:marRight w:val="0"/>
          <w:marTop w:val="0"/>
          <w:marBottom w:val="0"/>
          <w:divBdr>
            <w:top w:val="none" w:sz="0" w:space="0" w:color="auto"/>
            <w:left w:val="none" w:sz="0" w:space="0" w:color="auto"/>
            <w:bottom w:val="none" w:sz="0" w:space="0" w:color="auto"/>
            <w:right w:val="none" w:sz="0" w:space="0" w:color="auto"/>
          </w:divBdr>
        </w:div>
        <w:div w:id="1617369479">
          <w:marLeft w:val="0"/>
          <w:marRight w:val="0"/>
          <w:marTop w:val="0"/>
          <w:marBottom w:val="0"/>
          <w:divBdr>
            <w:top w:val="none" w:sz="0" w:space="0" w:color="auto"/>
            <w:left w:val="none" w:sz="0" w:space="0" w:color="auto"/>
            <w:bottom w:val="none" w:sz="0" w:space="0" w:color="auto"/>
            <w:right w:val="none" w:sz="0" w:space="0" w:color="auto"/>
          </w:divBdr>
        </w:div>
      </w:divsChild>
    </w:div>
    <w:div w:id="1289430415">
      <w:bodyDiv w:val="1"/>
      <w:marLeft w:val="0"/>
      <w:marRight w:val="0"/>
      <w:marTop w:val="0"/>
      <w:marBottom w:val="0"/>
      <w:divBdr>
        <w:top w:val="none" w:sz="0" w:space="0" w:color="auto"/>
        <w:left w:val="none" w:sz="0" w:space="0" w:color="auto"/>
        <w:bottom w:val="none" w:sz="0" w:space="0" w:color="auto"/>
        <w:right w:val="none" w:sz="0" w:space="0" w:color="auto"/>
      </w:divBdr>
    </w:div>
    <w:div w:id="1289580538">
      <w:bodyDiv w:val="1"/>
      <w:marLeft w:val="0"/>
      <w:marRight w:val="0"/>
      <w:marTop w:val="0"/>
      <w:marBottom w:val="0"/>
      <w:divBdr>
        <w:top w:val="none" w:sz="0" w:space="0" w:color="auto"/>
        <w:left w:val="none" w:sz="0" w:space="0" w:color="auto"/>
        <w:bottom w:val="none" w:sz="0" w:space="0" w:color="auto"/>
        <w:right w:val="none" w:sz="0" w:space="0" w:color="auto"/>
      </w:divBdr>
    </w:div>
    <w:div w:id="1291471619">
      <w:bodyDiv w:val="1"/>
      <w:marLeft w:val="0"/>
      <w:marRight w:val="0"/>
      <w:marTop w:val="0"/>
      <w:marBottom w:val="0"/>
      <w:divBdr>
        <w:top w:val="none" w:sz="0" w:space="0" w:color="auto"/>
        <w:left w:val="none" w:sz="0" w:space="0" w:color="auto"/>
        <w:bottom w:val="none" w:sz="0" w:space="0" w:color="auto"/>
        <w:right w:val="none" w:sz="0" w:space="0" w:color="auto"/>
      </w:divBdr>
    </w:div>
    <w:div w:id="1293747441">
      <w:bodyDiv w:val="1"/>
      <w:marLeft w:val="0"/>
      <w:marRight w:val="0"/>
      <w:marTop w:val="0"/>
      <w:marBottom w:val="0"/>
      <w:divBdr>
        <w:top w:val="none" w:sz="0" w:space="0" w:color="auto"/>
        <w:left w:val="none" w:sz="0" w:space="0" w:color="auto"/>
        <w:bottom w:val="none" w:sz="0" w:space="0" w:color="auto"/>
        <w:right w:val="none" w:sz="0" w:space="0" w:color="auto"/>
      </w:divBdr>
    </w:div>
    <w:div w:id="1298998583">
      <w:bodyDiv w:val="1"/>
      <w:marLeft w:val="0"/>
      <w:marRight w:val="0"/>
      <w:marTop w:val="0"/>
      <w:marBottom w:val="0"/>
      <w:divBdr>
        <w:top w:val="none" w:sz="0" w:space="0" w:color="auto"/>
        <w:left w:val="none" w:sz="0" w:space="0" w:color="auto"/>
        <w:bottom w:val="none" w:sz="0" w:space="0" w:color="auto"/>
        <w:right w:val="none" w:sz="0" w:space="0" w:color="auto"/>
      </w:divBdr>
    </w:div>
    <w:div w:id="1301838225">
      <w:bodyDiv w:val="1"/>
      <w:marLeft w:val="0"/>
      <w:marRight w:val="0"/>
      <w:marTop w:val="0"/>
      <w:marBottom w:val="0"/>
      <w:divBdr>
        <w:top w:val="none" w:sz="0" w:space="0" w:color="auto"/>
        <w:left w:val="none" w:sz="0" w:space="0" w:color="auto"/>
        <w:bottom w:val="none" w:sz="0" w:space="0" w:color="auto"/>
        <w:right w:val="none" w:sz="0" w:space="0" w:color="auto"/>
      </w:divBdr>
    </w:div>
    <w:div w:id="1303733760">
      <w:bodyDiv w:val="1"/>
      <w:marLeft w:val="0"/>
      <w:marRight w:val="0"/>
      <w:marTop w:val="0"/>
      <w:marBottom w:val="0"/>
      <w:divBdr>
        <w:top w:val="none" w:sz="0" w:space="0" w:color="auto"/>
        <w:left w:val="none" w:sz="0" w:space="0" w:color="auto"/>
        <w:bottom w:val="none" w:sz="0" w:space="0" w:color="auto"/>
        <w:right w:val="none" w:sz="0" w:space="0" w:color="auto"/>
      </w:divBdr>
    </w:div>
    <w:div w:id="1304121176">
      <w:bodyDiv w:val="1"/>
      <w:marLeft w:val="0"/>
      <w:marRight w:val="0"/>
      <w:marTop w:val="0"/>
      <w:marBottom w:val="0"/>
      <w:divBdr>
        <w:top w:val="none" w:sz="0" w:space="0" w:color="auto"/>
        <w:left w:val="none" w:sz="0" w:space="0" w:color="auto"/>
        <w:bottom w:val="none" w:sz="0" w:space="0" w:color="auto"/>
        <w:right w:val="none" w:sz="0" w:space="0" w:color="auto"/>
      </w:divBdr>
    </w:div>
    <w:div w:id="1304193158">
      <w:bodyDiv w:val="1"/>
      <w:marLeft w:val="0"/>
      <w:marRight w:val="0"/>
      <w:marTop w:val="0"/>
      <w:marBottom w:val="0"/>
      <w:divBdr>
        <w:top w:val="none" w:sz="0" w:space="0" w:color="auto"/>
        <w:left w:val="none" w:sz="0" w:space="0" w:color="auto"/>
        <w:bottom w:val="none" w:sz="0" w:space="0" w:color="auto"/>
        <w:right w:val="none" w:sz="0" w:space="0" w:color="auto"/>
      </w:divBdr>
    </w:div>
    <w:div w:id="1305043528">
      <w:bodyDiv w:val="1"/>
      <w:marLeft w:val="0"/>
      <w:marRight w:val="0"/>
      <w:marTop w:val="0"/>
      <w:marBottom w:val="0"/>
      <w:divBdr>
        <w:top w:val="none" w:sz="0" w:space="0" w:color="auto"/>
        <w:left w:val="none" w:sz="0" w:space="0" w:color="auto"/>
        <w:bottom w:val="none" w:sz="0" w:space="0" w:color="auto"/>
        <w:right w:val="none" w:sz="0" w:space="0" w:color="auto"/>
      </w:divBdr>
    </w:div>
    <w:div w:id="1305313203">
      <w:bodyDiv w:val="1"/>
      <w:marLeft w:val="0"/>
      <w:marRight w:val="0"/>
      <w:marTop w:val="0"/>
      <w:marBottom w:val="0"/>
      <w:divBdr>
        <w:top w:val="none" w:sz="0" w:space="0" w:color="auto"/>
        <w:left w:val="none" w:sz="0" w:space="0" w:color="auto"/>
        <w:bottom w:val="none" w:sz="0" w:space="0" w:color="auto"/>
        <w:right w:val="none" w:sz="0" w:space="0" w:color="auto"/>
      </w:divBdr>
    </w:div>
    <w:div w:id="1305817656">
      <w:bodyDiv w:val="1"/>
      <w:marLeft w:val="0"/>
      <w:marRight w:val="0"/>
      <w:marTop w:val="0"/>
      <w:marBottom w:val="0"/>
      <w:divBdr>
        <w:top w:val="none" w:sz="0" w:space="0" w:color="auto"/>
        <w:left w:val="none" w:sz="0" w:space="0" w:color="auto"/>
        <w:bottom w:val="none" w:sz="0" w:space="0" w:color="auto"/>
        <w:right w:val="none" w:sz="0" w:space="0" w:color="auto"/>
      </w:divBdr>
    </w:div>
    <w:div w:id="1308167678">
      <w:bodyDiv w:val="1"/>
      <w:marLeft w:val="0"/>
      <w:marRight w:val="0"/>
      <w:marTop w:val="0"/>
      <w:marBottom w:val="0"/>
      <w:divBdr>
        <w:top w:val="none" w:sz="0" w:space="0" w:color="auto"/>
        <w:left w:val="none" w:sz="0" w:space="0" w:color="auto"/>
        <w:bottom w:val="none" w:sz="0" w:space="0" w:color="auto"/>
        <w:right w:val="none" w:sz="0" w:space="0" w:color="auto"/>
      </w:divBdr>
    </w:div>
    <w:div w:id="1308973103">
      <w:bodyDiv w:val="1"/>
      <w:marLeft w:val="0"/>
      <w:marRight w:val="0"/>
      <w:marTop w:val="0"/>
      <w:marBottom w:val="0"/>
      <w:divBdr>
        <w:top w:val="none" w:sz="0" w:space="0" w:color="auto"/>
        <w:left w:val="none" w:sz="0" w:space="0" w:color="auto"/>
        <w:bottom w:val="none" w:sz="0" w:space="0" w:color="auto"/>
        <w:right w:val="none" w:sz="0" w:space="0" w:color="auto"/>
      </w:divBdr>
    </w:div>
    <w:div w:id="1309165910">
      <w:bodyDiv w:val="1"/>
      <w:marLeft w:val="0"/>
      <w:marRight w:val="0"/>
      <w:marTop w:val="0"/>
      <w:marBottom w:val="0"/>
      <w:divBdr>
        <w:top w:val="none" w:sz="0" w:space="0" w:color="auto"/>
        <w:left w:val="none" w:sz="0" w:space="0" w:color="auto"/>
        <w:bottom w:val="none" w:sz="0" w:space="0" w:color="auto"/>
        <w:right w:val="none" w:sz="0" w:space="0" w:color="auto"/>
      </w:divBdr>
    </w:div>
    <w:div w:id="1310743892">
      <w:bodyDiv w:val="1"/>
      <w:marLeft w:val="0"/>
      <w:marRight w:val="0"/>
      <w:marTop w:val="0"/>
      <w:marBottom w:val="0"/>
      <w:divBdr>
        <w:top w:val="none" w:sz="0" w:space="0" w:color="auto"/>
        <w:left w:val="none" w:sz="0" w:space="0" w:color="auto"/>
        <w:bottom w:val="none" w:sz="0" w:space="0" w:color="auto"/>
        <w:right w:val="none" w:sz="0" w:space="0" w:color="auto"/>
      </w:divBdr>
    </w:div>
    <w:div w:id="1311204852">
      <w:bodyDiv w:val="1"/>
      <w:marLeft w:val="0"/>
      <w:marRight w:val="0"/>
      <w:marTop w:val="0"/>
      <w:marBottom w:val="0"/>
      <w:divBdr>
        <w:top w:val="none" w:sz="0" w:space="0" w:color="auto"/>
        <w:left w:val="none" w:sz="0" w:space="0" w:color="auto"/>
        <w:bottom w:val="none" w:sz="0" w:space="0" w:color="auto"/>
        <w:right w:val="none" w:sz="0" w:space="0" w:color="auto"/>
      </w:divBdr>
    </w:div>
    <w:div w:id="1313369390">
      <w:bodyDiv w:val="1"/>
      <w:marLeft w:val="0"/>
      <w:marRight w:val="0"/>
      <w:marTop w:val="0"/>
      <w:marBottom w:val="0"/>
      <w:divBdr>
        <w:top w:val="none" w:sz="0" w:space="0" w:color="auto"/>
        <w:left w:val="none" w:sz="0" w:space="0" w:color="auto"/>
        <w:bottom w:val="none" w:sz="0" w:space="0" w:color="auto"/>
        <w:right w:val="none" w:sz="0" w:space="0" w:color="auto"/>
      </w:divBdr>
    </w:div>
    <w:div w:id="1315334914">
      <w:bodyDiv w:val="1"/>
      <w:marLeft w:val="0"/>
      <w:marRight w:val="0"/>
      <w:marTop w:val="0"/>
      <w:marBottom w:val="0"/>
      <w:divBdr>
        <w:top w:val="none" w:sz="0" w:space="0" w:color="auto"/>
        <w:left w:val="none" w:sz="0" w:space="0" w:color="auto"/>
        <w:bottom w:val="none" w:sz="0" w:space="0" w:color="auto"/>
        <w:right w:val="none" w:sz="0" w:space="0" w:color="auto"/>
      </w:divBdr>
    </w:div>
    <w:div w:id="1315842766">
      <w:bodyDiv w:val="1"/>
      <w:marLeft w:val="0"/>
      <w:marRight w:val="0"/>
      <w:marTop w:val="0"/>
      <w:marBottom w:val="0"/>
      <w:divBdr>
        <w:top w:val="none" w:sz="0" w:space="0" w:color="auto"/>
        <w:left w:val="none" w:sz="0" w:space="0" w:color="auto"/>
        <w:bottom w:val="none" w:sz="0" w:space="0" w:color="auto"/>
        <w:right w:val="none" w:sz="0" w:space="0" w:color="auto"/>
      </w:divBdr>
    </w:div>
    <w:div w:id="1316255214">
      <w:bodyDiv w:val="1"/>
      <w:marLeft w:val="0"/>
      <w:marRight w:val="0"/>
      <w:marTop w:val="0"/>
      <w:marBottom w:val="0"/>
      <w:divBdr>
        <w:top w:val="none" w:sz="0" w:space="0" w:color="auto"/>
        <w:left w:val="none" w:sz="0" w:space="0" w:color="auto"/>
        <w:bottom w:val="none" w:sz="0" w:space="0" w:color="auto"/>
        <w:right w:val="none" w:sz="0" w:space="0" w:color="auto"/>
      </w:divBdr>
    </w:div>
    <w:div w:id="1316298888">
      <w:bodyDiv w:val="1"/>
      <w:marLeft w:val="0"/>
      <w:marRight w:val="0"/>
      <w:marTop w:val="0"/>
      <w:marBottom w:val="0"/>
      <w:divBdr>
        <w:top w:val="none" w:sz="0" w:space="0" w:color="auto"/>
        <w:left w:val="none" w:sz="0" w:space="0" w:color="auto"/>
        <w:bottom w:val="none" w:sz="0" w:space="0" w:color="auto"/>
        <w:right w:val="none" w:sz="0" w:space="0" w:color="auto"/>
      </w:divBdr>
    </w:div>
    <w:div w:id="1317223775">
      <w:bodyDiv w:val="1"/>
      <w:marLeft w:val="0"/>
      <w:marRight w:val="0"/>
      <w:marTop w:val="0"/>
      <w:marBottom w:val="0"/>
      <w:divBdr>
        <w:top w:val="none" w:sz="0" w:space="0" w:color="auto"/>
        <w:left w:val="none" w:sz="0" w:space="0" w:color="auto"/>
        <w:bottom w:val="none" w:sz="0" w:space="0" w:color="auto"/>
        <w:right w:val="none" w:sz="0" w:space="0" w:color="auto"/>
      </w:divBdr>
    </w:div>
    <w:div w:id="1317303891">
      <w:bodyDiv w:val="1"/>
      <w:marLeft w:val="0"/>
      <w:marRight w:val="0"/>
      <w:marTop w:val="0"/>
      <w:marBottom w:val="0"/>
      <w:divBdr>
        <w:top w:val="none" w:sz="0" w:space="0" w:color="auto"/>
        <w:left w:val="none" w:sz="0" w:space="0" w:color="auto"/>
        <w:bottom w:val="none" w:sz="0" w:space="0" w:color="auto"/>
        <w:right w:val="none" w:sz="0" w:space="0" w:color="auto"/>
      </w:divBdr>
    </w:div>
    <w:div w:id="1320114239">
      <w:bodyDiv w:val="1"/>
      <w:marLeft w:val="0"/>
      <w:marRight w:val="0"/>
      <w:marTop w:val="0"/>
      <w:marBottom w:val="0"/>
      <w:divBdr>
        <w:top w:val="none" w:sz="0" w:space="0" w:color="auto"/>
        <w:left w:val="none" w:sz="0" w:space="0" w:color="auto"/>
        <w:bottom w:val="none" w:sz="0" w:space="0" w:color="auto"/>
        <w:right w:val="none" w:sz="0" w:space="0" w:color="auto"/>
      </w:divBdr>
    </w:div>
    <w:div w:id="1320887985">
      <w:bodyDiv w:val="1"/>
      <w:marLeft w:val="0"/>
      <w:marRight w:val="0"/>
      <w:marTop w:val="0"/>
      <w:marBottom w:val="0"/>
      <w:divBdr>
        <w:top w:val="none" w:sz="0" w:space="0" w:color="auto"/>
        <w:left w:val="none" w:sz="0" w:space="0" w:color="auto"/>
        <w:bottom w:val="none" w:sz="0" w:space="0" w:color="auto"/>
        <w:right w:val="none" w:sz="0" w:space="0" w:color="auto"/>
      </w:divBdr>
    </w:div>
    <w:div w:id="1321692765">
      <w:marLeft w:val="0"/>
      <w:marRight w:val="0"/>
      <w:marTop w:val="0"/>
      <w:marBottom w:val="0"/>
      <w:divBdr>
        <w:top w:val="none" w:sz="0" w:space="0" w:color="auto"/>
        <w:left w:val="none" w:sz="0" w:space="0" w:color="auto"/>
        <w:bottom w:val="none" w:sz="0" w:space="0" w:color="auto"/>
        <w:right w:val="none" w:sz="0" w:space="0" w:color="auto"/>
      </w:divBdr>
    </w:div>
    <w:div w:id="1323002872">
      <w:bodyDiv w:val="1"/>
      <w:marLeft w:val="0"/>
      <w:marRight w:val="0"/>
      <w:marTop w:val="0"/>
      <w:marBottom w:val="0"/>
      <w:divBdr>
        <w:top w:val="none" w:sz="0" w:space="0" w:color="auto"/>
        <w:left w:val="none" w:sz="0" w:space="0" w:color="auto"/>
        <w:bottom w:val="none" w:sz="0" w:space="0" w:color="auto"/>
        <w:right w:val="none" w:sz="0" w:space="0" w:color="auto"/>
      </w:divBdr>
    </w:div>
    <w:div w:id="1324046775">
      <w:bodyDiv w:val="1"/>
      <w:marLeft w:val="0"/>
      <w:marRight w:val="0"/>
      <w:marTop w:val="0"/>
      <w:marBottom w:val="0"/>
      <w:divBdr>
        <w:top w:val="none" w:sz="0" w:space="0" w:color="auto"/>
        <w:left w:val="none" w:sz="0" w:space="0" w:color="auto"/>
        <w:bottom w:val="none" w:sz="0" w:space="0" w:color="auto"/>
        <w:right w:val="none" w:sz="0" w:space="0" w:color="auto"/>
      </w:divBdr>
    </w:div>
    <w:div w:id="1325544968">
      <w:bodyDiv w:val="1"/>
      <w:marLeft w:val="0"/>
      <w:marRight w:val="0"/>
      <w:marTop w:val="0"/>
      <w:marBottom w:val="0"/>
      <w:divBdr>
        <w:top w:val="none" w:sz="0" w:space="0" w:color="auto"/>
        <w:left w:val="none" w:sz="0" w:space="0" w:color="auto"/>
        <w:bottom w:val="none" w:sz="0" w:space="0" w:color="auto"/>
        <w:right w:val="none" w:sz="0" w:space="0" w:color="auto"/>
      </w:divBdr>
    </w:div>
    <w:div w:id="1325663810">
      <w:bodyDiv w:val="1"/>
      <w:marLeft w:val="0"/>
      <w:marRight w:val="0"/>
      <w:marTop w:val="0"/>
      <w:marBottom w:val="0"/>
      <w:divBdr>
        <w:top w:val="none" w:sz="0" w:space="0" w:color="auto"/>
        <w:left w:val="none" w:sz="0" w:space="0" w:color="auto"/>
        <w:bottom w:val="none" w:sz="0" w:space="0" w:color="auto"/>
        <w:right w:val="none" w:sz="0" w:space="0" w:color="auto"/>
      </w:divBdr>
    </w:div>
    <w:div w:id="1325817895">
      <w:bodyDiv w:val="1"/>
      <w:marLeft w:val="0"/>
      <w:marRight w:val="0"/>
      <w:marTop w:val="0"/>
      <w:marBottom w:val="0"/>
      <w:divBdr>
        <w:top w:val="none" w:sz="0" w:space="0" w:color="auto"/>
        <w:left w:val="none" w:sz="0" w:space="0" w:color="auto"/>
        <w:bottom w:val="none" w:sz="0" w:space="0" w:color="auto"/>
        <w:right w:val="none" w:sz="0" w:space="0" w:color="auto"/>
      </w:divBdr>
    </w:div>
    <w:div w:id="1325859355">
      <w:bodyDiv w:val="1"/>
      <w:marLeft w:val="0"/>
      <w:marRight w:val="0"/>
      <w:marTop w:val="0"/>
      <w:marBottom w:val="0"/>
      <w:divBdr>
        <w:top w:val="none" w:sz="0" w:space="0" w:color="auto"/>
        <w:left w:val="none" w:sz="0" w:space="0" w:color="auto"/>
        <w:bottom w:val="none" w:sz="0" w:space="0" w:color="auto"/>
        <w:right w:val="none" w:sz="0" w:space="0" w:color="auto"/>
      </w:divBdr>
    </w:div>
    <w:div w:id="1326975944">
      <w:bodyDiv w:val="1"/>
      <w:marLeft w:val="0"/>
      <w:marRight w:val="0"/>
      <w:marTop w:val="0"/>
      <w:marBottom w:val="0"/>
      <w:divBdr>
        <w:top w:val="none" w:sz="0" w:space="0" w:color="auto"/>
        <w:left w:val="none" w:sz="0" w:space="0" w:color="auto"/>
        <w:bottom w:val="none" w:sz="0" w:space="0" w:color="auto"/>
        <w:right w:val="none" w:sz="0" w:space="0" w:color="auto"/>
      </w:divBdr>
    </w:div>
    <w:div w:id="1327972108">
      <w:bodyDiv w:val="1"/>
      <w:marLeft w:val="0"/>
      <w:marRight w:val="0"/>
      <w:marTop w:val="0"/>
      <w:marBottom w:val="0"/>
      <w:divBdr>
        <w:top w:val="none" w:sz="0" w:space="0" w:color="auto"/>
        <w:left w:val="none" w:sz="0" w:space="0" w:color="auto"/>
        <w:bottom w:val="none" w:sz="0" w:space="0" w:color="auto"/>
        <w:right w:val="none" w:sz="0" w:space="0" w:color="auto"/>
      </w:divBdr>
    </w:div>
    <w:div w:id="1329359344">
      <w:bodyDiv w:val="1"/>
      <w:marLeft w:val="0"/>
      <w:marRight w:val="0"/>
      <w:marTop w:val="0"/>
      <w:marBottom w:val="0"/>
      <w:divBdr>
        <w:top w:val="none" w:sz="0" w:space="0" w:color="auto"/>
        <w:left w:val="none" w:sz="0" w:space="0" w:color="auto"/>
        <w:bottom w:val="none" w:sz="0" w:space="0" w:color="auto"/>
        <w:right w:val="none" w:sz="0" w:space="0" w:color="auto"/>
      </w:divBdr>
    </w:div>
    <w:div w:id="1329402094">
      <w:bodyDiv w:val="1"/>
      <w:marLeft w:val="0"/>
      <w:marRight w:val="0"/>
      <w:marTop w:val="0"/>
      <w:marBottom w:val="0"/>
      <w:divBdr>
        <w:top w:val="none" w:sz="0" w:space="0" w:color="auto"/>
        <w:left w:val="none" w:sz="0" w:space="0" w:color="auto"/>
        <w:bottom w:val="none" w:sz="0" w:space="0" w:color="auto"/>
        <w:right w:val="none" w:sz="0" w:space="0" w:color="auto"/>
      </w:divBdr>
    </w:div>
    <w:div w:id="1329403295">
      <w:bodyDiv w:val="1"/>
      <w:marLeft w:val="0"/>
      <w:marRight w:val="0"/>
      <w:marTop w:val="0"/>
      <w:marBottom w:val="0"/>
      <w:divBdr>
        <w:top w:val="none" w:sz="0" w:space="0" w:color="auto"/>
        <w:left w:val="none" w:sz="0" w:space="0" w:color="auto"/>
        <w:bottom w:val="none" w:sz="0" w:space="0" w:color="auto"/>
        <w:right w:val="none" w:sz="0" w:space="0" w:color="auto"/>
      </w:divBdr>
    </w:div>
    <w:div w:id="1329479853">
      <w:bodyDiv w:val="1"/>
      <w:marLeft w:val="0"/>
      <w:marRight w:val="0"/>
      <w:marTop w:val="0"/>
      <w:marBottom w:val="0"/>
      <w:divBdr>
        <w:top w:val="none" w:sz="0" w:space="0" w:color="auto"/>
        <w:left w:val="none" w:sz="0" w:space="0" w:color="auto"/>
        <w:bottom w:val="none" w:sz="0" w:space="0" w:color="auto"/>
        <w:right w:val="none" w:sz="0" w:space="0" w:color="auto"/>
      </w:divBdr>
    </w:div>
    <w:div w:id="1330598029">
      <w:bodyDiv w:val="1"/>
      <w:marLeft w:val="0"/>
      <w:marRight w:val="0"/>
      <w:marTop w:val="0"/>
      <w:marBottom w:val="0"/>
      <w:divBdr>
        <w:top w:val="none" w:sz="0" w:space="0" w:color="auto"/>
        <w:left w:val="none" w:sz="0" w:space="0" w:color="auto"/>
        <w:bottom w:val="none" w:sz="0" w:space="0" w:color="auto"/>
        <w:right w:val="none" w:sz="0" w:space="0" w:color="auto"/>
      </w:divBdr>
    </w:div>
    <w:div w:id="1330984889">
      <w:bodyDiv w:val="1"/>
      <w:marLeft w:val="0"/>
      <w:marRight w:val="0"/>
      <w:marTop w:val="0"/>
      <w:marBottom w:val="0"/>
      <w:divBdr>
        <w:top w:val="none" w:sz="0" w:space="0" w:color="auto"/>
        <w:left w:val="none" w:sz="0" w:space="0" w:color="auto"/>
        <w:bottom w:val="none" w:sz="0" w:space="0" w:color="auto"/>
        <w:right w:val="none" w:sz="0" w:space="0" w:color="auto"/>
      </w:divBdr>
    </w:div>
    <w:div w:id="1332415479">
      <w:bodyDiv w:val="1"/>
      <w:marLeft w:val="0"/>
      <w:marRight w:val="0"/>
      <w:marTop w:val="0"/>
      <w:marBottom w:val="0"/>
      <w:divBdr>
        <w:top w:val="none" w:sz="0" w:space="0" w:color="auto"/>
        <w:left w:val="none" w:sz="0" w:space="0" w:color="auto"/>
        <w:bottom w:val="none" w:sz="0" w:space="0" w:color="auto"/>
        <w:right w:val="none" w:sz="0" w:space="0" w:color="auto"/>
      </w:divBdr>
    </w:div>
    <w:div w:id="1332490849">
      <w:bodyDiv w:val="1"/>
      <w:marLeft w:val="0"/>
      <w:marRight w:val="0"/>
      <w:marTop w:val="0"/>
      <w:marBottom w:val="0"/>
      <w:divBdr>
        <w:top w:val="none" w:sz="0" w:space="0" w:color="auto"/>
        <w:left w:val="none" w:sz="0" w:space="0" w:color="auto"/>
        <w:bottom w:val="none" w:sz="0" w:space="0" w:color="auto"/>
        <w:right w:val="none" w:sz="0" w:space="0" w:color="auto"/>
      </w:divBdr>
    </w:div>
    <w:div w:id="1335181712">
      <w:bodyDiv w:val="1"/>
      <w:marLeft w:val="0"/>
      <w:marRight w:val="0"/>
      <w:marTop w:val="0"/>
      <w:marBottom w:val="0"/>
      <w:divBdr>
        <w:top w:val="none" w:sz="0" w:space="0" w:color="auto"/>
        <w:left w:val="none" w:sz="0" w:space="0" w:color="auto"/>
        <w:bottom w:val="none" w:sz="0" w:space="0" w:color="auto"/>
        <w:right w:val="none" w:sz="0" w:space="0" w:color="auto"/>
      </w:divBdr>
    </w:div>
    <w:div w:id="1335493542">
      <w:bodyDiv w:val="1"/>
      <w:marLeft w:val="0"/>
      <w:marRight w:val="0"/>
      <w:marTop w:val="0"/>
      <w:marBottom w:val="0"/>
      <w:divBdr>
        <w:top w:val="none" w:sz="0" w:space="0" w:color="auto"/>
        <w:left w:val="none" w:sz="0" w:space="0" w:color="auto"/>
        <w:bottom w:val="none" w:sz="0" w:space="0" w:color="auto"/>
        <w:right w:val="none" w:sz="0" w:space="0" w:color="auto"/>
      </w:divBdr>
    </w:div>
    <w:div w:id="1335494441">
      <w:bodyDiv w:val="1"/>
      <w:marLeft w:val="0"/>
      <w:marRight w:val="0"/>
      <w:marTop w:val="0"/>
      <w:marBottom w:val="0"/>
      <w:divBdr>
        <w:top w:val="none" w:sz="0" w:space="0" w:color="auto"/>
        <w:left w:val="none" w:sz="0" w:space="0" w:color="auto"/>
        <w:bottom w:val="none" w:sz="0" w:space="0" w:color="auto"/>
        <w:right w:val="none" w:sz="0" w:space="0" w:color="auto"/>
      </w:divBdr>
    </w:div>
    <w:div w:id="1336299536">
      <w:bodyDiv w:val="1"/>
      <w:marLeft w:val="0"/>
      <w:marRight w:val="0"/>
      <w:marTop w:val="0"/>
      <w:marBottom w:val="0"/>
      <w:divBdr>
        <w:top w:val="none" w:sz="0" w:space="0" w:color="auto"/>
        <w:left w:val="none" w:sz="0" w:space="0" w:color="auto"/>
        <w:bottom w:val="none" w:sz="0" w:space="0" w:color="auto"/>
        <w:right w:val="none" w:sz="0" w:space="0" w:color="auto"/>
      </w:divBdr>
    </w:div>
    <w:div w:id="1337536399">
      <w:bodyDiv w:val="1"/>
      <w:marLeft w:val="0"/>
      <w:marRight w:val="0"/>
      <w:marTop w:val="0"/>
      <w:marBottom w:val="0"/>
      <w:divBdr>
        <w:top w:val="none" w:sz="0" w:space="0" w:color="auto"/>
        <w:left w:val="none" w:sz="0" w:space="0" w:color="auto"/>
        <w:bottom w:val="none" w:sz="0" w:space="0" w:color="auto"/>
        <w:right w:val="none" w:sz="0" w:space="0" w:color="auto"/>
      </w:divBdr>
    </w:div>
    <w:div w:id="1338077835">
      <w:bodyDiv w:val="1"/>
      <w:marLeft w:val="0"/>
      <w:marRight w:val="0"/>
      <w:marTop w:val="0"/>
      <w:marBottom w:val="0"/>
      <w:divBdr>
        <w:top w:val="none" w:sz="0" w:space="0" w:color="auto"/>
        <w:left w:val="none" w:sz="0" w:space="0" w:color="auto"/>
        <w:bottom w:val="none" w:sz="0" w:space="0" w:color="auto"/>
        <w:right w:val="none" w:sz="0" w:space="0" w:color="auto"/>
      </w:divBdr>
    </w:div>
    <w:div w:id="1338507870">
      <w:bodyDiv w:val="1"/>
      <w:marLeft w:val="0"/>
      <w:marRight w:val="0"/>
      <w:marTop w:val="0"/>
      <w:marBottom w:val="0"/>
      <w:divBdr>
        <w:top w:val="none" w:sz="0" w:space="0" w:color="auto"/>
        <w:left w:val="none" w:sz="0" w:space="0" w:color="auto"/>
        <w:bottom w:val="none" w:sz="0" w:space="0" w:color="auto"/>
        <w:right w:val="none" w:sz="0" w:space="0" w:color="auto"/>
      </w:divBdr>
    </w:div>
    <w:div w:id="1339309363">
      <w:bodyDiv w:val="1"/>
      <w:marLeft w:val="0"/>
      <w:marRight w:val="0"/>
      <w:marTop w:val="0"/>
      <w:marBottom w:val="0"/>
      <w:divBdr>
        <w:top w:val="none" w:sz="0" w:space="0" w:color="auto"/>
        <w:left w:val="none" w:sz="0" w:space="0" w:color="auto"/>
        <w:bottom w:val="none" w:sz="0" w:space="0" w:color="auto"/>
        <w:right w:val="none" w:sz="0" w:space="0" w:color="auto"/>
      </w:divBdr>
    </w:div>
    <w:div w:id="1340111208">
      <w:bodyDiv w:val="1"/>
      <w:marLeft w:val="0"/>
      <w:marRight w:val="0"/>
      <w:marTop w:val="0"/>
      <w:marBottom w:val="0"/>
      <w:divBdr>
        <w:top w:val="none" w:sz="0" w:space="0" w:color="auto"/>
        <w:left w:val="none" w:sz="0" w:space="0" w:color="auto"/>
        <w:bottom w:val="none" w:sz="0" w:space="0" w:color="auto"/>
        <w:right w:val="none" w:sz="0" w:space="0" w:color="auto"/>
      </w:divBdr>
    </w:div>
    <w:div w:id="1340158982">
      <w:bodyDiv w:val="1"/>
      <w:marLeft w:val="0"/>
      <w:marRight w:val="0"/>
      <w:marTop w:val="0"/>
      <w:marBottom w:val="0"/>
      <w:divBdr>
        <w:top w:val="none" w:sz="0" w:space="0" w:color="auto"/>
        <w:left w:val="none" w:sz="0" w:space="0" w:color="auto"/>
        <w:bottom w:val="none" w:sz="0" w:space="0" w:color="auto"/>
        <w:right w:val="none" w:sz="0" w:space="0" w:color="auto"/>
      </w:divBdr>
    </w:div>
    <w:div w:id="1341010597">
      <w:bodyDiv w:val="1"/>
      <w:marLeft w:val="0"/>
      <w:marRight w:val="0"/>
      <w:marTop w:val="0"/>
      <w:marBottom w:val="0"/>
      <w:divBdr>
        <w:top w:val="none" w:sz="0" w:space="0" w:color="auto"/>
        <w:left w:val="none" w:sz="0" w:space="0" w:color="auto"/>
        <w:bottom w:val="none" w:sz="0" w:space="0" w:color="auto"/>
        <w:right w:val="none" w:sz="0" w:space="0" w:color="auto"/>
      </w:divBdr>
    </w:div>
    <w:div w:id="1341153909">
      <w:bodyDiv w:val="1"/>
      <w:marLeft w:val="0"/>
      <w:marRight w:val="0"/>
      <w:marTop w:val="0"/>
      <w:marBottom w:val="0"/>
      <w:divBdr>
        <w:top w:val="none" w:sz="0" w:space="0" w:color="auto"/>
        <w:left w:val="none" w:sz="0" w:space="0" w:color="auto"/>
        <w:bottom w:val="none" w:sz="0" w:space="0" w:color="auto"/>
        <w:right w:val="none" w:sz="0" w:space="0" w:color="auto"/>
      </w:divBdr>
    </w:div>
    <w:div w:id="1345329365">
      <w:bodyDiv w:val="1"/>
      <w:marLeft w:val="0"/>
      <w:marRight w:val="0"/>
      <w:marTop w:val="0"/>
      <w:marBottom w:val="0"/>
      <w:divBdr>
        <w:top w:val="none" w:sz="0" w:space="0" w:color="auto"/>
        <w:left w:val="none" w:sz="0" w:space="0" w:color="auto"/>
        <w:bottom w:val="none" w:sz="0" w:space="0" w:color="auto"/>
        <w:right w:val="none" w:sz="0" w:space="0" w:color="auto"/>
      </w:divBdr>
    </w:div>
    <w:div w:id="1345592369">
      <w:bodyDiv w:val="1"/>
      <w:marLeft w:val="0"/>
      <w:marRight w:val="0"/>
      <w:marTop w:val="0"/>
      <w:marBottom w:val="0"/>
      <w:divBdr>
        <w:top w:val="none" w:sz="0" w:space="0" w:color="auto"/>
        <w:left w:val="none" w:sz="0" w:space="0" w:color="auto"/>
        <w:bottom w:val="none" w:sz="0" w:space="0" w:color="auto"/>
        <w:right w:val="none" w:sz="0" w:space="0" w:color="auto"/>
      </w:divBdr>
    </w:div>
    <w:div w:id="1346206791">
      <w:bodyDiv w:val="1"/>
      <w:marLeft w:val="0"/>
      <w:marRight w:val="0"/>
      <w:marTop w:val="0"/>
      <w:marBottom w:val="0"/>
      <w:divBdr>
        <w:top w:val="none" w:sz="0" w:space="0" w:color="auto"/>
        <w:left w:val="none" w:sz="0" w:space="0" w:color="auto"/>
        <w:bottom w:val="none" w:sz="0" w:space="0" w:color="auto"/>
        <w:right w:val="none" w:sz="0" w:space="0" w:color="auto"/>
      </w:divBdr>
    </w:div>
    <w:div w:id="1346397310">
      <w:bodyDiv w:val="1"/>
      <w:marLeft w:val="0"/>
      <w:marRight w:val="0"/>
      <w:marTop w:val="0"/>
      <w:marBottom w:val="0"/>
      <w:divBdr>
        <w:top w:val="none" w:sz="0" w:space="0" w:color="auto"/>
        <w:left w:val="none" w:sz="0" w:space="0" w:color="auto"/>
        <w:bottom w:val="none" w:sz="0" w:space="0" w:color="auto"/>
        <w:right w:val="none" w:sz="0" w:space="0" w:color="auto"/>
      </w:divBdr>
    </w:div>
    <w:div w:id="1347946658">
      <w:bodyDiv w:val="1"/>
      <w:marLeft w:val="0"/>
      <w:marRight w:val="0"/>
      <w:marTop w:val="0"/>
      <w:marBottom w:val="0"/>
      <w:divBdr>
        <w:top w:val="none" w:sz="0" w:space="0" w:color="auto"/>
        <w:left w:val="none" w:sz="0" w:space="0" w:color="auto"/>
        <w:bottom w:val="none" w:sz="0" w:space="0" w:color="auto"/>
        <w:right w:val="none" w:sz="0" w:space="0" w:color="auto"/>
      </w:divBdr>
    </w:div>
    <w:div w:id="1347947998">
      <w:bodyDiv w:val="1"/>
      <w:marLeft w:val="0"/>
      <w:marRight w:val="0"/>
      <w:marTop w:val="0"/>
      <w:marBottom w:val="0"/>
      <w:divBdr>
        <w:top w:val="none" w:sz="0" w:space="0" w:color="auto"/>
        <w:left w:val="none" w:sz="0" w:space="0" w:color="auto"/>
        <w:bottom w:val="none" w:sz="0" w:space="0" w:color="auto"/>
        <w:right w:val="none" w:sz="0" w:space="0" w:color="auto"/>
      </w:divBdr>
    </w:div>
    <w:div w:id="1348865848">
      <w:bodyDiv w:val="1"/>
      <w:marLeft w:val="0"/>
      <w:marRight w:val="0"/>
      <w:marTop w:val="0"/>
      <w:marBottom w:val="0"/>
      <w:divBdr>
        <w:top w:val="none" w:sz="0" w:space="0" w:color="auto"/>
        <w:left w:val="none" w:sz="0" w:space="0" w:color="auto"/>
        <w:bottom w:val="none" w:sz="0" w:space="0" w:color="auto"/>
        <w:right w:val="none" w:sz="0" w:space="0" w:color="auto"/>
      </w:divBdr>
    </w:div>
    <w:div w:id="1350336056">
      <w:bodyDiv w:val="1"/>
      <w:marLeft w:val="0"/>
      <w:marRight w:val="0"/>
      <w:marTop w:val="0"/>
      <w:marBottom w:val="0"/>
      <w:divBdr>
        <w:top w:val="none" w:sz="0" w:space="0" w:color="auto"/>
        <w:left w:val="none" w:sz="0" w:space="0" w:color="auto"/>
        <w:bottom w:val="none" w:sz="0" w:space="0" w:color="auto"/>
        <w:right w:val="none" w:sz="0" w:space="0" w:color="auto"/>
      </w:divBdr>
    </w:div>
    <w:div w:id="1352099987">
      <w:bodyDiv w:val="1"/>
      <w:marLeft w:val="0"/>
      <w:marRight w:val="0"/>
      <w:marTop w:val="0"/>
      <w:marBottom w:val="0"/>
      <w:divBdr>
        <w:top w:val="none" w:sz="0" w:space="0" w:color="auto"/>
        <w:left w:val="none" w:sz="0" w:space="0" w:color="auto"/>
        <w:bottom w:val="none" w:sz="0" w:space="0" w:color="auto"/>
        <w:right w:val="none" w:sz="0" w:space="0" w:color="auto"/>
      </w:divBdr>
    </w:div>
    <w:div w:id="1353334252">
      <w:bodyDiv w:val="1"/>
      <w:marLeft w:val="0"/>
      <w:marRight w:val="0"/>
      <w:marTop w:val="0"/>
      <w:marBottom w:val="0"/>
      <w:divBdr>
        <w:top w:val="none" w:sz="0" w:space="0" w:color="auto"/>
        <w:left w:val="none" w:sz="0" w:space="0" w:color="auto"/>
        <w:bottom w:val="none" w:sz="0" w:space="0" w:color="auto"/>
        <w:right w:val="none" w:sz="0" w:space="0" w:color="auto"/>
      </w:divBdr>
    </w:div>
    <w:div w:id="1353456469">
      <w:bodyDiv w:val="1"/>
      <w:marLeft w:val="0"/>
      <w:marRight w:val="0"/>
      <w:marTop w:val="0"/>
      <w:marBottom w:val="0"/>
      <w:divBdr>
        <w:top w:val="none" w:sz="0" w:space="0" w:color="auto"/>
        <w:left w:val="none" w:sz="0" w:space="0" w:color="auto"/>
        <w:bottom w:val="none" w:sz="0" w:space="0" w:color="auto"/>
        <w:right w:val="none" w:sz="0" w:space="0" w:color="auto"/>
      </w:divBdr>
    </w:div>
    <w:div w:id="1353610124">
      <w:bodyDiv w:val="1"/>
      <w:marLeft w:val="0"/>
      <w:marRight w:val="0"/>
      <w:marTop w:val="0"/>
      <w:marBottom w:val="0"/>
      <w:divBdr>
        <w:top w:val="none" w:sz="0" w:space="0" w:color="auto"/>
        <w:left w:val="none" w:sz="0" w:space="0" w:color="auto"/>
        <w:bottom w:val="none" w:sz="0" w:space="0" w:color="auto"/>
        <w:right w:val="none" w:sz="0" w:space="0" w:color="auto"/>
      </w:divBdr>
    </w:div>
    <w:div w:id="1355108140">
      <w:bodyDiv w:val="1"/>
      <w:marLeft w:val="0"/>
      <w:marRight w:val="0"/>
      <w:marTop w:val="0"/>
      <w:marBottom w:val="0"/>
      <w:divBdr>
        <w:top w:val="none" w:sz="0" w:space="0" w:color="auto"/>
        <w:left w:val="none" w:sz="0" w:space="0" w:color="auto"/>
        <w:bottom w:val="none" w:sz="0" w:space="0" w:color="auto"/>
        <w:right w:val="none" w:sz="0" w:space="0" w:color="auto"/>
      </w:divBdr>
    </w:div>
    <w:div w:id="1355618464">
      <w:bodyDiv w:val="1"/>
      <w:marLeft w:val="0"/>
      <w:marRight w:val="0"/>
      <w:marTop w:val="0"/>
      <w:marBottom w:val="0"/>
      <w:divBdr>
        <w:top w:val="none" w:sz="0" w:space="0" w:color="auto"/>
        <w:left w:val="none" w:sz="0" w:space="0" w:color="auto"/>
        <w:bottom w:val="none" w:sz="0" w:space="0" w:color="auto"/>
        <w:right w:val="none" w:sz="0" w:space="0" w:color="auto"/>
      </w:divBdr>
    </w:div>
    <w:div w:id="1355888511">
      <w:bodyDiv w:val="1"/>
      <w:marLeft w:val="0"/>
      <w:marRight w:val="0"/>
      <w:marTop w:val="0"/>
      <w:marBottom w:val="0"/>
      <w:divBdr>
        <w:top w:val="none" w:sz="0" w:space="0" w:color="auto"/>
        <w:left w:val="none" w:sz="0" w:space="0" w:color="auto"/>
        <w:bottom w:val="none" w:sz="0" w:space="0" w:color="auto"/>
        <w:right w:val="none" w:sz="0" w:space="0" w:color="auto"/>
      </w:divBdr>
    </w:div>
    <w:div w:id="1356036652">
      <w:bodyDiv w:val="1"/>
      <w:marLeft w:val="0"/>
      <w:marRight w:val="0"/>
      <w:marTop w:val="0"/>
      <w:marBottom w:val="0"/>
      <w:divBdr>
        <w:top w:val="none" w:sz="0" w:space="0" w:color="auto"/>
        <w:left w:val="none" w:sz="0" w:space="0" w:color="auto"/>
        <w:bottom w:val="none" w:sz="0" w:space="0" w:color="auto"/>
        <w:right w:val="none" w:sz="0" w:space="0" w:color="auto"/>
      </w:divBdr>
    </w:div>
    <w:div w:id="1356268503">
      <w:bodyDiv w:val="1"/>
      <w:marLeft w:val="0"/>
      <w:marRight w:val="0"/>
      <w:marTop w:val="0"/>
      <w:marBottom w:val="0"/>
      <w:divBdr>
        <w:top w:val="none" w:sz="0" w:space="0" w:color="auto"/>
        <w:left w:val="none" w:sz="0" w:space="0" w:color="auto"/>
        <w:bottom w:val="none" w:sz="0" w:space="0" w:color="auto"/>
        <w:right w:val="none" w:sz="0" w:space="0" w:color="auto"/>
      </w:divBdr>
    </w:div>
    <w:div w:id="1357150624">
      <w:bodyDiv w:val="1"/>
      <w:marLeft w:val="0"/>
      <w:marRight w:val="0"/>
      <w:marTop w:val="0"/>
      <w:marBottom w:val="0"/>
      <w:divBdr>
        <w:top w:val="none" w:sz="0" w:space="0" w:color="auto"/>
        <w:left w:val="none" w:sz="0" w:space="0" w:color="auto"/>
        <w:bottom w:val="none" w:sz="0" w:space="0" w:color="auto"/>
        <w:right w:val="none" w:sz="0" w:space="0" w:color="auto"/>
      </w:divBdr>
    </w:div>
    <w:div w:id="1357267839">
      <w:bodyDiv w:val="1"/>
      <w:marLeft w:val="0"/>
      <w:marRight w:val="0"/>
      <w:marTop w:val="0"/>
      <w:marBottom w:val="0"/>
      <w:divBdr>
        <w:top w:val="none" w:sz="0" w:space="0" w:color="auto"/>
        <w:left w:val="none" w:sz="0" w:space="0" w:color="auto"/>
        <w:bottom w:val="none" w:sz="0" w:space="0" w:color="auto"/>
        <w:right w:val="none" w:sz="0" w:space="0" w:color="auto"/>
      </w:divBdr>
    </w:div>
    <w:div w:id="1357536517">
      <w:bodyDiv w:val="1"/>
      <w:marLeft w:val="0"/>
      <w:marRight w:val="0"/>
      <w:marTop w:val="0"/>
      <w:marBottom w:val="0"/>
      <w:divBdr>
        <w:top w:val="none" w:sz="0" w:space="0" w:color="auto"/>
        <w:left w:val="none" w:sz="0" w:space="0" w:color="auto"/>
        <w:bottom w:val="none" w:sz="0" w:space="0" w:color="auto"/>
        <w:right w:val="none" w:sz="0" w:space="0" w:color="auto"/>
      </w:divBdr>
    </w:div>
    <w:div w:id="1359310671">
      <w:bodyDiv w:val="1"/>
      <w:marLeft w:val="0"/>
      <w:marRight w:val="0"/>
      <w:marTop w:val="0"/>
      <w:marBottom w:val="0"/>
      <w:divBdr>
        <w:top w:val="none" w:sz="0" w:space="0" w:color="auto"/>
        <w:left w:val="none" w:sz="0" w:space="0" w:color="auto"/>
        <w:bottom w:val="none" w:sz="0" w:space="0" w:color="auto"/>
        <w:right w:val="none" w:sz="0" w:space="0" w:color="auto"/>
      </w:divBdr>
    </w:div>
    <w:div w:id="1360202647">
      <w:bodyDiv w:val="1"/>
      <w:marLeft w:val="0"/>
      <w:marRight w:val="0"/>
      <w:marTop w:val="0"/>
      <w:marBottom w:val="0"/>
      <w:divBdr>
        <w:top w:val="none" w:sz="0" w:space="0" w:color="auto"/>
        <w:left w:val="none" w:sz="0" w:space="0" w:color="auto"/>
        <w:bottom w:val="none" w:sz="0" w:space="0" w:color="auto"/>
        <w:right w:val="none" w:sz="0" w:space="0" w:color="auto"/>
      </w:divBdr>
    </w:div>
    <w:div w:id="1360355694">
      <w:bodyDiv w:val="1"/>
      <w:marLeft w:val="0"/>
      <w:marRight w:val="0"/>
      <w:marTop w:val="0"/>
      <w:marBottom w:val="0"/>
      <w:divBdr>
        <w:top w:val="none" w:sz="0" w:space="0" w:color="auto"/>
        <w:left w:val="none" w:sz="0" w:space="0" w:color="auto"/>
        <w:bottom w:val="none" w:sz="0" w:space="0" w:color="auto"/>
        <w:right w:val="none" w:sz="0" w:space="0" w:color="auto"/>
      </w:divBdr>
    </w:div>
    <w:div w:id="1360467990">
      <w:bodyDiv w:val="1"/>
      <w:marLeft w:val="0"/>
      <w:marRight w:val="0"/>
      <w:marTop w:val="0"/>
      <w:marBottom w:val="0"/>
      <w:divBdr>
        <w:top w:val="none" w:sz="0" w:space="0" w:color="auto"/>
        <w:left w:val="none" w:sz="0" w:space="0" w:color="auto"/>
        <w:bottom w:val="none" w:sz="0" w:space="0" w:color="auto"/>
        <w:right w:val="none" w:sz="0" w:space="0" w:color="auto"/>
      </w:divBdr>
    </w:div>
    <w:div w:id="1361468594">
      <w:bodyDiv w:val="1"/>
      <w:marLeft w:val="0"/>
      <w:marRight w:val="0"/>
      <w:marTop w:val="0"/>
      <w:marBottom w:val="0"/>
      <w:divBdr>
        <w:top w:val="none" w:sz="0" w:space="0" w:color="auto"/>
        <w:left w:val="none" w:sz="0" w:space="0" w:color="auto"/>
        <w:bottom w:val="none" w:sz="0" w:space="0" w:color="auto"/>
        <w:right w:val="none" w:sz="0" w:space="0" w:color="auto"/>
      </w:divBdr>
    </w:div>
    <w:div w:id="1361979874">
      <w:bodyDiv w:val="1"/>
      <w:marLeft w:val="0"/>
      <w:marRight w:val="0"/>
      <w:marTop w:val="0"/>
      <w:marBottom w:val="0"/>
      <w:divBdr>
        <w:top w:val="none" w:sz="0" w:space="0" w:color="auto"/>
        <w:left w:val="none" w:sz="0" w:space="0" w:color="auto"/>
        <w:bottom w:val="none" w:sz="0" w:space="0" w:color="auto"/>
        <w:right w:val="none" w:sz="0" w:space="0" w:color="auto"/>
      </w:divBdr>
    </w:div>
    <w:div w:id="1363288074">
      <w:bodyDiv w:val="1"/>
      <w:marLeft w:val="0"/>
      <w:marRight w:val="0"/>
      <w:marTop w:val="0"/>
      <w:marBottom w:val="0"/>
      <w:divBdr>
        <w:top w:val="none" w:sz="0" w:space="0" w:color="auto"/>
        <w:left w:val="none" w:sz="0" w:space="0" w:color="auto"/>
        <w:bottom w:val="none" w:sz="0" w:space="0" w:color="auto"/>
        <w:right w:val="none" w:sz="0" w:space="0" w:color="auto"/>
      </w:divBdr>
    </w:div>
    <w:div w:id="1364399878">
      <w:bodyDiv w:val="1"/>
      <w:marLeft w:val="0"/>
      <w:marRight w:val="0"/>
      <w:marTop w:val="0"/>
      <w:marBottom w:val="0"/>
      <w:divBdr>
        <w:top w:val="none" w:sz="0" w:space="0" w:color="auto"/>
        <w:left w:val="none" w:sz="0" w:space="0" w:color="auto"/>
        <w:bottom w:val="none" w:sz="0" w:space="0" w:color="auto"/>
        <w:right w:val="none" w:sz="0" w:space="0" w:color="auto"/>
      </w:divBdr>
    </w:div>
    <w:div w:id="1365523230">
      <w:bodyDiv w:val="1"/>
      <w:marLeft w:val="0"/>
      <w:marRight w:val="0"/>
      <w:marTop w:val="0"/>
      <w:marBottom w:val="0"/>
      <w:divBdr>
        <w:top w:val="none" w:sz="0" w:space="0" w:color="auto"/>
        <w:left w:val="none" w:sz="0" w:space="0" w:color="auto"/>
        <w:bottom w:val="none" w:sz="0" w:space="0" w:color="auto"/>
        <w:right w:val="none" w:sz="0" w:space="0" w:color="auto"/>
      </w:divBdr>
    </w:div>
    <w:div w:id="1366296749">
      <w:bodyDiv w:val="1"/>
      <w:marLeft w:val="0"/>
      <w:marRight w:val="0"/>
      <w:marTop w:val="0"/>
      <w:marBottom w:val="0"/>
      <w:divBdr>
        <w:top w:val="none" w:sz="0" w:space="0" w:color="auto"/>
        <w:left w:val="none" w:sz="0" w:space="0" w:color="auto"/>
        <w:bottom w:val="none" w:sz="0" w:space="0" w:color="auto"/>
        <w:right w:val="none" w:sz="0" w:space="0" w:color="auto"/>
      </w:divBdr>
    </w:div>
    <w:div w:id="1367827606">
      <w:bodyDiv w:val="1"/>
      <w:marLeft w:val="0"/>
      <w:marRight w:val="0"/>
      <w:marTop w:val="0"/>
      <w:marBottom w:val="0"/>
      <w:divBdr>
        <w:top w:val="none" w:sz="0" w:space="0" w:color="auto"/>
        <w:left w:val="none" w:sz="0" w:space="0" w:color="auto"/>
        <w:bottom w:val="none" w:sz="0" w:space="0" w:color="auto"/>
        <w:right w:val="none" w:sz="0" w:space="0" w:color="auto"/>
      </w:divBdr>
    </w:div>
    <w:div w:id="1369139698">
      <w:bodyDiv w:val="1"/>
      <w:marLeft w:val="0"/>
      <w:marRight w:val="0"/>
      <w:marTop w:val="0"/>
      <w:marBottom w:val="0"/>
      <w:divBdr>
        <w:top w:val="none" w:sz="0" w:space="0" w:color="auto"/>
        <w:left w:val="none" w:sz="0" w:space="0" w:color="auto"/>
        <w:bottom w:val="none" w:sz="0" w:space="0" w:color="auto"/>
        <w:right w:val="none" w:sz="0" w:space="0" w:color="auto"/>
      </w:divBdr>
    </w:div>
    <w:div w:id="1369141758">
      <w:bodyDiv w:val="1"/>
      <w:marLeft w:val="0"/>
      <w:marRight w:val="0"/>
      <w:marTop w:val="0"/>
      <w:marBottom w:val="0"/>
      <w:divBdr>
        <w:top w:val="none" w:sz="0" w:space="0" w:color="auto"/>
        <w:left w:val="none" w:sz="0" w:space="0" w:color="auto"/>
        <w:bottom w:val="none" w:sz="0" w:space="0" w:color="auto"/>
        <w:right w:val="none" w:sz="0" w:space="0" w:color="auto"/>
      </w:divBdr>
    </w:div>
    <w:div w:id="1369331026">
      <w:bodyDiv w:val="1"/>
      <w:marLeft w:val="0"/>
      <w:marRight w:val="0"/>
      <w:marTop w:val="0"/>
      <w:marBottom w:val="0"/>
      <w:divBdr>
        <w:top w:val="none" w:sz="0" w:space="0" w:color="auto"/>
        <w:left w:val="none" w:sz="0" w:space="0" w:color="auto"/>
        <w:bottom w:val="none" w:sz="0" w:space="0" w:color="auto"/>
        <w:right w:val="none" w:sz="0" w:space="0" w:color="auto"/>
      </w:divBdr>
    </w:div>
    <w:div w:id="1369450571">
      <w:bodyDiv w:val="1"/>
      <w:marLeft w:val="0"/>
      <w:marRight w:val="0"/>
      <w:marTop w:val="0"/>
      <w:marBottom w:val="0"/>
      <w:divBdr>
        <w:top w:val="none" w:sz="0" w:space="0" w:color="auto"/>
        <w:left w:val="none" w:sz="0" w:space="0" w:color="auto"/>
        <w:bottom w:val="none" w:sz="0" w:space="0" w:color="auto"/>
        <w:right w:val="none" w:sz="0" w:space="0" w:color="auto"/>
      </w:divBdr>
    </w:div>
    <w:div w:id="1369719052">
      <w:bodyDiv w:val="1"/>
      <w:marLeft w:val="0"/>
      <w:marRight w:val="0"/>
      <w:marTop w:val="0"/>
      <w:marBottom w:val="0"/>
      <w:divBdr>
        <w:top w:val="none" w:sz="0" w:space="0" w:color="auto"/>
        <w:left w:val="none" w:sz="0" w:space="0" w:color="auto"/>
        <w:bottom w:val="none" w:sz="0" w:space="0" w:color="auto"/>
        <w:right w:val="none" w:sz="0" w:space="0" w:color="auto"/>
      </w:divBdr>
    </w:div>
    <w:div w:id="1374963455">
      <w:bodyDiv w:val="1"/>
      <w:marLeft w:val="0"/>
      <w:marRight w:val="0"/>
      <w:marTop w:val="0"/>
      <w:marBottom w:val="0"/>
      <w:divBdr>
        <w:top w:val="none" w:sz="0" w:space="0" w:color="auto"/>
        <w:left w:val="none" w:sz="0" w:space="0" w:color="auto"/>
        <w:bottom w:val="none" w:sz="0" w:space="0" w:color="auto"/>
        <w:right w:val="none" w:sz="0" w:space="0" w:color="auto"/>
      </w:divBdr>
    </w:div>
    <w:div w:id="1376077499">
      <w:bodyDiv w:val="1"/>
      <w:marLeft w:val="0"/>
      <w:marRight w:val="0"/>
      <w:marTop w:val="0"/>
      <w:marBottom w:val="0"/>
      <w:divBdr>
        <w:top w:val="none" w:sz="0" w:space="0" w:color="auto"/>
        <w:left w:val="none" w:sz="0" w:space="0" w:color="auto"/>
        <w:bottom w:val="none" w:sz="0" w:space="0" w:color="auto"/>
        <w:right w:val="none" w:sz="0" w:space="0" w:color="auto"/>
      </w:divBdr>
    </w:div>
    <w:div w:id="1376152852">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507449">
      <w:bodyDiv w:val="1"/>
      <w:marLeft w:val="0"/>
      <w:marRight w:val="0"/>
      <w:marTop w:val="0"/>
      <w:marBottom w:val="0"/>
      <w:divBdr>
        <w:top w:val="none" w:sz="0" w:space="0" w:color="auto"/>
        <w:left w:val="none" w:sz="0" w:space="0" w:color="auto"/>
        <w:bottom w:val="none" w:sz="0" w:space="0" w:color="auto"/>
        <w:right w:val="none" w:sz="0" w:space="0" w:color="auto"/>
      </w:divBdr>
    </w:div>
    <w:div w:id="1379235972">
      <w:bodyDiv w:val="1"/>
      <w:marLeft w:val="0"/>
      <w:marRight w:val="0"/>
      <w:marTop w:val="0"/>
      <w:marBottom w:val="0"/>
      <w:divBdr>
        <w:top w:val="none" w:sz="0" w:space="0" w:color="auto"/>
        <w:left w:val="none" w:sz="0" w:space="0" w:color="auto"/>
        <w:bottom w:val="none" w:sz="0" w:space="0" w:color="auto"/>
        <w:right w:val="none" w:sz="0" w:space="0" w:color="auto"/>
      </w:divBdr>
    </w:div>
    <w:div w:id="1379237088">
      <w:bodyDiv w:val="1"/>
      <w:marLeft w:val="0"/>
      <w:marRight w:val="0"/>
      <w:marTop w:val="0"/>
      <w:marBottom w:val="0"/>
      <w:divBdr>
        <w:top w:val="none" w:sz="0" w:space="0" w:color="auto"/>
        <w:left w:val="none" w:sz="0" w:space="0" w:color="auto"/>
        <w:bottom w:val="none" w:sz="0" w:space="0" w:color="auto"/>
        <w:right w:val="none" w:sz="0" w:space="0" w:color="auto"/>
      </w:divBdr>
    </w:div>
    <w:div w:id="1380133270">
      <w:bodyDiv w:val="1"/>
      <w:marLeft w:val="0"/>
      <w:marRight w:val="0"/>
      <w:marTop w:val="0"/>
      <w:marBottom w:val="0"/>
      <w:divBdr>
        <w:top w:val="none" w:sz="0" w:space="0" w:color="auto"/>
        <w:left w:val="none" w:sz="0" w:space="0" w:color="auto"/>
        <w:bottom w:val="none" w:sz="0" w:space="0" w:color="auto"/>
        <w:right w:val="none" w:sz="0" w:space="0" w:color="auto"/>
      </w:divBdr>
    </w:div>
    <w:div w:id="1381905649">
      <w:bodyDiv w:val="1"/>
      <w:marLeft w:val="0"/>
      <w:marRight w:val="0"/>
      <w:marTop w:val="0"/>
      <w:marBottom w:val="0"/>
      <w:divBdr>
        <w:top w:val="none" w:sz="0" w:space="0" w:color="auto"/>
        <w:left w:val="none" w:sz="0" w:space="0" w:color="auto"/>
        <w:bottom w:val="none" w:sz="0" w:space="0" w:color="auto"/>
        <w:right w:val="none" w:sz="0" w:space="0" w:color="auto"/>
      </w:divBdr>
    </w:div>
    <w:div w:id="1381972768">
      <w:bodyDiv w:val="1"/>
      <w:marLeft w:val="0"/>
      <w:marRight w:val="0"/>
      <w:marTop w:val="0"/>
      <w:marBottom w:val="0"/>
      <w:divBdr>
        <w:top w:val="none" w:sz="0" w:space="0" w:color="auto"/>
        <w:left w:val="none" w:sz="0" w:space="0" w:color="auto"/>
        <w:bottom w:val="none" w:sz="0" w:space="0" w:color="auto"/>
        <w:right w:val="none" w:sz="0" w:space="0" w:color="auto"/>
      </w:divBdr>
    </w:div>
    <w:div w:id="1383364910">
      <w:bodyDiv w:val="1"/>
      <w:marLeft w:val="0"/>
      <w:marRight w:val="0"/>
      <w:marTop w:val="0"/>
      <w:marBottom w:val="0"/>
      <w:divBdr>
        <w:top w:val="none" w:sz="0" w:space="0" w:color="auto"/>
        <w:left w:val="none" w:sz="0" w:space="0" w:color="auto"/>
        <w:bottom w:val="none" w:sz="0" w:space="0" w:color="auto"/>
        <w:right w:val="none" w:sz="0" w:space="0" w:color="auto"/>
      </w:divBdr>
    </w:div>
    <w:div w:id="1384476966">
      <w:bodyDiv w:val="1"/>
      <w:marLeft w:val="0"/>
      <w:marRight w:val="0"/>
      <w:marTop w:val="0"/>
      <w:marBottom w:val="0"/>
      <w:divBdr>
        <w:top w:val="none" w:sz="0" w:space="0" w:color="auto"/>
        <w:left w:val="none" w:sz="0" w:space="0" w:color="auto"/>
        <w:bottom w:val="none" w:sz="0" w:space="0" w:color="auto"/>
        <w:right w:val="none" w:sz="0" w:space="0" w:color="auto"/>
      </w:divBdr>
    </w:div>
    <w:div w:id="1384644763">
      <w:bodyDiv w:val="1"/>
      <w:marLeft w:val="0"/>
      <w:marRight w:val="0"/>
      <w:marTop w:val="0"/>
      <w:marBottom w:val="0"/>
      <w:divBdr>
        <w:top w:val="none" w:sz="0" w:space="0" w:color="auto"/>
        <w:left w:val="none" w:sz="0" w:space="0" w:color="auto"/>
        <w:bottom w:val="none" w:sz="0" w:space="0" w:color="auto"/>
        <w:right w:val="none" w:sz="0" w:space="0" w:color="auto"/>
      </w:divBdr>
    </w:div>
    <w:div w:id="1385177323">
      <w:bodyDiv w:val="1"/>
      <w:marLeft w:val="0"/>
      <w:marRight w:val="0"/>
      <w:marTop w:val="0"/>
      <w:marBottom w:val="0"/>
      <w:divBdr>
        <w:top w:val="none" w:sz="0" w:space="0" w:color="auto"/>
        <w:left w:val="none" w:sz="0" w:space="0" w:color="auto"/>
        <w:bottom w:val="none" w:sz="0" w:space="0" w:color="auto"/>
        <w:right w:val="none" w:sz="0" w:space="0" w:color="auto"/>
      </w:divBdr>
    </w:div>
    <w:div w:id="1385644258">
      <w:bodyDiv w:val="1"/>
      <w:marLeft w:val="0"/>
      <w:marRight w:val="0"/>
      <w:marTop w:val="0"/>
      <w:marBottom w:val="0"/>
      <w:divBdr>
        <w:top w:val="none" w:sz="0" w:space="0" w:color="auto"/>
        <w:left w:val="none" w:sz="0" w:space="0" w:color="auto"/>
        <w:bottom w:val="none" w:sz="0" w:space="0" w:color="auto"/>
        <w:right w:val="none" w:sz="0" w:space="0" w:color="auto"/>
      </w:divBdr>
    </w:div>
    <w:div w:id="1386178573">
      <w:bodyDiv w:val="1"/>
      <w:marLeft w:val="0"/>
      <w:marRight w:val="0"/>
      <w:marTop w:val="0"/>
      <w:marBottom w:val="0"/>
      <w:divBdr>
        <w:top w:val="none" w:sz="0" w:space="0" w:color="auto"/>
        <w:left w:val="none" w:sz="0" w:space="0" w:color="auto"/>
        <w:bottom w:val="none" w:sz="0" w:space="0" w:color="auto"/>
        <w:right w:val="none" w:sz="0" w:space="0" w:color="auto"/>
      </w:divBdr>
    </w:div>
    <w:div w:id="1386954692">
      <w:bodyDiv w:val="1"/>
      <w:marLeft w:val="0"/>
      <w:marRight w:val="0"/>
      <w:marTop w:val="0"/>
      <w:marBottom w:val="0"/>
      <w:divBdr>
        <w:top w:val="none" w:sz="0" w:space="0" w:color="auto"/>
        <w:left w:val="none" w:sz="0" w:space="0" w:color="auto"/>
        <w:bottom w:val="none" w:sz="0" w:space="0" w:color="auto"/>
        <w:right w:val="none" w:sz="0" w:space="0" w:color="auto"/>
      </w:divBdr>
    </w:div>
    <w:div w:id="1386955686">
      <w:bodyDiv w:val="1"/>
      <w:marLeft w:val="0"/>
      <w:marRight w:val="0"/>
      <w:marTop w:val="0"/>
      <w:marBottom w:val="0"/>
      <w:divBdr>
        <w:top w:val="none" w:sz="0" w:space="0" w:color="auto"/>
        <w:left w:val="none" w:sz="0" w:space="0" w:color="auto"/>
        <w:bottom w:val="none" w:sz="0" w:space="0" w:color="auto"/>
        <w:right w:val="none" w:sz="0" w:space="0" w:color="auto"/>
      </w:divBdr>
    </w:div>
    <w:div w:id="1387950586">
      <w:bodyDiv w:val="1"/>
      <w:marLeft w:val="0"/>
      <w:marRight w:val="0"/>
      <w:marTop w:val="0"/>
      <w:marBottom w:val="0"/>
      <w:divBdr>
        <w:top w:val="none" w:sz="0" w:space="0" w:color="auto"/>
        <w:left w:val="none" w:sz="0" w:space="0" w:color="auto"/>
        <w:bottom w:val="none" w:sz="0" w:space="0" w:color="auto"/>
        <w:right w:val="none" w:sz="0" w:space="0" w:color="auto"/>
      </w:divBdr>
    </w:div>
    <w:div w:id="1388067627">
      <w:bodyDiv w:val="1"/>
      <w:marLeft w:val="0"/>
      <w:marRight w:val="0"/>
      <w:marTop w:val="0"/>
      <w:marBottom w:val="0"/>
      <w:divBdr>
        <w:top w:val="none" w:sz="0" w:space="0" w:color="auto"/>
        <w:left w:val="none" w:sz="0" w:space="0" w:color="auto"/>
        <w:bottom w:val="none" w:sz="0" w:space="0" w:color="auto"/>
        <w:right w:val="none" w:sz="0" w:space="0" w:color="auto"/>
      </w:divBdr>
    </w:div>
    <w:div w:id="1389109030">
      <w:bodyDiv w:val="1"/>
      <w:marLeft w:val="0"/>
      <w:marRight w:val="0"/>
      <w:marTop w:val="0"/>
      <w:marBottom w:val="0"/>
      <w:divBdr>
        <w:top w:val="none" w:sz="0" w:space="0" w:color="auto"/>
        <w:left w:val="none" w:sz="0" w:space="0" w:color="auto"/>
        <w:bottom w:val="none" w:sz="0" w:space="0" w:color="auto"/>
        <w:right w:val="none" w:sz="0" w:space="0" w:color="auto"/>
      </w:divBdr>
    </w:div>
    <w:div w:id="1389768467">
      <w:bodyDiv w:val="1"/>
      <w:marLeft w:val="0"/>
      <w:marRight w:val="0"/>
      <w:marTop w:val="0"/>
      <w:marBottom w:val="0"/>
      <w:divBdr>
        <w:top w:val="none" w:sz="0" w:space="0" w:color="auto"/>
        <w:left w:val="none" w:sz="0" w:space="0" w:color="auto"/>
        <w:bottom w:val="none" w:sz="0" w:space="0" w:color="auto"/>
        <w:right w:val="none" w:sz="0" w:space="0" w:color="auto"/>
      </w:divBdr>
    </w:div>
    <w:div w:id="1391001860">
      <w:bodyDiv w:val="1"/>
      <w:marLeft w:val="0"/>
      <w:marRight w:val="0"/>
      <w:marTop w:val="0"/>
      <w:marBottom w:val="0"/>
      <w:divBdr>
        <w:top w:val="none" w:sz="0" w:space="0" w:color="auto"/>
        <w:left w:val="none" w:sz="0" w:space="0" w:color="auto"/>
        <w:bottom w:val="none" w:sz="0" w:space="0" w:color="auto"/>
        <w:right w:val="none" w:sz="0" w:space="0" w:color="auto"/>
      </w:divBdr>
    </w:div>
    <w:div w:id="1391923925">
      <w:marLeft w:val="0"/>
      <w:marRight w:val="0"/>
      <w:marTop w:val="0"/>
      <w:marBottom w:val="0"/>
      <w:divBdr>
        <w:top w:val="none" w:sz="0" w:space="0" w:color="auto"/>
        <w:left w:val="none" w:sz="0" w:space="0" w:color="auto"/>
        <w:bottom w:val="none" w:sz="0" w:space="0" w:color="auto"/>
        <w:right w:val="none" w:sz="0" w:space="0" w:color="auto"/>
      </w:divBdr>
    </w:div>
    <w:div w:id="1392577637">
      <w:bodyDiv w:val="1"/>
      <w:marLeft w:val="0"/>
      <w:marRight w:val="0"/>
      <w:marTop w:val="0"/>
      <w:marBottom w:val="0"/>
      <w:divBdr>
        <w:top w:val="none" w:sz="0" w:space="0" w:color="auto"/>
        <w:left w:val="none" w:sz="0" w:space="0" w:color="auto"/>
        <w:bottom w:val="none" w:sz="0" w:space="0" w:color="auto"/>
        <w:right w:val="none" w:sz="0" w:space="0" w:color="auto"/>
      </w:divBdr>
    </w:div>
    <w:div w:id="1393232480">
      <w:bodyDiv w:val="1"/>
      <w:marLeft w:val="0"/>
      <w:marRight w:val="0"/>
      <w:marTop w:val="0"/>
      <w:marBottom w:val="0"/>
      <w:divBdr>
        <w:top w:val="none" w:sz="0" w:space="0" w:color="auto"/>
        <w:left w:val="none" w:sz="0" w:space="0" w:color="auto"/>
        <w:bottom w:val="none" w:sz="0" w:space="0" w:color="auto"/>
        <w:right w:val="none" w:sz="0" w:space="0" w:color="auto"/>
      </w:divBdr>
    </w:div>
    <w:div w:id="1393236339">
      <w:bodyDiv w:val="1"/>
      <w:marLeft w:val="0"/>
      <w:marRight w:val="0"/>
      <w:marTop w:val="0"/>
      <w:marBottom w:val="0"/>
      <w:divBdr>
        <w:top w:val="none" w:sz="0" w:space="0" w:color="auto"/>
        <w:left w:val="none" w:sz="0" w:space="0" w:color="auto"/>
        <w:bottom w:val="none" w:sz="0" w:space="0" w:color="auto"/>
        <w:right w:val="none" w:sz="0" w:space="0" w:color="auto"/>
      </w:divBdr>
    </w:div>
    <w:div w:id="1393499861">
      <w:bodyDiv w:val="1"/>
      <w:marLeft w:val="0"/>
      <w:marRight w:val="0"/>
      <w:marTop w:val="0"/>
      <w:marBottom w:val="0"/>
      <w:divBdr>
        <w:top w:val="none" w:sz="0" w:space="0" w:color="auto"/>
        <w:left w:val="none" w:sz="0" w:space="0" w:color="auto"/>
        <w:bottom w:val="none" w:sz="0" w:space="0" w:color="auto"/>
        <w:right w:val="none" w:sz="0" w:space="0" w:color="auto"/>
      </w:divBdr>
    </w:div>
    <w:div w:id="1395620840">
      <w:bodyDiv w:val="1"/>
      <w:marLeft w:val="0"/>
      <w:marRight w:val="0"/>
      <w:marTop w:val="0"/>
      <w:marBottom w:val="0"/>
      <w:divBdr>
        <w:top w:val="none" w:sz="0" w:space="0" w:color="auto"/>
        <w:left w:val="none" w:sz="0" w:space="0" w:color="auto"/>
        <w:bottom w:val="none" w:sz="0" w:space="0" w:color="auto"/>
        <w:right w:val="none" w:sz="0" w:space="0" w:color="auto"/>
      </w:divBdr>
    </w:div>
    <w:div w:id="1395740682">
      <w:bodyDiv w:val="1"/>
      <w:marLeft w:val="0"/>
      <w:marRight w:val="0"/>
      <w:marTop w:val="0"/>
      <w:marBottom w:val="0"/>
      <w:divBdr>
        <w:top w:val="none" w:sz="0" w:space="0" w:color="auto"/>
        <w:left w:val="none" w:sz="0" w:space="0" w:color="auto"/>
        <w:bottom w:val="none" w:sz="0" w:space="0" w:color="auto"/>
        <w:right w:val="none" w:sz="0" w:space="0" w:color="auto"/>
      </w:divBdr>
    </w:div>
    <w:div w:id="1396784698">
      <w:bodyDiv w:val="1"/>
      <w:marLeft w:val="0"/>
      <w:marRight w:val="0"/>
      <w:marTop w:val="0"/>
      <w:marBottom w:val="0"/>
      <w:divBdr>
        <w:top w:val="none" w:sz="0" w:space="0" w:color="auto"/>
        <w:left w:val="none" w:sz="0" w:space="0" w:color="auto"/>
        <w:bottom w:val="none" w:sz="0" w:space="0" w:color="auto"/>
        <w:right w:val="none" w:sz="0" w:space="0" w:color="auto"/>
      </w:divBdr>
    </w:div>
    <w:div w:id="1397438631">
      <w:bodyDiv w:val="1"/>
      <w:marLeft w:val="0"/>
      <w:marRight w:val="0"/>
      <w:marTop w:val="0"/>
      <w:marBottom w:val="0"/>
      <w:divBdr>
        <w:top w:val="none" w:sz="0" w:space="0" w:color="auto"/>
        <w:left w:val="none" w:sz="0" w:space="0" w:color="auto"/>
        <w:bottom w:val="none" w:sz="0" w:space="0" w:color="auto"/>
        <w:right w:val="none" w:sz="0" w:space="0" w:color="auto"/>
      </w:divBdr>
      <w:divsChild>
        <w:div w:id="900866878">
          <w:marLeft w:val="0"/>
          <w:marRight w:val="0"/>
          <w:marTop w:val="0"/>
          <w:marBottom w:val="0"/>
          <w:divBdr>
            <w:top w:val="none" w:sz="0" w:space="0" w:color="auto"/>
            <w:left w:val="none" w:sz="0" w:space="0" w:color="auto"/>
            <w:bottom w:val="none" w:sz="0" w:space="0" w:color="auto"/>
            <w:right w:val="none" w:sz="0" w:space="0" w:color="auto"/>
          </w:divBdr>
        </w:div>
        <w:div w:id="455951085">
          <w:marLeft w:val="0"/>
          <w:marRight w:val="0"/>
          <w:marTop w:val="0"/>
          <w:marBottom w:val="0"/>
          <w:divBdr>
            <w:top w:val="none" w:sz="0" w:space="0" w:color="auto"/>
            <w:left w:val="none" w:sz="0" w:space="0" w:color="auto"/>
            <w:bottom w:val="none" w:sz="0" w:space="0" w:color="auto"/>
            <w:right w:val="none" w:sz="0" w:space="0" w:color="auto"/>
          </w:divBdr>
        </w:div>
        <w:div w:id="1723334888">
          <w:marLeft w:val="0"/>
          <w:marRight w:val="0"/>
          <w:marTop w:val="0"/>
          <w:marBottom w:val="0"/>
          <w:divBdr>
            <w:top w:val="none" w:sz="0" w:space="0" w:color="auto"/>
            <w:left w:val="none" w:sz="0" w:space="0" w:color="auto"/>
            <w:bottom w:val="none" w:sz="0" w:space="0" w:color="auto"/>
            <w:right w:val="none" w:sz="0" w:space="0" w:color="auto"/>
          </w:divBdr>
          <w:divsChild>
            <w:div w:id="5510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5277">
      <w:bodyDiv w:val="1"/>
      <w:marLeft w:val="0"/>
      <w:marRight w:val="0"/>
      <w:marTop w:val="0"/>
      <w:marBottom w:val="0"/>
      <w:divBdr>
        <w:top w:val="none" w:sz="0" w:space="0" w:color="auto"/>
        <w:left w:val="none" w:sz="0" w:space="0" w:color="auto"/>
        <w:bottom w:val="none" w:sz="0" w:space="0" w:color="auto"/>
        <w:right w:val="none" w:sz="0" w:space="0" w:color="auto"/>
      </w:divBdr>
    </w:div>
    <w:div w:id="1400517572">
      <w:bodyDiv w:val="1"/>
      <w:marLeft w:val="0"/>
      <w:marRight w:val="0"/>
      <w:marTop w:val="0"/>
      <w:marBottom w:val="0"/>
      <w:divBdr>
        <w:top w:val="none" w:sz="0" w:space="0" w:color="auto"/>
        <w:left w:val="none" w:sz="0" w:space="0" w:color="auto"/>
        <w:bottom w:val="none" w:sz="0" w:space="0" w:color="auto"/>
        <w:right w:val="none" w:sz="0" w:space="0" w:color="auto"/>
      </w:divBdr>
    </w:div>
    <w:div w:id="1400980954">
      <w:bodyDiv w:val="1"/>
      <w:marLeft w:val="0"/>
      <w:marRight w:val="0"/>
      <w:marTop w:val="0"/>
      <w:marBottom w:val="0"/>
      <w:divBdr>
        <w:top w:val="none" w:sz="0" w:space="0" w:color="auto"/>
        <w:left w:val="none" w:sz="0" w:space="0" w:color="auto"/>
        <w:bottom w:val="none" w:sz="0" w:space="0" w:color="auto"/>
        <w:right w:val="none" w:sz="0" w:space="0" w:color="auto"/>
      </w:divBdr>
    </w:div>
    <w:div w:id="1401516220">
      <w:bodyDiv w:val="1"/>
      <w:marLeft w:val="0"/>
      <w:marRight w:val="0"/>
      <w:marTop w:val="0"/>
      <w:marBottom w:val="0"/>
      <w:divBdr>
        <w:top w:val="none" w:sz="0" w:space="0" w:color="auto"/>
        <w:left w:val="none" w:sz="0" w:space="0" w:color="auto"/>
        <w:bottom w:val="none" w:sz="0" w:space="0" w:color="auto"/>
        <w:right w:val="none" w:sz="0" w:space="0" w:color="auto"/>
      </w:divBdr>
    </w:div>
    <w:div w:id="1401901213">
      <w:bodyDiv w:val="1"/>
      <w:marLeft w:val="0"/>
      <w:marRight w:val="0"/>
      <w:marTop w:val="0"/>
      <w:marBottom w:val="0"/>
      <w:divBdr>
        <w:top w:val="none" w:sz="0" w:space="0" w:color="auto"/>
        <w:left w:val="none" w:sz="0" w:space="0" w:color="auto"/>
        <w:bottom w:val="none" w:sz="0" w:space="0" w:color="auto"/>
        <w:right w:val="none" w:sz="0" w:space="0" w:color="auto"/>
      </w:divBdr>
    </w:div>
    <w:div w:id="1402866840">
      <w:bodyDiv w:val="1"/>
      <w:marLeft w:val="0"/>
      <w:marRight w:val="0"/>
      <w:marTop w:val="0"/>
      <w:marBottom w:val="0"/>
      <w:divBdr>
        <w:top w:val="none" w:sz="0" w:space="0" w:color="auto"/>
        <w:left w:val="none" w:sz="0" w:space="0" w:color="auto"/>
        <w:bottom w:val="none" w:sz="0" w:space="0" w:color="auto"/>
        <w:right w:val="none" w:sz="0" w:space="0" w:color="auto"/>
      </w:divBdr>
    </w:div>
    <w:div w:id="1403063822">
      <w:bodyDiv w:val="1"/>
      <w:marLeft w:val="0"/>
      <w:marRight w:val="0"/>
      <w:marTop w:val="0"/>
      <w:marBottom w:val="0"/>
      <w:divBdr>
        <w:top w:val="none" w:sz="0" w:space="0" w:color="auto"/>
        <w:left w:val="none" w:sz="0" w:space="0" w:color="auto"/>
        <w:bottom w:val="none" w:sz="0" w:space="0" w:color="auto"/>
        <w:right w:val="none" w:sz="0" w:space="0" w:color="auto"/>
      </w:divBdr>
    </w:div>
    <w:div w:id="1406150385">
      <w:bodyDiv w:val="1"/>
      <w:marLeft w:val="0"/>
      <w:marRight w:val="0"/>
      <w:marTop w:val="0"/>
      <w:marBottom w:val="0"/>
      <w:divBdr>
        <w:top w:val="none" w:sz="0" w:space="0" w:color="auto"/>
        <w:left w:val="none" w:sz="0" w:space="0" w:color="auto"/>
        <w:bottom w:val="none" w:sz="0" w:space="0" w:color="auto"/>
        <w:right w:val="none" w:sz="0" w:space="0" w:color="auto"/>
      </w:divBdr>
    </w:div>
    <w:div w:id="1407146287">
      <w:bodyDiv w:val="1"/>
      <w:marLeft w:val="0"/>
      <w:marRight w:val="0"/>
      <w:marTop w:val="0"/>
      <w:marBottom w:val="0"/>
      <w:divBdr>
        <w:top w:val="none" w:sz="0" w:space="0" w:color="auto"/>
        <w:left w:val="none" w:sz="0" w:space="0" w:color="auto"/>
        <w:bottom w:val="none" w:sz="0" w:space="0" w:color="auto"/>
        <w:right w:val="none" w:sz="0" w:space="0" w:color="auto"/>
      </w:divBdr>
    </w:div>
    <w:div w:id="1408459093">
      <w:bodyDiv w:val="1"/>
      <w:marLeft w:val="0"/>
      <w:marRight w:val="0"/>
      <w:marTop w:val="0"/>
      <w:marBottom w:val="0"/>
      <w:divBdr>
        <w:top w:val="none" w:sz="0" w:space="0" w:color="auto"/>
        <w:left w:val="none" w:sz="0" w:space="0" w:color="auto"/>
        <w:bottom w:val="none" w:sz="0" w:space="0" w:color="auto"/>
        <w:right w:val="none" w:sz="0" w:space="0" w:color="auto"/>
      </w:divBdr>
    </w:div>
    <w:div w:id="1408965359">
      <w:bodyDiv w:val="1"/>
      <w:marLeft w:val="0"/>
      <w:marRight w:val="0"/>
      <w:marTop w:val="0"/>
      <w:marBottom w:val="0"/>
      <w:divBdr>
        <w:top w:val="none" w:sz="0" w:space="0" w:color="auto"/>
        <w:left w:val="none" w:sz="0" w:space="0" w:color="auto"/>
        <w:bottom w:val="none" w:sz="0" w:space="0" w:color="auto"/>
        <w:right w:val="none" w:sz="0" w:space="0" w:color="auto"/>
      </w:divBdr>
    </w:div>
    <w:div w:id="1408991058">
      <w:bodyDiv w:val="1"/>
      <w:marLeft w:val="0"/>
      <w:marRight w:val="0"/>
      <w:marTop w:val="0"/>
      <w:marBottom w:val="0"/>
      <w:divBdr>
        <w:top w:val="none" w:sz="0" w:space="0" w:color="auto"/>
        <w:left w:val="none" w:sz="0" w:space="0" w:color="auto"/>
        <w:bottom w:val="none" w:sz="0" w:space="0" w:color="auto"/>
        <w:right w:val="none" w:sz="0" w:space="0" w:color="auto"/>
      </w:divBdr>
    </w:div>
    <w:div w:id="1409226173">
      <w:bodyDiv w:val="1"/>
      <w:marLeft w:val="0"/>
      <w:marRight w:val="0"/>
      <w:marTop w:val="0"/>
      <w:marBottom w:val="0"/>
      <w:divBdr>
        <w:top w:val="none" w:sz="0" w:space="0" w:color="auto"/>
        <w:left w:val="none" w:sz="0" w:space="0" w:color="auto"/>
        <w:bottom w:val="none" w:sz="0" w:space="0" w:color="auto"/>
        <w:right w:val="none" w:sz="0" w:space="0" w:color="auto"/>
      </w:divBdr>
    </w:div>
    <w:div w:id="1410039801">
      <w:bodyDiv w:val="1"/>
      <w:marLeft w:val="0"/>
      <w:marRight w:val="0"/>
      <w:marTop w:val="0"/>
      <w:marBottom w:val="0"/>
      <w:divBdr>
        <w:top w:val="none" w:sz="0" w:space="0" w:color="auto"/>
        <w:left w:val="none" w:sz="0" w:space="0" w:color="auto"/>
        <w:bottom w:val="none" w:sz="0" w:space="0" w:color="auto"/>
        <w:right w:val="none" w:sz="0" w:space="0" w:color="auto"/>
      </w:divBdr>
    </w:div>
    <w:div w:id="1412897626">
      <w:bodyDiv w:val="1"/>
      <w:marLeft w:val="0"/>
      <w:marRight w:val="0"/>
      <w:marTop w:val="0"/>
      <w:marBottom w:val="0"/>
      <w:divBdr>
        <w:top w:val="none" w:sz="0" w:space="0" w:color="auto"/>
        <w:left w:val="none" w:sz="0" w:space="0" w:color="auto"/>
        <w:bottom w:val="none" w:sz="0" w:space="0" w:color="auto"/>
        <w:right w:val="none" w:sz="0" w:space="0" w:color="auto"/>
      </w:divBdr>
    </w:div>
    <w:div w:id="1415976429">
      <w:bodyDiv w:val="1"/>
      <w:marLeft w:val="0"/>
      <w:marRight w:val="0"/>
      <w:marTop w:val="0"/>
      <w:marBottom w:val="0"/>
      <w:divBdr>
        <w:top w:val="none" w:sz="0" w:space="0" w:color="auto"/>
        <w:left w:val="none" w:sz="0" w:space="0" w:color="auto"/>
        <w:bottom w:val="none" w:sz="0" w:space="0" w:color="auto"/>
        <w:right w:val="none" w:sz="0" w:space="0" w:color="auto"/>
      </w:divBdr>
    </w:div>
    <w:div w:id="1416632165">
      <w:bodyDiv w:val="1"/>
      <w:marLeft w:val="0"/>
      <w:marRight w:val="0"/>
      <w:marTop w:val="0"/>
      <w:marBottom w:val="0"/>
      <w:divBdr>
        <w:top w:val="none" w:sz="0" w:space="0" w:color="auto"/>
        <w:left w:val="none" w:sz="0" w:space="0" w:color="auto"/>
        <w:bottom w:val="none" w:sz="0" w:space="0" w:color="auto"/>
        <w:right w:val="none" w:sz="0" w:space="0" w:color="auto"/>
      </w:divBdr>
    </w:div>
    <w:div w:id="1418475616">
      <w:bodyDiv w:val="1"/>
      <w:marLeft w:val="0"/>
      <w:marRight w:val="0"/>
      <w:marTop w:val="0"/>
      <w:marBottom w:val="0"/>
      <w:divBdr>
        <w:top w:val="none" w:sz="0" w:space="0" w:color="auto"/>
        <w:left w:val="none" w:sz="0" w:space="0" w:color="auto"/>
        <w:bottom w:val="none" w:sz="0" w:space="0" w:color="auto"/>
        <w:right w:val="none" w:sz="0" w:space="0" w:color="auto"/>
      </w:divBdr>
    </w:div>
    <w:div w:id="1419404075">
      <w:bodyDiv w:val="1"/>
      <w:marLeft w:val="0"/>
      <w:marRight w:val="0"/>
      <w:marTop w:val="0"/>
      <w:marBottom w:val="0"/>
      <w:divBdr>
        <w:top w:val="none" w:sz="0" w:space="0" w:color="auto"/>
        <w:left w:val="none" w:sz="0" w:space="0" w:color="auto"/>
        <w:bottom w:val="none" w:sz="0" w:space="0" w:color="auto"/>
        <w:right w:val="none" w:sz="0" w:space="0" w:color="auto"/>
      </w:divBdr>
    </w:div>
    <w:div w:id="1420832740">
      <w:bodyDiv w:val="1"/>
      <w:marLeft w:val="0"/>
      <w:marRight w:val="0"/>
      <w:marTop w:val="0"/>
      <w:marBottom w:val="0"/>
      <w:divBdr>
        <w:top w:val="none" w:sz="0" w:space="0" w:color="auto"/>
        <w:left w:val="none" w:sz="0" w:space="0" w:color="auto"/>
        <w:bottom w:val="none" w:sz="0" w:space="0" w:color="auto"/>
        <w:right w:val="none" w:sz="0" w:space="0" w:color="auto"/>
      </w:divBdr>
    </w:div>
    <w:div w:id="1421179456">
      <w:bodyDiv w:val="1"/>
      <w:marLeft w:val="0"/>
      <w:marRight w:val="0"/>
      <w:marTop w:val="0"/>
      <w:marBottom w:val="0"/>
      <w:divBdr>
        <w:top w:val="none" w:sz="0" w:space="0" w:color="auto"/>
        <w:left w:val="none" w:sz="0" w:space="0" w:color="auto"/>
        <w:bottom w:val="none" w:sz="0" w:space="0" w:color="auto"/>
        <w:right w:val="none" w:sz="0" w:space="0" w:color="auto"/>
      </w:divBdr>
    </w:div>
    <w:div w:id="1422330807">
      <w:bodyDiv w:val="1"/>
      <w:marLeft w:val="0"/>
      <w:marRight w:val="0"/>
      <w:marTop w:val="0"/>
      <w:marBottom w:val="0"/>
      <w:divBdr>
        <w:top w:val="none" w:sz="0" w:space="0" w:color="auto"/>
        <w:left w:val="none" w:sz="0" w:space="0" w:color="auto"/>
        <w:bottom w:val="none" w:sz="0" w:space="0" w:color="auto"/>
        <w:right w:val="none" w:sz="0" w:space="0" w:color="auto"/>
      </w:divBdr>
    </w:div>
    <w:div w:id="1423602478">
      <w:bodyDiv w:val="1"/>
      <w:marLeft w:val="0"/>
      <w:marRight w:val="0"/>
      <w:marTop w:val="0"/>
      <w:marBottom w:val="0"/>
      <w:divBdr>
        <w:top w:val="none" w:sz="0" w:space="0" w:color="auto"/>
        <w:left w:val="none" w:sz="0" w:space="0" w:color="auto"/>
        <w:bottom w:val="none" w:sz="0" w:space="0" w:color="auto"/>
        <w:right w:val="none" w:sz="0" w:space="0" w:color="auto"/>
      </w:divBdr>
    </w:div>
    <w:div w:id="1424717780">
      <w:bodyDiv w:val="1"/>
      <w:marLeft w:val="0"/>
      <w:marRight w:val="0"/>
      <w:marTop w:val="0"/>
      <w:marBottom w:val="0"/>
      <w:divBdr>
        <w:top w:val="none" w:sz="0" w:space="0" w:color="auto"/>
        <w:left w:val="none" w:sz="0" w:space="0" w:color="auto"/>
        <w:bottom w:val="none" w:sz="0" w:space="0" w:color="auto"/>
        <w:right w:val="none" w:sz="0" w:space="0" w:color="auto"/>
      </w:divBdr>
    </w:div>
    <w:div w:id="1425612069">
      <w:bodyDiv w:val="1"/>
      <w:marLeft w:val="0"/>
      <w:marRight w:val="0"/>
      <w:marTop w:val="0"/>
      <w:marBottom w:val="0"/>
      <w:divBdr>
        <w:top w:val="none" w:sz="0" w:space="0" w:color="auto"/>
        <w:left w:val="none" w:sz="0" w:space="0" w:color="auto"/>
        <w:bottom w:val="none" w:sz="0" w:space="0" w:color="auto"/>
        <w:right w:val="none" w:sz="0" w:space="0" w:color="auto"/>
      </w:divBdr>
    </w:div>
    <w:div w:id="1425613796">
      <w:bodyDiv w:val="1"/>
      <w:marLeft w:val="0"/>
      <w:marRight w:val="0"/>
      <w:marTop w:val="0"/>
      <w:marBottom w:val="0"/>
      <w:divBdr>
        <w:top w:val="none" w:sz="0" w:space="0" w:color="auto"/>
        <w:left w:val="none" w:sz="0" w:space="0" w:color="auto"/>
        <w:bottom w:val="none" w:sz="0" w:space="0" w:color="auto"/>
        <w:right w:val="none" w:sz="0" w:space="0" w:color="auto"/>
      </w:divBdr>
    </w:div>
    <w:div w:id="1426923093">
      <w:bodyDiv w:val="1"/>
      <w:marLeft w:val="0"/>
      <w:marRight w:val="0"/>
      <w:marTop w:val="0"/>
      <w:marBottom w:val="0"/>
      <w:divBdr>
        <w:top w:val="none" w:sz="0" w:space="0" w:color="auto"/>
        <w:left w:val="none" w:sz="0" w:space="0" w:color="auto"/>
        <w:bottom w:val="none" w:sz="0" w:space="0" w:color="auto"/>
        <w:right w:val="none" w:sz="0" w:space="0" w:color="auto"/>
      </w:divBdr>
    </w:div>
    <w:div w:id="1430857638">
      <w:bodyDiv w:val="1"/>
      <w:marLeft w:val="0"/>
      <w:marRight w:val="0"/>
      <w:marTop w:val="0"/>
      <w:marBottom w:val="0"/>
      <w:divBdr>
        <w:top w:val="none" w:sz="0" w:space="0" w:color="auto"/>
        <w:left w:val="none" w:sz="0" w:space="0" w:color="auto"/>
        <w:bottom w:val="none" w:sz="0" w:space="0" w:color="auto"/>
        <w:right w:val="none" w:sz="0" w:space="0" w:color="auto"/>
      </w:divBdr>
    </w:div>
    <w:div w:id="1431269842">
      <w:bodyDiv w:val="1"/>
      <w:marLeft w:val="0"/>
      <w:marRight w:val="0"/>
      <w:marTop w:val="0"/>
      <w:marBottom w:val="0"/>
      <w:divBdr>
        <w:top w:val="none" w:sz="0" w:space="0" w:color="auto"/>
        <w:left w:val="none" w:sz="0" w:space="0" w:color="auto"/>
        <w:bottom w:val="none" w:sz="0" w:space="0" w:color="auto"/>
        <w:right w:val="none" w:sz="0" w:space="0" w:color="auto"/>
      </w:divBdr>
    </w:div>
    <w:div w:id="1431781117">
      <w:bodyDiv w:val="1"/>
      <w:marLeft w:val="0"/>
      <w:marRight w:val="0"/>
      <w:marTop w:val="0"/>
      <w:marBottom w:val="0"/>
      <w:divBdr>
        <w:top w:val="none" w:sz="0" w:space="0" w:color="auto"/>
        <w:left w:val="none" w:sz="0" w:space="0" w:color="auto"/>
        <w:bottom w:val="none" w:sz="0" w:space="0" w:color="auto"/>
        <w:right w:val="none" w:sz="0" w:space="0" w:color="auto"/>
      </w:divBdr>
    </w:div>
    <w:div w:id="1433352826">
      <w:bodyDiv w:val="1"/>
      <w:marLeft w:val="0"/>
      <w:marRight w:val="0"/>
      <w:marTop w:val="0"/>
      <w:marBottom w:val="0"/>
      <w:divBdr>
        <w:top w:val="none" w:sz="0" w:space="0" w:color="auto"/>
        <w:left w:val="none" w:sz="0" w:space="0" w:color="auto"/>
        <w:bottom w:val="none" w:sz="0" w:space="0" w:color="auto"/>
        <w:right w:val="none" w:sz="0" w:space="0" w:color="auto"/>
      </w:divBdr>
    </w:div>
    <w:div w:id="1435129667">
      <w:bodyDiv w:val="1"/>
      <w:marLeft w:val="0"/>
      <w:marRight w:val="0"/>
      <w:marTop w:val="0"/>
      <w:marBottom w:val="0"/>
      <w:divBdr>
        <w:top w:val="none" w:sz="0" w:space="0" w:color="auto"/>
        <w:left w:val="none" w:sz="0" w:space="0" w:color="auto"/>
        <w:bottom w:val="none" w:sz="0" w:space="0" w:color="auto"/>
        <w:right w:val="none" w:sz="0" w:space="0" w:color="auto"/>
      </w:divBdr>
    </w:div>
    <w:div w:id="1436899727">
      <w:bodyDiv w:val="1"/>
      <w:marLeft w:val="0"/>
      <w:marRight w:val="0"/>
      <w:marTop w:val="0"/>
      <w:marBottom w:val="0"/>
      <w:divBdr>
        <w:top w:val="none" w:sz="0" w:space="0" w:color="auto"/>
        <w:left w:val="none" w:sz="0" w:space="0" w:color="auto"/>
        <w:bottom w:val="none" w:sz="0" w:space="0" w:color="auto"/>
        <w:right w:val="none" w:sz="0" w:space="0" w:color="auto"/>
      </w:divBdr>
    </w:div>
    <w:div w:id="1438213000">
      <w:bodyDiv w:val="1"/>
      <w:marLeft w:val="0"/>
      <w:marRight w:val="0"/>
      <w:marTop w:val="0"/>
      <w:marBottom w:val="0"/>
      <w:divBdr>
        <w:top w:val="none" w:sz="0" w:space="0" w:color="auto"/>
        <w:left w:val="none" w:sz="0" w:space="0" w:color="auto"/>
        <w:bottom w:val="none" w:sz="0" w:space="0" w:color="auto"/>
        <w:right w:val="none" w:sz="0" w:space="0" w:color="auto"/>
      </w:divBdr>
    </w:div>
    <w:div w:id="1438215773">
      <w:bodyDiv w:val="1"/>
      <w:marLeft w:val="0"/>
      <w:marRight w:val="0"/>
      <w:marTop w:val="0"/>
      <w:marBottom w:val="0"/>
      <w:divBdr>
        <w:top w:val="none" w:sz="0" w:space="0" w:color="auto"/>
        <w:left w:val="none" w:sz="0" w:space="0" w:color="auto"/>
        <w:bottom w:val="none" w:sz="0" w:space="0" w:color="auto"/>
        <w:right w:val="none" w:sz="0" w:space="0" w:color="auto"/>
      </w:divBdr>
    </w:div>
    <w:div w:id="1438451602">
      <w:bodyDiv w:val="1"/>
      <w:marLeft w:val="0"/>
      <w:marRight w:val="0"/>
      <w:marTop w:val="0"/>
      <w:marBottom w:val="0"/>
      <w:divBdr>
        <w:top w:val="none" w:sz="0" w:space="0" w:color="auto"/>
        <w:left w:val="none" w:sz="0" w:space="0" w:color="auto"/>
        <w:bottom w:val="none" w:sz="0" w:space="0" w:color="auto"/>
        <w:right w:val="none" w:sz="0" w:space="0" w:color="auto"/>
      </w:divBdr>
    </w:div>
    <w:div w:id="1440025970">
      <w:bodyDiv w:val="1"/>
      <w:marLeft w:val="0"/>
      <w:marRight w:val="0"/>
      <w:marTop w:val="0"/>
      <w:marBottom w:val="0"/>
      <w:divBdr>
        <w:top w:val="none" w:sz="0" w:space="0" w:color="auto"/>
        <w:left w:val="none" w:sz="0" w:space="0" w:color="auto"/>
        <w:bottom w:val="none" w:sz="0" w:space="0" w:color="auto"/>
        <w:right w:val="none" w:sz="0" w:space="0" w:color="auto"/>
      </w:divBdr>
    </w:div>
    <w:div w:id="1440563438">
      <w:bodyDiv w:val="1"/>
      <w:marLeft w:val="0"/>
      <w:marRight w:val="0"/>
      <w:marTop w:val="0"/>
      <w:marBottom w:val="0"/>
      <w:divBdr>
        <w:top w:val="none" w:sz="0" w:space="0" w:color="auto"/>
        <w:left w:val="none" w:sz="0" w:space="0" w:color="auto"/>
        <w:bottom w:val="none" w:sz="0" w:space="0" w:color="auto"/>
        <w:right w:val="none" w:sz="0" w:space="0" w:color="auto"/>
      </w:divBdr>
    </w:div>
    <w:div w:id="1441988758">
      <w:bodyDiv w:val="1"/>
      <w:marLeft w:val="0"/>
      <w:marRight w:val="0"/>
      <w:marTop w:val="0"/>
      <w:marBottom w:val="0"/>
      <w:divBdr>
        <w:top w:val="none" w:sz="0" w:space="0" w:color="auto"/>
        <w:left w:val="none" w:sz="0" w:space="0" w:color="auto"/>
        <w:bottom w:val="none" w:sz="0" w:space="0" w:color="auto"/>
        <w:right w:val="none" w:sz="0" w:space="0" w:color="auto"/>
      </w:divBdr>
    </w:div>
    <w:div w:id="1445266213">
      <w:bodyDiv w:val="1"/>
      <w:marLeft w:val="0"/>
      <w:marRight w:val="0"/>
      <w:marTop w:val="0"/>
      <w:marBottom w:val="0"/>
      <w:divBdr>
        <w:top w:val="none" w:sz="0" w:space="0" w:color="auto"/>
        <w:left w:val="none" w:sz="0" w:space="0" w:color="auto"/>
        <w:bottom w:val="none" w:sz="0" w:space="0" w:color="auto"/>
        <w:right w:val="none" w:sz="0" w:space="0" w:color="auto"/>
      </w:divBdr>
    </w:div>
    <w:div w:id="1445540055">
      <w:bodyDiv w:val="1"/>
      <w:marLeft w:val="0"/>
      <w:marRight w:val="0"/>
      <w:marTop w:val="0"/>
      <w:marBottom w:val="0"/>
      <w:divBdr>
        <w:top w:val="none" w:sz="0" w:space="0" w:color="auto"/>
        <w:left w:val="none" w:sz="0" w:space="0" w:color="auto"/>
        <w:bottom w:val="none" w:sz="0" w:space="0" w:color="auto"/>
        <w:right w:val="none" w:sz="0" w:space="0" w:color="auto"/>
      </w:divBdr>
    </w:div>
    <w:div w:id="1450777618">
      <w:bodyDiv w:val="1"/>
      <w:marLeft w:val="0"/>
      <w:marRight w:val="0"/>
      <w:marTop w:val="0"/>
      <w:marBottom w:val="0"/>
      <w:divBdr>
        <w:top w:val="none" w:sz="0" w:space="0" w:color="auto"/>
        <w:left w:val="none" w:sz="0" w:space="0" w:color="auto"/>
        <w:bottom w:val="none" w:sz="0" w:space="0" w:color="auto"/>
        <w:right w:val="none" w:sz="0" w:space="0" w:color="auto"/>
      </w:divBdr>
    </w:div>
    <w:div w:id="1451900398">
      <w:bodyDiv w:val="1"/>
      <w:marLeft w:val="0"/>
      <w:marRight w:val="0"/>
      <w:marTop w:val="0"/>
      <w:marBottom w:val="0"/>
      <w:divBdr>
        <w:top w:val="none" w:sz="0" w:space="0" w:color="auto"/>
        <w:left w:val="none" w:sz="0" w:space="0" w:color="auto"/>
        <w:bottom w:val="none" w:sz="0" w:space="0" w:color="auto"/>
        <w:right w:val="none" w:sz="0" w:space="0" w:color="auto"/>
      </w:divBdr>
    </w:div>
    <w:div w:id="1453788756">
      <w:bodyDiv w:val="1"/>
      <w:marLeft w:val="0"/>
      <w:marRight w:val="0"/>
      <w:marTop w:val="0"/>
      <w:marBottom w:val="0"/>
      <w:divBdr>
        <w:top w:val="none" w:sz="0" w:space="0" w:color="auto"/>
        <w:left w:val="none" w:sz="0" w:space="0" w:color="auto"/>
        <w:bottom w:val="none" w:sz="0" w:space="0" w:color="auto"/>
        <w:right w:val="none" w:sz="0" w:space="0" w:color="auto"/>
      </w:divBdr>
    </w:div>
    <w:div w:id="1455363728">
      <w:bodyDiv w:val="1"/>
      <w:marLeft w:val="0"/>
      <w:marRight w:val="0"/>
      <w:marTop w:val="0"/>
      <w:marBottom w:val="0"/>
      <w:divBdr>
        <w:top w:val="none" w:sz="0" w:space="0" w:color="auto"/>
        <w:left w:val="none" w:sz="0" w:space="0" w:color="auto"/>
        <w:bottom w:val="none" w:sz="0" w:space="0" w:color="auto"/>
        <w:right w:val="none" w:sz="0" w:space="0" w:color="auto"/>
      </w:divBdr>
    </w:div>
    <w:div w:id="1457527152">
      <w:bodyDiv w:val="1"/>
      <w:marLeft w:val="0"/>
      <w:marRight w:val="0"/>
      <w:marTop w:val="0"/>
      <w:marBottom w:val="0"/>
      <w:divBdr>
        <w:top w:val="none" w:sz="0" w:space="0" w:color="auto"/>
        <w:left w:val="none" w:sz="0" w:space="0" w:color="auto"/>
        <w:bottom w:val="none" w:sz="0" w:space="0" w:color="auto"/>
        <w:right w:val="none" w:sz="0" w:space="0" w:color="auto"/>
      </w:divBdr>
    </w:div>
    <w:div w:id="1458142588">
      <w:bodyDiv w:val="1"/>
      <w:marLeft w:val="0"/>
      <w:marRight w:val="0"/>
      <w:marTop w:val="0"/>
      <w:marBottom w:val="0"/>
      <w:divBdr>
        <w:top w:val="none" w:sz="0" w:space="0" w:color="auto"/>
        <w:left w:val="none" w:sz="0" w:space="0" w:color="auto"/>
        <w:bottom w:val="none" w:sz="0" w:space="0" w:color="auto"/>
        <w:right w:val="none" w:sz="0" w:space="0" w:color="auto"/>
      </w:divBdr>
    </w:div>
    <w:div w:id="1459225516">
      <w:bodyDiv w:val="1"/>
      <w:marLeft w:val="0"/>
      <w:marRight w:val="0"/>
      <w:marTop w:val="0"/>
      <w:marBottom w:val="0"/>
      <w:divBdr>
        <w:top w:val="none" w:sz="0" w:space="0" w:color="auto"/>
        <w:left w:val="none" w:sz="0" w:space="0" w:color="auto"/>
        <w:bottom w:val="none" w:sz="0" w:space="0" w:color="auto"/>
        <w:right w:val="none" w:sz="0" w:space="0" w:color="auto"/>
      </w:divBdr>
    </w:div>
    <w:div w:id="1459447390">
      <w:bodyDiv w:val="1"/>
      <w:marLeft w:val="0"/>
      <w:marRight w:val="0"/>
      <w:marTop w:val="0"/>
      <w:marBottom w:val="0"/>
      <w:divBdr>
        <w:top w:val="none" w:sz="0" w:space="0" w:color="auto"/>
        <w:left w:val="none" w:sz="0" w:space="0" w:color="auto"/>
        <w:bottom w:val="none" w:sz="0" w:space="0" w:color="auto"/>
        <w:right w:val="none" w:sz="0" w:space="0" w:color="auto"/>
      </w:divBdr>
    </w:div>
    <w:div w:id="1460807728">
      <w:bodyDiv w:val="1"/>
      <w:marLeft w:val="0"/>
      <w:marRight w:val="0"/>
      <w:marTop w:val="0"/>
      <w:marBottom w:val="0"/>
      <w:divBdr>
        <w:top w:val="none" w:sz="0" w:space="0" w:color="auto"/>
        <w:left w:val="none" w:sz="0" w:space="0" w:color="auto"/>
        <w:bottom w:val="none" w:sz="0" w:space="0" w:color="auto"/>
        <w:right w:val="none" w:sz="0" w:space="0" w:color="auto"/>
      </w:divBdr>
    </w:div>
    <w:div w:id="1460954057">
      <w:bodyDiv w:val="1"/>
      <w:marLeft w:val="0"/>
      <w:marRight w:val="0"/>
      <w:marTop w:val="0"/>
      <w:marBottom w:val="0"/>
      <w:divBdr>
        <w:top w:val="none" w:sz="0" w:space="0" w:color="auto"/>
        <w:left w:val="none" w:sz="0" w:space="0" w:color="auto"/>
        <w:bottom w:val="none" w:sz="0" w:space="0" w:color="auto"/>
        <w:right w:val="none" w:sz="0" w:space="0" w:color="auto"/>
      </w:divBdr>
    </w:div>
    <w:div w:id="1461268371">
      <w:bodyDiv w:val="1"/>
      <w:marLeft w:val="0"/>
      <w:marRight w:val="0"/>
      <w:marTop w:val="0"/>
      <w:marBottom w:val="0"/>
      <w:divBdr>
        <w:top w:val="none" w:sz="0" w:space="0" w:color="auto"/>
        <w:left w:val="none" w:sz="0" w:space="0" w:color="auto"/>
        <w:bottom w:val="none" w:sz="0" w:space="0" w:color="auto"/>
        <w:right w:val="none" w:sz="0" w:space="0" w:color="auto"/>
      </w:divBdr>
    </w:div>
    <w:div w:id="1462069940">
      <w:bodyDiv w:val="1"/>
      <w:marLeft w:val="0"/>
      <w:marRight w:val="0"/>
      <w:marTop w:val="0"/>
      <w:marBottom w:val="0"/>
      <w:divBdr>
        <w:top w:val="none" w:sz="0" w:space="0" w:color="auto"/>
        <w:left w:val="none" w:sz="0" w:space="0" w:color="auto"/>
        <w:bottom w:val="none" w:sz="0" w:space="0" w:color="auto"/>
        <w:right w:val="none" w:sz="0" w:space="0" w:color="auto"/>
      </w:divBdr>
    </w:div>
    <w:div w:id="1462571530">
      <w:bodyDiv w:val="1"/>
      <w:marLeft w:val="0"/>
      <w:marRight w:val="0"/>
      <w:marTop w:val="0"/>
      <w:marBottom w:val="0"/>
      <w:divBdr>
        <w:top w:val="none" w:sz="0" w:space="0" w:color="auto"/>
        <w:left w:val="none" w:sz="0" w:space="0" w:color="auto"/>
        <w:bottom w:val="none" w:sz="0" w:space="0" w:color="auto"/>
        <w:right w:val="none" w:sz="0" w:space="0" w:color="auto"/>
      </w:divBdr>
    </w:div>
    <w:div w:id="1462921836">
      <w:bodyDiv w:val="1"/>
      <w:marLeft w:val="0"/>
      <w:marRight w:val="0"/>
      <w:marTop w:val="0"/>
      <w:marBottom w:val="0"/>
      <w:divBdr>
        <w:top w:val="none" w:sz="0" w:space="0" w:color="auto"/>
        <w:left w:val="none" w:sz="0" w:space="0" w:color="auto"/>
        <w:bottom w:val="none" w:sz="0" w:space="0" w:color="auto"/>
        <w:right w:val="none" w:sz="0" w:space="0" w:color="auto"/>
      </w:divBdr>
    </w:div>
    <w:div w:id="1463812411">
      <w:bodyDiv w:val="1"/>
      <w:marLeft w:val="0"/>
      <w:marRight w:val="0"/>
      <w:marTop w:val="0"/>
      <w:marBottom w:val="0"/>
      <w:divBdr>
        <w:top w:val="none" w:sz="0" w:space="0" w:color="auto"/>
        <w:left w:val="none" w:sz="0" w:space="0" w:color="auto"/>
        <w:bottom w:val="none" w:sz="0" w:space="0" w:color="auto"/>
        <w:right w:val="none" w:sz="0" w:space="0" w:color="auto"/>
      </w:divBdr>
    </w:div>
    <w:div w:id="1464150041">
      <w:bodyDiv w:val="1"/>
      <w:marLeft w:val="0"/>
      <w:marRight w:val="0"/>
      <w:marTop w:val="0"/>
      <w:marBottom w:val="0"/>
      <w:divBdr>
        <w:top w:val="none" w:sz="0" w:space="0" w:color="auto"/>
        <w:left w:val="none" w:sz="0" w:space="0" w:color="auto"/>
        <w:bottom w:val="none" w:sz="0" w:space="0" w:color="auto"/>
        <w:right w:val="none" w:sz="0" w:space="0" w:color="auto"/>
      </w:divBdr>
    </w:div>
    <w:div w:id="1465153741">
      <w:bodyDiv w:val="1"/>
      <w:marLeft w:val="0"/>
      <w:marRight w:val="0"/>
      <w:marTop w:val="0"/>
      <w:marBottom w:val="0"/>
      <w:divBdr>
        <w:top w:val="none" w:sz="0" w:space="0" w:color="auto"/>
        <w:left w:val="none" w:sz="0" w:space="0" w:color="auto"/>
        <w:bottom w:val="none" w:sz="0" w:space="0" w:color="auto"/>
        <w:right w:val="none" w:sz="0" w:space="0" w:color="auto"/>
      </w:divBdr>
    </w:div>
    <w:div w:id="1467507253">
      <w:bodyDiv w:val="1"/>
      <w:marLeft w:val="0"/>
      <w:marRight w:val="0"/>
      <w:marTop w:val="0"/>
      <w:marBottom w:val="0"/>
      <w:divBdr>
        <w:top w:val="none" w:sz="0" w:space="0" w:color="auto"/>
        <w:left w:val="none" w:sz="0" w:space="0" w:color="auto"/>
        <w:bottom w:val="none" w:sz="0" w:space="0" w:color="auto"/>
        <w:right w:val="none" w:sz="0" w:space="0" w:color="auto"/>
      </w:divBdr>
    </w:div>
    <w:div w:id="1468859392">
      <w:bodyDiv w:val="1"/>
      <w:marLeft w:val="0"/>
      <w:marRight w:val="0"/>
      <w:marTop w:val="0"/>
      <w:marBottom w:val="0"/>
      <w:divBdr>
        <w:top w:val="none" w:sz="0" w:space="0" w:color="auto"/>
        <w:left w:val="none" w:sz="0" w:space="0" w:color="auto"/>
        <w:bottom w:val="none" w:sz="0" w:space="0" w:color="auto"/>
        <w:right w:val="none" w:sz="0" w:space="0" w:color="auto"/>
      </w:divBdr>
    </w:div>
    <w:div w:id="1472865197">
      <w:marLeft w:val="0"/>
      <w:marRight w:val="0"/>
      <w:marTop w:val="0"/>
      <w:marBottom w:val="0"/>
      <w:divBdr>
        <w:top w:val="none" w:sz="0" w:space="0" w:color="auto"/>
        <w:left w:val="none" w:sz="0" w:space="0" w:color="auto"/>
        <w:bottom w:val="none" w:sz="0" w:space="0" w:color="auto"/>
        <w:right w:val="none" w:sz="0" w:space="0" w:color="auto"/>
      </w:divBdr>
    </w:div>
    <w:div w:id="1474954263">
      <w:bodyDiv w:val="1"/>
      <w:marLeft w:val="0"/>
      <w:marRight w:val="0"/>
      <w:marTop w:val="0"/>
      <w:marBottom w:val="0"/>
      <w:divBdr>
        <w:top w:val="none" w:sz="0" w:space="0" w:color="auto"/>
        <w:left w:val="none" w:sz="0" w:space="0" w:color="auto"/>
        <w:bottom w:val="none" w:sz="0" w:space="0" w:color="auto"/>
        <w:right w:val="none" w:sz="0" w:space="0" w:color="auto"/>
      </w:divBdr>
    </w:div>
    <w:div w:id="1475222771">
      <w:bodyDiv w:val="1"/>
      <w:marLeft w:val="0"/>
      <w:marRight w:val="0"/>
      <w:marTop w:val="0"/>
      <w:marBottom w:val="0"/>
      <w:divBdr>
        <w:top w:val="none" w:sz="0" w:space="0" w:color="auto"/>
        <w:left w:val="none" w:sz="0" w:space="0" w:color="auto"/>
        <w:bottom w:val="none" w:sz="0" w:space="0" w:color="auto"/>
        <w:right w:val="none" w:sz="0" w:space="0" w:color="auto"/>
      </w:divBdr>
    </w:div>
    <w:div w:id="1476490758">
      <w:bodyDiv w:val="1"/>
      <w:marLeft w:val="0"/>
      <w:marRight w:val="0"/>
      <w:marTop w:val="0"/>
      <w:marBottom w:val="0"/>
      <w:divBdr>
        <w:top w:val="none" w:sz="0" w:space="0" w:color="auto"/>
        <w:left w:val="none" w:sz="0" w:space="0" w:color="auto"/>
        <w:bottom w:val="none" w:sz="0" w:space="0" w:color="auto"/>
        <w:right w:val="none" w:sz="0" w:space="0" w:color="auto"/>
      </w:divBdr>
    </w:div>
    <w:div w:id="1478064054">
      <w:bodyDiv w:val="1"/>
      <w:marLeft w:val="0"/>
      <w:marRight w:val="0"/>
      <w:marTop w:val="0"/>
      <w:marBottom w:val="0"/>
      <w:divBdr>
        <w:top w:val="none" w:sz="0" w:space="0" w:color="auto"/>
        <w:left w:val="none" w:sz="0" w:space="0" w:color="auto"/>
        <w:bottom w:val="none" w:sz="0" w:space="0" w:color="auto"/>
        <w:right w:val="none" w:sz="0" w:space="0" w:color="auto"/>
      </w:divBdr>
    </w:div>
    <w:div w:id="1478109097">
      <w:bodyDiv w:val="1"/>
      <w:marLeft w:val="0"/>
      <w:marRight w:val="0"/>
      <w:marTop w:val="0"/>
      <w:marBottom w:val="0"/>
      <w:divBdr>
        <w:top w:val="none" w:sz="0" w:space="0" w:color="auto"/>
        <w:left w:val="none" w:sz="0" w:space="0" w:color="auto"/>
        <w:bottom w:val="none" w:sz="0" w:space="0" w:color="auto"/>
        <w:right w:val="none" w:sz="0" w:space="0" w:color="auto"/>
      </w:divBdr>
    </w:div>
    <w:div w:id="1478763183">
      <w:bodyDiv w:val="1"/>
      <w:marLeft w:val="0"/>
      <w:marRight w:val="0"/>
      <w:marTop w:val="0"/>
      <w:marBottom w:val="0"/>
      <w:divBdr>
        <w:top w:val="none" w:sz="0" w:space="0" w:color="auto"/>
        <w:left w:val="none" w:sz="0" w:space="0" w:color="auto"/>
        <w:bottom w:val="none" w:sz="0" w:space="0" w:color="auto"/>
        <w:right w:val="none" w:sz="0" w:space="0" w:color="auto"/>
      </w:divBdr>
    </w:div>
    <w:div w:id="1480153983">
      <w:bodyDiv w:val="1"/>
      <w:marLeft w:val="0"/>
      <w:marRight w:val="0"/>
      <w:marTop w:val="0"/>
      <w:marBottom w:val="0"/>
      <w:divBdr>
        <w:top w:val="none" w:sz="0" w:space="0" w:color="auto"/>
        <w:left w:val="none" w:sz="0" w:space="0" w:color="auto"/>
        <w:bottom w:val="none" w:sz="0" w:space="0" w:color="auto"/>
        <w:right w:val="none" w:sz="0" w:space="0" w:color="auto"/>
      </w:divBdr>
    </w:div>
    <w:div w:id="1481341522">
      <w:bodyDiv w:val="1"/>
      <w:marLeft w:val="0"/>
      <w:marRight w:val="0"/>
      <w:marTop w:val="0"/>
      <w:marBottom w:val="0"/>
      <w:divBdr>
        <w:top w:val="none" w:sz="0" w:space="0" w:color="auto"/>
        <w:left w:val="none" w:sz="0" w:space="0" w:color="auto"/>
        <w:bottom w:val="none" w:sz="0" w:space="0" w:color="auto"/>
        <w:right w:val="none" w:sz="0" w:space="0" w:color="auto"/>
      </w:divBdr>
    </w:div>
    <w:div w:id="1482041838">
      <w:bodyDiv w:val="1"/>
      <w:marLeft w:val="0"/>
      <w:marRight w:val="0"/>
      <w:marTop w:val="0"/>
      <w:marBottom w:val="0"/>
      <w:divBdr>
        <w:top w:val="none" w:sz="0" w:space="0" w:color="auto"/>
        <w:left w:val="none" w:sz="0" w:space="0" w:color="auto"/>
        <w:bottom w:val="none" w:sz="0" w:space="0" w:color="auto"/>
        <w:right w:val="none" w:sz="0" w:space="0" w:color="auto"/>
      </w:divBdr>
    </w:div>
    <w:div w:id="1482455971">
      <w:bodyDiv w:val="1"/>
      <w:marLeft w:val="0"/>
      <w:marRight w:val="0"/>
      <w:marTop w:val="0"/>
      <w:marBottom w:val="0"/>
      <w:divBdr>
        <w:top w:val="none" w:sz="0" w:space="0" w:color="auto"/>
        <w:left w:val="none" w:sz="0" w:space="0" w:color="auto"/>
        <w:bottom w:val="none" w:sz="0" w:space="0" w:color="auto"/>
        <w:right w:val="none" w:sz="0" w:space="0" w:color="auto"/>
      </w:divBdr>
    </w:div>
    <w:div w:id="1482849011">
      <w:bodyDiv w:val="1"/>
      <w:marLeft w:val="0"/>
      <w:marRight w:val="0"/>
      <w:marTop w:val="0"/>
      <w:marBottom w:val="0"/>
      <w:divBdr>
        <w:top w:val="none" w:sz="0" w:space="0" w:color="auto"/>
        <w:left w:val="none" w:sz="0" w:space="0" w:color="auto"/>
        <w:bottom w:val="none" w:sz="0" w:space="0" w:color="auto"/>
        <w:right w:val="none" w:sz="0" w:space="0" w:color="auto"/>
      </w:divBdr>
    </w:div>
    <w:div w:id="1484394462">
      <w:bodyDiv w:val="1"/>
      <w:marLeft w:val="0"/>
      <w:marRight w:val="0"/>
      <w:marTop w:val="0"/>
      <w:marBottom w:val="0"/>
      <w:divBdr>
        <w:top w:val="none" w:sz="0" w:space="0" w:color="auto"/>
        <w:left w:val="none" w:sz="0" w:space="0" w:color="auto"/>
        <w:bottom w:val="none" w:sz="0" w:space="0" w:color="auto"/>
        <w:right w:val="none" w:sz="0" w:space="0" w:color="auto"/>
      </w:divBdr>
    </w:div>
    <w:div w:id="1486777312">
      <w:bodyDiv w:val="1"/>
      <w:marLeft w:val="0"/>
      <w:marRight w:val="0"/>
      <w:marTop w:val="0"/>
      <w:marBottom w:val="0"/>
      <w:divBdr>
        <w:top w:val="none" w:sz="0" w:space="0" w:color="auto"/>
        <w:left w:val="none" w:sz="0" w:space="0" w:color="auto"/>
        <w:bottom w:val="none" w:sz="0" w:space="0" w:color="auto"/>
        <w:right w:val="none" w:sz="0" w:space="0" w:color="auto"/>
      </w:divBdr>
    </w:div>
    <w:div w:id="1487086878">
      <w:bodyDiv w:val="1"/>
      <w:marLeft w:val="0"/>
      <w:marRight w:val="0"/>
      <w:marTop w:val="0"/>
      <w:marBottom w:val="0"/>
      <w:divBdr>
        <w:top w:val="none" w:sz="0" w:space="0" w:color="auto"/>
        <w:left w:val="none" w:sz="0" w:space="0" w:color="auto"/>
        <w:bottom w:val="none" w:sz="0" w:space="0" w:color="auto"/>
        <w:right w:val="none" w:sz="0" w:space="0" w:color="auto"/>
      </w:divBdr>
    </w:div>
    <w:div w:id="1489205397">
      <w:bodyDiv w:val="1"/>
      <w:marLeft w:val="0"/>
      <w:marRight w:val="0"/>
      <w:marTop w:val="0"/>
      <w:marBottom w:val="0"/>
      <w:divBdr>
        <w:top w:val="none" w:sz="0" w:space="0" w:color="auto"/>
        <w:left w:val="none" w:sz="0" w:space="0" w:color="auto"/>
        <w:bottom w:val="none" w:sz="0" w:space="0" w:color="auto"/>
        <w:right w:val="none" w:sz="0" w:space="0" w:color="auto"/>
      </w:divBdr>
    </w:div>
    <w:div w:id="1490949404">
      <w:bodyDiv w:val="1"/>
      <w:marLeft w:val="0"/>
      <w:marRight w:val="0"/>
      <w:marTop w:val="0"/>
      <w:marBottom w:val="0"/>
      <w:divBdr>
        <w:top w:val="none" w:sz="0" w:space="0" w:color="auto"/>
        <w:left w:val="none" w:sz="0" w:space="0" w:color="auto"/>
        <w:bottom w:val="none" w:sz="0" w:space="0" w:color="auto"/>
        <w:right w:val="none" w:sz="0" w:space="0" w:color="auto"/>
      </w:divBdr>
    </w:div>
    <w:div w:id="1492259985">
      <w:bodyDiv w:val="1"/>
      <w:marLeft w:val="0"/>
      <w:marRight w:val="0"/>
      <w:marTop w:val="0"/>
      <w:marBottom w:val="0"/>
      <w:divBdr>
        <w:top w:val="none" w:sz="0" w:space="0" w:color="auto"/>
        <w:left w:val="none" w:sz="0" w:space="0" w:color="auto"/>
        <w:bottom w:val="none" w:sz="0" w:space="0" w:color="auto"/>
        <w:right w:val="none" w:sz="0" w:space="0" w:color="auto"/>
      </w:divBdr>
    </w:div>
    <w:div w:id="1492287084">
      <w:bodyDiv w:val="1"/>
      <w:marLeft w:val="0"/>
      <w:marRight w:val="0"/>
      <w:marTop w:val="0"/>
      <w:marBottom w:val="0"/>
      <w:divBdr>
        <w:top w:val="none" w:sz="0" w:space="0" w:color="auto"/>
        <w:left w:val="none" w:sz="0" w:space="0" w:color="auto"/>
        <w:bottom w:val="none" w:sz="0" w:space="0" w:color="auto"/>
        <w:right w:val="none" w:sz="0" w:space="0" w:color="auto"/>
      </w:divBdr>
    </w:div>
    <w:div w:id="1493905849">
      <w:bodyDiv w:val="1"/>
      <w:marLeft w:val="0"/>
      <w:marRight w:val="0"/>
      <w:marTop w:val="0"/>
      <w:marBottom w:val="0"/>
      <w:divBdr>
        <w:top w:val="none" w:sz="0" w:space="0" w:color="auto"/>
        <w:left w:val="none" w:sz="0" w:space="0" w:color="auto"/>
        <w:bottom w:val="none" w:sz="0" w:space="0" w:color="auto"/>
        <w:right w:val="none" w:sz="0" w:space="0" w:color="auto"/>
      </w:divBdr>
    </w:div>
    <w:div w:id="1494295551">
      <w:bodyDiv w:val="1"/>
      <w:marLeft w:val="0"/>
      <w:marRight w:val="0"/>
      <w:marTop w:val="0"/>
      <w:marBottom w:val="0"/>
      <w:divBdr>
        <w:top w:val="none" w:sz="0" w:space="0" w:color="auto"/>
        <w:left w:val="none" w:sz="0" w:space="0" w:color="auto"/>
        <w:bottom w:val="none" w:sz="0" w:space="0" w:color="auto"/>
        <w:right w:val="none" w:sz="0" w:space="0" w:color="auto"/>
      </w:divBdr>
    </w:div>
    <w:div w:id="1498034866">
      <w:bodyDiv w:val="1"/>
      <w:marLeft w:val="0"/>
      <w:marRight w:val="0"/>
      <w:marTop w:val="0"/>
      <w:marBottom w:val="0"/>
      <w:divBdr>
        <w:top w:val="none" w:sz="0" w:space="0" w:color="auto"/>
        <w:left w:val="none" w:sz="0" w:space="0" w:color="auto"/>
        <w:bottom w:val="none" w:sz="0" w:space="0" w:color="auto"/>
        <w:right w:val="none" w:sz="0" w:space="0" w:color="auto"/>
      </w:divBdr>
    </w:div>
    <w:div w:id="1498957845">
      <w:bodyDiv w:val="1"/>
      <w:marLeft w:val="0"/>
      <w:marRight w:val="0"/>
      <w:marTop w:val="0"/>
      <w:marBottom w:val="0"/>
      <w:divBdr>
        <w:top w:val="none" w:sz="0" w:space="0" w:color="auto"/>
        <w:left w:val="none" w:sz="0" w:space="0" w:color="auto"/>
        <w:bottom w:val="none" w:sz="0" w:space="0" w:color="auto"/>
        <w:right w:val="none" w:sz="0" w:space="0" w:color="auto"/>
      </w:divBdr>
    </w:div>
    <w:div w:id="1500316814">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02967206">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1504322261">
      <w:bodyDiv w:val="1"/>
      <w:marLeft w:val="0"/>
      <w:marRight w:val="0"/>
      <w:marTop w:val="0"/>
      <w:marBottom w:val="0"/>
      <w:divBdr>
        <w:top w:val="none" w:sz="0" w:space="0" w:color="auto"/>
        <w:left w:val="none" w:sz="0" w:space="0" w:color="auto"/>
        <w:bottom w:val="none" w:sz="0" w:space="0" w:color="auto"/>
        <w:right w:val="none" w:sz="0" w:space="0" w:color="auto"/>
      </w:divBdr>
    </w:div>
    <w:div w:id="1505709831">
      <w:bodyDiv w:val="1"/>
      <w:marLeft w:val="0"/>
      <w:marRight w:val="0"/>
      <w:marTop w:val="0"/>
      <w:marBottom w:val="0"/>
      <w:divBdr>
        <w:top w:val="none" w:sz="0" w:space="0" w:color="auto"/>
        <w:left w:val="none" w:sz="0" w:space="0" w:color="auto"/>
        <w:bottom w:val="none" w:sz="0" w:space="0" w:color="auto"/>
        <w:right w:val="none" w:sz="0" w:space="0" w:color="auto"/>
      </w:divBdr>
    </w:div>
    <w:div w:id="1506700464">
      <w:bodyDiv w:val="1"/>
      <w:marLeft w:val="0"/>
      <w:marRight w:val="0"/>
      <w:marTop w:val="0"/>
      <w:marBottom w:val="0"/>
      <w:divBdr>
        <w:top w:val="none" w:sz="0" w:space="0" w:color="auto"/>
        <w:left w:val="none" w:sz="0" w:space="0" w:color="auto"/>
        <w:bottom w:val="none" w:sz="0" w:space="0" w:color="auto"/>
        <w:right w:val="none" w:sz="0" w:space="0" w:color="auto"/>
      </w:divBdr>
    </w:div>
    <w:div w:id="1509442407">
      <w:bodyDiv w:val="1"/>
      <w:marLeft w:val="0"/>
      <w:marRight w:val="0"/>
      <w:marTop w:val="0"/>
      <w:marBottom w:val="0"/>
      <w:divBdr>
        <w:top w:val="none" w:sz="0" w:space="0" w:color="auto"/>
        <w:left w:val="none" w:sz="0" w:space="0" w:color="auto"/>
        <w:bottom w:val="none" w:sz="0" w:space="0" w:color="auto"/>
        <w:right w:val="none" w:sz="0" w:space="0" w:color="auto"/>
      </w:divBdr>
    </w:div>
    <w:div w:id="1509909268">
      <w:bodyDiv w:val="1"/>
      <w:marLeft w:val="0"/>
      <w:marRight w:val="0"/>
      <w:marTop w:val="0"/>
      <w:marBottom w:val="0"/>
      <w:divBdr>
        <w:top w:val="none" w:sz="0" w:space="0" w:color="auto"/>
        <w:left w:val="none" w:sz="0" w:space="0" w:color="auto"/>
        <w:bottom w:val="none" w:sz="0" w:space="0" w:color="auto"/>
        <w:right w:val="none" w:sz="0" w:space="0" w:color="auto"/>
      </w:divBdr>
    </w:div>
    <w:div w:id="1510098994">
      <w:bodyDiv w:val="1"/>
      <w:marLeft w:val="0"/>
      <w:marRight w:val="0"/>
      <w:marTop w:val="0"/>
      <w:marBottom w:val="0"/>
      <w:divBdr>
        <w:top w:val="none" w:sz="0" w:space="0" w:color="auto"/>
        <w:left w:val="none" w:sz="0" w:space="0" w:color="auto"/>
        <w:bottom w:val="none" w:sz="0" w:space="0" w:color="auto"/>
        <w:right w:val="none" w:sz="0" w:space="0" w:color="auto"/>
      </w:divBdr>
    </w:div>
    <w:div w:id="1511214128">
      <w:bodyDiv w:val="1"/>
      <w:marLeft w:val="0"/>
      <w:marRight w:val="0"/>
      <w:marTop w:val="0"/>
      <w:marBottom w:val="0"/>
      <w:divBdr>
        <w:top w:val="none" w:sz="0" w:space="0" w:color="auto"/>
        <w:left w:val="none" w:sz="0" w:space="0" w:color="auto"/>
        <w:bottom w:val="none" w:sz="0" w:space="0" w:color="auto"/>
        <w:right w:val="none" w:sz="0" w:space="0" w:color="auto"/>
      </w:divBdr>
    </w:div>
    <w:div w:id="1511487825">
      <w:bodyDiv w:val="1"/>
      <w:marLeft w:val="0"/>
      <w:marRight w:val="0"/>
      <w:marTop w:val="0"/>
      <w:marBottom w:val="0"/>
      <w:divBdr>
        <w:top w:val="none" w:sz="0" w:space="0" w:color="auto"/>
        <w:left w:val="none" w:sz="0" w:space="0" w:color="auto"/>
        <w:bottom w:val="none" w:sz="0" w:space="0" w:color="auto"/>
        <w:right w:val="none" w:sz="0" w:space="0" w:color="auto"/>
      </w:divBdr>
    </w:div>
    <w:div w:id="1511718959">
      <w:bodyDiv w:val="1"/>
      <w:marLeft w:val="0"/>
      <w:marRight w:val="0"/>
      <w:marTop w:val="0"/>
      <w:marBottom w:val="0"/>
      <w:divBdr>
        <w:top w:val="none" w:sz="0" w:space="0" w:color="auto"/>
        <w:left w:val="none" w:sz="0" w:space="0" w:color="auto"/>
        <w:bottom w:val="none" w:sz="0" w:space="0" w:color="auto"/>
        <w:right w:val="none" w:sz="0" w:space="0" w:color="auto"/>
      </w:divBdr>
    </w:div>
    <w:div w:id="1512644874">
      <w:bodyDiv w:val="1"/>
      <w:marLeft w:val="0"/>
      <w:marRight w:val="0"/>
      <w:marTop w:val="0"/>
      <w:marBottom w:val="0"/>
      <w:divBdr>
        <w:top w:val="none" w:sz="0" w:space="0" w:color="auto"/>
        <w:left w:val="none" w:sz="0" w:space="0" w:color="auto"/>
        <w:bottom w:val="none" w:sz="0" w:space="0" w:color="auto"/>
        <w:right w:val="none" w:sz="0" w:space="0" w:color="auto"/>
      </w:divBdr>
    </w:div>
    <w:div w:id="1515997157">
      <w:bodyDiv w:val="1"/>
      <w:marLeft w:val="0"/>
      <w:marRight w:val="0"/>
      <w:marTop w:val="0"/>
      <w:marBottom w:val="0"/>
      <w:divBdr>
        <w:top w:val="none" w:sz="0" w:space="0" w:color="auto"/>
        <w:left w:val="none" w:sz="0" w:space="0" w:color="auto"/>
        <w:bottom w:val="none" w:sz="0" w:space="0" w:color="auto"/>
        <w:right w:val="none" w:sz="0" w:space="0" w:color="auto"/>
      </w:divBdr>
    </w:div>
    <w:div w:id="1516770192">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18078782">
      <w:bodyDiv w:val="1"/>
      <w:marLeft w:val="0"/>
      <w:marRight w:val="0"/>
      <w:marTop w:val="0"/>
      <w:marBottom w:val="0"/>
      <w:divBdr>
        <w:top w:val="none" w:sz="0" w:space="0" w:color="auto"/>
        <w:left w:val="none" w:sz="0" w:space="0" w:color="auto"/>
        <w:bottom w:val="none" w:sz="0" w:space="0" w:color="auto"/>
        <w:right w:val="none" w:sz="0" w:space="0" w:color="auto"/>
      </w:divBdr>
    </w:div>
    <w:div w:id="1518159053">
      <w:bodyDiv w:val="1"/>
      <w:marLeft w:val="0"/>
      <w:marRight w:val="0"/>
      <w:marTop w:val="0"/>
      <w:marBottom w:val="0"/>
      <w:divBdr>
        <w:top w:val="none" w:sz="0" w:space="0" w:color="auto"/>
        <w:left w:val="none" w:sz="0" w:space="0" w:color="auto"/>
        <w:bottom w:val="none" w:sz="0" w:space="0" w:color="auto"/>
        <w:right w:val="none" w:sz="0" w:space="0" w:color="auto"/>
      </w:divBdr>
    </w:div>
    <w:div w:id="1518739049">
      <w:bodyDiv w:val="1"/>
      <w:marLeft w:val="0"/>
      <w:marRight w:val="0"/>
      <w:marTop w:val="0"/>
      <w:marBottom w:val="0"/>
      <w:divBdr>
        <w:top w:val="none" w:sz="0" w:space="0" w:color="auto"/>
        <w:left w:val="none" w:sz="0" w:space="0" w:color="auto"/>
        <w:bottom w:val="none" w:sz="0" w:space="0" w:color="auto"/>
        <w:right w:val="none" w:sz="0" w:space="0" w:color="auto"/>
      </w:divBdr>
    </w:div>
    <w:div w:id="1520393496">
      <w:bodyDiv w:val="1"/>
      <w:marLeft w:val="0"/>
      <w:marRight w:val="0"/>
      <w:marTop w:val="0"/>
      <w:marBottom w:val="0"/>
      <w:divBdr>
        <w:top w:val="none" w:sz="0" w:space="0" w:color="auto"/>
        <w:left w:val="none" w:sz="0" w:space="0" w:color="auto"/>
        <w:bottom w:val="none" w:sz="0" w:space="0" w:color="auto"/>
        <w:right w:val="none" w:sz="0" w:space="0" w:color="auto"/>
      </w:divBdr>
    </w:div>
    <w:div w:id="1520729245">
      <w:bodyDiv w:val="1"/>
      <w:marLeft w:val="0"/>
      <w:marRight w:val="0"/>
      <w:marTop w:val="0"/>
      <w:marBottom w:val="0"/>
      <w:divBdr>
        <w:top w:val="none" w:sz="0" w:space="0" w:color="auto"/>
        <w:left w:val="none" w:sz="0" w:space="0" w:color="auto"/>
        <w:bottom w:val="none" w:sz="0" w:space="0" w:color="auto"/>
        <w:right w:val="none" w:sz="0" w:space="0" w:color="auto"/>
      </w:divBdr>
    </w:div>
    <w:div w:id="1520898273">
      <w:bodyDiv w:val="1"/>
      <w:marLeft w:val="0"/>
      <w:marRight w:val="0"/>
      <w:marTop w:val="0"/>
      <w:marBottom w:val="0"/>
      <w:divBdr>
        <w:top w:val="none" w:sz="0" w:space="0" w:color="auto"/>
        <w:left w:val="none" w:sz="0" w:space="0" w:color="auto"/>
        <w:bottom w:val="none" w:sz="0" w:space="0" w:color="auto"/>
        <w:right w:val="none" w:sz="0" w:space="0" w:color="auto"/>
      </w:divBdr>
    </w:div>
    <w:div w:id="1520925364">
      <w:bodyDiv w:val="1"/>
      <w:marLeft w:val="0"/>
      <w:marRight w:val="0"/>
      <w:marTop w:val="0"/>
      <w:marBottom w:val="0"/>
      <w:divBdr>
        <w:top w:val="none" w:sz="0" w:space="0" w:color="auto"/>
        <w:left w:val="none" w:sz="0" w:space="0" w:color="auto"/>
        <w:bottom w:val="none" w:sz="0" w:space="0" w:color="auto"/>
        <w:right w:val="none" w:sz="0" w:space="0" w:color="auto"/>
      </w:divBdr>
    </w:div>
    <w:div w:id="1522235439">
      <w:bodyDiv w:val="1"/>
      <w:marLeft w:val="0"/>
      <w:marRight w:val="0"/>
      <w:marTop w:val="0"/>
      <w:marBottom w:val="0"/>
      <w:divBdr>
        <w:top w:val="none" w:sz="0" w:space="0" w:color="auto"/>
        <w:left w:val="none" w:sz="0" w:space="0" w:color="auto"/>
        <w:bottom w:val="none" w:sz="0" w:space="0" w:color="auto"/>
        <w:right w:val="none" w:sz="0" w:space="0" w:color="auto"/>
      </w:divBdr>
    </w:div>
    <w:div w:id="1522351417">
      <w:bodyDiv w:val="1"/>
      <w:marLeft w:val="0"/>
      <w:marRight w:val="0"/>
      <w:marTop w:val="0"/>
      <w:marBottom w:val="0"/>
      <w:divBdr>
        <w:top w:val="none" w:sz="0" w:space="0" w:color="auto"/>
        <w:left w:val="none" w:sz="0" w:space="0" w:color="auto"/>
        <w:bottom w:val="none" w:sz="0" w:space="0" w:color="auto"/>
        <w:right w:val="none" w:sz="0" w:space="0" w:color="auto"/>
      </w:divBdr>
    </w:div>
    <w:div w:id="1524782715">
      <w:bodyDiv w:val="1"/>
      <w:marLeft w:val="0"/>
      <w:marRight w:val="0"/>
      <w:marTop w:val="0"/>
      <w:marBottom w:val="0"/>
      <w:divBdr>
        <w:top w:val="none" w:sz="0" w:space="0" w:color="auto"/>
        <w:left w:val="none" w:sz="0" w:space="0" w:color="auto"/>
        <w:bottom w:val="none" w:sz="0" w:space="0" w:color="auto"/>
        <w:right w:val="none" w:sz="0" w:space="0" w:color="auto"/>
      </w:divBdr>
    </w:div>
    <w:div w:id="1525561538">
      <w:bodyDiv w:val="1"/>
      <w:marLeft w:val="0"/>
      <w:marRight w:val="0"/>
      <w:marTop w:val="0"/>
      <w:marBottom w:val="0"/>
      <w:divBdr>
        <w:top w:val="none" w:sz="0" w:space="0" w:color="auto"/>
        <w:left w:val="none" w:sz="0" w:space="0" w:color="auto"/>
        <w:bottom w:val="none" w:sz="0" w:space="0" w:color="auto"/>
        <w:right w:val="none" w:sz="0" w:space="0" w:color="auto"/>
      </w:divBdr>
    </w:div>
    <w:div w:id="1526674947">
      <w:bodyDiv w:val="1"/>
      <w:marLeft w:val="0"/>
      <w:marRight w:val="0"/>
      <w:marTop w:val="0"/>
      <w:marBottom w:val="0"/>
      <w:divBdr>
        <w:top w:val="none" w:sz="0" w:space="0" w:color="auto"/>
        <w:left w:val="none" w:sz="0" w:space="0" w:color="auto"/>
        <w:bottom w:val="none" w:sz="0" w:space="0" w:color="auto"/>
        <w:right w:val="none" w:sz="0" w:space="0" w:color="auto"/>
      </w:divBdr>
    </w:div>
    <w:div w:id="1527912571">
      <w:bodyDiv w:val="1"/>
      <w:marLeft w:val="0"/>
      <w:marRight w:val="0"/>
      <w:marTop w:val="0"/>
      <w:marBottom w:val="0"/>
      <w:divBdr>
        <w:top w:val="none" w:sz="0" w:space="0" w:color="auto"/>
        <w:left w:val="none" w:sz="0" w:space="0" w:color="auto"/>
        <w:bottom w:val="none" w:sz="0" w:space="0" w:color="auto"/>
        <w:right w:val="none" w:sz="0" w:space="0" w:color="auto"/>
      </w:divBdr>
    </w:div>
    <w:div w:id="1528565314">
      <w:bodyDiv w:val="1"/>
      <w:marLeft w:val="0"/>
      <w:marRight w:val="0"/>
      <w:marTop w:val="0"/>
      <w:marBottom w:val="0"/>
      <w:divBdr>
        <w:top w:val="none" w:sz="0" w:space="0" w:color="auto"/>
        <w:left w:val="none" w:sz="0" w:space="0" w:color="auto"/>
        <w:bottom w:val="none" w:sz="0" w:space="0" w:color="auto"/>
        <w:right w:val="none" w:sz="0" w:space="0" w:color="auto"/>
      </w:divBdr>
    </w:div>
    <w:div w:id="1533222504">
      <w:bodyDiv w:val="1"/>
      <w:marLeft w:val="0"/>
      <w:marRight w:val="0"/>
      <w:marTop w:val="0"/>
      <w:marBottom w:val="0"/>
      <w:divBdr>
        <w:top w:val="none" w:sz="0" w:space="0" w:color="auto"/>
        <w:left w:val="none" w:sz="0" w:space="0" w:color="auto"/>
        <w:bottom w:val="none" w:sz="0" w:space="0" w:color="auto"/>
        <w:right w:val="none" w:sz="0" w:space="0" w:color="auto"/>
      </w:divBdr>
    </w:div>
    <w:div w:id="1534075919">
      <w:bodyDiv w:val="1"/>
      <w:marLeft w:val="0"/>
      <w:marRight w:val="0"/>
      <w:marTop w:val="0"/>
      <w:marBottom w:val="0"/>
      <w:divBdr>
        <w:top w:val="none" w:sz="0" w:space="0" w:color="auto"/>
        <w:left w:val="none" w:sz="0" w:space="0" w:color="auto"/>
        <w:bottom w:val="none" w:sz="0" w:space="0" w:color="auto"/>
        <w:right w:val="none" w:sz="0" w:space="0" w:color="auto"/>
      </w:divBdr>
    </w:div>
    <w:div w:id="1534421544">
      <w:bodyDiv w:val="1"/>
      <w:marLeft w:val="0"/>
      <w:marRight w:val="0"/>
      <w:marTop w:val="0"/>
      <w:marBottom w:val="0"/>
      <w:divBdr>
        <w:top w:val="none" w:sz="0" w:space="0" w:color="auto"/>
        <w:left w:val="none" w:sz="0" w:space="0" w:color="auto"/>
        <w:bottom w:val="none" w:sz="0" w:space="0" w:color="auto"/>
        <w:right w:val="none" w:sz="0" w:space="0" w:color="auto"/>
      </w:divBdr>
    </w:div>
    <w:div w:id="1537768876">
      <w:bodyDiv w:val="1"/>
      <w:marLeft w:val="0"/>
      <w:marRight w:val="0"/>
      <w:marTop w:val="0"/>
      <w:marBottom w:val="0"/>
      <w:divBdr>
        <w:top w:val="none" w:sz="0" w:space="0" w:color="auto"/>
        <w:left w:val="none" w:sz="0" w:space="0" w:color="auto"/>
        <w:bottom w:val="none" w:sz="0" w:space="0" w:color="auto"/>
        <w:right w:val="none" w:sz="0" w:space="0" w:color="auto"/>
      </w:divBdr>
    </w:div>
    <w:div w:id="1539120661">
      <w:bodyDiv w:val="1"/>
      <w:marLeft w:val="0"/>
      <w:marRight w:val="0"/>
      <w:marTop w:val="0"/>
      <w:marBottom w:val="0"/>
      <w:divBdr>
        <w:top w:val="none" w:sz="0" w:space="0" w:color="auto"/>
        <w:left w:val="none" w:sz="0" w:space="0" w:color="auto"/>
        <w:bottom w:val="none" w:sz="0" w:space="0" w:color="auto"/>
        <w:right w:val="none" w:sz="0" w:space="0" w:color="auto"/>
      </w:divBdr>
    </w:div>
    <w:div w:id="1539925505">
      <w:bodyDiv w:val="1"/>
      <w:marLeft w:val="0"/>
      <w:marRight w:val="0"/>
      <w:marTop w:val="0"/>
      <w:marBottom w:val="0"/>
      <w:divBdr>
        <w:top w:val="none" w:sz="0" w:space="0" w:color="auto"/>
        <w:left w:val="none" w:sz="0" w:space="0" w:color="auto"/>
        <w:bottom w:val="none" w:sz="0" w:space="0" w:color="auto"/>
        <w:right w:val="none" w:sz="0" w:space="0" w:color="auto"/>
      </w:divBdr>
    </w:div>
    <w:div w:id="1540435134">
      <w:bodyDiv w:val="1"/>
      <w:marLeft w:val="0"/>
      <w:marRight w:val="0"/>
      <w:marTop w:val="0"/>
      <w:marBottom w:val="0"/>
      <w:divBdr>
        <w:top w:val="none" w:sz="0" w:space="0" w:color="auto"/>
        <w:left w:val="none" w:sz="0" w:space="0" w:color="auto"/>
        <w:bottom w:val="none" w:sz="0" w:space="0" w:color="auto"/>
        <w:right w:val="none" w:sz="0" w:space="0" w:color="auto"/>
      </w:divBdr>
    </w:div>
    <w:div w:id="1541360194">
      <w:bodyDiv w:val="1"/>
      <w:marLeft w:val="0"/>
      <w:marRight w:val="0"/>
      <w:marTop w:val="0"/>
      <w:marBottom w:val="0"/>
      <w:divBdr>
        <w:top w:val="none" w:sz="0" w:space="0" w:color="auto"/>
        <w:left w:val="none" w:sz="0" w:space="0" w:color="auto"/>
        <w:bottom w:val="none" w:sz="0" w:space="0" w:color="auto"/>
        <w:right w:val="none" w:sz="0" w:space="0" w:color="auto"/>
      </w:divBdr>
    </w:div>
    <w:div w:id="1541434927">
      <w:bodyDiv w:val="1"/>
      <w:marLeft w:val="0"/>
      <w:marRight w:val="0"/>
      <w:marTop w:val="0"/>
      <w:marBottom w:val="0"/>
      <w:divBdr>
        <w:top w:val="none" w:sz="0" w:space="0" w:color="auto"/>
        <w:left w:val="none" w:sz="0" w:space="0" w:color="auto"/>
        <w:bottom w:val="none" w:sz="0" w:space="0" w:color="auto"/>
        <w:right w:val="none" w:sz="0" w:space="0" w:color="auto"/>
      </w:divBdr>
    </w:div>
    <w:div w:id="1545142534">
      <w:bodyDiv w:val="1"/>
      <w:marLeft w:val="0"/>
      <w:marRight w:val="0"/>
      <w:marTop w:val="0"/>
      <w:marBottom w:val="0"/>
      <w:divBdr>
        <w:top w:val="none" w:sz="0" w:space="0" w:color="auto"/>
        <w:left w:val="none" w:sz="0" w:space="0" w:color="auto"/>
        <w:bottom w:val="none" w:sz="0" w:space="0" w:color="auto"/>
        <w:right w:val="none" w:sz="0" w:space="0" w:color="auto"/>
      </w:divBdr>
    </w:div>
    <w:div w:id="1545749920">
      <w:bodyDiv w:val="1"/>
      <w:marLeft w:val="0"/>
      <w:marRight w:val="0"/>
      <w:marTop w:val="0"/>
      <w:marBottom w:val="0"/>
      <w:divBdr>
        <w:top w:val="none" w:sz="0" w:space="0" w:color="auto"/>
        <w:left w:val="none" w:sz="0" w:space="0" w:color="auto"/>
        <w:bottom w:val="none" w:sz="0" w:space="0" w:color="auto"/>
        <w:right w:val="none" w:sz="0" w:space="0" w:color="auto"/>
      </w:divBdr>
      <w:divsChild>
        <w:div w:id="1331978860">
          <w:marLeft w:val="0"/>
          <w:marRight w:val="0"/>
          <w:marTop w:val="0"/>
          <w:marBottom w:val="0"/>
          <w:divBdr>
            <w:top w:val="none" w:sz="0" w:space="0" w:color="auto"/>
            <w:left w:val="none" w:sz="0" w:space="0" w:color="auto"/>
            <w:bottom w:val="none" w:sz="0" w:space="0" w:color="auto"/>
            <w:right w:val="none" w:sz="0" w:space="0" w:color="auto"/>
          </w:divBdr>
        </w:div>
        <w:div w:id="1824004393">
          <w:marLeft w:val="0"/>
          <w:marRight w:val="0"/>
          <w:marTop w:val="0"/>
          <w:marBottom w:val="0"/>
          <w:divBdr>
            <w:top w:val="none" w:sz="0" w:space="0" w:color="auto"/>
            <w:left w:val="none" w:sz="0" w:space="0" w:color="auto"/>
            <w:bottom w:val="none" w:sz="0" w:space="0" w:color="auto"/>
            <w:right w:val="none" w:sz="0" w:space="0" w:color="auto"/>
          </w:divBdr>
        </w:div>
      </w:divsChild>
    </w:div>
    <w:div w:id="1545754652">
      <w:bodyDiv w:val="1"/>
      <w:marLeft w:val="0"/>
      <w:marRight w:val="0"/>
      <w:marTop w:val="0"/>
      <w:marBottom w:val="0"/>
      <w:divBdr>
        <w:top w:val="none" w:sz="0" w:space="0" w:color="auto"/>
        <w:left w:val="none" w:sz="0" w:space="0" w:color="auto"/>
        <w:bottom w:val="none" w:sz="0" w:space="0" w:color="auto"/>
        <w:right w:val="none" w:sz="0" w:space="0" w:color="auto"/>
      </w:divBdr>
    </w:div>
    <w:div w:id="1547260696">
      <w:bodyDiv w:val="1"/>
      <w:marLeft w:val="0"/>
      <w:marRight w:val="0"/>
      <w:marTop w:val="0"/>
      <w:marBottom w:val="0"/>
      <w:divBdr>
        <w:top w:val="none" w:sz="0" w:space="0" w:color="auto"/>
        <w:left w:val="none" w:sz="0" w:space="0" w:color="auto"/>
        <w:bottom w:val="none" w:sz="0" w:space="0" w:color="auto"/>
        <w:right w:val="none" w:sz="0" w:space="0" w:color="auto"/>
      </w:divBdr>
    </w:div>
    <w:div w:id="1548029126">
      <w:bodyDiv w:val="1"/>
      <w:marLeft w:val="0"/>
      <w:marRight w:val="0"/>
      <w:marTop w:val="0"/>
      <w:marBottom w:val="0"/>
      <w:divBdr>
        <w:top w:val="none" w:sz="0" w:space="0" w:color="auto"/>
        <w:left w:val="none" w:sz="0" w:space="0" w:color="auto"/>
        <w:bottom w:val="none" w:sz="0" w:space="0" w:color="auto"/>
        <w:right w:val="none" w:sz="0" w:space="0" w:color="auto"/>
      </w:divBdr>
    </w:div>
    <w:div w:id="1548102439">
      <w:bodyDiv w:val="1"/>
      <w:marLeft w:val="0"/>
      <w:marRight w:val="0"/>
      <w:marTop w:val="0"/>
      <w:marBottom w:val="0"/>
      <w:divBdr>
        <w:top w:val="none" w:sz="0" w:space="0" w:color="auto"/>
        <w:left w:val="none" w:sz="0" w:space="0" w:color="auto"/>
        <w:bottom w:val="none" w:sz="0" w:space="0" w:color="auto"/>
        <w:right w:val="none" w:sz="0" w:space="0" w:color="auto"/>
      </w:divBdr>
    </w:div>
    <w:div w:id="1548839433">
      <w:bodyDiv w:val="1"/>
      <w:marLeft w:val="0"/>
      <w:marRight w:val="0"/>
      <w:marTop w:val="0"/>
      <w:marBottom w:val="0"/>
      <w:divBdr>
        <w:top w:val="none" w:sz="0" w:space="0" w:color="auto"/>
        <w:left w:val="none" w:sz="0" w:space="0" w:color="auto"/>
        <w:bottom w:val="none" w:sz="0" w:space="0" w:color="auto"/>
        <w:right w:val="none" w:sz="0" w:space="0" w:color="auto"/>
      </w:divBdr>
    </w:div>
    <w:div w:id="1548909093">
      <w:bodyDiv w:val="1"/>
      <w:marLeft w:val="0"/>
      <w:marRight w:val="0"/>
      <w:marTop w:val="0"/>
      <w:marBottom w:val="0"/>
      <w:divBdr>
        <w:top w:val="none" w:sz="0" w:space="0" w:color="auto"/>
        <w:left w:val="none" w:sz="0" w:space="0" w:color="auto"/>
        <w:bottom w:val="none" w:sz="0" w:space="0" w:color="auto"/>
        <w:right w:val="none" w:sz="0" w:space="0" w:color="auto"/>
      </w:divBdr>
    </w:div>
    <w:div w:id="1548953110">
      <w:bodyDiv w:val="1"/>
      <w:marLeft w:val="0"/>
      <w:marRight w:val="0"/>
      <w:marTop w:val="0"/>
      <w:marBottom w:val="0"/>
      <w:divBdr>
        <w:top w:val="none" w:sz="0" w:space="0" w:color="auto"/>
        <w:left w:val="none" w:sz="0" w:space="0" w:color="auto"/>
        <w:bottom w:val="none" w:sz="0" w:space="0" w:color="auto"/>
        <w:right w:val="none" w:sz="0" w:space="0" w:color="auto"/>
      </w:divBdr>
    </w:div>
    <w:div w:id="1548953696">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2886588">
      <w:bodyDiv w:val="1"/>
      <w:marLeft w:val="0"/>
      <w:marRight w:val="0"/>
      <w:marTop w:val="0"/>
      <w:marBottom w:val="0"/>
      <w:divBdr>
        <w:top w:val="none" w:sz="0" w:space="0" w:color="auto"/>
        <w:left w:val="none" w:sz="0" w:space="0" w:color="auto"/>
        <w:bottom w:val="none" w:sz="0" w:space="0" w:color="auto"/>
        <w:right w:val="none" w:sz="0" w:space="0" w:color="auto"/>
      </w:divBdr>
    </w:div>
    <w:div w:id="1553617016">
      <w:bodyDiv w:val="1"/>
      <w:marLeft w:val="0"/>
      <w:marRight w:val="0"/>
      <w:marTop w:val="0"/>
      <w:marBottom w:val="0"/>
      <w:divBdr>
        <w:top w:val="none" w:sz="0" w:space="0" w:color="auto"/>
        <w:left w:val="none" w:sz="0" w:space="0" w:color="auto"/>
        <w:bottom w:val="none" w:sz="0" w:space="0" w:color="auto"/>
        <w:right w:val="none" w:sz="0" w:space="0" w:color="auto"/>
      </w:divBdr>
    </w:div>
    <w:div w:id="1555003232">
      <w:bodyDiv w:val="1"/>
      <w:marLeft w:val="0"/>
      <w:marRight w:val="0"/>
      <w:marTop w:val="0"/>
      <w:marBottom w:val="0"/>
      <w:divBdr>
        <w:top w:val="none" w:sz="0" w:space="0" w:color="auto"/>
        <w:left w:val="none" w:sz="0" w:space="0" w:color="auto"/>
        <w:bottom w:val="none" w:sz="0" w:space="0" w:color="auto"/>
        <w:right w:val="none" w:sz="0" w:space="0" w:color="auto"/>
      </w:divBdr>
    </w:div>
    <w:div w:id="1557007054">
      <w:bodyDiv w:val="1"/>
      <w:marLeft w:val="0"/>
      <w:marRight w:val="0"/>
      <w:marTop w:val="0"/>
      <w:marBottom w:val="0"/>
      <w:divBdr>
        <w:top w:val="none" w:sz="0" w:space="0" w:color="auto"/>
        <w:left w:val="none" w:sz="0" w:space="0" w:color="auto"/>
        <w:bottom w:val="none" w:sz="0" w:space="0" w:color="auto"/>
        <w:right w:val="none" w:sz="0" w:space="0" w:color="auto"/>
      </w:divBdr>
    </w:div>
    <w:div w:id="1558202349">
      <w:bodyDiv w:val="1"/>
      <w:marLeft w:val="0"/>
      <w:marRight w:val="0"/>
      <w:marTop w:val="0"/>
      <w:marBottom w:val="0"/>
      <w:divBdr>
        <w:top w:val="none" w:sz="0" w:space="0" w:color="auto"/>
        <w:left w:val="none" w:sz="0" w:space="0" w:color="auto"/>
        <w:bottom w:val="none" w:sz="0" w:space="0" w:color="auto"/>
        <w:right w:val="none" w:sz="0" w:space="0" w:color="auto"/>
      </w:divBdr>
    </w:div>
    <w:div w:id="1558735155">
      <w:bodyDiv w:val="1"/>
      <w:marLeft w:val="0"/>
      <w:marRight w:val="0"/>
      <w:marTop w:val="0"/>
      <w:marBottom w:val="0"/>
      <w:divBdr>
        <w:top w:val="none" w:sz="0" w:space="0" w:color="auto"/>
        <w:left w:val="none" w:sz="0" w:space="0" w:color="auto"/>
        <w:bottom w:val="none" w:sz="0" w:space="0" w:color="auto"/>
        <w:right w:val="none" w:sz="0" w:space="0" w:color="auto"/>
      </w:divBdr>
    </w:div>
    <w:div w:id="1561206942">
      <w:bodyDiv w:val="1"/>
      <w:marLeft w:val="0"/>
      <w:marRight w:val="0"/>
      <w:marTop w:val="0"/>
      <w:marBottom w:val="0"/>
      <w:divBdr>
        <w:top w:val="none" w:sz="0" w:space="0" w:color="auto"/>
        <w:left w:val="none" w:sz="0" w:space="0" w:color="auto"/>
        <w:bottom w:val="none" w:sz="0" w:space="0" w:color="auto"/>
        <w:right w:val="none" w:sz="0" w:space="0" w:color="auto"/>
      </w:divBdr>
    </w:div>
    <w:div w:id="1563590440">
      <w:bodyDiv w:val="1"/>
      <w:marLeft w:val="0"/>
      <w:marRight w:val="0"/>
      <w:marTop w:val="0"/>
      <w:marBottom w:val="0"/>
      <w:divBdr>
        <w:top w:val="none" w:sz="0" w:space="0" w:color="auto"/>
        <w:left w:val="none" w:sz="0" w:space="0" w:color="auto"/>
        <w:bottom w:val="none" w:sz="0" w:space="0" w:color="auto"/>
        <w:right w:val="none" w:sz="0" w:space="0" w:color="auto"/>
      </w:divBdr>
    </w:div>
    <w:div w:id="1563828558">
      <w:bodyDiv w:val="1"/>
      <w:marLeft w:val="0"/>
      <w:marRight w:val="0"/>
      <w:marTop w:val="0"/>
      <w:marBottom w:val="0"/>
      <w:divBdr>
        <w:top w:val="none" w:sz="0" w:space="0" w:color="auto"/>
        <w:left w:val="none" w:sz="0" w:space="0" w:color="auto"/>
        <w:bottom w:val="none" w:sz="0" w:space="0" w:color="auto"/>
        <w:right w:val="none" w:sz="0" w:space="0" w:color="auto"/>
      </w:divBdr>
    </w:div>
    <w:div w:id="1565527357">
      <w:bodyDiv w:val="1"/>
      <w:marLeft w:val="0"/>
      <w:marRight w:val="0"/>
      <w:marTop w:val="0"/>
      <w:marBottom w:val="0"/>
      <w:divBdr>
        <w:top w:val="none" w:sz="0" w:space="0" w:color="auto"/>
        <w:left w:val="none" w:sz="0" w:space="0" w:color="auto"/>
        <w:bottom w:val="none" w:sz="0" w:space="0" w:color="auto"/>
        <w:right w:val="none" w:sz="0" w:space="0" w:color="auto"/>
      </w:divBdr>
    </w:div>
    <w:div w:id="1569077020">
      <w:bodyDiv w:val="1"/>
      <w:marLeft w:val="0"/>
      <w:marRight w:val="0"/>
      <w:marTop w:val="0"/>
      <w:marBottom w:val="0"/>
      <w:divBdr>
        <w:top w:val="none" w:sz="0" w:space="0" w:color="auto"/>
        <w:left w:val="none" w:sz="0" w:space="0" w:color="auto"/>
        <w:bottom w:val="none" w:sz="0" w:space="0" w:color="auto"/>
        <w:right w:val="none" w:sz="0" w:space="0" w:color="auto"/>
      </w:divBdr>
    </w:div>
    <w:div w:id="1569339581">
      <w:bodyDiv w:val="1"/>
      <w:marLeft w:val="0"/>
      <w:marRight w:val="0"/>
      <w:marTop w:val="0"/>
      <w:marBottom w:val="0"/>
      <w:divBdr>
        <w:top w:val="none" w:sz="0" w:space="0" w:color="auto"/>
        <w:left w:val="none" w:sz="0" w:space="0" w:color="auto"/>
        <w:bottom w:val="none" w:sz="0" w:space="0" w:color="auto"/>
        <w:right w:val="none" w:sz="0" w:space="0" w:color="auto"/>
      </w:divBdr>
    </w:div>
    <w:div w:id="1569416407">
      <w:bodyDiv w:val="1"/>
      <w:marLeft w:val="0"/>
      <w:marRight w:val="0"/>
      <w:marTop w:val="0"/>
      <w:marBottom w:val="0"/>
      <w:divBdr>
        <w:top w:val="none" w:sz="0" w:space="0" w:color="auto"/>
        <w:left w:val="none" w:sz="0" w:space="0" w:color="auto"/>
        <w:bottom w:val="none" w:sz="0" w:space="0" w:color="auto"/>
        <w:right w:val="none" w:sz="0" w:space="0" w:color="auto"/>
      </w:divBdr>
    </w:div>
    <w:div w:id="1570649600">
      <w:bodyDiv w:val="1"/>
      <w:marLeft w:val="0"/>
      <w:marRight w:val="0"/>
      <w:marTop w:val="0"/>
      <w:marBottom w:val="0"/>
      <w:divBdr>
        <w:top w:val="none" w:sz="0" w:space="0" w:color="auto"/>
        <w:left w:val="none" w:sz="0" w:space="0" w:color="auto"/>
        <w:bottom w:val="none" w:sz="0" w:space="0" w:color="auto"/>
        <w:right w:val="none" w:sz="0" w:space="0" w:color="auto"/>
      </w:divBdr>
    </w:div>
    <w:div w:id="1571185126">
      <w:bodyDiv w:val="1"/>
      <w:marLeft w:val="0"/>
      <w:marRight w:val="0"/>
      <w:marTop w:val="0"/>
      <w:marBottom w:val="0"/>
      <w:divBdr>
        <w:top w:val="none" w:sz="0" w:space="0" w:color="auto"/>
        <w:left w:val="none" w:sz="0" w:space="0" w:color="auto"/>
        <w:bottom w:val="none" w:sz="0" w:space="0" w:color="auto"/>
        <w:right w:val="none" w:sz="0" w:space="0" w:color="auto"/>
      </w:divBdr>
    </w:div>
    <w:div w:id="1571305359">
      <w:bodyDiv w:val="1"/>
      <w:marLeft w:val="0"/>
      <w:marRight w:val="0"/>
      <w:marTop w:val="0"/>
      <w:marBottom w:val="0"/>
      <w:divBdr>
        <w:top w:val="none" w:sz="0" w:space="0" w:color="auto"/>
        <w:left w:val="none" w:sz="0" w:space="0" w:color="auto"/>
        <w:bottom w:val="none" w:sz="0" w:space="0" w:color="auto"/>
        <w:right w:val="none" w:sz="0" w:space="0" w:color="auto"/>
      </w:divBdr>
    </w:div>
    <w:div w:id="1571886046">
      <w:bodyDiv w:val="1"/>
      <w:marLeft w:val="0"/>
      <w:marRight w:val="0"/>
      <w:marTop w:val="0"/>
      <w:marBottom w:val="0"/>
      <w:divBdr>
        <w:top w:val="none" w:sz="0" w:space="0" w:color="auto"/>
        <w:left w:val="none" w:sz="0" w:space="0" w:color="auto"/>
        <w:bottom w:val="none" w:sz="0" w:space="0" w:color="auto"/>
        <w:right w:val="none" w:sz="0" w:space="0" w:color="auto"/>
      </w:divBdr>
    </w:div>
    <w:div w:id="1572499613">
      <w:bodyDiv w:val="1"/>
      <w:marLeft w:val="0"/>
      <w:marRight w:val="0"/>
      <w:marTop w:val="0"/>
      <w:marBottom w:val="0"/>
      <w:divBdr>
        <w:top w:val="none" w:sz="0" w:space="0" w:color="auto"/>
        <w:left w:val="none" w:sz="0" w:space="0" w:color="auto"/>
        <w:bottom w:val="none" w:sz="0" w:space="0" w:color="auto"/>
        <w:right w:val="none" w:sz="0" w:space="0" w:color="auto"/>
      </w:divBdr>
    </w:div>
    <w:div w:id="1575702761">
      <w:bodyDiv w:val="1"/>
      <w:marLeft w:val="0"/>
      <w:marRight w:val="0"/>
      <w:marTop w:val="0"/>
      <w:marBottom w:val="0"/>
      <w:divBdr>
        <w:top w:val="none" w:sz="0" w:space="0" w:color="auto"/>
        <w:left w:val="none" w:sz="0" w:space="0" w:color="auto"/>
        <w:bottom w:val="none" w:sz="0" w:space="0" w:color="auto"/>
        <w:right w:val="none" w:sz="0" w:space="0" w:color="auto"/>
      </w:divBdr>
    </w:div>
    <w:div w:id="1576012282">
      <w:bodyDiv w:val="1"/>
      <w:marLeft w:val="0"/>
      <w:marRight w:val="0"/>
      <w:marTop w:val="0"/>
      <w:marBottom w:val="0"/>
      <w:divBdr>
        <w:top w:val="none" w:sz="0" w:space="0" w:color="auto"/>
        <w:left w:val="none" w:sz="0" w:space="0" w:color="auto"/>
        <w:bottom w:val="none" w:sz="0" w:space="0" w:color="auto"/>
        <w:right w:val="none" w:sz="0" w:space="0" w:color="auto"/>
      </w:divBdr>
    </w:div>
    <w:div w:id="1581676870">
      <w:bodyDiv w:val="1"/>
      <w:marLeft w:val="0"/>
      <w:marRight w:val="0"/>
      <w:marTop w:val="0"/>
      <w:marBottom w:val="0"/>
      <w:divBdr>
        <w:top w:val="none" w:sz="0" w:space="0" w:color="auto"/>
        <w:left w:val="none" w:sz="0" w:space="0" w:color="auto"/>
        <w:bottom w:val="none" w:sz="0" w:space="0" w:color="auto"/>
        <w:right w:val="none" w:sz="0" w:space="0" w:color="auto"/>
      </w:divBdr>
    </w:div>
    <w:div w:id="1582107059">
      <w:bodyDiv w:val="1"/>
      <w:marLeft w:val="0"/>
      <w:marRight w:val="0"/>
      <w:marTop w:val="0"/>
      <w:marBottom w:val="0"/>
      <w:divBdr>
        <w:top w:val="none" w:sz="0" w:space="0" w:color="auto"/>
        <w:left w:val="none" w:sz="0" w:space="0" w:color="auto"/>
        <w:bottom w:val="none" w:sz="0" w:space="0" w:color="auto"/>
        <w:right w:val="none" w:sz="0" w:space="0" w:color="auto"/>
      </w:divBdr>
    </w:div>
    <w:div w:id="1582568413">
      <w:bodyDiv w:val="1"/>
      <w:marLeft w:val="0"/>
      <w:marRight w:val="0"/>
      <w:marTop w:val="0"/>
      <w:marBottom w:val="0"/>
      <w:divBdr>
        <w:top w:val="none" w:sz="0" w:space="0" w:color="auto"/>
        <w:left w:val="none" w:sz="0" w:space="0" w:color="auto"/>
        <w:bottom w:val="none" w:sz="0" w:space="0" w:color="auto"/>
        <w:right w:val="none" w:sz="0" w:space="0" w:color="auto"/>
      </w:divBdr>
    </w:div>
    <w:div w:id="1587182318">
      <w:bodyDiv w:val="1"/>
      <w:marLeft w:val="0"/>
      <w:marRight w:val="0"/>
      <w:marTop w:val="0"/>
      <w:marBottom w:val="0"/>
      <w:divBdr>
        <w:top w:val="none" w:sz="0" w:space="0" w:color="auto"/>
        <w:left w:val="none" w:sz="0" w:space="0" w:color="auto"/>
        <w:bottom w:val="none" w:sz="0" w:space="0" w:color="auto"/>
        <w:right w:val="none" w:sz="0" w:space="0" w:color="auto"/>
      </w:divBdr>
    </w:div>
    <w:div w:id="1589343750">
      <w:bodyDiv w:val="1"/>
      <w:marLeft w:val="0"/>
      <w:marRight w:val="0"/>
      <w:marTop w:val="0"/>
      <w:marBottom w:val="0"/>
      <w:divBdr>
        <w:top w:val="none" w:sz="0" w:space="0" w:color="auto"/>
        <w:left w:val="none" w:sz="0" w:space="0" w:color="auto"/>
        <w:bottom w:val="none" w:sz="0" w:space="0" w:color="auto"/>
        <w:right w:val="none" w:sz="0" w:space="0" w:color="auto"/>
      </w:divBdr>
    </w:div>
    <w:div w:id="1589535502">
      <w:bodyDiv w:val="1"/>
      <w:marLeft w:val="0"/>
      <w:marRight w:val="0"/>
      <w:marTop w:val="0"/>
      <w:marBottom w:val="0"/>
      <w:divBdr>
        <w:top w:val="none" w:sz="0" w:space="0" w:color="auto"/>
        <w:left w:val="none" w:sz="0" w:space="0" w:color="auto"/>
        <w:bottom w:val="none" w:sz="0" w:space="0" w:color="auto"/>
        <w:right w:val="none" w:sz="0" w:space="0" w:color="auto"/>
      </w:divBdr>
    </w:div>
    <w:div w:id="1590654372">
      <w:bodyDiv w:val="1"/>
      <w:marLeft w:val="0"/>
      <w:marRight w:val="0"/>
      <w:marTop w:val="0"/>
      <w:marBottom w:val="0"/>
      <w:divBdr>
        <w:top w:val="none" w:sz="0" w:space="0" w:color="auto"/>
        <w:left w:val="none" w:sz="0" w:space="0" w:color="auto"/>
        <w:bottom w:val="none" w:sz="0" w:space="0" w:color="auto"/>
        <w:right w:val="none" w:sz="0" w:space="0" w:color="auto"/>
      </w:divBdr>
    </w:div>
    <w:div w:id="1592545242">
      <w:bodyDiv w:val="1"/>
      <w:marLeft w:val="0"/>
      <w:marRight w:val="0"/>
      <w:marTop w:val="0"/>
      <w:marBottom w:val="0"/>
      <w:divBdr>
        <w:top w:val="none" w:sz="0" w:space="0" w:color="auto"/>
        <w:left w:val="none" w:sz="0" w:space="0" w:color="auto"/>
        <w:bottom w:val="none" w:sz="0" w:space="0" w:color="auto"/>
        <w:right w:val="none" w:sz="0" w:space="0" w:color="auto"/>
      </w:divBdr>
    </w:div>
    <w:div w:id="1595627319">
      <w:bodyDiv w:val="1"/>
      <w:marLeft w:val="0"/>
      <w:marRight w:val="0"/>
      <w:marTop w:val="0"/>
      <w:marBottom w:val="0"/>
      <w:divBdr>
        <w:top w:val="none" w:sz="0" w:space="0" w:color="auto"/>
        <w:left w:val="none" w:sz="0" w:space="0" w:color="auto"/>
        <w:bottom w:val="none" w:sz="0" w:space="0" w:color="auto"/>
        <w:right w:val="none" w:sz="0" w:space="0" w:color="auto"/>
      </w:divBdr>
    </w:div>
    <w:div w:id="1596743321">
      <w:bodyDiv w:val="1"/>
      <w:marLeft w:val="0"/>
      <w:marRight w:val="0"/>
      <w:marTop w:val="0"/>
      <w:marBottom w:val="0"/>
      <w:divBdr>
        <w:top w:val="none" w:sz="0" w:space="0" w:color="auto"/>
        <w:left w:val="none" w:sz="0" w:space="0" w:color="auto"/>
        <w:bottom w:val="none" w:sz="0" w:space="0" w:color="auto"/>
        <w:right w:val="none" w:sz="0" w:space="0" w:color="auto"/>
      </w:divBdr>
    </w:div>
    <w:div w:id="1597208835">
      <w:bodyDiv w:val="1"/>
      <w:marLeft w:val="0"/>
      <w:marRight w:val="0"/>
      <w:marTop w:val="0"/>
      <w:marBottom w:val="0"/>
      <w:divBdr>
        <w:top w:val="none" w:sz="0" w:space="0" w:color="auto"/>
        <w:left w:val="none" w:sz="0" w:space="0" w:color="auto"/>
        <w:bottom w:val="none" w:sz="0" w:space="0" w:color="auto"/>
        <w:right w:val="none" w:sz="0" w:space="0" w:color="auto"/>
      </w:divBdr>
    </w:div>
    <w:div w:id="1597712104">
      <w:bodyDiv w:val="1"/>
      <w:marLeft w:val="0"/>
      <w:marRight w:val="0"/>
      <w:marTop w:val="0"/>
      <w:marBottom w:val="0"/>
      <w:divBdr>
        <w:top w:val="none" w:sz="0" w:space="0" w:color="auto"/>
        <w:left w:val="none" w:sz="0" w:space="0" w:color="auto"/>
        <w:bottom w:val="none" w:sz="0" w:space="0" w:color="auto"/>
        <w:right w:val="none" w:sz="0" w:space="0" w:color="auto"/>
      </w:divBdr>
    </w:div>
    <w:div w:id="1598517241">
      <w:bodyDiv w:val="1"/>
      <w:marLeft w:val="0"/>
      <w:marRight w:val="0"/>
      <w:marTop w:val="0"/>
      <w:marBottom w:val="0"/>
      <w:divBdr>
        <w:top w:val="none" w:sz="0" w:space="0" w:color="auto"/>
        <w:left w:val="none" w:sz="0" w:space="0" w:color="auto"/>
        <w:bottom w:val="none" w:sz="0" w:space="0" w:color="auto"/>
        <w:right w:val="none" w:sz="0" w:space="0" w:color="auto"/>
      </w:divBdr>
    </w:div>
    <w:div w:id="1599291602">
      <w:bodyDiv w:val="1"/>
      <w:marLeft w:val="0"/>
      <w:marRight w:val="0"/>
      <w:marTop w:val="0"/>
      <w:marBottom w:val="0"/>
      <w:divBdr>
        <w:top w:val="none" w:sz="0" w:space="0" w:color="auto"/>
        <w:left w:val="none" w:sz="0" w:space="0" w:color="auto"/>
        <w:bottom w:val="none" w:sz="0" w:space="0" w:color="auto"/>
        <w:right w:val="none" w:sz="0" w:space="0" w:color="auto"/>
      </w:divBdr>
    </w:div>
    <w:div w:id="1599673931">
      <w:bodyDiv w:val="1"/>
      <w:marLeft w:val="0"/>
      <w:marRight w:val="0"/>
      <w:marTop w:val="0"/>
      <w:marBottom w:val="0"/>
      <w:divBdr>
        <w:top w:val="none" w:sz="0" w:space="0" w:color="auto"/>
        <w:left w:val="none" w:sz="0" w:space="0" w:color="auto"/>
        <w:bottom w:val="none" w:sz="0" w:space="0" w:color="auto"/>
        <w:right w:val="none" w:sz="0" w:space="0" w:color="auto"/>
      </w:divBdr>
    </w:div>
    <w:div w:id="1601599943">
      <w:bodyDiv w:val="1"/>
      <w:marLeft w:val="0"/>
      <w:marRight w:val="0"/>
      <w:marTop w:val="0"/>
      <w:marBottom w:val="0"/>
      <w:divBdr>
        <w:top w:val="none" w:sz="0" w:space="0" w:color="auto"/>
        <w:left w:val="none" w:sz="0" w:space="0" w:color="auto"/>
        <w:bottom w:val="none" w:sz="0" w:space="0" w:color="auto"/>
        <w:right w:val="none" w:sz="0" w:space="0" w:color="auto"/>
      </w:divBdr>
    </w:div>
    <w:div w:id="1602253521">
      <w:bodyDiv w:val="1"/>
      <w:marLeft w:val="0"/>
      <w:marRight w:val="0"/>
      <w:marTop w:val="0"/>
      <w:marBottom w:val="0"/>
      <w:divBdr>
        <w:top w:val="none" w:sz="0" w:space="0" w:color="auto"/>
        <w:left w:val="none" w:sz="0" w:space="0" w:color="auto"/>
        <w:bottom w:val="none" w:sz="0" w:space="0" w:color="auto"/>
        <w:right w:val="none" w:sz="0" w:space="0" w:color="auto"/>
      </w:divBdr>
    </w:div>
    <w:div w:id="1602566449">
      <w:bodyDiv w:val="1"/>
      <w:marLeft w:val="0"/>
      <w:marRight w:val="0"/>
      <w:marTop w:val="0"/>
      <w:marBottom w:val="0"/>
      <w:divBdr>
        <w:top w:val="none" w:sz="0" w:space="0" w:color="auto"/>
        <w:left w:val="none" w:sz="0" w:space="0" w:color="auto"/>
        <w:bottom w:val="none" w:sz="0" w:space="0" w:color="auto"/>
        <w:right w:val="none" w:sz="0" w:space="0" w:color="auto"/>
      </w:divBdr>
    </w:div>
    <w:div w:id="1602835317">
      <w:bodyDiv w:val="1"/>
      <w:marLeft w:val="0"/>
      <w:marRight w:val="0"/>
      <w:marTop w:val="0"/>
      <w:marBottom w:val="0"/>
      <w:divBdr>
        <w:top w:val="none" w:sz="0" w:space="0" w:color="auto"/>
        <w:left w:val="none" w:sz="0" w:space="0" w:color="auto"/>
        <w:bottom w:val="none" w:sz="0" w:space="0" w:color="auto"/>
        <w:right w:val="none" w:sz="0" w:space="0" w:color="auto"/>
      </w:divBdr>
    </w:div>
    <w:div w:id="1603147162">
      <w:bodyDiv w:val="1"/>
      <w:marLeft w:val="0"/>
      <w:marRight w:val="0"/>
      <w:marTop w:val="0"/>
      <w:marBottom w:val="0"/>
      <w:divBdr>
        <w:top w:val="none" w:sz="0" w:space="0" w:color="auto"/>
        <w:left w:val="none" w:sz="0" w:space="0" w:color="auto"/>
        <w:bottom w:val="none" w:sz="0" w:space="0" w:color="auto"/>
        <w:right w:val="none" w:sz="0" w:space="0" w:color="auto"/>
      </w:divBdr>
    </w:div>
    <w:div w:id="1603223129">
      <w:bodyDiv w:val="1"/>
      <w:marLeft w:val="0"/>
      <w:marRight w:val="0"/>
      <w:marTop w:val="0"/>
      <w:marBottom w:val="0"/>
      <w:divBdr>
        <w:top w:val="none" w:sz="0" w:space="0" w:color="auto"/>
        <w:left w:val="none" w:sz="0" w:space="0" w:color="auto"/>
        <w:bottom w:val="none" w:sz="0" w:space="0" w:color="auto"/>
        <w:right w:val="none" w:sz="0" w:space="0" w:color="auto"/>
      </w:divBdr>
    </w:div>
    <w:div w:id="1608734877">
      <w:marLeft w:val="0"/>
      <w:marRight w:val="0"/>
      <w:marTop w:val="0"/>
      <w:marBottom w:val="0"/>
      <w:divBdr>
        <w:top w:val="none" w:sz="0" w:space="0" w:color="auto"/>
        <w:left w:val="none" w:sz="0" w:space="0" w:color="auto"/>
        <w:bottom w:val="none" w:sz="0" w:space="0" w:color="auto"/>
        <w:right w:val="none" w:sz="0" w:space="0" w:color="auto"/>
      </w:divBdr>
    </w:div>
    <w:div w:id="1608929096">
      <w:bodyDiv w:val="1"/>
      <w:marLeft w:val="0"/>
      <w:marRight w:val="0"/>
      <w:marTop w:val="0"/>
      <w:marBottom w:val="0"/>
      <w:divBdr>
        <w:top w:val="none" w:sz="0" w:space="0" w:color="auto"/>
        <w:left w:val="none" w:sz="0" w:space="0" w:color="auto"/>
        <w:bottom w:val="none" w:sz="0" w:space="0" w:color="auto"/>
        <w:right w:val="none" w:sz="0" w:space="0" w:color="auto"/>
      </w:divBdr>
    </w:div>
    <w:div w:id="1609197903">
      <w:bodyDiv w:val="1"/>
      <w:marLeft w:val="0"/>
      <w:marRight w:val="0"/>
      <w:marTop w:val="0"/>
      <w:marBottom w:val="0"/>
      <w:divBdr>
        <w:top w:val="none" w:sz="0" w:space="0" w:color="auto"/>
        <w:left w:val="none" w:sz="0" w:space="0" w:color="auto"/>
        <w:bottom w:val="none" w:sz="0" w:space="0" w:color="auto"/>
        <w:right w:val="none" w:sz="0" w:space="0" w:color="auto"/>
      </w:divBdr>
      <w:divsChild>
        <w:div w:id="32929933">
          <w:marLeft w:val="0"/>
          <w:marRight w:val="0"/>
          <w:marTop w:val="0"/>
          <w:marBottom w:val="0"/>
          <w:divBdr>
            <w:top w:val="none" w:sz="0" w:space="0" w:color="auto"/>
            <w:left w:val="none" w:sz="0" w:space="0" w:color="auto"/>
            <w:bottom w:val="none" w:sz="0" w:space="0" w:color="auto"/>
            <w:right w:val="none" w:sz="0" w:space="0" w:color="auto"/>
          </w:divBdr>
        </w:div>
        <w:div w:id="1590381315">
          <w:marLeft w:val="0"/>
          <w:marRight w:val="0"/>
          <w:marTop w:val="0"/>
          <w:marBottom w:val="0"/>
          <w:divBdr>
            <w:top w:val="none" w:sz="0" w:space="0" w:color="auto"/>
            <w:left w:val="none" w:sz="0" w:space="0" w:color="auto"/>
            <w:bottom w:val="none" w:sz="0" w:space="0" w:color="auto"/>
            <w:right w:val="none" w:sz="0" w:space="0" w:color="auto"/>
          </w:divBdr>
        </w:div>
        <w:div w:id="553469903">
          <w:marLeft w:val="0"/>
          <w:marRight w:val="0"/>
          <w:marTop w:val="0"/>
          <w:marBottom w:val="0"/>
          <w:divBdr>
            <w:top w:val="none" w:sz="0" w:space="0" w:color="auto"/>
            <w:left w:val="none" w:sz="0" w:space="0" w:color="auto"/>
            <w:bottom w:val="none" w:sz="0" w:space="0" w:color="auto"/>
            <w:right w:val="none" w:sz="0" w:space="0" w:color="auto"/>
          </w:divBdr>
          <w:divsChild>
            <w:div w:id="13670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451">
      <w:bodyDiv w:val="1"/>
      <w:marLeft w:val="0"/>
      <w:marRight w:val="0"/>
      <w:marTop w:val="0"/>
      <w:marBottom w:val="0"/>
      <w:divBdr>
        <w:top w:val="none" w:sz="0" w:space="0" w:color="auto"/>
        <w:left w:val="none" w:sz="0" w:space="0" w:color="auto"/>
        <w:bottom w:val="none" w:sz="0" w:space="0" w:color="auto"/>
        <w:right w:val="none" w:sz="0" w:space="0" w:color="auto"/>
      </w:divBdr>
    </w:div>
    <w:div w:id="1612348790">
      <w:bodyDiv w:val="1"/>
      <w:marLeft w:val="0"/>
      <w:marRight w:val="0"/>
      <w:marTop w:val="0"/>
      <w:marBottom w:val="0"/>
      <w:divBdr>
        <w:top w:val="none" w:sz="0" w:space="0" w:color="auto"/>
        <w:left w:val="none" w:sz="0" w:space="0" w:color="auto"/>
        <w:bottom w:val="none" w:sz="0" w:space="0" w:color="auto"/>
        <w:right w:val="none" w:sz="0" w:space="0" w:color="auto"/>
      </w:divBdr>
    </w:div>
    <w:div w:id="1612349125">
      <w:bodyDiv w:val="1"/>
      <w:marLeft w:val="0"/>
      <w:marRight w:val="0"/>
      <w:marTop w:val="0"/>
      <w:marBottom w:val="0"/>
      <w:divBdr>
        <w:top w:val="none" w:sz="0" w:space="0" w:color="auto"/>
        <w:left w:val="none" w:sz="0" w:space="0" w:color="auto"/>
        <w:bottom w:val="none" w:sz="0" w:space="0" w:color="auto"/>
        <w:right w:val="none" w:sz="0" w:space="0" w:color="auto"/>
      </w:divBdr>
    </w:div>
    <w:div w:id="1612542373">
      <w:bodyDiv w:val="1"/>
      <w:marLeft w:val="0"/>
      <w:marRight w:val="0"/>
      <w:marTop w:val="0"/>
      <w:marBottom w:val="0"/>
      <w:divBdr>
        <w:top w:val="none" w:sz="0" w:space="0" w:color="auto"/>
        <w:left w:val="none" w:sz="0" w:space="0" w:color="auto"/>
        <w:bottom w:val="none" w:sz="0" w:space="0" w:color="auto"/>
        <w:right w:val="none" w:sz="0" w:space="0" w:color="auto"/>
      </w:divBdr>
    </w:div>
    <w:div w:id="1614896071">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5408385">
      <w:bodyDiv w:val="1"/>
      <w:marLeft w:val="0"/>
      <w:marRight w:val="0"/>
      <w:marTop w:val="0"/>
      <w:marBottom w:val="0"/>
      <w:divBdr>
        <w:top w:val="none" w:sz="0" w:space="0" w:color="auto"/>
        <w:left w:val="none" w:sz="0" w:space="0" w:color="auto"/>
        <w:bottom w:val="none" w:sz="0" w:space="0" w:color="auto"/>
        <w:right w:val="none" w:sz="0" w:space="0" w:color="auto"/>
      </w:divBdr>
    </w:div>
    <w:div w:id="1618947533">
      <w:bodyDiv w:val="1"/>
      <w:marLeft w:val="0"/>
      <w:marRight w:val="0"/>
      <w:marTop w:val="0"/>
      <w:marBottom w:val="0"/>
      <w:divBdr>
        <w:top w:val="none" w:sz="0" w:space="0" w:color="auto"/>
        <w:left w:val="none" w:sz="0" w:space="0" w:color="auto"/>
        <w:bottom w:val="none" w:sz="0" w:space="0" w:color="auto"/>
        <w:right w:val="none" w:sz="0" w:space="0" w:color="auto"/>
      </w:divBdr>
    </w:div>
    <w:div w:id="1620339436">
      <w:bodyDiv w:val="1"/>
      <w:marLeft w:val="0"/>
      <w:marRight w:val="0"/>
      <w:marTop w:val="0"/>
      <w:marBottom w:val="0"/>
      <w:divBdr>
        <w:top w:val="none" w:sz="0" w:space="0" w:color="auto"/>
        <w:left w:val="none" w:sz="0" w:space="0" w:color="auto"/>
        <w:bottom w:val="none" w:sz="0" w:space="0" w:color="auto"/>
        <w:right w:val="none" w:sz="0" w:space="0" w:color="auto"/>
      </w:divBdr>
    </w:div>
    <w:div w:id="1620457652">
      <w:bodyDiv w:val="1"/>
      <w:marLeft w:val="0"/>
      <w:marRight w:val="0"/>
      <w:marTop w:val="0"/>
      <w:marBottom w:val="0"/>
      <w:divBdr>
        <w:top w:val="none" w:sz="0" w:space="0" w:color="auto"/>
        <w:left w:val="none" w:sz="0" w:space="0" w:color="auto"/>
        <w:bottom w:val="none" w:sz="0" w:space="0" w:color="auto"/>
        <w:right w:val="none" w:sz="0" w:space="0" w:color="auto"/>
      </w:divBdr>
    </w:div>
    <w:div w:id="1621955944">
      <w:bodyDiv w:val="1"/>
      <w:marLeft w:val="0"/>
      <w:marRight w:val="0"/>
      <w:marTop w:val="0"/>
      <w:marBottom w:val="0"/>
      <w:divBdr>
        <w:top w:val="none" w:sz="0" w:space="0" w:color="auto"/>
        <w:left w:val="none" w:sz="0" w:space="0" w:color="auto"/>
        <w:bottom w:val="none" w:sz="0" w:space="0" w:color="auto"/>
        <w:right w:val="none" w:sz="0" w:space="0" w:color="auto"/>
      </w:divBdr>
    </w:div>
    <w:div w:id="1621957687">
      <w:bodyDiv w:val="1"/>
      <w:marLeft w:val="0"/>
      <w:marRight w:val="0"/>
      <w:marTop w:val="0"/>
      <w:marBottom w:val="0"/>
      <w:divBdr>
        <w:top w:val="none" w:sz="0" w:space="0" w:color="auto"/>
        <w:left w:val="none" w:sz="0" w:space="0" w:color="auto"/>
        <w:bottom w:val="none" w:sz="0" w:space="0" w:color="auto"/>
        <w:right w:val="none" w:sz="0" w:space="0" w:color="auto"/>
      </w:divBdr>
    </w:div>
    <w:div w:id="1623464883">
      <w:bodyDiv w:val="1"/>
      <w:marLeft w:val="0"/>
      <w:marRight w:val="0"/>
      <w:marTop w:val="0"/>
      <w:marBottom w:val="0"/>
      <w:divBdr>
        <w:top w:val="none" w:sz="0" w:space="0" w:color="auto"/>
        <w:left w:val="none" w:sz="0" w:space="0" w:color="auto"/>
        <w:bottom w:val="none" w:sz="0" w:space="0" w:color="auto"/>
        <w:right w:val="none" w:sz="0" w:space="0" w:color="auto"/>
      </w:divBdr>
    </w:div>
    <w:div w:id="1623656323">
      <w:bodyDiv w:val="1"/>
      <w:marLeft w:val="0"/>
      <w:marRight w:val="0"/>
      <w:marTop w:val="0"/>
      <w:marBottom w:val="0"/>
      <w:divBdr>
        <w:top w:val="none" w:sz="0" w:space="0" w:color="auto"/>
        <w:left w:val="none" w:sz="0" w:space="0" w:color="auto"/>
        <w:bottom w:val="none" w:sz="0" w:space="0" w:color="auto"/>
        <w:right w:val="none" w:sz="0" w:space="0" w:color="auto"/>
      </w:divBdr>
    </w:div>
    <w:div w:id="1623726329">
      <w:bodyDiv w:val="1"/>
      <w:marLeft w:val="0"/>
      <w:marRight w:val="0"/>
      <w:marTop w:val="0"/>
      <w:marBottom w:val="0"/>
      <w:divBdr>
        <w:top w:val="none" w:sz="0" w:space="0" w:color="auto"/>
        <w:left w:val="none" w:sz="0" w:space="0" w:color="auto"/>
        <w:bottom w:val="none" w:sz="0" w:space="0" w:color="auto"/>
        <w:right w:val="none" w:sz="0" w:space="0" w:color="auto"/>
      </w:divBdr>
    </w:div>
    <w:div w:id="1624381871">
      <w:bodyDiv w:val="1"/>
      <w:marLeft w:val="0"/>
      <w:marRight w:val="0"/>
      <w:marTop w:val="0"/>
      <w:marBottom w:val="0"/>
      <w:divBdr>
        <w:top w:val="none" w:sz="0" w:space="0" w:color="auto"/>
        <w:left w:val="none" w:sz="0" w:space="0" w:color="auto"/>
        <w:bottom w:val="none" w:sz="0" w:space="0" w:color="auto"/>
        <w:right w:val="none" w:sz="0" w:space="0" w:color="auto"/>
      </w:divBdr>
    </w:div>
    <w:div w:id="1624460404">
      <w:bodyDiv w:val="1"/>
      <w:marLeft w:val="0"/>
      <w:marRight w:val="0"/>
      <w:marTop w:val="0"/>
      <w:marBottom w:val="0"/>
      <w:divBdr>
        <w:top w:val="none" w:sz="0" w:space="0" w:color="auto"/>
        <w:left w:val="none" w:sz="0" w:space="0" w:color="auto"/>
        <w:bottom w:val="none" w:sz="0" w:space="0" w:color="auto"/>
        <w:right w:val="none" w:sz="0" w:space="0" w:color="auto"/>
      </w:divBdr>
    </w:div>
    <w:div w:id="1624729356">
      <w:bodyDiv w:val="1"/>
      <w:marLeft w:val="0"/>
      <w:marRight w:val="0"/>
      <w:marTop w:val="0"/>
      <w:marBottom w:val="0"/>
      <w:divBdr>
        <w:top w:val="none" w:sz="0" w:space="0" w:color="auto"/>
        <w:left w:val="none" w:sz="0" w:space="0" w:color="auto"/>
        <w:bottom w:val="none" w:sz="0" w:space="0" w:color="auto"/>
        <w:right w:val="none" w:sz="0" w:space="0" w:color="auto"/>
      </w:divBdr>
    </w:div>
    <w:div w:id="1625576446">
      <w:bodyDiv w:val="1"/>
      <w:marLeft w:val="0"/>
      <w:marRight w:val="0"/>
      <w:marTop w:val="0"/>
      <w:marBottom w:val="0"/>
      <w:divBdr>
        <w:top w:val="none" w:sz="0" w:space="0" w:color="auto"/>
        <w:left w:val="none" w:sz="0" w:space="0" w:color="auto"/>
        <w:bottom w:val="none" w:sz="0" w:space="0" w:color="auto"/>
        <w:right w:val="none" w:sz="0" w:space="0" w:color="auto"/>
      </w:divBdr>
    </w:div>
    <w:div w:id="1625696390">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 w:id="1629432615">
      <w:bodyDiv w:val="1"/>
      <w:marLeft w:val="0"/>
      <w:marRight w:val="0"/>
      <w:marTop w:val="0"/>
      <w:marBottom w:val="0"/>
      <w:divBdr>
        <w:top w:val="none" w:sz="0" w:space="0" w:color="auto"/>
        <w:left w:val="none" w:sz="0" w:space="0" w:color="auto"/>
        <w:bottom w:val="none" w:sz="0" w:space="0" w:color="auto"/>
        <w:right w:val="none" w:sz="0" w:space="0" w:color="auto"/>
      </w:divBdr>
    </w:div>
    <w:div w:id="1633631831">
      <w:bodyDiv w:val="1"/>
      <w:marLeft w:val="0"/>
      <w:marRight w:val="0"/>
      <w:marTop w:val="0"/>
      <w:marBottom w:val="0"/>
      <w:divBdr>
        <w:top w:val="none" w:sz="0" w:space="0" w:color="auto"/>
        <w:left w:val="none" w:sz="0" w:space="0" w:color="auto"/>
        <w:bottom w:val="none" w:sz="0" w:space="0" w:color="auto"/>
        <w:right w:val="none" w:sz="0" w:space="0" w:color="auto"/>
      </w:divBdr>
    </w:div>
    <w:div w:id="1633900718">
      <w:bodyDiv w:val="1"/>
      <w:marLeft w:val="0"/>
      <w:marRight w:val="0"/>
      <w:marTop w:val="0"/>
      <w:marBottom w:val="0"/>
      <w:divBdr>
        <w:top w:val="none" w:sz="0" w:space="0" w:color="auto"/>
        <w:left w:val="none" w:sz="0" w:space="0" w:color="auto"/>
        <w:bottom w:val="none" w:sz="0" w:space="0" w:color="auto"/>
        <w:right w:val="none" w:sz="0" w:space="0" w:color="auto"/>
      </w:divBdr>
    </w:div>
    <w:div w:id="1634403041">
      <w:marLeft w:val="0"/>
      <w:marRight w:val="0"/>
      <w:marTop w:val="0"/>
      <w:marBottom w:val="0"/>
      <w:divBdr>
        <w:top w:val="none" w:sz="0" w:space="0" w:color="auto"/>
        <w:left w:val="none" w:sz="0" w:space="0" w:color="auto"/>
        <w:bottom w:val="none" w:sz="0" w:space="0" w:color="auto"/>
        <w:right w:val="none" w:sz="0" w:space="0" w:color="auto"/>
      </w:divBdr>
    </w:div>
    <w:div w:id="1634479880">
      <w:bodyDiv w:val="1"/>
      <w:marLeft w:val="0"/>
      <w:marRight w:val="0"/>
      <w:marTop w:val="0"/>
      <w:marBottom w:val="0"/>
      <w:divBdr>
        <w:top w:val="none" w:sz="0" w:space="0" w:color="auto"/>
        <w:left w:val="none" w:sz="0" w:space="0" w:color="auto"/>
        <w:bottom w:val="none" w:sz="0" w:space="0" w:color="auto"/>
        <w:right w:val="none" w:sz="0" w:space="0" w:color="auto"/>
      </w:divBdr>
    </w:div>
    <w:div w:id="1634825668">
      <w:bodyDiv w:val="1"/>
      <w:marLeft w:val="0"/>
      <w:marRight w:val="0"/>
      <w:marTop w:val="0"/>
      <w:marBottom w:val="0"/>
      <w:divBdr>
        <w:top w:val="none" w:sz="0" w:space="0" w:color="auto"/>
        <w:left w:val="none" w:sz="0" w:space="0" w:color="auto"/>
        <w:bottom w:val="none" w:sz="0" w:space="0" w:color="auto"/>
        <w:right w:val="none" w:sz="0" w:space="0" w:color="auto"/>
      </w:divBdr>
    </w:div>
    <w:div w:id="1635020167">
      <w:bodyDiv w:val="1"/>
      <w:marLeft w:val="0"/>
      <w:marRight w:val="0"/>
      <w:marTop w:val="0"/>
      <w:marBottom w:val="0"/>
      <w:divBdr>
        <w:top w:val="none" w:sz="0" w:space="0" w:color="auto"/>
        <w:left w:val="none" w:sz="0" w:space="0" w:color="auto"/>
        <w:bottom w:val="none" w:sz="0" w:space="0" w:color="auto"/>
        <w:right w:val="none" w:sz="0" w:space="0" w:color="auto"/>
      </w:divBdr>
    </w:div>
    <w:div w:id="1635063152">
      <w:bodyDiv w:val="1"/>
      <w:marLeft w:val="0"/>
      <w:marRight w:val="0"/>
      <w:marTop w:val="0"/>
      <w:marBottom w:val="0"/>
      <w:divBdr>
        <w:top w:val="none" w:sz="0" w:space="0" w:color="auto"/>
        <w:left w:val="none" w:sz="0" w:space="0" w:color="auto"/>
        <w:bottom w:val="none" w:sz="0" w:space="0" w:color="auto"/>
        <w:right w:val="none" w:sz="0" w:space="0" w:color="auto"/>
      </w:divBdr>
    </w:div>
    <w:div w:id="1641110475">
      <w:bodyDiv w:val="1"/>
      <w:marLeft w:val="0"/>
      <w:marRight w:val="0"/>
      <w:marTop w:val="0"/>
      <w:marBottom w:val="0"/>
      <w:divBdr>
        <w:top w:val="none" w:sz="0" w:space="0" w:color="auto"/>
        <w:left w:val="none" w:sz="0" w:space="0" w:color="auto"/>
        <w:bottom w:val="none" w:sz="0" w:space="0" w:color="auto"/>
        <w:right w:val="none" w:sz="0" w:space="0" w:color="auto"/>
      </w:divBdr>
    </w:div>
    <w:div w:id="1641424459">
      <w:bodyDiv w:val="1"/>
      <w:marLeft w:val="0"/>
      <w:marRight w:val="0"/>
      <w:marTop w:val="0"/>
      <w:marBottom w:val="0"/>
      <w:divBdr>
        <w:top w:val="none" w:sz="0" w:space="0" w:color="auto"/>
        <w:left w:val="none" w:sz="0" w:space="0" w:color="auto"/>
        <w:bottom w:val="none" w:sz="0" w:space="0" w:color="auto"/>
        <w:right w:val="none" w:sz="0" w:space="0" w:color="auto"/>
      </w:divBdr>
    </w:div>
    <w:div w:id="1642883700">
      <w:bodyDiv w:val="1"/>
      <w:marLeft w:val="0"/>
      <w:marRight w:val="0"/>
      <w:marTop w:val="0"/>
      <w:marBottom w:val="0"/>
      <w:divBdr>
        <w:top w:val="none" w:sz="0" w:space="0" w:color="auto"/>
        <w:left w:val="none" w:sz="0" w:space="0" w:color="auto"/>
        <w:bottom w:val="none" w:sz="0" w:space="0" w:color="auto"/>
        <w:right w:val="none" w:sz="0" w:space="0" w:color="auto"/>
      </w:divBdr>
    </w:div>
    <w:div w:id="1643077687">
      <w:bodyDiv w:val="1"/>
      <w:marLeft w:val="0"/>
      <w:marRight w:val="0"/>
      <w:marTop w:val="0"/>
      <w:marBottom w:val="0"/>
      <w:divBdr>
        <w:top w:val="none" w:sz="0" w:space="0" w:color="auto"/>
        <w:left w:val="none" w:sz="0" w:space="0" w:color="auto"/>
        <w:bottom w:val="none" w:sz="0" w:space="0" w:color="auto"/>
        <w:right w:val="none" w:sz="0" w:space="0" w:color="auto"/>
      </w:divBdr>
    </w:div>
    <w:div w:id="1644509156">
      <w:bodyDiv w:val="1"/>
      <w:marLeft w:val="0"/>
      <w:marRight w:val="0"/>
      <w:marTop w:val="0"/>
      <w:marBottom w:val="0"/>
      <w:divBdr>
        <w:top w:val="none" w:sz="0" w:space="0" w:color="auto"/>
        <w:left w:val="none" w:sz="0" w:space="0" w:color="auto"/>
        <w:bottom w:val="none" w:sz="0" w:space="0" w:color="auto"/>
        <w:right w:val="none" w:sz="0" w:space="0" w:color="auto"/>
      </w:divBdr>
    </w:div>
    <w:div w:id="1647276616">
      <w:bodyDiv w:val="1"/>
      <w:marLeft w:val="0"/>
      <w:marRight w:val="0"/>
      <w:marTop w:val="0"/>
      <w:marBottom w:val="0"/>
      <w:divBdr>
        <w:top w:val="none" w:sz="0" w:space="0" w:color="auto"/>
        <w:left w:val="none" w:sz="0" w:space="0" w:color="auto"/>
        <w:bottom w:val="none" w:sz="0" w:space="0" w:color="auto"/>
        <w:right w:val="none" w:sz="0" w:space="0" w:color="auto"/>
      </w:divBdr>
    </w:div>
    <w:div w:id="1647666635">
      <w:bodyDiv w:val="1"/>
      <w:marLeft w:val="0"/>
      <w:marRight w:val="0"/>
      <w:marTop w:val="0"/>
      <w:marBottom w:val="0"/>
      <w:divBdr>
        <w:top w:val="none" w:sz="0" w:space="0" w:color="auto"/>
        <w:left w:val="none" w:sz="0" w:space="0" w:color="auto"/>
        <w:bottom w:val="none" w:sz="0" w:space="0" w:color="auto"/>
        <w:right w:val="none" w:sz="0" w:space="0" w:color="auto"/>
      </w:divBdr>
    </w:div>
    <w:div w:id="1649286017">
      <w:bodyDiv w:val="1"/>
      <w:marLeft w:val="0"/>
      <w:marRight w:val="0"/>
      <w:marTop w:val="0"/>
      <w:marBottom w:val="0"/>
      <w:divBdr>
        <w:top w:val="none" w:sz="0" w:space="0" w:color="auto"/>
        <w:left w:val="none" w:sz="0" w:space="0" w:color="auto"/>
        <w:bottom w:val="none" w:sz="0" w:space="0" w:color="auto"/>
        <w:right w:val="none" w:sz="0" w:space="0" w:color="auto"/>
      </w:divBdr>
    </w:div>
    <w:div w:id="1650524276">
      <w:bodyDiv w:val="1"/>
      <w:marLeft w:val="0"/>
      <w:marRight w:val="0"/>
      <w:marTop w:val="0"/>
      <w:marBottom w:val="0"/>
      <w:divBdr>
        <w:top w:val="none" w:sz="0" w:space="0" w:color="auto"/>
        <w:left w:val="none" w:sz="0" w:space="0" w:color="auto"/>
        <w:bottom w:val="none" w:sz="0" w:space="0" w:color="auto"/>
        <w:right w:val="none" w:sz="0" w:space="0" w:color="auto"/>
      </w:divBdr>
    </w:div>
    <w:div w:id="1651665471">
      <w:bodyDiv w:val="1"/>
      <w:marLeft w:val="0"/>
      <w:marRight w:val="0"/>
      <w:marTop w:val="0"/>
      <w:marBottom w:val="0"/>
      <w:divBdr>
        <w:top w:val="none" w:sz="0" w:space="0" w:color="auto"/>
        <w:left w:val="none" w:sz="0" w:space="0" w:color="auto"/>
        <w:bottom w:val="none" w:sz="0" w:space="0" w:color="auto"/>
        <w:right w:val="none" w:sz="0" w:space="0" w:color="auto"/>
      </w:divBdr>
    </w:div>
    <w:div w:id="1654065481">
      <w:bodyDiv w:val="1"/>
      <w:marLeft w:val="0"/>
      <w:marRight w:val="0"/>
      <w:marTop w:val="0"/>
      <w:marBottom w:val="0"/>
      <w:divBdr>
        <w:top w:val="none" w:sz="0" w:space="0" w:color="auto"/>
        <w:left w:val="none" w:sz="0" w:space="0" w:color="auto"/>
        <w:bottom w:val="none" w:sz="0" w:space="0" w:color="auto"/>
        <w:right w:val="none" w:sz="0" w:space="0" w:color="auto"/>
      </w:divBdr>
    </w:div>
    <w:div w:id="1654601589">
      <w:bodyDiv w:val="1"/>
      <w:marLeft w:val="0"/>
      <w:marRight w:val="0"/>
      <w:marTop w:val="0"/>
      <w:marBottom w:val="0"/>
      <w:divBdr>
        <w:top w:val="none" w:sz="0" w:space="0" w:color="auto"/>
        <w:left w:val="none" w:sz="0" w:space="0" w:color="auto"/>
        <w:bottom w:val="none" w:sz="0" w:space="0" w:color="auto"/>
        <w:right w:val="none" w:sz="0" w:space="0" w:color="auto"/>
      </w:divBdr>
    </w:div>
    <w:div w:id="1655183962">
      <w:bodyDiv w:val="1"/>
      <w:marLeft w:val="0"/>
      <w:marRight w:val="0"/>
      <w:marTop w:val="0"/>
      <w:marBottom w:val="0"/>
      <w:divBdr>
        <w:top w:val="none" w:sz="0" w:space="0" w:color="auto"/>
        <w:left w:val="none" w:sz="0" w:space="0" w:color="auto"/>
        <w:bottom w:val="none" w:sz="0" w:space="0" w:color="auto"/>
        <w:right w:val="none" w:sz="0" w:space="0" w:color="auto"/>
      </w:divBdr>
    </w:div>
    <w:div w:id="1657027447">
      <w:bodyDiv w:val="1"/>
      <w:marLeft w:val="0"/>
      <w:marRight w:val="0"/>
      <w:marTop w:val="0"/>
      <w:marBottom w:val="0"/>
      <w:divBdr>
        <w:top w:val="none" w:sz="0" w:space="0" w:color="auto"/>
        <w:left w:val="none" w:sz="0" w:space="0" w:color="auto"/>
        <w:bottom w:val="none" w:sz="0" w:space="0" w:color="auto"/>
        <w:right w:val="none" w:sz="0" w:space="0" w:color="auto"/>
      </w:divBdr>
      <w:divsChild>
        <w:div w:id="182474280">
          <w:marLeft w:val="0"/>
          <w:marRight w:val="0"/>
          <w:marTop w:val="0"/>
          <w:marBottom w:val="0"/>
          <w:divBdr>
            <w:top w:val="none" w:sz="0" w:space="0" w:color="auto"/>
            <w:left w:val="none" w:sz="0" w:space="0" w:color="auto"/>
            <w:bottom w:val="none" w:sz="0" w:space="0" w:color="auto"/>
            <w:right w:val="none" w:sz="0" w:space="0" w:color="auto"/>
          </w:divBdr>
        </w:div>
        <w:div w:id="334919014">
          <w:marLeft w:val="0"/>
          <w:marRight w:val="0"/>
          <w:marTop w:val="0"/>
          <w:marBottom w:val="0"/>
          <w:divBdr>
            <w:top w:val="none" w:sz="0" w:space="0" w:color="auto"/>
            <w:left w:val="none" w:sz="0" w:space="0" w:color="auto"/>
            <w:bottom w:val="none" w:sz="0" w:space="0" w:color="auto"/>
            <w:right w:val="none" w:sz="0" w:space="0" w:color="auto"/>
          </w:divBdr>
        </w:div>
        <w:div w:id="514392364">
          <w:marLeft w:val="0"/>
          <w:marRight w:val="0"/>
          <w:marTop w:val="0"/>
          <w:marBottom w:val="0"/>
          <w:divBdr>
            <w:top w:val="none" w:sz="0" w:space="0" w:color="auto"/>
            <w:left w:val="none" w:sz="0" w:space="0" w:color="auto"/>
            <w:bottom w:val="none" w:sz="0" w:space="0" w:color="auto"/>
            <w:right w:val="none" w:sz="0" w:space="0" w:color="auto"/>
          </w:divBdr>
        </w:div>
        <w:div w:id="552736072">
          <w:marLeft w:val="0"/>
          <w:marRight w:val="0"/>
          <w:marTop w:val="0"/>
          <w:marBottom w:val="0"/>
          <w:divBdr>
            <w:top w:val="none" w:sz="0" w:space="0" w:color="auto"/>
            <w:left w:val="none" w:sz="0" w:space="0" w:color="auto"/>
            <w:bottom w:val="none" w:sz="0" w:space="0" w:color="auto"/>
            <w:right w:val="none" w:sz="0" w:space="0" w:color="auto"/>
          </w:divBdr>
        </w:div>
        <w:div w:id="657198925">
          <w:marLeft w:val="0"/>
          <w:marRight w:val="0"/>
          <w:marTop w:val="0"/>
          <w:marBottom w:val="0"/>
          <w:divBdr>
            <w:top w:val="none" w:sz="0" w:space="0" w:color="auto"/>
            <w:left w:val="none" w:sz="0" w:space="0" w:color="auto"/>
            <w:bottom w:val="none" w:sz="0" w:space="0" w:color="auto"/>
            <w:right w:val="none" w:sz="0" w:space="0" w:color="auto"/>
          </w:divBdr>
        </w:div>
        <w:div w:id="742720110">
          <w:marLeft w:val="0"/>
          <w:marRight w:val="0"/>
          <w:marTop w:val="0"/>
          <w:marBottom w:val="0"/>
          <w:divBdr>
            <w:top w:val="none" w:sz="0" w:space="0" w:color="auto"/>
            <w:left w:val="none" w:sz="0" w:space="0" w:color="auto"/>
            <w:bottom w:val="none" w:sz="0" w:space="0" w:color="auto"/>
            <w:right w:val="none" w:sz="0" w:space="0" w:color="auto"/>
          </w:divBdr>
        </w:div>
        <w:div w:id="850074127">
          <w:marLeft w:val="0"/>
          <w:marRight w:val="0"/>
          <w:marTop w:val="0"/>
          <w:marBottom w:val="0"/>
          <w:divBdr>
            <w:top w:val="none" w:sz="0" w:space="0" w:color="auto"/>
            <w:left w:val="none" w:sz="0" w:space="0" w:color="auto"/>
            <w:bottom w:val="none" w:sz="0" w:space="0" w:color="auto"/>
            <w:right w:val="none" w:sz="0" w:space="0" w:color="auto"/>
          </w:divBdr>
        </w:div>
        <w:div w:id="935017100">
          <w:marLeft w:val="0"/>
          <w:marRight w:val="0"/>
          <w:marTop w:val="0"/>
          <w:marBottom w:val="0"/>
          <w:divBdr>
            <w:top w:val="none" w:sz="0" w:space="0" w:color="auto"/>
            <w:left w:val="none" w:sz="0" w:space="0" w:color="auto"/>
            <w:bottom w:val="none" w:sz="0" w:space="0" w:color="auto"/>
            <w:right w:val="none" w:sz="0" w:space="0" w:color="auto"/>
          </w:divBdr>
        </w:div>
        <w:div w:id="995110643">
          <w:marLeft w:val="0"/>
          <w:marRight w:val="0"/>
          <w:marTop w:val="0"/>
          <w:marBottom w:val="0"/>
          <w:divBdr>
            <w:top w:val="none" w:sz="0" w:space="0" w:color="auto"/>
            <w:left w:val="none" w:sz="0" w:space="0" w:color="auto"/>
            <w:bottom w:val="none" w:sz="0" w:space="0" w:color="auto"/>
            <w:right w:val="none" w:sz="0" w:space="0" w:color="auto"/>
          </w:divBdr>
        </w:div>
        <w:div w:id="1155491943">
          <w:marLeft w:val="0"/>
          <w:marRight w:val="0"/>
          <w:marTop w:val="0"/>
          <w:marBottom w:val="0"/>
          <w:divBdr>
            <w:top w:val="none" w:sz="0" w:space="0" w:color="auto"/>
            <w:left w:val="none" w:sz="0" w:space="0" w:color="auto"/>
            <w:bottom w:val="none" w:sz="0" w:space="0" w:color="auto"/>
            <w:right w:val="none" w:sz="0" w:space="0" w:color="auto"/>
          </w:divBdr>
        </w:div>
        <w:div w:id="1366562322">
          <w:marLeft w:val="0"/>
          <w:marRight w:val="0"/>
          <w:marTop w:val="0"/>
          <w:marBottom w:val="0"/>
          <w:divBdr>
            <w:top w:val="none" w:sz="0" w:space="0" w:color="auto"/>
            <w:left w:val="none" w:sz="0" w:space="0" w:color="auto"/>
            <w:bottom w:val="none" w:sz="0" w:space="0" w:color="auto"/>
            <w:right w:val="none" w:sz="0" w:space="0" w:color="auto"/>
          </w:divBdr>
        </w:div>
        <w:div w:id="1797288554">
          <w:marLeft w:val="0"/>
          <w:marRight w:val="0"/>
          <w:marTop w:val="0"/>
          <w:marBottom w:val="0"/>
          <w:divBdr>
            <w:top w:val="none" w:sz="0" w:space="0" w:color="auto"/>
            <w:left w:val="none" w:sz="0" w:space="0" w:color="auto"/>
            <w:bottom w:val="none" w:sz="0" w:space="0" w:color="auto"/>
            <w:right w:val="none" w:sz="0" w:space="0" w:color="auto"/>
          </w:divBdr>
        </w:div>
        <w:div w:id="1865901811">
          <w:marLeft w:val="0"/>
          <w:marRight w:val="0"/>
          <w:marTop w:val="0"/>
          <w:marBottom w:val="0"/>
          <w:divBdr>
            <w:top w:val="none" w:sz="0" w:space="0" w:color="auto"/>
            <w:left w:val="none" w:sz="0" w:space="0" w:color="auto"/>
            <w:bottom w:val="none" w:sz="0" w:space="0" w:color="auto"/>
            <w:right w:val="none" w:sz="0" w:space="0" w:color="auto"/>
          </w:divBdr>
        </w:div>
        <w:div w:id="1926187465">
          <w:marLeft w:val="0"/>
          <w:marRight w:val="0"/>
          <w:marTop w:val="0"/>
          <w:marBottom w:val="0"/>
          <w:divBdr>
            <w:top w:val="none" w:sz="0" w:space="0" w:color="auto"/>
            <w:left w:val="none" w:sz="0" w:space="0" w:color="auto"/>
            <w:bottom w:val="none" w:sz="0" w:space="0" w:color="auto"/>
            <w:right w:val="none" w:sz="0" w:space="0" w:color="auto"/>
          </w:divBdr>
        </w:div>
        <w:div w:id="2037807056">
          <w:marLeft w:val="0"/>
          <w:marRight w:val="0"/>
          <w:marTop w:val="0"/>
          <w:marBottom w:val="0"/>
          <w:divBdr>
            <w:top w:val="none" w:sz="0" w:space="0" w:color="auto"/>
            <w:left w:val="none" w:sz="0" w:space="0" w:color="auto"/>
            <w:bottom w:val="none" w:sz="0" w:space="0" w:color="auto"/>
            <w:right w:val="none" w:sz="0" w:space="0" w:color="auto"/>
          </w:divBdr>
        </w:div>
      </w:divsChild>
    </w:div>
    <w:div w:id="1657147694">
      <w:bodyDiv w:val="1"/>
      <w:marLeft w:val="0"/>
      <w:marRight w:val="0"/>
      <w:marTop w:val="0"/>
      <w:marBottom w:val="0"/>
      <w:divBdr>
        <w:top w:val="none" w:sz="0" w:space="0" w:color="auto"/>
        <w:left w:val="none" w:sz="0" w:space="0" w:color="auto"/>
        <w:bottom w:val="none" w:sz="0" w:space="0" w:color="auto"/>
        <w:right w:val="none" w:sz="0" w:space="0" w:color="auto"/>
      </w:divBdr>
    </w:div>
    <w:div w:id="1658000228">
      <w:bodyDiv w:val="1"/>
      <w:marLeft w:val="0"/>
      <w:marRight w:val="0"/>
      <w:marTop w:val="0"/>
      <w:marBottom w:val="0"/>
      <w:divBdr>
        <w:top w:val="none" w:sz="0" w:space="0" w:color="auto"/>
        <w:left w:val="none" w:sz="0" w:space="0" w:color="auto"/>
        <w:bottom w:val="none" w:sz="0" w:space="0" w:color="auto"/>
        <w:right w:val="none" w:sz="0" w:space="0" w:color="auto"/>
      </w:divBdr>
    </w:div>
    <w:div w:id="1658532569">
      <w:bodyDiv w:val="1"/>
      <w:marLeft w:val="0"/>
      <w:marRight w:val="0"/>
      <w:marTop w:val="0"/>
      <w:marBottom w:val="0"/>
      <w:divBdr>
        <w:top w:val="none" w:sz="0" w:space="0" w:color="auto"/>
        <w:left w:val="none" w:sz="0" w:space="0" w:color="auto"/>
        <w:bottom w:val="none" w:sz="0" w:space="0" w:color="auto"/>
        <w:right w:val="none" w:sz="0" w:space="0" w:color="auto"/>
      </w:divBdr>
    </w:div>
    <w:div w:id="1658849611">
      <w:bodyDiv w:val="1"/>
      <w:marLeft w:val="0"/>
      <w:marRight w:val="0"/>
      <w:marTop w:val="0"/>
      <w:marBottom w:val="0"/>
      <w:divBdr>
        <w:top w:val="none" w:sz="0" w:space="0" w:color="auto"/>
        <w:left w:val="none" w:sz="0" w:space="0" w:color="auto"/>
        <w:bottom w:val="none" w:sz="0" w:space="0" w:color="auto"/>
        <w:right w:val="none" w:sz="0" w:space="0" w:color="auto"/>
      </w:divBdr>
    </w:div>
    <w:div w:id="1659723930">
      <w:bodyDiv w:val="1"/>
      <w:marLeft w:val="0"/>
      <w:marRight w:val="0"/>
      <w:marTop w:val="0"/>
      <w:marBottom w:val="0"/>
      <w:divBdr>
        <w:top w:val="none" w:sz="0" w:space="0" w:color="auto"/>
        <w:left w:val="none" w:sz="0" w:space="0" w:color="auto"/>
        <w:bottom w:val="none" w:sz="0" w:space="0" w:color="auto"/>
        <w:right w:val="none" w:sz="0" w:space="0" w:color="auto"/>
      </w:divBdr>
    </w:div>
    <w:div w:id="1662272353">
      <w:bodyDiv w:val="1"/>
      <w:marLeft w:val="0"/>
      <w:marRight w:val="0"/>
      <w:marTop w:val="0"/>
      <w:marBottom w:val="0"/>
      <w:divBdr>
        <w:top w:val="none" w:sz="0" w:space="0" w:color="auto"/>
        <w:left w:val="none" w:sz="0" w:space="0" w:color="auto"/>
        <w:bottom w:val="none" w:sz="0" w:space="0" w:color="auto"/>
        <w:right w:val="none" w:sz="0" w:space="0" w:color="auto"/>
      </w:divBdr>
    </w:div>
    <w:div w:id="1662276412">
      <w:bodyDiv w:val="1"/>
      <w:marLeft w:val="0"/>
      <w:marRight w:val="0"/>
      <w:marTop w:val="0"/>
      <w:marBottom w:val="0"/>
      <w:divBdr>
        <w:top w:val="none" w:sz="0" w:space="0" w:color="auto"/>
        <w:left w:val="none" w:sz="0" w:space="0" w:color="auto"/>
        <w:bottom w:val="none" w:sz="0" w:space="0" w:color="auto"/>
        <w:right w:val="none" w:sz="0" w:space="0" w:color="auto"/>
      </w:divBdr>
    </w:div>
    <w:div w:id="1662468795">
      <w:bodyDiv w:val="1"/>
      <w:marLeft w:val="0"/>
      <w:marRight w:val="0"/>
      <w:marTop w:val="0"/>
      <w:marBottom w:val="0"/>
      <w:divBdr>
        <w:top w:val="none" w:sz="0" w:space="0" w:color="auto"/>
        <w:left w:val="none" w:sz="0" w:space="0" w:color="auto"/>
        <w:bottom w:val="none" w:sz="0" w:space="0" w:color="auto"/>
        <w:right w:val="none" w:sz="0" w:space="0" w:color="auto"/>
      </w:divBdr>
    </w:div>
    <w:div w:id="1663774727">
      <w:bodyDiv w:val="1"/>
      <w:marLeft w:val="0"/>
      <w:marRight w:val="0"/>
      <w:marTop w:val="0"/>
      <w:marBottom w:val="0"/>
      <w:divBdr>
        <w:top w:val="none" w:sz="0" w:space="0" w:color="auto"/>
        <w:left w:val="none" w:sz="0" w:space="0" w:color="auto"/>
        <w:bottom w:val="none" w:sz="0" w:space="0" w:color="auto"/>
        <w:right w:val="none" w:sz="0" w:space="0" w:color="auto"/>
      </w:divBdr>
    </w:div>
    <w:div w:id="1664695299">
      <w:bodyDiv w:val="1"/>
      <w:marLeft w:val="0"/>
      <w:marRight w:val="0"/>
      <w:marTop w:val="0"/>
      <w:marBottom w:val="0"/>
      <w:divBdr>
        <w:top w:val="none" w:sz="0" w:space="0" w:color="auto"/>
        <w:left w:val="none" w:sz="0" w:space="0" w:color="auto"/>
        <w:bottom w:val="none" w:sz="0" w:space="0" w:color="auto"/>
        <w:right w:val="none" w:sz="0" w:space="0" w:color="auto"/>
      </w:divBdr>
    </w:div>
    <w:div w:id="1665550182">
      <w:bodyDiv w:val="1"/>
      <w:marLeft w:val="0"/>
      <w:marRight w:val="0"/>
      <w:marTop w:val="0"/>
      <w:marBottom w:val="0"/>
      <w:divBdr>
        <w:top w:val="none" w:sz="0" w:space="0" w:color="auto"/>
        <w:left w:val="none" w:sz="0" w:space="0" w:color="auto"/>
        <w:bottom w:val="none" w:sz="0" w:space="0" w:color="auto"/>
        <w:right w:val="none" w:sz="0" w:space="0" w:color="auto"/>
      </w:divBdr>
    </w:div>
    <w:div w:id="1665934666">
      <w:bodyDiv w:val="1"/>
      <w:marLeft w:val="0"/>
      <w:marRight w:val="0"/>
      <w:marTop w:val="0"/>
      <w:marBottom w:val="0"/>
      <w:divBdr>
        <w:top w:val="none" w:sz="0" w:space="0" w:color="auto"/>
        <w:left w:val="none" w:sz="0" w:space="0" w:color="auto"/>
        <w:bottom w:val="none" w:sz="0" w:space="0" w:color="auto"/>
        <w:right w:val="none" w:sz="0" w:space="0" w:color="auto"/>
      </w:divBdr>
    </w:div>
    <w:div w:id="1666518644">
      <w:bodyDiv w:val="1"/>
      <w:marLeft w:val="0"/>
      <w:marRight w:val="0"/>
      <w:marTop w:val="0"/>
      <w:marBottom w:val="0"/>
      <w:divBdr>
        <w:top w:val="none" w:sz="0" w:space="0" w:color="auto"/>
        <w:left w:val="none" w:sz="0" w:space="0" w:color="auto"/>
        <w:bottom w:val="none" w:sz="0" w:space="0" w:color="auto"/>
        <w:right w:val="none" w:sz="0" w:space="0" w:color="auto"/>
      </w:divBdr>
    </w:div>
    <w:div w:id="1666936850">
      <w:bodyDiv w:val="1"/>
      <w:marLeft w:val="0"/>
      <w:marRight w:val="0"/>
      <w:marTop w:val="0"/>
      <w:marBottom w:val="0"/>
      <w:divBdr>
        <w:top w:val="none" w:sz="0" w:space="0" w:color="auto"/>
        <w:left w:val="none" w:sz="0" w:space="0" w:color="auto"/>
        <w:bottom w:val="none" w:sz="0" w:space="0" w:color="auto"/>
        <w:right w:val="none" w:sz="0" w:space="0" w:color="auto"/>
      </w:divBdr>
    </w:div>
    <w:div w:id="1666975327">
      <w:bodyDiv w:val="1"/>
      <w:marLeft w:val="0"/>
      <w:marRight w:val="0"/>
      <w:marTop w:val="0"/>
      <w:marBottom w:val="0"/>
      <w:divBdr>
        <w:top w:val="none" w:sz="0" w:space="0" w:color="auto"/>
        <w:left w:val="none" w:sz="0" w:space="0" w:color="auto"/>
        <w:bottom w:val="none" w:sz="0" w:space="0" w:color="auto"/>
        <w:right w:val="none" w:sz="0" w:space="0" w:color="auto"/>
      </w:divBdr>
    </w:div>
    <w:div w:id="1667979930">
      <w:bodyDiv w:val="1"/>
      <w:marLeft w:val="0"/>
      <w:marRight w:val="0"/>
      <w:marTop w:val="0"/>
      <w:marBottom w:val="0"/>
      <w:divBdr>
        <w:top w:val="none" w:sz="0" w:space="0" w:color="auto"/>
        <w:left w:val="none" w:sz="0" w:space="0" w:color="auto"/>
        <w:bottom w:val="none" w:sz="0" w:space="0" w:color="auto"/>
        <w:right w:val="none" w:sz="0" w:space="0" w:color="auto"/>
      </w:divBdr>
    </w:div>
    <w:div w:id="1668096016">
      <w:bodyDiv w:val="1"/>
      <w:marLeft w:val="0"/>
      <w:marRight w:val="0"/>
      <w:marTop w:val="0"/>
      <w:marBottom w:val="0"/>
      <w:divBdr>
        <w:top w:val="none" w:sz="0" w:space="0" w:color="auto"/>
        <w:left w:val="none" w:sz="0" w:space="0" w:color="auto"/>
        <w:bottom w:val="none" w:sz="0" w:space="0" w:color="auto"/>
        <w:right w:val="none" w:sz="0" w:space="0" w:color="auto"/>
      </w:divBdr>
    </w:div>
    <w:div w:id="1669361857">
      <w:bodyDiv w:val="1"/>
      <w:marLeft w:val="0"/>
      <w:marRight w:val="0"/>
      <w:marTop w:val="0"/>
      <w:marBottom w:val="0"/>
      <w:divBdr>
        <w:top w:val="none" w:sz="0" w:space="0" w:color="auto"/>
        <w:left w:val="none" w:sz="0" w:space="0" w:color="auto"/>
        <w:bottom w:val="none" w:sz="0" w:space="0" w:color="auto"/>
        <w:right w:val="none" w:sz="0" w:space="0" w:color="auto"/>
      </w:divBdr>
    </w:div>
    <w:div w:id="1669476676">
      <w:bodyDiv w:val="1"/>
      <w:marLeft w:val="0"/>
      <w:marRight w:val="0"/>
      <w:marTop w:val="0"/>
      <w:marBottom w:val="0"/>
      <w:divBdr>
        <w:top w:val="none" w:sz="0" w:space="0" w:color="auto"/>
        <w:left w:val="none" w:sz="0" w:space="0" w:color="auto"/>
        <w:bottom w:val="none" w:sz="0" w:space="0" w:color="auto"/>
        <w:right w:val="none" w:sz="0" w:space="0" w:color="auto"/>
      </w:divBdr>
    </w:div>
    <w:div w:id="1671592022">
      <w:bodyDiv w:val="1"/>
      <w:marLeft w:val="0"/>
      <w:marRight w:val="0"/>
      <w:marTop w:val="0"/>
      <w:marBottom w:val="0"/>
      <w:divBdr>
        <w:top w:val="none" w:sz="0" w:space="0" w:color="auto"/>
        <w:left w:val="none" w:sz="0" w:space="0" w:color="auto"/>
        <w:bottom w:val="none" w:sz="0" w:space="0" w:color="auto"/>
        <w:right w:val="none" w:sz="0" w:space="0" w:color="auto"/>
      </w:divBdr>
    </w:div>
    <w:div w:id="1672640442">
      <w:bodyDiv w:val="1"/>
      <w:marLeft w:val="0"/>
      <w:marRight w:val="0"/>
      <w:marTop w:val="0"/>
      <w:marBottom w:val="0"/>
      <w:divBdr>
        <w:top w:val="none" w:sz="0" w:space="0" w:color="auto"/>
        <w:left w:val="none" w:sz="0" w:space="0" w:color="auto"/>
        <w:bottom w:val="none" w:sz="0" w:space="0" w:color="auto"/>
        <w:right w:val="none" w:sz="0" w:space="0" w:color="auto"/>
      </w:divBdr>
    </w:div>
    <w:div w:id="1672827230">
      <w:bodyDiv w:val="1"/>
      <w:marLeft w:val="0"/>
      <w:marRight w:val="0"/>
      <w:marTop w:val="0"/>
      <w:marBottom w:val="0"/>
      <w:divBdr>
        <w:top w:val="none" w:sz="0" w:space="0" w:color="auto"/>
        <w:left w:val="none" w:sz="0" w:space="0" w:color="auto"/>
        <w:bottom w:val="none" w:sz="0" w:space="0" w:color="auto"/>
        <w:right w:val="none" w:sz="0" w:space="0" w:color="auto"/>
      </w:divBdr>
    </w:div>
    <w:div w:id="1673147046">
      <w:bodyDiv w:val="1"/>
      <w:marLeft w:val="0"/>
      <w:marRight w:val="0"/>
      <w:marTop w:val="0"/>
      <w:marBottom w:val="0"/>
      <w:divBdr>
        <w:top w:val="none" w:sz="0" w:space="0" w:color="auto"/>
        <w:left w:val="none" w:sz="0" w:space="0" w:color="auto"/>
        <w:bottom w:val="none" w:sz="0" w:space="0" w:color="auto"/>
        <w:right w:val="none" w:sz="0" w:space="0" w:color="auto"/>
      </w:divBdr>
    </w:div>
    <w:div w:id="1674838742">
      <w:bodyDiv w:val="1"/>
      <w:marLeft w:val="0"/>
      <w:marRight w:val="0"/>
      <w:marTop w:val="0"/>
      <w:marBottom w:val="0"/>
      <w:divBdr>
        <w:top w:val="none" w:sz="0" w:space="0" w:color="auto"/>
        <w:left w:val="none" w:sz="0" w:space="0" w:color="auto"/>
        <w:bottom w:val="none" w:sz="0" w:space="0" w:color="auto"/>
        <w:right w:val="none" w:sz="0" w:space="0" w:color="auto"/>
      </w:divBdr>
    </w:div>
    <w:div w:id="1676878303">
      <w:bodyDiv w:val="1"/>
      <w:marLeft w:val="0"/>
      <w:marRight w:val="0"/>
      <w:marTop w:val="0"/>
      <w:marBottom w:val="0"/>
      <w:divBdr>
        <w:top w:val="none" w:sz="0" w:space="0" w:color="auto"/>
        <w:left w:val="none" w:sz="0" w:space="0" w:color="auto"/>
        <w:bottom w:val="none" w:sz="0" w:space="0" w:color="auto"/>
        <w:right w:val="none" w:sz="0" w:space="0" w:color="auto"/>
      </w:divBdr>
    </w:div>
    <w:div w:id="1677002818">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79311722">
      <w:bodyDiv w:val="1"/>
      <w:marLeft w:val="0"/>
      <w:marRight w:val="0"/>
      <w:marTop w:val="0"/>
      <w:marBottom w:val="0"/>
      <w:divBdr>
        <w:top w:val="none" w:sz="0" w:space="0" w:color="auto"/>
        <w:left w:val="none" w:sz="0" w:space="0" w:color="auto"/>
        <w:bottom w:val="none" w:sz="0" w:space="0" w:color="auto"/>
        <w:right w:val="none" w:sz="0" w:space="0" w:color="auto"/>
      </w:divBdr>
    </w:div>
    <w:div w:id="1680428699">
      <w:bodyDiv w:val="1"/>
      <w:marLeft w:val="0"/>
      <w:marRight w:val="0"/>
      <w:marTop w:val="0"/>
      <w:marBottom w:val="0"/>
      <w:divBdr>
        <w:top w:val="none" w:sz="0" w:space="0" w:color="auto"/>
        <w:left w:val="none" w:sz="0" w:space="0" w:color="auto"/>
        <w:bottom w:val="none" w:sz="0" w:space="0" w:color="auto"/>
        <w:right w:val="none" w:sz="0" w:space="0" w:color="auto"/>
      </w:divBdr>
    </w:div>
    <w:div w:id="1680817383">
      <w:bodyDiv w:val="1"/>
      <w:marLeft w:val="0"/>
      <w:marRight w:val="0"/>
      <w:marTop w:val="0"/>
      <w:marBottom w:val="0"/>
      <w:divBdr>
        <w:top w:val="none" w:sz="0" w:space="0" w:color="auto"/>
        <w:left w:val="none" w:sz="0" w:space="0" w:color="auto"/>
        <w:bottom w:val="none" w:sz="0" w:space="0" w:color="auto"/>
        <w:right w:val="none" w:sz="0" w:space="0" w:color="auto"/>
      </w:divBdr>
    </w:div>
    <w:div w:id="1681200754">
      <w:bodyDiv w:val="1"/>
      <w:marLeft w:val="0"/>
      <w:marRight w:val="0"/>
      <w:marTop w:val="0"/>
      <w:marBottom w:val="0"/>
      <w:divBdr>
        <w:top w:val="none" w:sz="0" w:space="0" w:color="auto"/>
        <w:left w:val="none" w:sz="0" w:space="0" w:color="auto"/>
        <w:bottom w:val="none" w:sz="0" w:space="0" w:color="auto"/>
        <w:right w:val="none" w:sz="0" w:space="0" w:color="auto"/>
      </w:divBdr>
    </w:div>
    <w:div w:id="1681808242">
      <w:bodyDiv w:val="1"/>
      <w:marLeft w:val="0"/>
      <w:marRight w:val="0"/>
      <w:marTop w:val="0"/>
      <w:marBottom w:val="0"/>
      <w:divBdr>
        <w:top w:val="none" w:sz="0" w:space="0" w:color="auto"/>
        <w:left w:val="none" w:sz="0" w:space="0" w:color="auto"/>
        <w:bottom w:val="none" w:sz="0" w:space="0" w:color="auto"/>
        <w:right w:val="none" w:sz="0" w:space="0" w:color="auto"/>
      </w:divBdr>
    </w:div>
    <w:div w:id="1682466276">
      <w:bodyDiv w:val="1"/>
      <w:marLeft w:val="0"/>
      <w:marRight w:val="0"/>
      <w:marTop w:val="0"/>
      <w:marBottom w:val="0"/>
      <w:divBdr>
        <w:top w:val="none" w:sz="0" w:space="0" w:color="auto"/>
        <w:left w:val="none" w:sz="0" w:space="0" w:color="auto"/>
        <w:bottom w:val="none" w:sz="0" w:space="0" w:color="auto"/>
        <w:right w:val="none" w:sz="0" w:space="0" w:color="auto"/>
      </w:divBdr>
    </w:div>
    <w:div w:id="1684624045">
      <w:bodyDiv w:val="1"/>
      <w:marLeft w:val="0"/>
      <w:marRight w:val="0"/>
      <w:marTop w:val="0"/>
      <w:marBottom w:val="0"/>
      <w:divBdr>
        <w:top w:val="none" w:sz="0" w:space="0" w:color="auto"/>
        <w:left w:val="none" w:sz="0" w:space="0" w:color="auto"/>
        <w:bottom w:val="none" w:sz="0" w:space="0" w:color="auto"/>
        <w:right w:val="none" w:sz="0" w:space="0" w:color="auto"/>
      </w:divBdr>
    </w:div>
    <w:div w:id="1685932615">
      <w:bodyDiv w:val="1"/>
      <w:marLeft w:val="0"/>
      <w:marRight w:val="0"/>
      <w:marTop w:val="0"/>
      <w:marBottom w:val="0"/>
      <w:divBdr>
        <w:top w:val="none" w:sz="0" w:space="0" w:color="auto"/>
        <w:left w:val="none" w:sz="0" w:space="0" w:color="auto"/>
        <w:bottom w:val="none" w:sz="0" w:space="0" w:color="auto"/>
        <w:right w:val="none" w:sz="0" w:space="0" w:color="auto"/>
      </w:divBdr>
    </w:div>
    <w:div w:id="1686326685">
      <w:bodyDiv w:val="1"/>
      <w:marLeft w:val="0"/>
      <w:marRight w:val="0"/>
      <w:marTop w:val="0"/>
      <w:marBottom w:val="0"/>
      <w:divBdr>
        <w:top w:val="none" w:sz="0" w:space="0" w:color="auto"/>
        <w:left w:val="none" w:sz="0" w:space="0" w:color="auto"/>
        <w:bottom w:val="none" w:sz="0" w:space="0" w:color="auto"/>
        <w:right w:val="none" w:sz="0" w:space="0" w:color="auto"/>
      </w:divBdr>
    </w:div>
    <w:div w:id="1686439941">
      <w:bodyDiv w:val="1"/>
      <w:marLeft w:val="0"/>
      <w:marRight w:val="0"/>
      <w:marTop w:val="0"/>
      <w:marBottom w:val="0"/>
      <w:divBdr>
        <w:top w:val="none" w:sz="0" w:space="0" w:color="auto"/>
        <w:left w:val="none" w:sz="0" w:space="0" w:color="auto"/>
        <w:bottom w:val="none" w:sz="0" w:space="0" w:color="auto"/>
        <w:right w:val="none" w:sz="0" w:space="0" w:color="auto"/>
      </w:divBdr>
    </w:div>
    <w:div w:id="1686900815">
      <w:bodyDiv w:val="1"/>
      <w:marLeft w:val="0"/>
      <w:marRight w:val="0"/>
      <w:marTop w:val="0"/>
      <w:marBottom w:val="0"/>
      <w:divBdr>
        <w:top w:val="none" w:sz="0" w:space="0" w:color="auto"/>
        <w:left w:val="none" w:sz="0" w:space="0" w:color="auto"/>
        <w:bottom w:val="none" w:sz="0" w:space="0" w:color="auto"/>
        <w:right w:val="none" w:sz="0" w:space="0" w:color="auto"/>
      </w:divBdr>
    </w:div>
    <w:div w:id="1687168257">
      <w:bodyDiv w:val="1"/>
      <w:marLeft w:val="0"/>
      <w:marRight w:val="0"/>
      <w:marTop w:val="0"/>
      <w:marBottom w:val="0"/>
      <w:divBdr>
        <w:top w:val="none" w:sz="0" w:space="0" w:color="auto"/>
        <w:left w:val="none" w:sz="0" w:space="0" w:color="auto"/>
        <w:bottom w:val="none" w:sz="0" w:space="0" w:color="auto"/>
        <w:right w:val="none" w:sz="0" w:space="0" w:color="auto"/>
      </w:divBdr>
    </w:div>
    <w:div w:id="1687554990">
      <w:bodyDiv w:val="1"/>
      <w:marLeft w:val="0"/>
      <w:marRight w:val="0"/>
      <w:marTop w:val="0"/>
      <w:marBottom w:val="0"/>
      <w:divBdr>
        <w:top w:val="none" w:sz="0" w:space="0" w:color="auto"/>
        <w:left w:val="none" w:sz="0" w:space="0" w:color="auto"/>
        <w:bottom w:val="none" w:sz="0" w:space="0" w:color="auto"/>
        <w:right w:val="none" w:sz="0" w:space="0" w:color="auto"/>
      </w:divBdr>
    </w:div>
    <w:div w:id="1687948152">
      <w:bodyDiv w:val="1"/>
      <w:marLeft w:val="0"/>
      <w:marRight w:val="0"/>
      <w:marTop w:val="0"/>
      <w:marBottom w:val="0"/>
      <w:divBdr>
        <w:top w:val="none" w:sz="0" w:space="0" w:color="auto"/>
        <w:left w:val="none" w:sz="0" w:space="0" w:color="auto"/>
        <w:bottom w:val="none" w:sz="0" w:space="0" w:color="auto"/>
        <w:right w:val="none" w:sz="0" w:space="0" w:color="auto"/>
      </w:divBdr>
    </w:div>
    <w:div w:id="1688361232">
      <w:bodyDiv w:val="1"/>
      <w:marLeft w:val="0"/>
      <w:marRight w:val="0"/>
      <w:marTop w:val="0"/>
      <w:marBottom w:val="0"/>
      <w:divBdr>
        <w:top w:val="none" w:sz="0" w:space="0" w:color="auto"/>
        <w:left w:val="none" w:sz="0" w:space="0" w:color="auto"/>
        <w:bottom w:val="none" w:sz="0" w:space="0" w:color="auto"/>
        <w:right w:val="none" w:sz="0" w:space="0" w:color="auto"/>
      </w:divBdr>
    </w:div>
    <w:div w:id="1689216910">
      <w:bodyDiv w:val="1"/>
      <w:marLeft w:val="0"/>
      <w:marRight w:val="0"/>
      <w:marTop w:val="0"/>
      <w:marBottom w:val="0"/>
      <w:divBdr>
        <w:top w:val="none" w:sz="0" w:space="0" w:color="auto"/>
        <w:left w:val="none" w:sz="0" w:space="0" w:color="auto"/>
        <w:bottom w:val="none" w:sz="0" w:space="0" w:color="auto"/>
        <w:right w:val="none" w:sz="0" w:space="0" w:color="auto"/>
      </w:divBdr>
    </w:div>
    <w:div w:id="1690138459">
      <w:bodyDiv w:val="1"/>
      <w:marLeft w:val="0"/>
      <w:marRight w:val="0"/>
      <w:marTop w:val="0"/>
      <w:marBottom w:val="0"/>
      <w:divBdr>
        <w:top w:val="none" w:sz="0" w:space="0" w:color="auto"/>
        <w:left w:val="none" w:sz="0" w:space="0" w:color="auto"/>
        <w:bottom w:val="none" w:sz="0" w:space="0" w:color="auto"/>
        <w:right w:val="none" w:sz="0" w:space="0" w:color="auto"/>
      </w:divBdr>
    </w:div>
    <w:div w:id="1690256357">
      <w:bodyDiv w:val="1"/>
      <w:marLeft w:val="0"/>
      <w:marRight w:val="0"/>
      <w:marTop w:val="0"/>
      <w:marBottom w:val="0"/>
      <w:divBdr>
        <w:top w:val="none" w:sz="0" w:space="0" w:color="auto"/>
        <w:left w:val="none" w:sz="0" w:space="0" w:color="auto"/>
        <w:bottom w:val="none" w:sz="0" w:space="0" w:color="auto"/>
        <w:right w:val="none" w:sz="0" w:space="0" w:color="auto"/>
      </w:divBdr>
    </w:div>
    <w:div w:id="1691373060">
      <w:bodyDiv w:val="1"/>
      <w:marLeft w:val="0"/>
      <w:marRight w:val="0"/>
      <w:marTop w:val="0"/>
      <w:marBottom w:val="0"/>
      <w:divBdr>
        <w:top w:val="none" w:sz="0" w:space="0" w:color="auto"/>
        <w:left w:val="none" w:sz="0" w:space="0" w:color="auto"/>
        <w:bottom w:val="none" w:sz="0" w:space="0" w:color="auto"/>
        <w:right w:val="none" w:sz="0" w:space="0" w:color="auto"/>
      </w:divBdr>
    </w:div>
    <w:div w:id="1696033968">
      <w:bodyDiv w:val="1"/>
      <w:marLeft w:val="0"/>
      <w:marRight w:val="0"/>
      <w:marTop w:val="0"/>
      <w:marBottom w:val="0"/>
      <w:divBdr>
        <w:top w:val="none" w:sz="0" w:space="0" w:color="auto"/>
        <w:left w:val="none" w:sz="0" w:space="0" w:color="auto"/>
        <w:bottom w:val="none" w:sz="0" w:space="0" w:color="auto"/>
        <w:right w:val="none" w:sz="0" w:space="0" w:color="auto"/>
      </w:divBdr>
    </w:div>
    <w:div w:id="1696728250">
      <w:bodyDiv w:val="1"/>
      <w:marLeft w:val="0"/>
      <w:marRight w:val="0"/>
      <w:marTop w:val="0"/>
      <w:marBottom w:val="0"/>
      <w:divBdr>
        <w:top w:val="none" w:sz="0" w:space="0" w:color="auto"/>
        <w:left w:val="none" w:sz="0" w:space="0" w:color="auto"/>
        <w:bottom w:val="none" w:sz="0" w:space="0" w:color="auto"/>
        <w:right w:val="none" w:sz="0" w:space="0" w:color="auto"/>
      </w:divBdr>
    </w:div>
    <w:div w:id="1698237298">
      <w:bodyDiv w:val="1"/>
      <w:marLeft w:val="0"/>
      <w:marRight w:val="0"/>
      <w:marTop w:val="0"/>
      <w:marBottom w:val="0"/>
      <w:divBdr>
        <w:top w:val="none" w:sz="0" w:space="0" w:color="auto"/>
        <w:left w:val="none" w:sz="0" w:space="0" w:color="auto"/>
        <w:bottom w:val="none" w:sz="0" w:space="0" w:color="auto"/>
        <w:right w:val="none" w:sz="0" w:space="0" w:color="auto"/>
      </w:divBdr>
    </w:div>
    <w:div w:id="1698965238">
      <w:bodyDiv w:val="1"/>
      <w:marLeft w:val="0"/>
      <w:marRight w:val="0"/>
      <w:marTop w:val="0"/>
      <w:marBottom w:val="0"/>
      <w:divBdr>
        <w:top w:val="none" w:sz="0" w:space="0" w:color="auto"/>
        <w:left w:val="none" w:sz="0" w:space="0" w:color="auto"/>
        <w:bottom w:val="none" w:sz="0" w:space="0" w:color="auto"/>
        <w:right w:val="none" w:sz="0" w:space="0" w:color="auto"/>
      </w:divBdr>
    </w:div>
    <w:div w:id="1700353130">
      <w:bodyDiv w:val="1"/>
      <w:marLeft w:val="0"/>
      <w:marRight w:val="0"/>
      <w:marTop w:val="0"/>
      <w:marBottom w:val="0"/>
      <w:divBdr>
        <w:top w:val="none" w:sz="0" w:space="0" w:color="auto"/>
        <w:left w:val="none" w:sz="0" w:space="0" w:color="auto"/>
        <w:bottom w:val="none" w:sz="0" w:space="0" w:color="auto"/>
        <w:right w:val="none" w:sz="0" w:space="0" w:color="auto"/>
      </w:divBdr>
    </w:div>
    <w:div w:id="1703356515">
      <w:bodyDiv w:val="1"/>
      <w:marLeft w:val="0"/>
      <w:marRight w:val="0"/>
      <w:marTop w:val="0"/>
      <w:marBottom w:val="0"/>
      <w:divBdr>
        <w:top w:val="none" w:sz="0" w:space="0" w:color="auto"/>
        <w:left w:val="none" w:sz="0" w:space="0" w:color="auto"/>
        <w:bottom w:val="none" w:sz="0" w:space="0" w:color="auto"/>
        <w:right w:val="none" w:sz="0" w:space="0" w:color="auto"/>
      </w:divBdr>
    </w:div>
    <w:div w:id="1705981706">
      <w:bodyDiv w:val="1"/>
      <w:marLeft w:val="0"/>
      <w:marRight w:val="0"/>
      <w:marTop w:val="0"/>
      <w:marBottom w:val="0"/>
      <w:divBdr>
        <w:top w:val="none" w:sz="0" w:space="0" w:color="auto"/>
        <w:left w:val="none" w:sz="0" w:space="0" w:color="auto"/>
        <w:bottom w:val="none" w:sz="0" w:space="0" w:color="auto"/>
        <w:right w:val="none" w:sz="0" w:space="0" w:color="auto"/>
      </w:divBdr>
    </w:div>
    <w:div w:id="1706522798">
      <w:bodyDiv w:val="1"/>
      <w:marLeft w:val="0"/>
      <w:marRight w:val="0"/>
      <w:marTop w:val="0"/>
      <w:marBottom w:val="0"/>
      <w:divBdr>
        <w:top w:val="none" w:sz="0" w:space="0" w:color="auto"/>
        <w:left w:val="none" w:sz="0" w:space="0" w:color="auto"/>
        <w:bottom w:val="none" w:sz="0" w:space="0" w:color="auto"/>
        <w:right w:val="none" w:sz="0" w:space="0" w:color="auto"/>
      </w:divBdr>
    </w:div>
    <w:div w:id="1706632756">
      <w:bodyDiv w:val="1"/>
      <w:marLeft w:val="0"/>
      <w:marRight w:val="0"/>
      <w:marTop w:val="0"/>
      <w:marBottom w:val="0"/>
      <w:divBdr>
        <w:top w:val="none" w:sz="0" w:space="0" w:color="auto"/>
        <w:left w:val="none" w:sz="0" w:space="0" w:color="auto"/>
        <w:bottom w:val="none" w:sz="0" w:space="0" w:color="auto"/>
        <w:right w:val="none" w:sz="0" w:space="0" w:color="auto"/>
      </w:divBdr>
    </w:div>
    <w:div w:id="1706759376">
      <w:bodyDiv w:val="1"/>
      <w:marLeft w:val="0"/>
      <w:marRight w:val="0"/>
      <w:marTop w:val="0"/>
      <w:marBottom w:val="0"/>
      <w:divBdr>
        <w:top w:val="none" w:sz="0" w:space="0" w:color="auto"/>
        <w:left w:val="none" w:sz="0" w:space="0" w:color="auto"/>
        <w:bottom w:val="none" w:sz="0" w:space="0" w:color="auto"/>
        <w:right w:val="none" w:sz="0" w:space="0" w:color="auto"/>
      </w:divBdr>
    </w:div>
    <w:div w:id="1708721736">
      <w:bodyDiv w:val="1"/>
      <w:marLeft w:val="0"/>
      <w:marRight w:val="0"/>
      <w:marTop w:val="0"/>
      <w:marBottom w:val="0"/>
      <w:divBdr>
        <w:top w:val="none" w:sz="0" w:space="0" w:color="auto"/>
        <w:left w:val="none" w:sz="0" w:space="0" w:color="auto"/>
        <w:bottom w:val="none" w:sz="0" w:space="0" w:color="auto"/>
        <w:right w:val="none" w:sz="0" w:space="0" w:color="auto"/>
      </w:divBdr>
    </w:div>
    <w:div w:id="1710104302">
      <w:bodyDiv w:val="1"/>
      <w:marLeft w:val="0"/>
      <w:marRight w:val="0"/>
      <w:marTop w:val="0"/>
      <w:marBottom w:val="0"/>
      <w:divBdr>
        <w:top w:val="none" w:sz="0" w:space="0" w:color="auto"/>
        <w:left w:val="none" w:sz="0" w:space="0" w:color="auto"/>
        <w:bottom w:val="none" w:sz="0" w:space="0" w:color="auto"/>
        <w:right w:val="none" w:sz="0" w:space="0" w:color="auto"/>
      </w:divBdr>
    </w:div>
    <w:div w:id="1710648224">
      <w:bodyDiv w:val="1"/>
      <w:marLeft w:val="0"/>
      <w:marRight w:val="0"/>
      <w:marTop w:val="0"/>
      <w:marBottom w:val="0"/>
      <w:divBdr>
        <w:top w:val="none" w:sz="0" w:space="0" w:color="auto"/>
        <w:left w:val="none" w:sz="0" w:space="0" w:color="auto"/>
        <w:bottom w:val="none" w:sz="0" w:space="0" w:color="auto"/>
        <w:right w:val="none" w:sz="0" w:space="0" w:color="auto"/>
      </w:divBdr>
    </w:div>
    <w:div w:id="1710910424">
      <w:bodyDiv w:val="1"/>
      <w:marLeft w:val="0"/>
      <w:marRight w:val="0"/>
      <w:marTop w:val="0"/>
      <w:marBottom w:val="0"/>
      <w:divBdr>
        <w:top w:val="none" w:sz="0" w:space="0" w:color="auto"/>
        <w:left w:val="none" w:sz="0" w:space="0" w:color="auto"/>
        <w:bottom w:val="none" w:sz="0" w:space="0" w:color="auto"/>
        <w:right w:val="none" w:sz="0" w:space="0" w:color="auto"/>
      </w:divBdr>
    </w:div>
    <w:div w:id="1711609507">
      <w:bodyDiv w:val="1"/>
      <w:marLeft w:val="0"/>
      <w:marRight w:val="0"/>
      <w:marTop w:val="0"/>
      <w:marBottom w:val="0"/>
      <w:divBdr>
        <w:top w:val="none" w:sz="0" w:space="0" w:color="auto"/>
        <w:left w:val="none" w:sz="0" w:space="0" w:color="auto"/>
        <w:bottom w:val="none" w:sz="0" w:space="0" w:color="auto"/>
        <w:right w:val="none" w:sz="0" w:space="0" w:color="auto"/>
      </w:divBdr>
    </w:div>
    <w:div w:id="1713113613">
      <w:bodyDiv w:val="1"/>
      <w:marLeft w:val="0"/>
      <w:marRight w:val="0"/>
      <w:marTop w:val="0"/>
      <w:marBottom w:val="0"/>
      <w:divBdr>
        <w:top w:val="none" w:sz="0" w:space="0" w:color="auto"/>
        <w:left w:val="none" w:sz="0" w:space="0" w:color="auto"/>
        <w:bottom w:val="none" w:sz="0" w:space="0" w:color="auto"/>
        <w:right w:val="none" w:sz="0" w:space="0" w:color="auto"/>
      </w:divBdr>
    </w:div>
    <w:div w:id="1713309765">
      <w:bodyDiv w:val="1"/>
      <w:marLeft w:val="0"/>
      <w:marRight w:val="0"/>
      <w:marTop w:val="0"/>
      <w:marBottom w:val="0"/>
      <w:divBdr>
        <w:top w:val="none" w:sz="0" w:space="0" w:color="auto"/>
        <w:left w:val="none" w:sz="0" w:space="0" w:color="auto"/>
        <w:bottom w:val="none" w:sz="0" w:space="0" w:color="auto"/>
        <w:right w:val="none" w:sz="0" w:space="0" w:color="auto"/>
      </w:divBdr>
    </w:div>
    <w:div w:id="1713725625">
      <w:bodyDiv w:val="1"/>
      <w:marLeft w:val="0"/>
      <w:marRight w:val="0"/>
      <w:marTop w:val="0"/>
      <w:marBottom w:val="0"/>
      <w:divBdr>
        <w:top w:val="none" w:sz="0" w:space="0" w:color="auto"/>
        <w:left w:val="none" w:sz="0" w:space="0" w:color="auto"/>
        <w:bottom w:val="none" w:sz="0" w:space="0" w:color="auto"/>
        <w:right w:val="none" w:sz="0" w:space="0" w:color="auto"/>
      </w:divBdr>
    </w:div>
    <w:div w:id="1714187687">
      <w:bodyDiv w:val="1"/>
      <w:marLeft w:val="0"/>
      <w:marRight w:val="0"/>
      <w:marTop w:val="0"/>
      <w:marBottom w:val="0"/>
      <w:divBdr>
        <w:top w:val="none" w:sz="0" w:space="0" w:color="auto"/>
        <w:left w:val="none" w:sz="0" w:space="0" w:color="auto"/>
        <w:bottom w:val="none" w:sz="0" w:space="0" w:color="auto"/>
        <w:right w:val="none" w:sz="0" w:space="0" w:color="auto"/>
      </w:divBdr>
    </w:div>
    <w:div w:id="1716275734">
      <w:bodyDiv w:val="1"/>
      <w:marLeft w:val="0"/>
      <w:marRight w:val="0"/>
      <w:marTop w:val="0"/>
      <w:marBottom w:val="0"/>
      <w:divBdr>
        <w:top w:val="none" w:sz="0" w:space="0" w:color="auto"/>
        <w:left w:val="none" w:sz="0" w:space="0" w:color="auto"/>
        <w:bottom w:val="none" w:sz="0" w:space="0" w:color="auto"/>
        <w:right w:val="none" w:sz="0" w:space="0" w:color="auto"/>
      </w:divBdr>
    </w:div>
    <w:div w:id="1719085484">
      <w:bodyDiv w:val="1"/>
      <w:marLeft w:val="0"/>
      <w:marRight w:val="0"/>
      <w:marTop w:val="0"/>
      <w:marBottom w:val="0"/>
      <w:divBdr>
        <w:top w:val="none" w:sz="0" w:space="0" w:color="auto"/>
        <w:left w:val="none" w:sz="0" w:space="0" w:color="auto"/>
        <w:bottom w:val="none" w:sz="0" w:space="0" w:color="auto"/>
        <w:right w:val="none" w:sz="0" w:space="0" w:color="auto"/>
      </w:divBdr>
    </w:div>
    <w:div w:id="1720205614">
      <w:bodyDiv w:val="1"/>
      <w:marLeft w:val="0"/>
      <w:marRight w:val="0"/>
      <w:marTop w:val="0"/>
      <w:marBottom w:val="0"/>
      <w:divBdr>
        <w:top w:val="none" w:sz="0" w:space="0" w:color="auto"/>
        <w:left w:val="none" w:sz="0" w:space="0" w:color="auto"/>
        <w:bottom w:val="none" w:sz="0" w:space="0" w:color="auto"/>
        <w:right w:val="none" w:sz="0" w:space="0" w:color="auto"/>
      </w:divBdr>
    </w:div>
    <w:div w:id="1722360668">
      <w:bodyDiv w:val="1"/>
      <w:marLeft w:val="0"/>
      <w:marRight w:val="0"/>
      <w:marTop w:val="0"/>
      <w:marBottom w:val="0"/>
      <w:divBdr>
        <w:top w:val="none" w:sz="0" w:space="0" w:color="auto"/>
        <w:left w:val="none" w:sz="0" w:space="0" w:color="auto"/>
        <w:bottom w:val="none" w:sz="0" w:space="0" w:color="auto"/>
        <w:right w:val="none" w:sz="0" w:space="0" w:color="auto"/>
      </w:divBdr>
    </w:div>
    <w:div w:id="1723363270">
      <w:bodyDiv w:val="1"/>
      <w:marLeft w:val="0"/>
      <w:marRight w:val="0"/>
      <w:marTop w:val="0"/>
      <w:marBottom w:val="0"/>
      <w:divBdr>
        <w:top w:val="none" w:sz="0" w:space="0" w:color="auto"/>
        <w:left w:val="none" w:sz="0" w:space="0" w:color="auto"/>
        <w:bottom w:val="none" w:sz="0" w:space="0" w:color="auto"/>
        <w:right w:val="none" w:sz="0" w:space="0" w:color="auto"/>
      </w:divBdr>
    </w:div>
    <w:div w:id="1723599279">
      <w:bodyDiv w:val="1"/>
      <w:marLeft w:val="0"/>
      <w:marRight w:val="0"/>
      <w:marTop w:val="0"/>
      <w:marBottom w:val="0"/>
      <w:divBdr>
        <w:top w:val="none" w:sz="0" w:space="0" w:color="auto"/>
        <w:left w:val="none" w:sz="0" w:space="0" w:color="auto"/>
        <w:bottom w:val="none" w:sz="0" w:space="0" w:color="auto"/>
        <w:right w:val="none" w:sz="0" w:space="0" w:color="auto"/>
      </w:divBdr>
    </w:div>
    <w:div w:id="1727293934">
      <w:bodyDiv w:val="1"/>
      <w:marLeft w:val="0"/>
      <w:marRight w:val="0"/>
      <w:marTop w:val="0"/>
      <w:marBottom w:val="0"/>
      <w:divBdr>
        <w:top w:val="none" w:sz="0" w:space="0" w:color="auto"/>
        <w:left w:val="none" w:sz="0" w:space="0" w:color="auto"/>
        <w:bottom w:val="none" w:sz="0" w:space="0" w:color="auto"/>
        <w:right w:val="none" w:sz="0" w:space="0" w:color="auto"/>
      </w:divBdr>
    </w:div>
    <w:div w:id="1727296458">
      <w:bodyDiv w:val="1"/>
      <w:marLeft w:val="0"/>
      <w:marRight w:val="0"/>
      <w:marTop w:val="0"/>
      <w:marBottom w:val="0"/>
      <w:divBdr>
        <w:top w:val="none" w:sz="0" w:space="0" w:color="auto"/>
        <w:left w:val="none" w:sz="0" w:space="0" w:color="auto"/>
        <w:bottom w:val="none" w:sz="0" w:space="0" w:color="auto"/>
        <w:right w:val="none" w:sz="0" w:space="0" w:color="auto"/>
      </w:divBdr>
    </w:div>
    <w:div w:id="1727996131">
      <w:bodyDiv w:val="1"/>
      <w:marLeft w:val="0"/>
      <w:marRight w:val="0"/>
      <w:marTop w:val="0"/>
      <w:marBottom w:val="0"/>
      <w:divBdr>
        <w:top w:val="none" w:sz="0" w:space="0" w:color="auto"/>
        <w:left w:val="none" w:sz="0" w:space="0" w:color="auto"/>
        <w:bottom w:val="none" w:sz="0" w:space="0" w:color="auto"/>
        <w:right w:val="none" w:sz="0" w:space="0" w:color="auto"/>
      </w:divBdr>
    </w:div>
    <w:div w:id="1728915180">
      <w:bodyDiv w:val="1"/>
      <w:marLeft w:val="0"/>
      <w:marRight w:val="0"/>
      <w:marTop w:val="0"/>
      <w:marBottom w:val="0"/>
      <w:divBdr>
        <w:top w:val="none" w:sz="0" w:space="0" w:color="auto"/>
        <w:left w:val="none" w:sz="0" w:space="0" w:color="auto"/>
        <w:bottom w:val="none" w:sz="0" w:space="0" w:color="auto"/>
        <w:right w:val="none" w:sz="0" w:space="0" w:color="auto"/>
      </w:divBdr>
    </w:div>
    <w:div w:id="1730150492">
      <w:bodyDiv w:val="1"/>
      <w:marLeft w:val="0"/>
      <w:marRight w:val="0"/>
      <w:marTop w:val="0"/>
      <w:marBottom w:val="0"/>
      <w:divBdr>
        <w:top w:val="none" w:sz="0" w:space="0" w:color="auto"/>
        <w:left w:val="none" w:sz="0" w:space="0" w:color="auto"/>
        <w:bottom w:val="none" w:sz="0" w:space="0" w:color="auto"/>
        <w:right w:val="none" w:sz="0" w:space="0" w:color="auto"/>
      </w:divBdr>
    </w:div>
    <w:div w:id="17308862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6274838">
      <w:bodyDiv w:val="1"/>
      <w:marLeft w:val="0"/>
      <w:marRight w:val="0"/>
      <w:marTop w:val="0"/>
      <w:marBottom w:val="0"/>
      <w:divBdr>
        <w:top w:val="none" w:sz="0" w:space="0" w:color="auto"/>
        <w:left w:val="none" w:sz="0" w:space="0" w:color="auto"/>
        <w:bottom w:val="none" w:sz="0" w:space="0" w:color="auto"/>
        <w:right w:val="none" w:sz="0" w:space="0" w:color="auto"/>
      </w:divBdr>
    </w:div>
    <w:div w:id="1736319875">
      <w:bodyDiv w:val="1"/>
      <w:marLeft w:val="0"/>
      <w:marRight w:val="0"/>
      <w:marTop w:val="0"/>
      <w:marBottom w:val="0"/>
      <w:divBdr>
        <w:top w:val="none" w:sz="0" w:space="0" w:color="auto"/>
        <w:left w:val="none" w:sz="0" w:space="0" w:color="auto"/>
        <w:bottom w:val="none" w:sz="0" w:space="0" w:color="auto"/>
        <w:right w:val="none" w:sz="0" w:space="0" w:color="auto"/>
      </w:divBdr>
    </w:div>
    <w:div w:id="1736463335">
      <w:bodyDiv w:val="1"/>
      <w:marLeft w:val="0"/>
      <w:marRight w:val="0"/>
      <w:marTop w:val="0"/>
      <w:marBottom w:val="0"/>
      <w:divBdr>
        <w:top w:val="none" w:sz="0" w:space="0" w:color="auto"/>
        <w:left w:val="none" w:sz="0" w:space="0" w:color="auto"/>
        <w:bottom w:val="none" w:sz="0" w:space="0" w:color="auto"/>
        <w:right w:val="none" w:sz="0" w:space="0" w:color="auto"/>
      </w:divBdr>
    </w:div>
    <w:div w:id="1736661844">
      <w:bodyDiv w:val="1"/>
      <w:marLeft w:val="0"/>
      <w:marRight w:val="0"/>
      <w:marTop w:val="0"/>
      <w:marBottom w:val="0"/>
      <w:divBdr>
        <w:top w:val="none" w:sz="0" w:space="0" w:color="auto"/>
        <w:left w:val="none" w:sz="0" w:space="0" w:color="auto"/>
        <w:bottom w:val="none" w:sz="0" w:space="0" w:color="auto"/>
        <w:right w:val="none" w:sz="0" w:space="0" w:color="auto"/>
      </w:divBdr>
    </w:div>
    <w:div w:id="1737901279">
      <w:bodyDiv w:val="1"/>
      <w:marLeft w:val="0"/>
      <w:marRight w:val="0"/>
      <w:marTop w:val="0"/>
      <w:marBottom w:val="0"/>
      <w:divBdr>
        <w:top w:val="none" w:sz="0" w:space="0" w:color="auto"/>
        <w:left w:val="none" w:sz="0" w:space="0" w:color="auto"/>
        <w:bottom w:val="none" w:sz="0" w:space="0" w:color="auto"/>
        <w:right w:val="none" w:sz="0" w:space="0" w:color="auto"/>
      </w:divBdr>
    </w:div>
    <w:div w:id="1739329270">
      <w:bodyDiv w:val="1"/>
      <w:marLeft w:val="0"/>
      <w:marRight w:val="0"/>
      <w:marTop w:val="0"/>
      <w:marBottom w:val="0"/>
      <w:divBdr>
        <w:top w:val="none" w:sz="0" w:space="0" w:color="auto"/>
        <w:left w:val="none" w:sz="0" w:space="0" w:color="auto"/>
        <w:bottom w:val="none" w:sz="0" w:space="0" w:color="auto"/>
        <w:right w:val="none" w:sz="0" w:space="0" w:color="auto"/>
      </w:divBdr>
    </w:div>
    <w:div w:id="1739741350">
      <w:bodyDiv w:val="1"/>
      <w:marLeft w:val="0"/>
      <w:marRight w:val="0"/>
      <w:marTop w:val="0"/>
      <w:marBottom w:val="0"/>
      <w:divBdr>
        <w:top w:val="none" w:sz="0" w:space="0" w:color="auto"/>
        <w:left w:val="none" w:sz="0" w:space="0" w:color="auto"/>
        <w:bottom w:val="none" w:sz="0" w:space="0" w:color="auto"/>
        <w:right w:val="none" w:sz="0" w:space="0" w:color="auto"/>
      </w:divBdr>
    </w:div>
    <w:div w:id="1740714276">
      <w:bodyDiv w:val="1"/>
      <w:marLeft w:val="0"/>
      <w:marRight w:val="0"/>
      <w:marTop w:val="0"/>
      <w:marBottom w:val="0"/>
      <w:divBdr>
        <w:top w:val="none" w:sz="0" w:space="0" w:color="auto"/>
        <w:left w:val="none" w:sz="0" w:space="0" w:color="auto"/>
        <w:bottom w:val="none" w:sz="0" w:space="0" w:color="auto"/>
        <w:right w:val="none" w:sz="0" w:space="0" w:color="auto"/>
      </w:divBdr>
    </w:div>
    <w:div w:id="1742020309">
      <w:bodyDiv w:val="1"/>
      <w:marLeft w:val="0"/>
      <w:marRight w:val="0"/>
      <w:marTop w:val="0"/>
      <w:marBottom w:val="0"/>
      <w:divBdr>
        <w:top w:val="none" w:sz="0" w:space="0" w:color="auto"/>
        <w:left w:val="none" w:sz="0" w:space="0" w:color="auto"/>
        <w:bottom w:val="none" w:sz="0" w:space="0" w:color="auto"/>
        <w:right w:val="none" w:sz="0" w:space="0" w:color="auto"/>
      </w:divBdr>
    </w:div>
    <w:div w:id="1742483747">
      <w:bodyDiv w:val="1"/>
      <w:marLeft w:val="0"/>
      <w:marRight w:val="0"/>
      <w:marTop w:val="0"/>
      <w:marBottom w:val="0"/>
      <w:divBdr>
        <w:top w:val="none" w:sz="0" w:space="0" w:color="auto"/>
        <w:left w:val="none" w:sz="0" w:space="0" w:color="auto"/>
        <w:bottom w:val="none" w:sz="0" w:space="0" w:color="auto"/>
        <w:right w:val="none" w:sz="0" w:space="0" w:color="auto"/>
      </w:divBdr>
    </w:div>
    <w:div w:id="1742677388">
      <w:bodyDiv w:val="1"/>
      <w:marLeft w:val="0"/>
      <w:marRight w:val="0"/>
      <w:marTop w:val="0"/>
      <w:marBottom w:val="0"/>
      <w:divBdr>
        <w:top w:val="none" w:sz="0" w:space="0" w:color="auto"/>
        <w:left w:val="none" w:sz="0" w:space="0" w:color="auto"/>
        <w:bottom w:val="none" w:sz="0" w:space="0" w:color="auto"/>
        <w:right w:val="none" w:sz="0" w:space="0" w:color="auto"/>
      </w:divBdr>
    </w:div>
    <w:div w:id="1742942068">
      <w:bodyDiv w:val="1"/>
      <w:marLeft w:val="0"/>
      <w:marRight w:val="0"/>
      <w:marTop w:val="0"/>
      <w:marBottom w:val="0"/>
      <w:divBdr>
        <w:top w:val="none" w:sz="0" w:space="0" w:color="auto"/>
        <w:left w:val="none" w:sz="0" w:space="0" w:color="auto"/>
        <w:bottom w:val="none" w:sz="0" w:space="0" w:color="auto"/>
        <w:right w:val="none" w:sz="0" w:space="0" w:color="auto"/>
      </w:divBdr>
    </w:div>
    <w:div w:id="1743601049">
      <w:bodyDiv w:val="1"/>
      <w:marLeft w:val="0"/>
      <w:marRight w:val="0"/>
      <w:marTop w:val="0"/>
      <w:marBottom w:val="0"/>
      <w:divBdr>
        <w:top w:val="none" w:sz="0" w:space="0" w:color="auto"/>
        <w:left w:val="none" w:sz="0" w:space="0" w:color="auto"/>
        <w:bottom w:val="none" w:sz="0" w:space="0" w:color="auto"/>
        <w:right w:val="none" w:sz="0" w:space="0" w:color="auto"/>
      </w:divBdr>
    </w:div>
    <w:div w:id="1743718976">
      <w:bodyDiv w:val="1"/>
      <w:marLeft w:val="0"/>
      <w:marRight w:val="0"/>
      <w:marTop w:val="0"/>
      <w:marBottom w:val="0"/>
      <w:divBdr>
        <w:top w:val="none" w:sz="0" w:space="0" w:color="auto"/>
        <w:left w:val="none" w:sz="0" w:space="0" w:color="auto"/>
        <w:bottom w:val="none" w:sz="0" w:space="0" w:color="auto"/>
        <w:right w:val="none" w:sz="0" w:space="0" w:color="auto"/>
      </w:divBdr>
    </w:div>
    <w:div w:id="1744332569">
      <w:bodyDiv w:val="1"/>
      <w:marLeft w:val="0"/>
      <w:marRight w:val="0"/>
      <w:marTop w:val="0"/>
      <w:marBottom w:val="0"/>
      <w:divBdr>
        <w:top w:val="none" w:sz="0" w:space="0" w:color="auto"/>
        <w:left w:val="none" w:sz="0" w:space="0" w:color="auto"/>
        <w:bottom w:val="none" w:sz="0" w:space="0" w:color="auto"/>
        <w:right w:val="none" w:sz="0" w:space="0" w:color="auto"/>
      </w:divBdr>
    </w:div>
    <w:div w:id="1744988976">
      <w:bodyDiv w:val="1"/>
      <w:marLeft w:val="0"/>
      <w:marRight w:val="0"/>
      <w:marTop w:val="0"/>
      <w:marBottom w:val="0"/>
      <w:divBdr>
        <w:top w:val="none" w:sz="0" w:space="0" w:color="auto"/>
        <w:left w:val="none" w:sz="0" w:space="0" w:color="auto"/>
        <w:bottom w:val="none" w:sz="0" w:space="0" w:color="auto"/>
        <w:right w:val="none" w:sz="0" w:space="0" w:color="auto"/>
      </w:divBdr>
    </w:div>
    <w:div w:id="1747916169">
      <w:bodyDiv w:val="1"/>
      <w:marLeft w:val="0"/>
      <w:marRight w:val="0"/>
      <w:marTop w:val="0"/>
      <w:marBottom w:val="0"/>
      <w:divBdr>
        <w:top w:val="none" w:sz="0" w:space="0" w:color="auto"/>
        <w:left w:val="none" w:sz="0" w:space="0" w:color="auto"/>
        <w:bottom w:val="none" w:sz="0" w:space="0" w:color="auto"/>
        <w:right w:val="none" w:sz="0" w:space="0" w:color="auto"/>
      </w:divBdr>
    </w:div>
    <w:div w:id="1748116250">
      <w:bodyDiv w:val="1"/>
      <w:marLeft w:val="0"/>
      <w:marRight w:val="0"/>
      <w:marTop w:val="0"/>
      <w:marBottom w:val="0"/>
      <w:divBdr>
        <w:top w:val="none" w:sz="0" w:space="0" w:color="auto"/>
        <w:left w:val="none" w:sz="0" w:space="0" w:color="auto"/>
        <w:bottom w:val="none" w:sz="0" w:space="0" w:color="auto"/>
        <w:right w:val="none" w:sz="0" w:space="0" w:color="auto"/>
      </w:divBdr>
    </w:div>
    <w:div w:id="1749034278">
      <w:bodyDiv w:val="1"/>
      <w:marLeft w:val="0"/>
      <w:marRight w:val="0"/>
      <w:marTop w:val="0"/>
      <w:marBottom w:val="0"/>
      <w:divBdr>
        <w:top w:val="none" w:sz="0" w:space="0" w:color="auto"/>
        <w:left w:val="none" w:sz="0" w:space="0" w:color="auto"/>
        <w:bottom w:val="none" w:sz="0" w:space="0" w:color="auto"/>
        <w:right w:val="none" w:sz="0" w:space="0" w:color="auto"/>
      </w:divBdr>
    </w:div>
    <w:div w:id="1750804307">
      <w:bodyDiv w:val="1"/>
      <w:marLeft w:val="0"/>
      <w:marRight w:val="0"/>
      <w:marTop w:val="0"/>
      <w:marBottom w:val="0"/>
      <w:divBdr>
        <w:top w:val="none" w:sz="0" w:space="0" w:color="auto"/>
        <w:left w:val="none" w:sz="0" w:space="0" w:color="auto"/>
        <w:bottom w:val="none" w:sz="0" w:space="0" w:color="auto"/>
        <w:right w:val="none" w:sz="0" w:space="0" w:color="auto"/>
      </w:divBdr>
    </w:div>
    <w:div w:id="1752047922">
      <w:bodyDiv w:val="1"/>
      <w:marLeft w:val="0"/>
      <w:marRight w:val="0"/>
      <w:marTop w:val="0"/>
      <w:marBottom w:val="0"/>
      <w:divBdr>
        <w:top w:val="none" w:sz="0" w:space="0" w:color="auto"/>
        <w:left w:val="none" w:sz="0" w:space="0" w:color="auto"/>
        <w:bottom w:val="none" w:sz="0" w:space="0" w:color="auto"/>
        <w:right w:val="none" w:sz="0" w:space="0" w:color="auto"/>
      </w:divBdr>
    </w:div>
    <w:div w:id="1753042890">
      <w:bodyDiv w:val="1"/>
      <w:marLeft w:val="0"/>
      <w:marRight w:val="0"/>
      <w:marTop w:val="0"/>
      <w:marBottom w:val="0"/>
      <w:divBdr>
        <w:top w:val="none" w:sz="0" w:space="0" w:color="auto"/>
        <w:left w:val="none" w:sz="0" w:space="0" w:color="auto"/>
        <w:bottom w:val="none" w:sz="0" w:space="0" w:color="auto"/>
        <w:right w:val="none" w:sz="0" w:space="0" w:color="auto"/>
      </w:divBdr>
    </w:div>
    <w:div w:id="1753509407">
      <w:bodyDiv w:val="1"/>
      <w:marLeft w:val="0"/>
      <w:marRight w:val="0"/>
      <w:marTop w:val="0"/>
      <w:marBottom w:val="0"/>
      <w:divBdr>
        <w:top w:val="none" w:sz="0" w:space="0" w:color="auto"/>
        <w:left w:val="none" w:sz="0" w:space="0" w:color="auto"/>
        <w:bottom w:val="none" w:sz="0" w:space="0" w:color="auto"/>
        <w:right w:val="none" w:sz="0" w:space="0" w:color="auto"/>
      </w:divBdr>
    </w:div>
    <w:div w:id="1755278287">
      <w:bodyDiv w:val="1"/>
      <w:marLeft w:val="0"/>
      <w:marRight w:val="0"/>
      <w:marTop w:val="0"/>
      <w:marBottom w:val="0"/>
      <w:divBdr>
        <w:top w:val="none" w:sz="0" w:space="0" w:color="auto"/>
        <w:left w:val="none" w:sz="0" w:space="0" w:color="auto"/>
        <w:bottom w:val="none" w:sz="0" w:space="0" w:color="auto"/>
        <w:right w:val="none" w:sz="0" w:space="0" w:color="auto"/>
      </w:divBdr>
    </w:div>
    <w:div w:id="1755591231">
      <w:bodyDiv w:val="1"/>
      <w:marLeft w:val="0"/>
      <w:marRight w:val="0"/>
      <w:marTop w:val="0"/>
      <w:marBottom w:val="0"/>
      <w:divBdr>
        <w:top w:val="none" w:sz="0" w:space="0" w:color="auto"/>
        <w:left w:val="none" w:sz="0" w:space="0" w:color="auto"/>
        <w:bottom w:val="none" w:sz="0" w:space="0" w:color="auto"/>
        <w:right w:val="none" w:sz="0" w:space="0" w:color="auto"/>
      </w:divBdr>
    </w:div>
    <w:div w:id="1755661799">
      <w:bodyDiv w:val="1"/>
      <w:marLeft w:val="0"/>
      <w:marRight w:val="0"/>
      <w:marTop w:val="0"/>
      <w:marBottom w:val="0"/>
      <w:divBdr>
        <w:top w:val="none" w:sz="0" w:space="0" w:color="auto"/>
        <w:left w:val="none" w:sz="0" w:space="0" w:color="auto"/>
        <w:bottom w:val="none" w:sz="0" w:space="0" w:color="auto"/>
        <w:right w:val="none" w:sz="0" w:space="0" w:color="auto"/>
      </w:divBdr>
    </w:div>
    <w:div w:id="1759401151">
      <w:bodyDiv w:val="1"/>
      <w:marLeft w:val="0"/>
      <w:marRight w:val="0"/>
      <w:marTop w:val="0"/>
      <w:marBottom w:val="0"/>
      <w:divBdr>
        <w:top w:val="none" w:sz="0" w:space="0" w:color="auto"/>
        <w:left w:val="none" w:sz="0" w:space="0" w:color="auto"/>
        <w:bottom w:val="none" w:sz="0" w:space="0" w:color="auto"/>
        <w:right w:val="none" w:sz="0" w:space="0" w:color="auto"/>
      </w:divBdr>
    </w:div>
    <w:div w:id="1759909102">
      <w:bodyDiv w:val="1"/>
      <w:marLeft w:val="0"/>
      <w:marRight w:val="0"/>
      <w:marTop w:val="0"/>
      <w:marBottom w:val="0"/>
      <w:divBdr>
        <w:top w:val="none" w:sz="0" w:space="0" w:color="auto"/>
        <w:left w:val="none" w:sz="0" w:space="0" w:color="auto"/>
        <w:bottom w:val="none" w:sz="0" w:space="0" w:color="auto"/>
        <w:right w:val="none" w:sz="0" w:space="0" w:color="auto"/>
      </w:divBdr>
    </w:div>
    <w:div w:id="1760298540">
      <w:bodyDiv w:val="1"/>
      <w:marLeft w:val="0"/>
      <w:marRight w:val="0"/>
      <w:marTop w:val="0"/>
      <w:marBottom w:val="0"/>
      <w:divBdr>
        <w:top w:val="none" w:sz="0" w:space="0" w:color="auto"/>
        <w:left w:val="none" w:sz="0" w:space="0" w:color="auto"/>
        <w:bottom w:val="none" w:sz="0" w:space="0" w:color="auto"/>
        <w:right w:val="none" w:sz="0" w:space="0" w:color="auto"/>
      </w:divBdr>
    </w:div>
    <w:div w:id="1761172785">
      <w:bodyDiv w:val="1"/>
      <w:marLeft w:val="0"/>
      <w:marRight w:val="0"/>
      <w:marTop w:val="0"/>
      <w:marBottom w:val="0"/>
      <w:divBdr>
        <w:top w:val="none" w:sz="0" w:space="0" w:color="auto"/>
        <w:left w:val="none" w:sz="0" w:space="0" w:color="auto"/>
        <w:bottom w:val="none" w:sz="0" w:space="0" w:color="auto"/>
        <w:right w:val="none" w:sz="0" w:space="0" w:color="auto"/>
      </w:divBdr>
    </w:div>
    <w:div w:id="1762725440">
      <w:bodyDiv w:val="1"/>
      <w:marLeft w:val="0"/>
      <w:marRight w:val="0"/>
      <w:marTop w:val="0"/>
      <w:marBottom w:val="0"/>
      <w:divBdr>
        <w:top w:val="none" w:sz="0" w:space="0" w:color="auto"/>
        <w:left w:val="none" w:sz="0" w:space="0" w:color="auto"/>
        <w:bottom w:val="none" w:sz="0" w:space="0" w:color="auto"/>
        <w:right w:val="none" w:sz="0" w:space="0" w:color="auto"/>
      </w:divBdr>
    </w:div>
    <w:div w:id="1765954146">
      <w:bodyDiv w:val="1"/>
      <w:marLeft w:val="0"/>
      <w:marRight w:val="0"/>
      <w:marTop w:val="0"/>
      <w:marBottom w:val="0"/>
      <w:divBdr>
        <w:top w:val="none" w:sz="0" w:space="0" w:color="auto"/>
        <w:left w:val="none" w:sz="0" w:space="0" w:color="auto"/>
        <w:bottom w:val="none" w:sz="0" w:space="0" w:color="auto"/>
        <w:right w:val="none" w:sz="0" w:space="0" w:color="auto"/>
      </w:divBdr>
    </w:div>
    <w:div w:id="1766069432">
      <w:bodyDiv w:val="1"/>
      <w:marLeft w:val="0"/>
      <w:marRight w:val="0"/>
      <w:marTop w:val="0"/>
      <w:marBottom w:val="0"/>
      <w:divBdr>
        <w:top w:val="none" w:sz="0" w:space="0" w:color="auto"/>
        <w:left w:val="none" w:sz="0" w:space="0" w:color="auto"/>
        <w:bottom w:val="none" w:sz="0" w:space="0" w:color="auto"/>
        <w:right w:val="none" w:sz="0" w:space="0" w:color="auto"/>
      </w:divBdr>
    </w:div>
    <w:div w:id="1766654419">
      <w:bodyDiv w:val="1"/>
      <w:marLeft w:val="0"/>
      <w:marRight w:val="0"/>
      <w:marTop w:val="0"/>
      <w:marBottom w:val="0"/>
      <w:divBdr>
        <w:top w:val="none" w:sz="0" w:space="0" w:color="auto"/>
        <w:left w:val="none" w:sz="0" w:space="0" w:color="auto"/>
        <w:bottom w:val="none" w:sz="0" w:space="0" w:color="auto"/>
        <w:right w:val="none" w:sz="0" w:space="0" w:color="auto"/>
      </w:divBdr>
    </w:div>
    <w:div w:id="1767991616">
      <w:bodyDiv w:val="1"/>
      <w:marLeft w:val="0"/>
      <w:marRight w:val="0"/>
      <w:marTop w:val="0"/>
      <w:marBottom w:val="0"/>
      <w:divBdr>
        <w:top w:val="none" w:sz="0" w:space="0" w:color="auto"/>
        <w:left w:val="none" w:sz="0" w:space="0" w:color="auto"/>
        <w:bottom w:val="none" w:sz="0" w:space="0" w:color="auto"/>
        <w:right w:val="none" w:sz="0" w:space="0" w:color="auto"/>
      </w:divBdr>
    </w:div>
    <w:div w:id="1769739126">
      <w:bodyDiv w:val="1"/>
      <w:marLeft w:val="0"/>
      <w:marRight w:val="0"/>
      <w:marTop w:val="0"/>
      <w:marBottom w:val="0"/>
      <w:divBdr>
        <w:top w:val="none" w:sz="0" w:space="0" w:color="auto"/>
        <w:left w:val="none" w:sz="0" w:space="0" w:color="auto"/>
        <w:bottom w:val="none" w:sz="0" w:space="0" w:color="auto"/>
        <w:right w:val="none" w:sz="0" w:space="0" w:color="auto"/>
      </w:divBdr>
    </w:div>
    <w:div w:id="1770353284">
      <w:bodyDiv w:val="1"/>
      <w:marLeft w:val="0"/>
      <w:marRight w:val="0"/>
      <w:marTop w:val="0"/>
      <w:marBottom w:val="0"/>
      <w:divBdr>
        <w:top w:val="none" w:sz="0" w:space="0" w:color="auto"/>
        <w:left w:val="none" w:sz="0" w:space="0" w:color="auto"/>
        <w:bottom w:val="none" w:sz="0" w:space="0" w:color="auto"/>
        <w:right w:val="none" w:sz="0" w:space="0" w:color="auto"/>
      </w:divBdr>
    </w:div>
    <w:div w:id="1770391387">
      <w:bodyDiv w:val="1"/>
      <w:marLeft w:val="0"/>
      <w:marRight w:val="0"/>
      <w:marTop w:val="0"/>
      <w:marBottom w:val="0"/>
      <w:divBdr>
        <w:top w:val="none" w:sz="0" w:space="0" w:color="auto"/>
        <w:left w:val="none" w:sz="0" w:space="0" w:color="auto"/>
        <w:bottom w:val="none" w:sz="0" w:space="0" w:color="auto"/>
        <w:right w:val="none" w:sz="0" w:space="0" w:color="auto"/>
      </w:divBdr>
    </w:div>
    <w:div w:id="1772159858">
      <w:bodyDiv w:val="1"/>
      <w:marLeft w:val="0"/>
      <w:marRight w:val="0"/>
      <w:marTop w:val="0"/>
      <w:marBottom w:val="0"/>
      <w:divBdr>
        <w:top w:val="none" w:sz="0" w:space="0" w:color="auto"/>
        <w:left w:val="none" w:sz="0" w:space="0" w:color="auto"/>
        <w:bottom w:val="none" w:sz="0" w:space="0" w:color="auto"/>
        <w:right w:val="none" w:sz="0" w:space="0" w:color="auto"/>
      </w:divBdr>
    </w:div>
    <w:div w:id="1772702155">
      <w:bodyDiv w:val="1"/>
      <w:marLeft w:val="0"/>
      <w:marRight w:val="0"/>
      <w:marTop w:val="0"/>
      <w:marBottom w:val="0"/>
      <w:divBdr>
        <w:top w:val="none" w:sz="0" w:space="0" w:color="auto"/>
        <w:left w:val="none" w:sz="0" w:space="0" w:color="auto"/>
        <w:bottom w:val="none" w:sz="0" w:space="0" w:color="auto"/>
        <w:right w:val="none" w:sz="0" w:space="0" w:color="auto"/>
      </w:divBdr>
    </w:div>
    <w:div w:id="1773087368">
      <w:bodyDiv w:val="1"/>
      <w:marLeft w:val="0"/>
      <w:marRight w:val="0"/>
      <w:marTop w:val="0"/>
      <w:marBottom w:val="0"/>
      <w:divBdr>
        <w:top w:val="none" w:sz="0" w:space="0" w:color="auto"/>
        <w:left w:val="none" w:sz="0" w:space="0" w:color="auto"/>
        <w:bottom w:val="none" w:sz="0" w:space="0" w:color="auto"/>
        <w:right w:val="none" w:sz="0" w:space="0" w:color="auto"/>
      </w:divBdr>
    </w:div>
    <w:div w:id="1774587495">
      <w:bodyDiv w:val="1"/>
      <w:marLeft w:val="0"/>
      <w:marRight w:val="0"/>
      <w:marTop w:val="0"/>
      <w:marBottom w:val="0"/>
      <w:divBdr>
        <w:top w:val="none" w:sz="0" w:space="0" w:color="auto"/>
        <w:left w:val="none" w:sz="0" w:space="0" w:color="auto"/>
        <w:bottom w:val="none" w:sz="0" w:space="0" w:color="auto"/>
        <w:right w:val="none" w:sz="0" w:space="0" w:color="auto"/>
      </w:divBdr>
    </w:div>
    <w:div w:id="1775243100">
      <w:bodyDiv w:val="1"/>
      <w:marLeft w:val="0"/>
      <w:marRight w:val="0"/>
      <w:marTop w:val="0"/>
      <w:marBottom w:val="0"/>
      <w:divBdr>
        <w:top w:val="none" w:sz="0" w:space="0" w:color="auto"/>
        <w:left w:val="none" w:sz="0" w:space="0" w:color="auto"/>
        <w:bottom w:val="none" w:sz="0" w:space="0" w:color="auto"/>
        <w:right w:val="none" w:sz="0" w:space="0" w:color="auto"/>
      </w:divBdr>
    </w:div>
    <w:div w:id="1776558170">
      <w:bodyDiv w:val="1"/>
      <w:marLeft w:val="0"/>
      <w:marRight w:val="0"/>
      <w:marTop w:val="0"/>
      <w:marBottom w:val="0"/>
      <w:divBdr>
        <w:top w:val="none" w:sz="0" w:space="0" w:color="auto"/>
        <w:left w:val="none" w:sz="0" w:space="0" w:color="auto"/>
        <w:bottom w:val="none" w:sz="0" w:space="0" w:color="auto"/>
        <w:right w:val="none" w:sz="0" w:space="0" w:color="auto"/>
      </w:divBdr>
    </w:div>
    <w:div w:id="1779176590">
      <w:bodyDiv w:val="1"/>
      <w:marLeft w:val="0"/>
      <w:marRight w:val="0"/>
      <w:marTop w:val="0"/>
      <w:marBottom w:val="0"/>
      <w:divBdr>
        <w:top w:val="none" w:sz="0" w:space="0" w:color="auto"/>
        <w:left w:val="none" w:sz="0" w:space="0" w:color="auto"/>
        <w:bottom w:val="none" w:sz="0" w:space="0" w:color="auto"/>
        <w:right w:val="none" w:sz="0" w:space="0" w:color="auto"/>
      </w:divBdr>
    </w:div>
    <w:div w:id="1779523024">
      <w:marLeft w:val="0"/>
      <w:marRight w:val="0"/>
      <w:marTop w:val="0"/>
      <w:marBottom w:val="0"/>
      <w:divBdr>
        <w:top w:val="none" w:sz="0" w:space="0" w:color="auto"/>
        <w:left w:val="none" w:sz="0" w:space="0" w:color="auto"/>
        <w:bottom w:val="none" w:sz="0" w:space="0" w:color="auto"/>
        <w:right w:val="none" w:sz="0" w:space="0" w:color="auto"/>
      </w:divBdr>
    </w:div>
    <w:div w:id="1779913873">
      <w:bodyDiv w:val="1"/>
      <w:marLeft w:val="0"/>
      <w:marRight w:val="0"/>
      <w:marTop w:val="0"/>
      <w:marBottom w:val="0"/>
      <w:divBdr>
        <w:top w:val="none" w:sz="0" w:space="0" w:color="auto"/>
        <w:left w:val="none" w:sz="0" w:space="0" w:color="auto"/>
        <w:bottom w:val="none" w:sz="0" w:space="0" w:color="auto"/>
        <w:right w:val="none" w:sz="0" w:space="0" w:color="auto"/>
      </w:divBdr>
    </w:div>
    <w:div w:id="1781342106">
      <w:bodyDiv w:val="1"/>
      <w:marLeft w:val="0"/>
      <w:marRight w:val="0"/>
      <w:marTop w:val="0"/>
      <w:marBottom w:val="0"/>
      <w:divBdr>
        <w:top w:val="none" w:sz="0" w:space="0" w:color="auto"/>
        <w:left w:val="none" w:sz="0" w:space="0" w:color="auto"/>
        <w:bottom w:val="none" w:sz="0" w:space="0" w:color="auto"/>
        <w:right w:val="none" w:sz="0" w:space="0" w:color="auto"/>
      </w:divBdr>
    </w:div>
    <w:div w:id="1781607696">
      <w:bodyDiv w:val="1"/>
      <w:marLeft w:val="0"/>
      <w:marRight w:val="0"/>
      <w:marTop w:val="0"/>
      <w:marBottom w:val="0"/>
      <w:divBdr>
        <w:top w:val="none" w:sz="0" w:space="0" w:color="auto"/>
        <w:left w:val="none" w:sz="0" w:space="0" w:color="auto"/>
        <w:bottom w:val="none" w:sz="0" w:space="0" w:color="auto"/>
        <w:right w:val="none" w:sz="0" w:space="0" w:color="auto"/>
      </w:divBdr>
    </w:div>
    <w:div w:id="1781758622">
      <w:bodyDiv w:val="1"/>
      <w:marLeft w:val="0"/>
      <w:marRight w:val="0"/>
      <w:marTop w:val="0"/>
      <w:marBottom w:val="0"/>
      <w:divBdr>
        <w:top w:val="none" w:sz="0" w:space="0" w:color="auto"/>
        <w:left w:val="none" w:sz="0" w:space="0" w:color="auto"/>
        <w:bottom w:val="none" w:sz="0" w:space="0" w:color="auto"/>
        <w:right w:val="none" w:sz="0" w:space="0" w:color="auto"/>
      </w:divBdr>
    </w:div>
    <w:div w:id="1782414596">
      <w:bodyDiv w:val="1"/>
      <w:marLeft w:val="0"/>
      <w:marRight w:val="0"/>
      <w:marTop w:val="0"/>
      <w:marBottom w:val="0"/>
      <w:divBdr>
        <w:top w:val="none" w:sz="0" w:space="0" w:color="auto"/>
        <w:left w:val="none" w:sz="0" w:space="0" w:color="auto"/>
        <w:bottom w:val="none" w:sz="0" w:space="0" w:color="auto"/>
        <w:right w:val="none" w:sz="0" w:space="0" w:color="auto"/>
      </w:divBdr>
    </w:div>
    <w:div w:id="1785689425">
      <w:bodyDiv w:val="1"/>
      <w:marLeft w:val="0"/>
      <w:marRight w:val="0"/>
      <w:marTop w:val="0"/>
      <w:marBottom w:val="0"/>
      <w:divBdr>
        <w:top w:val="none" w:sz="0" w:space="0" w:color="auto"/>
        <w:left w:val="none" w:sz="0" w:space="0" w:color="auto"/>
        <w:bottom w:val="none" w:sz="0" w:space="0" w:color="auto"/>
        <w:right w:val="none" w:sz="0" w:space="0" w:color="auto"/>
      </w:divBdr>
    </w:div>
    <w:div w:id="1785880745">
      <w:bodyDiv w:val="1"/>
      <w:marLeft w:val="0"/>
      <w:marRight w:val="0"/>
      <w:marTop w:val="0"/>
      <w:marBottom w:val="0"/>
      <w:divBdr>
        <w:top w:val="none" w:sz="0" w:space="0" w:color="auto"/>
        <w:left w:val="none" w:sz="0" w:space="0" w:color="auto"/>
        <w:bottom w:val="none" w:sz="0" w:space="0" w:color="auto"/>
        <w:right w:val="none" w:sz="0" w:space="0" w:color="auto"/>
      </w:divBdr>
    </w:div>
    <w:div w:id="1786848251">
      <w:bodyDiv w:val="1"/>
      <w:marLeft w:val="0"/>
      <w:marRight w:val="0"/>
      <w:marTop w:val="0"/>
      <w:marBottom w:val="0"/>
      <w:divBdr>
        <w:top w:val="none" w:sz="0" w:space="0" w:color="auto"/>
        <w:left w:val="none" w:sz="0" w:space="0" w:color="auto"/>
        <w:bottom w:val="none" w:sz="0" w:space="0" w:color="auto"/>
        <w:right w:val="none" w:sz="0" w:space="0" w:color="auto"/>
      </w:divBdr>
    </w:div>
    <w:div w:id="1787848564">
      <w:bodyDiv w:val="1"/>
      <w:marLeft w:val="0"/>
      <w:marRight w:val="0"/>
      <w:marTop w:val="0"/>
      <w:marBottom w:val="0"/>
      <w:divBdr>
        <w:top w:val="none" w:sz="0" w:space="0" w:color="auto"/>
        <w:left w:val="none" w:sz="0" w:space="0" w:color="auto"/>
        <w:bottom w:val="none" w:sz="0" w:space="0" w:color="auto"/>
        <w:right w:val="none" w:sz="0" w:space="0" w:color="auto"/>
      </w:divBdr>
    </w:div>
    <w:div w:id="1788116753">
      <w:bodyDiv w:val="1"/>
      <w:marLeft w:val="0"/>
      <w:marRight w:val="0"/>
      <w:marTop w:val="0"/>
      <w:marBottom w:val="0"/>
      <w:divBdr>
        <w:top w:val="none" w:sz="0" w:space="0" w:color="auto"/>
        <w:left w:val="none" w:sz="0" w:space="0" w:color="auto"/>
        <w:bottom w:val="none" w:sz="0" w:space="0" w:color="auto"/>
        <w:right w:val="none" w:sz="0" w:space="0" w:color="auto"/>
      </w:divBdr>
    </w:div>
    <w:div w:id="1788698834">
      <w:bodyDiv w:val="1"/>
      <w:marLeft w:val="0"/>
      <w:marRight w:val="0"/>
      <w:marTop w:val="0"/>
      <w:marBottom w:val="0"/>
      <w:divBdr>
        <w:top w:val="none" w:sz="0" w:space="0" w:color="auto"/>
        <w:left w:val="none" w:sz="0" w:space="0" w:color="auto"/>
        <w:bottom w:val="none" w:sz="0" w:space="0" w:color="auto"/>
        <w:right w:val="none" w:sz="0" w:space="0" w:color="auto"/>
      </w:divBdr>
    </w:div>
    <w:div w:id="1789624060">
      <w:bodyDiv w:val="1"/>
      <w:marLeft w:val="0"/>
      <w:marRight w:val="0"/>
      <w:marTop w:val="0"/>
      <w:marBottom w:val="0"/>
      <w:divBdr>
        <w:top w:val="none" w:sz="0" w:space="0" w:color="auto"/>
        <w:left w:val="none" w:sz="0" w:space="0" w:color="auto"/>
        <w:bottom w:val="none" w:sz="0" w:space="0" w:color="auto"/>
        <w:right w:val="none" w:sz="0" w:space="0" w:color="auto"/>
      </w:divBdr>
    </w:div>
    <w:div w:id="1792749224">
      <w:bodyDiv w:val="1"/>
      <w:marLeft w:val="0"/>
      <w:marRight w:val="0"/>
      <w:marTop w:val="0"/>
      <w:marBottom w:val="0"/>
      <w:divBdr>
        <w:top w:val="none" w:sz="0" w:space="0" w:color="auto"/>
        <w:left w:val="none" w:sz="0" w:space="0" w:color="auto"/>
        <w:bottom w:val="none" w:sz="0" w:space="0" w:color="auto"/>
        <w:right w:val="none" w:sz="0" w:space="0" w:color="auto"/>
      </w:divBdr>
    </w:div>
    <w:div w:id="1792941466">
      <w:marLeft w:val="0"/>
      <w:marRight w:val="0"/>
      <w:marTop w:val="0"/>
      <w:marBottom w:val="0"/>
      <w:divBdr>
        <w:top w:val="none" w:sz="0" w:space="0" w:color="auto"/>
        <w:left w:val="none" w:sz="0" w:space="0" w:color="auto"/>
        <w:bottom w:val="none" w:sz="0" w:space="0" w:color="auto"/>
        <w:right w:val="none" w:sz="0" w:space="0" w:color="auto"/>
      </w:divBdr>
    </w:div>
    <w:div w:id="1795175123">
      <w:bodyDiv w:val="1"/>
      <w:marLeft w:val="0"/>
      <w:marRight w:val="0"/>
      <w:marTop w:val="0"/>
      <w:marBottom w:val="0"/>
      <w:divBdr>
        <w:top w:val="none" w:sz="0" w:space="0" w:color="auto"/>
        <w:left w:val="none" w:sz="0" w:space="0" w:color="auto"/>
        <w:bottom w:val="none" w:sz="0" w:space="0" w:color="auto"/>
        <w:right w:val="none" w:sz="0" w:space="0" w:color="auto"/>
      </w:divBdr>
    </w:div>
    <w:div w:id="1795636232">
      <w:bodyDiv w:val="1"/>
      <w:marLeft w:val="0"/>
      <w:marRight w:val="0"/>
      <w:marTop w:val="0"/>
      <w:marBottom w:val="0"/>
      <w:divBdr>
        <w:top w:val="none" w:sz="0" w:space="0" w:color="auto"/>
        <w:left w:val="none" w:sz="0" w:space="0" w:color="auto"/>
        <w:bottom w:val="none" w:sz="0" w:space="0" w:color="auto"/>
        <w:right w:val="none" w:sz="0" w:space="0" w:color="auto"/>
      </w:divBdr>
    </w:div>
    <w:div w:id="1796170523">
      <w:bodyDiv w:val="1"/>
      <w:marLeft w:val="0"/>
      <w:marRight w:val="0"/>
      <w:marTop w:val="0"/>
      <w:marBottom w:val="0"/>
      <w:divBdr>
        <w:top w:val="none" w:sz="0" w:space="0" w:color="auto"/>
        <w:left w:val="none" w:sz="0" w:space="0" w:color="auto"/>
        <w:bottom w:val="none" w:sz="0" w:space="0" w:color="auto"/>
        <w:right w:val="none" w:sz="0" w:space="0" w:color="auto"/>
      </w:divBdr>
    </w:div>
    <w:div w:id="1796756382">
      <w:bodyDiv w:val="1"/>
      <w:marLeft w:val="0"/>
      <w:marRight w:val="0"/>
      <w:marTop w:val="0"/>
      <w:marBottom w:val="0"/>
      <w:divBdr>
        <w:top w:val="none" w:sz="0" w:space="0" w:color="auto"/>
        <w:left w:val="none" w:sz="0" w:space="0" w:color="auto"/>
        <w:bottom w:val="none" w:sz="0" w:space="0" w:color="auto"/>
        <w:right w:val="none" w:sz="0" w:space="0" w:color="auto"/>
      </w:divBdr>
    </w:div>
    <w:div w:id="1797523252">
      <w:bodyDiv w:val="1"/>
      <w:marLeft w:val="0"/>
      <w:marRight w:val="0"/>
      <w:marTop w:val="0"/>
      <w:marBottom w:val="0"/>
      <w:divBdr>
        <w:top w:val="none" w:sz="0" w:space="0" w:color="auto"/>
        <w:left w:val="none" w:sz="0" w:space="0" w:color="auto"/>
        <w:bottom w:val="none" w:sz="0" w:space="0" w:color="auto"/>
        <w:right w:val="none" w:sz="0" w:space="0" w:color="auto"/>
      </w:divBdr>
    </w:div>
    <w:div w:id="1798570098">
      <w:bodyDiv w:val="1"/>
      <w:marLeft w:val="0"/>
      <w:marRight w:val="0"/>
      <w:marTop w:val="0"/>
      <w:marBottom w:val="0"/>
      <w:divBdr>
        <w:top w:val="none" w:sz="0" w:space="0" w:color="auto"/>
        <w:left w:val="none" w:sz="0" w:space="0" w:color="auto"/>
        <w:bottom w:val="none" w:sz="0" w:space="0" w:color="auto"/>
        <w:right w:val="none" w:sz="0" w:space="0" w:color="auto"/>
      </w:divBdr>
    </w:div>
    <w:div w:id="1798835586">
      <w:bodyDiv w:val="1"/>
      <w:marLeft w:val="0"/>
      <w:marRight w:val="0"/>
      <w:marTop w:val="0"/>
      <w:marBottom w:val="0"/>
      <w:divBdr>
        <w:top w:val="none" w:sz="0" w:space="0" w:color="auto"/>
        <w:left w:val="none" w:sz="0" w:space="0" w:color="auto"/>
        <w:bottom w:val="none" w:sz="0" w:space="0" w:color="auto"/>
        <w:right w:val="none" w:sz="0" w:space="0" w:color="auto"/>
      </w:divBdr>
    </w:div>
    <w:div w:id="1799180420">
      <w:bodyDiv w:val="1"/>
      <w:marLeft w:val="0"/>
      <w:marRight w:val="0"/>
      <w:marTop w:val="0"/>
      <w:marBottom w:val="0"/>
      <w:divBdr>
        <w:top w:val="none" w:sz="0" w:space="0" w:color="auto"/>
        <w:left w:val="none" w:sz="0" w:space="0" w:color="auto"/>
        <w:bottom w:val="none" w:sz="0" w:space="0" w:color="auto"/>
        <w:right w:val="none" w:sz="0" w:space="0" w:color="auto"/>
      </w:divBdr>
    </w:div>
    <w:div w:id="1799956966">
      <w:bodyDiv w:val="1"/>
      <w:marLeft w:val="0"/>
      <w:marRight w:val="0"/>
      <w:marTop w:val="0"/>
      <w:marBottom w:val="0"/>
      <w:divBdr>
        <w:top w:val="none" w:sz="0" w:space="0" w:color="auto"/>
        <w:left w:val="none" w:sz="0" w:space="0" w:color="auto"/>
        <w:bottom w:val="none" w:sz="0" w:space="0" w:color="auto"/>
        <w:right w:val="none" w:sz="0" w:space="0" w:color="auto"/>
      </w:divBdr>
    </w:div>
    <w:div w:id="1800952328">
      <w:bodyDiv w:val="1"/>
      <w:marLeft w:val="0"/>
      <w:marRight w:val="0"/>
      <w:marTop w:val="0"/>
      <w:marBottom w:val="0"/>
      <w:divBdr>
        <w:top w:val="none" w:sz="0" w:space="0" w:color="auto"/>
        <w:left w:val="none" w:sz="0" w:space="0" w:color="auto"/>
        <w:bottom w:val="none" w:sz="0" w:space="0" w:color="auto"/>
        <w:right w:val="none" w:sz="0" w:space="0" w:color="auto"/>
      </w:divBdr>
    </w:div>
    <w:div w:id="1802919017">
      <w:bodyDiv w:val="1"/>
      <w:marLeft w:val="0"/>
      <w:marRight w:val="0"/>
      <w:marTop w:val="0"/>
      <w:marBottom w:val="0"/>
      <w:divBdr>
        <w:top w:val="none" w:sz="0" w:space="0" w:color="auto"/>
        <w:left w:val="none" w:sz="0" w:space="0" w:color="auto"/>
        <w:bottom w:val="none" w:sz="0" w:space="0" w:color="auto"/>
        <w:right w:val="none" w:sz="0" w:space="0" w:color="auto"/>
      </w:divBdr>
    </w:div>
    <w:div w:id="1802919056">
      <w:bodyDiv w:val="1"/>
      <w:marLeft w:val="0"/>
      <w:marRight w:val="0"/>
      <w:marTop w:val="0"/>
      <w:marBottom w:val="0"/>
      <w:divBdr>
        <w:top w:val="none" w:sz="0" w:space="0" w:color="auto"/>
        <w:left w:val="none" w:sz="0" w:space="0" w:color="auto"/>
        <w:bottom w:val="none" w:sz="0" w:space="0" w:color="auto"/>
        <w:right w:val="none" w:sz="0" w:space="0" w:color="auto"/>
      </w:divBdr>
    </w:div>
    <w:div w:id="1803496915">
      <w:bodyDiv w:val="1"/>
      <w:marLeft w:val="0"/>
      <w:marRight w:val="0"/>
      <w:marTop w:val="0"/>
      <w:marBottom w:val="0"/>
      <w:divBdr>
        <w:top w:val="none" w:sz="0" w:space="0" w:color="auto"/>
        <w:left w:val="none" w:sz="0" w:space="0" w:color="auto"/>
        <w:bottom w:val="none" w:sz="0" w:space="0" w:color="auto"/>
        <w:right w:val="none" w:sz="0" w:space="0" w:color="auto"/>
      </w:divBdr>
    </w:div>
    <w:div w:id="1803645953">
      <w:bodyDiv w:val="1"/>
      <w:marLeft w:val="0"/>
      <w:marRight w:val="0"/>
      <w:marTop w:val="0"/>
      <w:marBottom w:val="0"/>
      <w:divBdr>
        <w:top w:val="none" w:sz="0" w:space="0" w:color="auto"/>
        <w:left w:val="none" w:sz="0" w:space="0" w:color="auto"/>
        <w:bottom w:val="none" w:sz="0" w:space="0" w:color="auto"/>
        <w:right w:val="none" w:sz="0" w:space="0" w:color="auto"/>
      </w:divBdr>
    </w:div>
    <w:div w:id="1803768780">
      <w:bodyDiv w:val="1"/>
      <w:marLeft w:val="0"/>
      <w:marRight w:val="0"/>
      <w:marTop w:val="0"/>
      <w:marBottom w:val="0"/>
      <w:divBdr>
        <w:top w:val="none" w:sz="0" w:space="0" w:color="auto"/>
        <w:left w:val="none" w:sz="0" w:space="0" w:color="auto"/>
        <w:bottom w:val="none" w:sz="0" w:space="0" w:color="auto"/>
        <w:right w:val="none" w:sz="0" w:space="0" w:color="auto"/>
      </w:divBdr>
    </w:div>
    <w:div w:id="1804694907">
      <w:bodyDiv w:val="1"/>
      <w:marLeft w:val="0"/>
      <w:marRight w:val="0"/>
      <w:marTop w:val="0"/>
      <w:marBottom w:val="0"/>
      <w:divBdr>
        <w:top w:val="none" w:sz="0" w:space="0" w:color="auto"/>
        <w:left w:val="none" w:sz="0" w:space="0" w:color="auto"/>
        <w:bottom w:val="none" w:sz="0" w:space="0" w:color="auto"/>
        <w:right w:val="none" w:sz="0" w:space="0" w:color="auto"/>
      </w:divBdr>
    </w:div>
    <w:div w:id="1805468539">
      <w:bodyDiv w:val="1"/>
      <w:marLeft w:val="0"/>
      <w:marRight w:val="0"/>
      <w:marTop w:val="0"/>
      <w:marBottom w:val="0"/>
      <w:divBdr>
        <w:top w:val="none" w:sz="0" w:space="0" w:color="auto"/>
        <w:left w:val="none" w:sz="0" w:space="0" w:color="auto"/>
        <w:bottom w:val="none" w:sz="0" w:space="0" w:color="auto"/>
        <w:right w:val="none" w:sz="0" w:space="0" w:color="auto"/>
      </w:divBdr>
    </w:div>
    <w:div w:id="1806001504">
      <w:bodyDiv w:val="1"/>
      <w:marLeft w:val="0"/>
      <w:marRight w:val="0"/>
      <w:marTop w:val="0"/>
      <w:marBottom w:val="0"/>
      <w:divBdr>
        <w:top w:val="none" w:sz="0" w:space="0" w:color="auto"/>
        <w:left w:val="none" w:sz="0" w:space="0" w:color="auto"/>
        <w:bottom w:val="none" w:sz="0" w:space="0" w:color="auto"/>
        <w:right w:val="none" w:sz="0" w:space="0" w:color="auto"/>
      </w:divBdr>
    </w:div>
    <w:div w:id="1807040088">
      <w:bodyDiv w:val="1"/>
      <w:marLeft w:val="0"/>
      <w:marRight w:val="0"/>
      <w:marTop w:val="0"/>
      <w:marBottom w:val="0"/>
      <w:divBdr>
        <w:top w:val="none" w:sz="0" w:space="0" w:color="auto"/>
        <w:left w:val="none" w:sz="0" w:space="0" w:color="auto"/>
        <w:bottom w:val="none" w:sz="0" w:space="0" w:color="auto"/>
        <w:right w:val="none" w:sz="0" w:space="0" w:color="auto"/>
      </w:divBdr>
    </w:div>
    <w:div w:id="1807889926">
      <w:bodyDiv w:val="1"/>
      <w:marLeft w:val="0"/>
      <w:marRight w:val="0"/>
      <w:marTop w:val="0"/>
      <w:marBottom w:val="0"/>
      <w:divBdr>
        <w:top w:val="none" w:sz="0" w:space="0" w:color="auto"/>
        <w:left w:val="none" w:sz="0" w:space="0" w:color="auto"/>
        <w:bottom w:val="none" w:sz="0" w:space="0" w:color="auto"/>
        <w:right w:val="none" w:sz="0" w:space="0" w:color="auto"/>
      </w:divBdr>
    </w:div>
    <w:div w:id="1809082970">
      <w:bodyDiv w:val="1"/>
      <w:marLeft w:val="0"/>
      <w:marRight w:val="0"/>
      <w:marTop w:val="0"/>
      <w:marBottom w:val="0"/>
      <w:divBdr>
        <w:top w:val="none" w:sz="0" w:space="0" w:color="auto"/>
        <w:left w:val="none" w:sz="0" w:space="0" w:color="auto"/>
        <w:bottom w:val="none" w:sz="0" w:space="0" w:color="auto"/>
        <w:right w:val="none" w:sz="0" w:space="0" w:color="auto"/>
      </w:divBdr>
    </w:div>
    <w:div w:id="1809663847">
      <w:bodyDiv w:val="1"/>
      <w:marLeft w:val="0"/>
      <w:marRight w:val="0"/>
      <w:marTop w:val="0"/>
      <w:marBottom w:val="0"/>
      <w:divBdr>
        <w:top w:val="none" w:sz="0" w:space="0" w:color="auto"/>
        <w:left w:val="none" w:sz="0" w:space="0" w:color="auto"/>
        <w:bottom w:val="none" w:sz="0" w:space="0" w:color="auto"/>
        <w:right w:val="none" w:sz="0" w:space="0" w:color="auto"/>
      </w:divBdr>
    </w:div>
    <w:div w:id="1810005948">
      <w:bodyDiv w:val="1"/>
      <w:marLeft w:val="0"/>
      <w:marRight w:val="0"/>
      <w:marTop w:val="0"/>
      <w:marBottom w:val="0"/>
      <w:divBdr>
        <w:top w:val="none" w:sz="0" w:space="0" w:color="auto"/>
        <w:left w:val="none" w:sz="0" w:space="0" w:color="auto"/>
        <w:bottom w:val="none" w:sz="0" w:space="0" w:color="auto"/>
        <w:right w:val="none" w:sz="0" w:space="0" w:color="auto"/>
      </w:divBdr>
    </w:div>
    <w:div w:id="1810515200">
      <w:bodyDiv w:val="1"/>
      <w:marLeft w:val="0"/>
      <w:marRight w:val="0"/>
      <w:marTop w:val="0"/>
      <w:marBottom w:val="0"/>
      <w:divBdr>
        <w:top w:val="none" w:sz="0" w:space="0" w:color="auto"/>
        <w:left w:val="none" w:sz="0" w:space="0" w:color="auto"/>
        <w:bottom w:val="none" w:sz="0" w:space="0" w:color="auto"/>
        <w:right w:val="none" w:sz="0" w:space="0" w:color="auto"/>
      </w:divBdr>
    </w:div>
    <w:div w:id="1811050372">
      <w:bodyDiv w:val="1"/>
      <w:marLeft w:val="0"/>
      <w:marRight w:val="0"/>
      <w:marTop w:val="0"/>
      <w:marBottom w:val="0"/>
      <w:divBdr>
        <w:top w:val="none" w:sz="0" w:space="0" w:color="auto"/>
        <w:left w:val="none" w:sz="0" w:space="0" w:color="auto"/>
        <w:bottom w:val="none" w:sz="0" w:space="0" w:color="auto"/>
        <w:right w:val="none" w:sz="0" w:space="0" w:color="auto"/>
      </w:divBdr>
    </w:div>
    <w:div w:id="1811435341">
      <w:bodyDiv w:val="1"/>
      <w:marLeft w:val="0"/>
      <w:marRight w:val="0"/>
      <w:marTop w:val="0"/>
      <w:marBottom w:val="0"/>
      <w:divBdr>
        <w:top w:val="none" w:sz="0" w:space="0" w:color="auto"/>
        <w:left w:val="none" w:sz="0" w:space="0" w:color="auto"/>
        <w:bottom w:val="none" w:sz="0" w:space="0" w:color="auto"/>
        <w:right w:val="none" w:sz="0" w:space="0" w:color="auto"/>
      </w:divBdr>
    </w:div>
    <w:div w:id="1812941113">
      <w:bodyDiv w:val="1"/>
      <w:marLeft w:val="0"/>
      <w:marRight w:val="0"/>
      <w:marTop w:val="0"/>
      <w:marBottom w:val="0"/>
      <w:divBdr>
        <w:top w:val="none" w:sz="0" w:space="0" w:color="auto"/>
        <w:left w:val="none" w:sz="0" w:space="0" w:color="auto"/>
        <w:bottom w:val="none" w:sz="0" w:space="0" w:color="auto"/>
        <w:right w:val="none" w:sz="0" w:space="0" w:color="auto"/>
      </w:divBdr>
    </w:div>
    <w:div w:id="1815675520">
      <w:bodyDiv w:val="1"/>
      <w:marLeft w:val="0"/>
      <w:marRight w:val="0"/>
      <w:marTop w:val="0"/>
      <w:marBottom w:val="0"/>
      <w:divBdr>
        <w:top w:val="none" w:sz="0" w:space="0" w:color="auto"/>
        <w:left w:val="none" w:sz="0" w:space="0" w:color="auto"/>
        <w:bottom w:val="none" w:sz="0" w:space="0" w:color="auto"/>
        <w:right w:val="none" w:sz="0" w:space="0" w:color="auto"/>
      </w:divBdr>
    </w:div>
    <w:div w:id="1816029086">
      <w:bodyDiv w:val="1"/>
      <w:marLeft w:val="0"/>
      <w:marRight w:val="0"/>
      <w:marTop w:val="0"/>
      <w:marBottom w:val="0"/>
      <w:divBdr>
        <w:top w:val="none" w:sz="0" w:space="0" w:color="auto"/>
        <w:left w:val="none" w:sz="0" w:space="0" w:color="auto"/>
        <w:bottom w:val="none" w:sz="0" w:space="0" w:color="auto"/>
        <w:right w:val="none" w:sz="0" w:space="0" w:color="auto"/>
      </w:divBdr>
    </w:div>
    <w:div w:id="1816490293">
      <w:bodyDiv w:val="1"/>
      <w:marLeft w:val="0"/>
      <w:marRight w:val="0"/>
      <w:marTop w:val="0"/>
      <w:marBottom w:val="0"/>
      <w:divBdr>
        <w:top w:val="none" w:sz="0" w:space="0" w:color="auto"/>
        <w:left w:val="none" w:sz="0" w:space="0" w:color="auto"/>
        <w:bottom w:val="none" w:sz="0" w:space="0" w:color="auto"/>
        <w:right w:val="none" w:sz="0" w:space="0" w:color="auto"/>
      </w:divBdr>
    </w:div>
    <w:div w:id="1816752568">
      <w:bodyDiv w:val="1"/>
      <w:marLeft w:val="0"/>
      <w:marRight w:val="0"/>
      <w:marTop w:val="0"/>
      <w:marBottom w:val="0"/>
      <w:divBdr>
        <w:top w:val="none" w:sz="0" w:space="0" w:color="auto"/>
        <w:left w:val="none" w:sz="0" w:space="0" w:color="auto"/>
        <w:bottom w:val="none" w:sz="0" w:space="0" w:color="auto"/>
        <w:right w:val="none" w:sz="0" w:space="0" w:color="auto"/>
      </w:divBdr>
    </w:div>
    <w:div w:id="1817330068">
      <w:bodyDiv w:val="1"/>
      <w:marLeft w:val="0"/>
      <w:marRight w:val="0"/>
      <w:marTop w:val="0"/>
      <w:marBottom w:val="0"/>
      <w:divBdr>
        <w:top w:val="none" w:sz="0" w:space="0" w:color="auto"/>
        <w:left w:val="none" w:sz="0" w:space="0" w:color="auto"/>
        <w:bottom w:val="none" w:sz="0" w:space="0" w:color="auto"/>
        <w:right w:val="none" w:sz="0" w:space="0" w:color="auto"/>
      </w:divBdr>
    </w:div>
    <w:div w:id="18181813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354">
          <w:marLeft w:val="0"/>
          <w:marRight w:val="0"/>
          <w:marTop w:val="0"/>
          <w:marBottom w:val="0"/>
          <w:divBdr>
            <w:top w:val="none" w:sz="0" w:space="0" w:color="auto"/>
            <w:left w:val="none" w:sz="0" w:space="0" w:color="auto"/>
            <w:bottom w:val="none" w:sz="0" w:space="0" w:color="auto"/>
            <w:right w:val="none" w:sz="0" w:space="0" w:color="auto"/>
          </w:divBdr>
        </w:div>
      </w:divsChild>
    </w:div>
    <w:div w:id="1820262804">
      <w:bodyDiv w:val="1"/>
      <w:marLeft w:val="0"/>
      <w:marRight w:val="0"/>
      <w:marTop w:val="0"/>
      <w:marBottom w:val="0"/>
      <w:divBdr>
        <w:top w:val="none" w:sz="0" w:space="0" w:color="auto"/>
        <w:left w:val="none" w:sz="0" w:space="0" w:color="auto"/>
        <w:bottom w:val="none" w:sz="0" w:space="0" w:color="auto"/>
        <w:right w:val="none" w:sz="0" w:space="0" w:color="auto"/>
      </w:divBdr>
    </w:div>
    <w:div w:id="1820878341">
      <w:bodyDiv w:val="1"/>
      <w:marLeft w:val="0"/>
      <w:marRight w:val="0"/>
      <w:marTop w:val="0"/>
      <w:marBottom w:val="0"/>
      <w:divBdr>
        <w:top w:val="none" w:sz="0" w:space="0" w:color="auto"/>
        <w:left w:val="none" w:sz="0" w:space="0" w:color="auto"/>
        <w:bottom w:val="none" w:sz="0" w:space="0" w:color="auto"/>
        <w:right w:val="none" w:sz="0" w:space="0" w:color="auto"/>
      </w:divBdr>
    </w:div>
    <w:div w:id="1821652882">
      <w:bodyDiv w:val="1"/>
      <w:marLeft w:val="0"/>
      <w:marRight w:val="0"/>
      <w:marTop w:val="0"/>
      <w:marBottom w:val="0"/>
      <w:divBdr>
        <w:top w:val="none" w:sz="0" w:space="0" w:color="auto"/>
        <w:left w:val="none" w:sz="0" w:space="0" w:color="auto"/>
        <w:bottom w:val="none" w:sz="0" w:space="0" w:color="auto"/>
        <w:right w:val="none" w:sz="0" w:space="0" w:color="auto"/>
      </w:divBdr>
    </w:div>
    <w:div w:id="1821729976">
      <w:bodyDiv w:val="1"/>
      <w:marLeft w:val="0"/>
      <w:marRight w:val="0"/>
      <w:marTop w:val="0"/>
      <w:marBottom w:val="0"/>
      <w:divBdr>
        <w:top w:val="none" w:sz="0" w:space="0" w:color="auto"/>
        <w:left w:val="none" w:sz="0" w:space="0" w:color="auto"/>
        <w:bottom w:val="none" w:sz="0" w:space="0" w:color="auto"/>
        <w:right w:val="none" w:sz="0" w:space="0" w:color="auto"/>
      </w:divBdr>
    </w:div>
    <w:div w:id="1822426008">
      <w:bodyDiv w:val="1"/>
      <w:marLeft w:val="0"/>
      <w:marRight w:val="0"/>
      <w:marTop w:val="0"/>
      <w:marBottom w:val="0"/>
      <w:divBdr>
        <w:top w:val="none" w:sz="0" w:space="0" w:color="auto"/>
        <w:left w:val="none" w:sz="0" w:space="0" w:color="auto"/>
        <w:bottom w:val="none" w:sz="0" w:space="0" w:color="auto"/>
        <w:right w:val="none" w:sz="0" w:space="0" w:color="auto"/>
      </w:divBdr>
    </w:div>
    <w:div w:id="1822623694">
      <w:bodyDiv w:val="1"/>
      <w:marLeft w:val="0"/>
      <w:marRight w:val="0"/>
      <w:marTop w:val="0"/>
      <w:marBottom w:val="0"/>
      <w:divBdr>
        <w:top w:val="none" w:sz="0" w:space="0" w:color="auto"/>
        <w:left w:val="none" w:sz="0" w:space="0" w:color="auto"/>
        <w:bottom w:val="none" w:sz="0" w:space="0" w:color="auto"/>
        <w:right w:val="none" w:sz="0" w:space="0" w:color="auto"/>
      </w:divBdr>
    </w:div>
    <w:div w:id="1823234348">
      <w:bodyDiv w:val="1"/>
      <w:marLeft w:val="0"/>
      <w:marRight w:val="0"/>
      <w:marTop w:val="0"/>
      <w:marBottom w:val="0"/>
      <w:divBdr>
        <w:top w:val="none" w:sz="0" w:space="0" w:color="auto"/>
        <w:left w:val="none" w:sz="0" w:space="0" w:color="auto"/>
        <w:bottom w:val="none" w:sz="0" w:space="0" w:color="auto"/>
        <w:right w:val="none" w:sz="0" w:space="0" w:color="auto"/>
      </w:divBdr>
    </w:div>
    <w:div w:id="1823616588">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26624127">
      <w:bodyDiv w:val="1"/>
      <w:marLeft w:val="0"/>
      <w:marRight w:val="0"/>
      <w:marTop w:val="0"/>
      <w:marBottom w:val="0"/>
      <w:divBdr>
        <w:top w:val="none" w:sz="0" w:space="0" w:color="auto"/>
        <w:left w:val="none" w:sz="0" w:space="0" w:color="auto"/>
        <w:bottom w:val="none" w:sz="0" w:space="0" w:color="auto"/>
        <w:right w:val="none" w:sz="0" w:space="0" w:color="auto"/>
      </w:divBdr>
    </w:div>
    <w:div w:id="1827017186">
      <w:bodyDiv w:val="1"/>
      <w:marLeft w:val="0"/>
      <w:marRight w:val="0"/>
      <w:marTop w:val="0"/>
      <w:marBottom w:val="0"/>
      <w:divBdr>
        <w:top w:val="none" w:sz="0" w:space="0" w:color="auto"/>
        <w:left w:val="none" w:sz="0" w:space="0" w:color="auto"/>
        <w:bottom w:val="none" w:sz="0" w:space="0" w:color="auto"/>
        <w:right w:val="none" w:sz="0" w:space="0" w:color="auto"/>
      </w:divBdr>
    </w:div>
    <w:div w:id="1827236341">
      <w:bodyDiv w:val="1"/>
      <w:marLeft w:val="0"/>
      <w:marRight w:val="0"/>
      <w:marTop w:val="0"/>
      <w:marBottom w:val="0"/>
      <w:divBdr>
        <w:top w:val="none" w:sz="0" w:space="0" w:color="auto"/>
        <w:left w:val="none" w:sz="0" w:space="0" w:color="auto"/>
        <w:bottom w:val="none" w:sz="0" w:space="0" w:color="auto"/>
        <w:right w:val="none" w:sz="0" w:space="0" w:color="auto"/>
      </w:divBdr>
    </w:div>
    <w:div w:id="1827285112">
      <w:bodyDiv w:val="1"/>
      <w:marLeft w:val="0"/>
      <w:marRight w:val="0"/>
      <w:marTop w:val="0"/>
      <w:marBottom w:val="0"/>
      <w:divBdr>
        <w:top w:val="none" w:sz="0" w:space="0" w:color="auto"/>
        <w:left w:val="none" w:sz="0" w:space="0" w:color="auto"/>
        <w:bottom w:val="none" w:sz="0" w:space="0" w:color="auto"/>
        <w:right w:val="none" w:sz="0" w:space="0" w:color="auto"/>
      </w:divBdr>
      <w:divsChild>
        <w:div w:id="240721253">
          <w:marLeft w:val="0"/>
          <w:marRight w:val="0"/>
          <w:marTop w:val="0"/>
          <w:marBottom w:val="0"/>
          <w:divBdr>
            <w:top w:val="none" w:sz="0" w:space="0" w:color="auto"/>
            <w:left w:val="none" w:sz="0" w:space="0" w:color="auto"/>
            <w:bottom w:val="none" w:sz="0" w:space="0" w:color="auto"/>
            <w:right w:val="none" w:sz="0" w:space="0" w:color="auto"/>
          </w:divBdr>
        </w:div>
        <w:div w:id="340082825">
          <w:marLeft w:val="0"/>
          <w:marRight w:val="0"/>
          <w:marTop w:val="0"/>
          <w:marBottom w:val="0"/>
          <w:divBdr>
            <w:top w:val="none" w:sz="0" w:space="0" w:color="auto"/>
            <w:left w:val="none" w:sz="0" w:space="0" w:color="auto"/>
            <w:bottom w:val="none" w:sz="0" w:space="0" w:color="auto"/>
            <w:right w:val="none" w:sz="0" w:space="0" w:color="auto"/>
          </w:divBdr>
        </w:div>
        <w:div w:id="1291060495">
          <w:marLeft w:val="0"/>
          <w:marRight w:val="0"/>
          <w:marTop w:val="0"/>
          <w:marBottom w:val="0"/>
          <w:divBdr>
            <w:top w:val="none" w:sz="0" w:space="0" w:color="auto"/>
            <w:left w:val="none" w:sz="0" w:space="0" w:color="auto"/>
            <w:bottom w:val="none" w:sz="0" w:space="0" w:color="auto"/>
            <w:right w:val="none" w:sz="0" w:space="0" w:color="auto"/>
          </w:divBdr>
        </w:div>
      </w:divsChild>
    </w:div>
    <w:div w:id="1828469985">
      <w:bodyDiv w:val="1"/>
      <w:marLeft w:val="0"/>
      <w:marRight w:val="0"/>
      <w:marTop w:val="0"/>
      <w:marBottom w:val="0"/>
      <w:divBdr>
        <w:top w:val="none" w:sz="0" w:space="0" w:color="auto"/>
        <w:left w:val="none" w:sz="0" w:space="0" w:color="auto"/>
        <w:bottom w:val="none" w:sz="0" w:space="0" w:color="auto"/>
        <w:right w:val="none" w:sz="0" w:space="0" w:color="auto"/>
      </w:divBdr>
    </w:div>
    <w:div w:id="1829393762">
      <w:bodyDiv w:val="1"/>
      <w:marLeft w:val="0"/>
      <w:marRight w:val="0"/>
      <w:marTop w:val="0"/>
      <w:marBottom w:val="0"/>
      <w:divBdr>
        <w:top w:val="none" w:sz="0" w:space="0" w:color="auto"/>
        <w:left w:val="none" w:sz="0" w:space="0" w:color="auto"/>
        <w:bottom w:val="none" w:sz="0" w:space="0" w:color="auto"/>
        <w:right w:val="none" w:sz="0" w:space="0" w:color="auto"/>
      </w:divBdr>
    </w:div>
    <w:div w:id="1829977129">
      <w:bodyDiv w:val="1"/>
      <w:marLeft w:val="0"/>
      <w:marRight w:val="0"/>
      <w:marTop w:val="0"/>
      <w:marBottom w:val="0"/>
      <w:divBdr>
        <w:top w:val="none" w:sz="0" w:space="0" w:color="auto"/>
        <w:left w:val="none" w:sz="0" w:space="0" w:color="auto"/>
        <w:bottom w:val="none" w:sz="0" w:space="0" w:color="auto"/>
        <w:right w:val="none" w:sz="0" w:space="0" w:color="auto"/>
      </w:divBdr>
    </w:div>
    <w:div w:id="1830713765">
      <w:bodyDiv w:val="1"/>
      <w:marLeft w:val="0"/>
      <w:marRight w:val="0"/>
      <w:marTop w:val="0"/>
      <w:marBottom w:val="0"/>
      <w:divBdr>
        <w:top w:val="none" w:sz="0" w:space="0" w:color="auto"/>
        <w:left w:val="none" w:sz="0" w:space="0" w:color="auto"/>
        <w:bottom w:val="none" w:sz="0" w:space="0" w:color="auto"/>
        <w:right w:val="none" w:sz="0" w:space="0" w:color="auto"/>
      </w:divBdr>
    </w:div>
    <w:div w:id="1831477618">
      <w:bodyDiv w:val="1"/>
      <w:marLeft w:val="0"/>
      <w:marRight w:val="0"/>
      <w:marTop w:val="0"/>
      <w:marBottom w:val="0"/>
      <w:divBdr>
        <w:top w:val="none" w:sz="0" w:space="0" w:color="auto"/>
        <w:left w:val="none" w:sz="0" w:space="0" w:color="auto"/>
        <w:bottom w:val="none" w:sz="0" w:space="0" w:color="auto"/>
        <w:right w:val="none" w:sz="0" w:space="0" w:color="auto"/>
      </w:divBdr>
    </w:div>
    <w:div w:id="1831604765">
      <w:bodyDiv w:val="1"/>
      <w:marLeft w:val="0"/>
      <w:marRight w:val="0"/>
      <w:marTop w:val="0"/>
      <w:marBottom w:val="0"/>
      <w:divBdr>
        <w:top w:val="none" w:sz="0" w:space="0" w:color="auto"/>
        <w:left w:val="none" w:sz="0" w:space="0" w:color="auto"/>
        <w:bottom w:val="none" w:sz="0" w:space="0" w:color="auto"/>
        <w:right w:val="none" w:sz="0" w:space="0" w:color="auto"/>
      </w:divBdr>
    </w:div>
    <w:div w:id="1832021368">
      <w:bodyDiv w:val="1"/>
      <w:marLeft w:val="0"/>
      <w:marRight w:val="0"/>
      <w:marTop w:val="0"/>
      <w:marBottom w:val="0"/>
      <w:divBdr>
        <w:top w:val="none" w:sz="0" w:space="0" w:color="auto"/>
        <w:left w:val="none" w:sz="0" w:space="0" w:color="auto"/>
        <w:bottom w:val="none" w:sz="0" w:space="0" w:color="auto"/>
        <w:right w:val="none" w:sz="0" w:space="0" w:color="auto"/>
      </w:divBdr>
    </w:div>
    <w:div w:id="1832720838">
      <w:bodyDiv w:val="1"/>
      <w:marLeft w:val="0"/>
      <w:marRight w:val="0"/>
      <w:marTop w:val="0"/>
      <w:marBottom w:val="0"/>
      <w:divBdr>
        <w:top w:val="none" w:sz="0" w:space="0" w:color="auto"/>
        <w:left w:val="none" w:sz="0" w:space="0" w:color="auto"/>
        <w:bottom w:val="none" w:sz="0" w:space="0" w:color="auto"/>
        <w:right w:val="none" w:sz="0" w:space="0" w:color="auto"/>
      </w:divBdr>
    </w:div>
    <w:div w:id="1833376566">
      <w:bodyDiv w:val="1"/>
      <w:marLeft w:val="0"/>
      <w:marRight w:val="0"/>
      <w:marTop w:val="0"/>
      <w:marBottom w:val="0"/>
      <w:divBdr>
        <w:top w:val="none" w:sz="0" w:space="0" w:color="auto"/>
        <w:left w:val="none" w:sz="0" w:space="0" w:color="auto"/>
        <w:bottom w:val="none" w:sz="0" w:space="0" w:color="auto"/>
        <w:right w:val="none" w:sz="0" w:space="0" w:color="auto"/>
      </w:divBdr>
    </w:div>
    <w:div w:id="1836072353">
      <w:bodyDiv w:val="1"/>
      <w:marLeft w:val="0"/>
      <w:marRight w:val="0"/>
      <w:marTop w:val="0"/>
      <w:marBottom w:val="0"/>
      <w:divBdr>
        <w:top w:val="none" w:sz="0" w:space="0" w:color="auto"/>
        <w:left w:val="none" w:sz="0" w:space="0" w:color="auto"/>
        <w:bottom w:val="none" w:sz="0" w:space="0" w:color="auto"/>
        <w:right w:val="none" w:sz="0" w:space="0" w:color="auto"/>
      </w:divBdr>
    </w:div>
    <w:div w:id="1837964258">
      <w:bodyDiv w:val="1"/>
      <w:marLeft w:val="0"/>
      <w:marRight w:val="0"/>
      <w:marTop w:val="0"/>
      <w:marBottom w:val="0"/>
      <w:divBdr>
        <w:top w:val="none" w:sz="0" w:space="0" w:color="auto"/>
        <w:left w:val="none" w:sz="0" w:space="0" w:color="auto"/>
        <w:bottom w:val="none" w:sz="0" w:space="0" w:color="auto"/>
        <w:right w:val="none" w:sz="0" w:space="0" w:color="auto"/>
      </w:divBdr>
    </w:div>
    <w:div w:id="1839691936">
      <w:bodyDiv w:val="1"/>
      <w:marLeft w:val="0"/>
      <w:marRight w:val="0"/>
      <w:marTop w:val="0"/>
      <w:marBottom w:val="0"/>
      <w:divBdr>
        <w:top w:val="none" w:sz="0" w:space="0" w:color="auto"/>
        <w:left w:val="none" w:sz="0" w:space="0" w:color="auto"/>
        <w:bottom w:val="none" w:sz="0" w:space="0" w:color="auto"/>
        <w:right w:val="none" w:sz="0" w:space="0" w:color="auto"/>
      </w:divBdr>
    </w:div>
    <w:div w:id="1840340023">
      <w:bodyDiv w:val="1"/>
      <w:marLeft w:val="0"/>
      <w:marRight w:val="0"/>
      <w:marTop w:val="0"/>
      <w:marBottom w:val="0"/>
      <w:divBdr>
        <w:top w:val="none" w:sz="0" w:space="0" w:color="auto"/>
        <w:left w:val="none" w:sz="0" w:space="0" w:color="auto"/>
        <w:bottom w:val="none" w:sz="0" w:space="0" w:color="auto"/>
        <w:right w:val="none" w:sz="0" w:space="0" w:color="auto"/>
      </w:divBdr>
    </w:div>
    <w:div w:id="1841196172">
      <w:bodyDiv w:val="1"/>
      <w:marLeft w:val="0"/>
      <w:marRight w:val="0"/>
      <w:marTop w:val="0"/>
      <w:marBottom w:val="0"/>
      <w:divBdr>
        <w:top w:val="none" w:sz="0" w:space="0" w:color="auto"/>
        <w:left w:val="none" w:sz="0" w:space="0" w:color="auto"/>
        <w:bottom w:val="none" w:sz="0" w:space="0" w:color="auto"/>
        <w:right w:val="none" w:sz="0" w:space="0" w:color="auto"/>
      </w:divBdr>
    </w:div>
    <w:div w:id="1842356726">
      <w:bodyDiv w:val="1"/>
      <w:marLeft w:val="0"/>
      <w:marRight w:val="0"/>
      <w:marTop w:val="0"/>
      <w:marBottom w:val="0"/>
      <w:divBdr>
        <w:top w:val="none" w:sz="0" w:space="0" w:color="auto"/>
        <w:left w:val="none" w:sz="0" w:space="0" w:color="auto"/>
        <w:bottom w:val="none" w:sz="0" w:space="0" w:color="auto"/>
        <w:right w:val="none" w:sz="0" w:space="0" w:color="auto"/>
      </w:divBdr>
    </w:div>
    <w:div w:id="1842502672">
      <w:bodyDiv w:val="1"/>
      <w:marLeft w:val="0"/>
      <w:marRight w:val="0"/>
      <w:marTop w:val="0"/>
      <w:marBottom w:val="0"/>
      <w:divBdr>
        <w:top w:val="none" w:sz="0" w:space="0" w:color="auto"/>
        <w:left w:val="none" w:sz="0" w:space="0" w:color="auto"/>
        <w:bottom w:val="none" w:sz="0" w:space="0" w:color="auto"/>
        <w:right w:val="none" w:sz="0" w:space="0" w:color="auto"/>
      </w:divBdr>
    </w:div>
    <w:div w:id="1846550138">
      <w:bodyDiv w:val="1"/>
      <w:marLeft w:val="0"/>
      <w:marRight w:val="0"/>
      <w:marTop w:val="0"/>
      <w:marBottom w:val="0"/>
      <w:divBdr>
        <w:top w:val="none" w:sz="0" w:space="0" w:color="auto"/>
        <w:left w:val="none" w:sz="0" w:space="0" w:color="auto"/>
        <w:bottom w:val="none" w:sz="0" w:space="0" w:color="auto"/>
        <w:right w:val="none" w:sz="0" w:space="0" w:color="auto"/>
      </w:divBdr>
    </w:div>
    <w:div w:id="1847135400">
      <w:bodyDiv w:val="1"/>
      <w:marLeft w:val="0"/>
      <w:marRight w:val="0"/>
      <w:marTop w:val="0"/>
      <w:marBottom w:val="0"/>
      <w:divBdr>
        <w:top w:val="none" w:sz="0" w:space="0" w:color="auto"/>
        <w:left w:val="none" w:sz="0" w:space="0" w:color="auto"/>
        <w:bottom w:val="none" w:sz="0" w:space="0" w:color="auto"/>
        <w:right w:val="none" w:sz="0" w:space="0" w:color="auto"/>
      </w:divBdr>
    </w:div>
    <w:div w:id="1849755389">
      <w:bodyDiv w:val="1"/>
      <w:marLeft w:val="0"/>
      <w:marRight w:val="0"/>
      <w:marTop w:val="0"/>
      <w:marBottom w:val="0"/>
      <w:divBdr>
        <w:top w:val="none" w:sz="0" w:space="0" w:color="auto"/>
        <w:left w:val="none" w:sz="0" w:space="0" w:color="auto"/>
        <w:bottom w:val="none" w:sz="0" w:space="0" w:color="auto"/>
        <w:right w:val="none" w:sz="0" w:space="0" w:color="auto"/>
      </w:divBdr>
    </w:div>
    <w:div w:id="1854568988">
      <w:bodyDiv w:val="1"/>
      <w:marLeft w:val="0"/>
      <w:marRight w:val="0"/>
      <w:marTop w:val="0"/>
      <w:marBottom w:val="0"/>
      <w:divBdr>
        <w:top w:val="none" w:sz="0" w:space="0" w:color="auto"/>
        <w:left w:val="none" w:sz="0" w:space="0" w:color="auto"/>
        <w:bottom w:val="none" w:sz="0" w:space="0" w:color="auto"/>
        <w:right w:val="none" w:sz="0" w:space="0" w:color="auto"/>
      </w:divBdr>
    </w:div>
    <w:div w:id="1855028915">
      <w:bodyDiv w:val="1"/>
      <w:marLeft w:val="0"/>
      <w:marRight w:val="0"/>
      <w:marTop w:val="0"/>
      <w:marBottom w:val="0"/>
      <w:divBdr>
        <w:top w:val="none" w:sz="0" w:space="0" w:color="auto"/>
        <w:left w:val="none" w:sz="0" w:space="0" w:color="auto"/>
        <w:bottom w:val="none" w:sz="0" w:space="0" w:color="auto"/>
        <w:right w:val="none" w:sz="0" w:space="0" w:color="auto"/>
      </w:divBdr>
    </w:div>
    <w:div w:id="1855028920">
      <w:bodyDiv w:val="1"/>
      <w:marLeft w:val="0"/>
      <w:marRight w:val="0"/>
      <w:marTop w:val="0"/>
      <w:marBottom w:val="0"/>
      <w:divBdr>
        <w:top w:val="none" w:sz="0" w:space="0" w:color="auto"/>
        <w:left w:val="none" w:sz="0" w:space="0" w:color="auto"/>
        <w:bottom w:val="none" w:sz="0" w:space="0" w:color="auto"/>
        <w:right w:val="none" w:sz="0" w:space="0" w:color="auto"/>
      </w:divBdr>
    </w:div>
    <w:div w:id="1855455503">
      <w:bodyDiv w:val="1"/>
      <w:marLeft w:val="0"/>
      <w:marRight w:val="0"/>
      <w:marTop w:val="0"/>
      <w:marBottom w:val="0"/>
      <w:divBdr>
        <w:top w:val="none" w:sz="0" w:space="0" w:color="auto"/>
        <w:left w:val="none" w:sz="0" w:space="0" w:color="auto"/>
        <w:bottom w:val="none" w:sz="0" w:space="0" w:color="auto"/>
        <w:right w:val="none" w:sz="0" w:space="0" w:color="auto"/>
      </w:divBdr>
    </w:div>
    <w:div w:id="1855730249">
      <w:bodyDiv w:val="1"/>
      <w:marLeft w:val="0"/>
      <w:marRight w:val="0"/>
      <w:marTop w:val="0"/>
      <w:marBottom w:val="0"/>
      <w:divBdr>
        <w:top w:val="none" w:sz="0" w:space="0" w:color="auto"/>
        <w:left w:val="none" w:sz="0" w:space="0" w:color="auto"/>
        <w:bottom w:val="none" w:sz="0" w:space="0" w:color="auto"/>
        <w:right w:val="none" w:sz="0" w:space="0" w:color="auto"/>
      </w:divBdr>
    </w:div>
    <w:div w:id="1859390404">
      <w:bodyDiv w:val="1"/>
      <w:marLeft w:val="0"/>
      <w:marRight w:val="0"/>
      <w:marTop w:val="0"/>
      <w:marBottom w:val="0"/>
      <w:divBdr>
        <w:top w:val="none" w:sz="0" w:space="0" w:color="auto"/>
        <w:left w:val="none" w:sz="0" w:space="0" w:color="auto"/>
        <w:bottom w:val="none" w:sz="0" w:space="0" w:color="auto"/>
        <w:right w:val="none" w:sz="0" w:space="0" w:color="auto"/>
      </w:divBdr>
    </w:div>
    <w:div w:id="1862276550">
      <w:bodyDiv w:val="1"/>
      <w:marLeft w:val="0"/>
      <w:marRight w:val="0"/>
      <w:marTop w:val="0"/>
      <w:marBottom w:val="0"/>
      <w:divBdr>
        <w:top w:val="none" w:sz="0" w:space="0" w:color="auto"/>
        <w:left w:val="none" w:sz="0" w:space="0" w:color="auto"/>
        <w:bottom w:val="none" w:sz="0" w:space="0" w:color="auto"/>
        <w:right w:val="none" w:sz="0" w:space="0" w:color="auto"/>
      </w:divBdr>
    </w:div>
    <w:div w:id="1862357081">
      <w:bodyDiv w:val="1"/>
      <w:marLeft w:val="0"/>
      <w:marRight w:val="0"/>
      <w:marTop w:val="0"/>
      <w:marBottom w:val="0"/>
      <w:divBdr>
        <w:top w:val="none" w:sz="0" w:space="0" w:color="auto"/>
        <w:left w:val="none" w:sz="0" w:space="0" w:color="auto"/>
        <w:bottom w:val="none" w:sz="0" w:space="0" w:color="auto"/>
        <w:right w:val="none" w:sz="0" w:space="0" w:color="auto"/>
      </w:divBdr>
    </w:div>
    <w:div w:id="1862812843">
      <w:bodyDiv w:val="1"/>
      <w:marLeft w:val="0"/>
      <w:marRight w:val="0"/>
      <w:marTop w:val="0"/>
      <w:marBottom w:val="0"/>
      <w:divBdr>
        <w:top w:val="none" w:sz="0" w:space="0" w:color="auto"/>
        <w:left w:val="none" w:sz="0" w:space="0" w:color="auto"/>
        <w:bottom w:val="none" w:sz="0" w:space="0" w:color="auto"/>
        <w:right w:val="none" w:sz="0" w:space="0" w:color="auto"/>
      </w:divBdr>
    </w:div>
    <w:div w:id="1863132332">
      <w:bodyDiv w:val="1"/>
      <w:marLeft w:val="0"/>
      <w:marRight w:val="0"/>
      <w:marTop w:val="0"/>
      <w:marBottom w:val="0"/>
      <w:divBdr>
        <w:top w:val="none" w:sz="0" w:space="0" w:color="auto"/>
        <w:left w:val="none" w:sz="0" w:space="0" w:color="auto"/>
        <w:bottom w:val="none" w:sz="0" w:space="0" w:color="auto"/>
        <w:right w:val="none" w:sz="0" w:space="0" w:color="auto"/>
      </w:divBdr>
    </w:div>
    <w:div w:id="1863586693">
      <w:bodyDiv w:val="1"/>
      <w:marLeft w:val="0"/>
      <w:marRight w:val="0"/>
      <w:marTop w:val="0"/>
      <w:marBottom w:val="0"/>
      <w:divBdr>
        <w:top w:val="none" w:sz="0" w:space="0" w:color="auto"/>
        <w:left w:val="none" w:sz="0" w:space="0" w:color="auto"/>
        <w:bottom w:val="none" w:sz="0" w:space="0" w:color="auto"/>
        <w:right w:val="none" w:sz="0" w:space="0" w:color="auto"/>
      </w:divBdr>
    </w:div>
    <w:div w:id="1863591852">
      <w:bodyDiv w:val="1"/>
      <w:marLeft w:val="0"/>
      <w:marRight w:val="0"/>
      <w:marTop w:val="0"/>
      <w:marBottom w:val="0"/>
      <w:divBdr>
        <w:top w:val="none" w:sz="0" w:space="0" w:color="auto"/>
        <w:left w:val="none" w:sz="0" w:space="0" w:color="auto"/>
        <w:bottom w:val="none" w:sz="0" w:space="0" w:color="auto"/>
        <w:right w:val="none" w:sz="0" w:space="0" w:color="auto"/>
      </w:divBdr>
    </w:div>
    <w:div w:id="1865362418">
      <w:bodyDiv w:val="1"/>
      <w:marLeft w:val="0"/>
      <w:marRight w:val="0"/>
      <w:marTop w:val="0"/>
      <w:marBottom w:val="0"/>
      <w:divBdr>
        <w:top w:val="none" w:sz="0" w:space="0" w:color="auto"/>
        <w:left w:val="none" w:sz="0" w:space="0" w:color="auto"/>
        <w:bottom w:val="none" w:sz="0" w:space="0" w:color="auto"/>
        <w:right w:val="none" w:sz="0" w:space="0" w:color="auto"/>
      </w:divBdr>
    </w:div>
    <w:div w:id="1865710643">
      <w:bodyDiv w:val="1"/>
      <w:marLeft w:val="0"/>
      <w:marRight w:val="0"/>
      <w:marTop w:val="0"/>
      <w:marBottom w:val="0"/>
      <w:divBdr>
        <w:top w:val="none" w:sz="0" w:space="0" w:color="auto"/>
        <w:left w:val="none" w:sz="0" w:space="0" w:color="auto"/>
        <w:bottom w:val="none" w:sz="0" w:space="0" w:color="auto"/>
        <w:right w:val="none" w:sz="0" w:space="0" w:color="auto"/>
      </w:divBdr>
    </w:div>
    <w:div w:id="1866211100">
      <w:bodyDiv w:val="1"/>
      <w:marLeft w:val="0"/>
      <w:marRight w:val="0"/>
      <w:marTop w:val="0"/>
      <w:marBottom w:val="0"/>
      <w:divBdr>
        <w:top w:val="none" w:sz="0" w:space="0" w:color="auto"/>
        <w:left w:val="none" w:sz="0" w:space="0" w:color="auto"/>
        <w:bottom w:val="none" w:sz="0" w:space="0" w:color="auto"/>
        <w:right w:val="none" w:sz="0" w:space="0" w:color="auto"/>
      </w:divBdr>
    </w:div>
    <w:div w:id="1866674228">
      <w:bodyDiv w:val="1"/>
      <w:marLeft w:val="0"/>
      <w:marRight w:val="0"/>
      <w:marTop w:val="0"/>
      <w:marBottom w:val="0"/>
      <w:divBdr>
        <w:top w:val="none" w:sz="0" w:space="0" w:color="auto"/>
        <w:left w:val="none" w:sz="0" w:space="0" w:color="auto"/>
        <w:bottom w:val="none" w:sz="0" w:space="0" w:color="auto"/>
        <w:right w:val="none" w:sz="0" w:space="0" w:color="auto"/>
      </w:divBdr>
    </w:div>
    <w:div w:id="1867592770">
      <w:bodyDiv w:val="1"/>
      <w:marLeft w:val="0"/>
      <w:marRight w:val="0"/>
      <w:marTop w:val="0"/>
      <w:marBottom w:val="0"/>
      <w:divBdr>
        <w:top w:val="none" w:sz="0" w:space="0" w:color="auto"/>
        <w:left w:val="none" w:sz="0" w:space="0" w:color="auto"/>
        <w:bottom w:val="none" w:sz="0" w:space="0" w:color="auto"/>
        <w:right w:val="none" w:sz="0" w:space="0" w:color="auto"/>
      </w:divBdr>
    </w:div>
    <w:div w:id="1868441421">
      <w:bodyDiv w:val="1"/>
      <w:marLeft w:val="0"/>
      <w:marRight w:val="0"/>
      <w:marTop w:val="0"/>
      <w:marBottom w:val="0"/>
      <w:divBdr>
        <w:top w:val="none" w:sz="0" w:space="0" w:color="auto"/>
        <w:left w:val="none" w:sz="0" w:space="0" w:color="auto"/>
        <w:bottom w:val="none" w:sz="0" w:space="0" w:color="auto"/>
        <w:right w:val="none" w:sz="0" w:space="0" w:color="auto"/>
      </w:divBdr>
    </w:div>
    <w:div w:id="1868450279">
      <w:bodyDiv w:val="1"/>
      <w:marLeft w:val="0"/>
      <w:marRight w:val="0"/>
      <w:marTop w:val="0"/>
      <w:marBottom w:val="0"/>
      <w:divBdr>
        <w:top w:val="none" w:sz="0" w:space="0" w:color="auto"/>
        <w:left w:val="none" w:sz="0" w:space="0" w:color="auto"/>
        <w:bottom w:val="none" w:sz="0" w:space="0" w:color="auto"/>
        <w:right w:val="none" w:sz="0" w:space="0" w:color="auto"/>
      </w:divBdr>
    </w:div>
    <w:div w:id="1868715459">
      <w:bodyDiv w:val="1"/>
      <w:marLeft w:val="0"/>
      <w:marRight w:val="0"/>
      <w:marTop w:val="0"/>
      <w:marBottom w:val="0"/>
      <w:divBdr>
        <w:top w:val="none" w:sz="0" w:space="0" w:color="auto"/>
        <w:left w:val="none" w:sz="0" w:space="0" w:color="auto"/>
        <w:bottom w:val="none" w:sz="0" w:space="0" w:color="auto"/>
        <w:right w:val="none" w:sz="0" w:space="0" w:color="auto"/>
      </w:divBdr>
    </w:div>
    <w:div w:id="1868981001">
      <w:bodyDiv w:val="1"/>
      <w:marLeft w:val="0"/>
      <w:marRight w:val="0"/>
      <w:marTop w:val="0"/>
      <w:marBottom w:val="0"/>
      <w:divBdr>
        <w:top w:val="none" w:sz="0" w:space="0" w:color="auto"/>
        <w:left w:val="none" w:sz="0" w:space="0" w:color="auto"/>
        <w:bottom w:val="none" w:sz="0" w:space="0" w:color="auto"/>
        <w:right w:val="none" w:sz="0" w:space="0" w:color="auto"/>
      </w:divBdr>
    </w:div>
    <w:div w:id="1869366125">
      <w:bodyDiv w:val="1"/>
      <w:marLeft w:val="0"/>
      <w:marRight w:val="0"/>
      <w:marTop w:val="0"/>
      <w:marBottom w:val="0"/>
      <w:divBdr>
        <w:top w:val="none" w:sz="0" w:space="0" w:color="auto"/>
        <w:left w:val="none" w:sz="0" w:space="0" w:color="auto"/>
        <w:bottom w:val="none" w:sz="0" w:space="0" w:color="auto"/>
        <w:right w:val="none" w:sz="0" w:space="0" w:color="auto"/>
      </w:divBdr>
    </w:div>
    <w:div w:id="1869491463">
      <w:bodyDiv w:val="1"/>
      <w:marLeft w:val="0"/>
      <w:marRight w:val="0"/>
      <w:marTop w:val="0"/>
      <w:marBottom w:val="0"/>
      <w:divBdr>
        <w:top w:val="none" w:sz="0" w:space="0" w:color="auto"/>
        <w:left w:val="none" w:sz="0" w:space="0" w:color="auto"/>
        <w:bottom w:val="none" w:sz="0" w:space="0" w:color="auto"/>
        <w:right w:val="none" w:sz="0" w:space="0" w:color="auto"/>
      </w:divBdr>
    </w:div>
    <w:div w:id="1871185057">
      <w:bodyDiv w:val="1"/>
      <w:marLeft w:val="0"/>
      <w:marRight w:val="0"/>
      <w:marTop w:val="0"/>
      <w:marBottom w:val="0"/>
      <w:divBdr>
        <w:top w:val="none" w:sz="0" w:space="0" w:color="auto"/>
        <w:left w:val="none" w:sz="0" w:space="0" w:color="auto"/>
        <w:bottom w:val="none" w:sz="0" w:space="0" w:color="auto"/>
        <w:right w:val="none" w:sz="0" w:space="0" w:color="auto"/>
      </w:divBdr>
    </w:div>
    <w:div w:id="1872305083">
      <w:bodyDiv w:val="1"/>
      <w:marLeft w:val="0"/>
      <w:marRight w:val="0"/>
      <w:marTop w:val="0"/>
      <w:marBottom w:val="0"/>
      <w:divBdr>
        <w:top w:val="none" w:sz="0" w:space="0" w:color="auto"/>
        <w:left w:val="none" w:sz="0" w:space="0" w:color="auto"/>
        <w:bottom w:val="none" w:sz="0" w:space="0" w:color="auto"/>
        <w:right w:val="none" w:sz="0" w:space="0" w:color="auto"/>
      </w:divBdr>
    </w:div>
    <w:div w:id="1872767301">
      <w:bodyDiv w:val="1"/>
      <w:marLeft w:val="0"/>
      <w:marRight w:val="0"/>
      <w:marTop w:val="0"/>
      <w:marBottom w:val="0"/>
      <w:divBdr>
        <w:top w:val="none" w:sz="0" w:space="0" w:color="auto"/>
        <w:left w:val="none" w:sz="0" w:space="0" w:color="auto"/>
        <w:bottom w:val="none" w:sz="0" w:space="0" w:color="auto"/>
        <w:right w:val="none" w:sz="0" w:space="0" w:color="auto"/>
      </w:divBdr>
    </w:div>
    <w:div w:id="1877042317">
      <w:bodyDiv w:val="1"/>
      <w:marLeft w:val="0"/>
      <w:marRight w:val="0"/>
      <w:marTop w:val="0"/>
      <w:marBottom w:val="0"/>
      <w:divBdr>
        <w:top w:val="none" w:sz="0" w:space="0" w:color="auto"/>
        <w:left w:val="none" w:sz="0" w:space="0" w:color="auto"/>
        <w:bottom w:val="none" w:sz="0" w:space="0" w:color="auto"/>
        <w:right w:val="none" w:sz="0" w:space="0" w:color="auto"/>
      </w:divBdr>
    </w:div>
    <w:div w:id="1879584517">
      <w:bodyDiv w:val="1"/>
      <w:marLeft w:val="0"/>
      <w:marRight w:val="0"/>
      <w:marTop w:val="0"/>
      <w:marBottom w:val="0"/>
      <w:divBdr>
        <w:top w:val="none" w:sz="0" w:space="0" w:color="auto"/>
        <w:left w:val="none" w:sz="0" w:space="0" w:color="auto"/>
        <w:bottom w:val="none" w:sz="0" w:space="0" w:color="auto"/>
        <w:right w:val="none" w:sz="0" w:space="0" w:color="auto"/>
      </w:divBdr>
    </w:div>
    <w:div w:id="1880051640">
      <w:bodyDiv w:val="1"/>
      <w:marLeft w:val="0"/>
      <w:marRight w:val="0"/>
      <w:marTop w:val="0"/>
      <w:marBottom w:val="0"/>
      <w:divBdr>
        <w:top w:val="none" w:sz="0" w:space="0" w:color="auto"/>
        <w:left w:val="none" w:sz="0" w:space="0" w:color="auto"/>
        <w:bottom w:val="none" w:sz="0" w:space="0" w:color="auto"/>
        <w:right w:val="none" w:sz="0" w:space="0" w:color="auto"/>
      </w:divBdr>
    </w:div>
    <w:div w:id="1880124612">
      <w:bodyDiv w:val="1"/>
      <w:marLeft w:val="0"/>
      <w:marRight w:val="0"/>
      <w:marTop w:val="0"/>
      <w:marBottom w:val="0"/>
      <w:divBdr>
        <w:top w:val="none" w:sz="0" w:space="0" w:color="auto"/>
        <w:left w:val="none" w:sz="0" w:space="0" w:color="auto"/>
        <w:bottom w:val="none" w:sz="0" w:space="0" w:color="auto"/>
        <w:right w:val="none" w:sz="0" w:space="0" w:color="auto"/>
      </w:divBdr>
    </w:div>
    <w:div w:id="1880508654">
      <w:bodyDiv w:val="1"/>
      <w:marLeft w:val="0"/>
      <w:marRight w:val="0"/>
      <w:marTop w:val="0"/>
      <w:marBottom w:val="0"/>
      <w:divBdr>
        <w:top w:val="none" w:sz="0" w:space="0" w:color="auto"/>
        <w:left w:val="none" w:sz="0" w:space="0" w:color="auto"/>
        <w:bottom w:val="none" w:sz="0" w:space="0" w:color="auto"/>
        <w:right w:val="none" w:sz="0" w:space="0" w:color="auto"/>
      </w:divBdr>
    </w:div>
    <w:div w:id="1881698791">
      <w:bodyDiv w:val="1"/>
      <w:marLeft w:val="0"/>
      <w:marRight w:val="0"/>
      <w:marTop w:val="0"/>
      <w:marBottom w:val="0"/>
      <w:divBdr>
        <w:top w:val="none" w:sz="0" w:space="0" w:color="auto"/>
        <w:left w:val="none" w:sz="0" w:space="0" w:color="auto"/>
        <w:bottom w:val="none" w:sz="0" w:space="0" w:color="auto"/>
        <w:right w:val="none" w:sz="0" w:space="0" w:color="auto"/>
      </w:divBdr>
    </w:div>
    <w:div w:id="1881936639">
      <w:bodyDiv w:val="1"/>
      <w:marLeft w:val="0"/>
      <w:marRight w:val="0"/>
      <w:marTop w:val="0"/>
      <w:marBottom w:val="0"/>
      <w:divBdr>
        <w:top w:val="none" w:sz="0" w:space="0" w:color="auto"/>
        <w:left w:val="none" w:sz="0" w:space="0" w:color="auto"/>
        <w:bottom w:val="none" w:sz="0" w:space="0" w:color="auto"/>
        <w:right w:val="none" w:sz="0" w:space="0" w:color="auto"/>
      </w:divBdr>
    </w:div>
    <w:div w:id="1882404411">
      <w:bodyDiv w:val="1"/>
      <w:marLeft w:val="0"/>
      <w:marRight w:val="0"/>
      <w:marTop w:val="0"/>
      <w:marBottom w:val="0"/>
      <w:divBdr>
        <w:top w:val="none" w:sz="0" w:space="0" w:color="auto"/>
        <w:left w:val="none" w:sz="0" w:space="0" w:color="auto"/>
        <w:bottom w:val="none" w:sz="0" w:space="0" w:color="auto"/>
        <w:right w:val="none" w:sz="0" w:space="0" w:color="auto"/>
      </w:divBdr>
    </w:div>
    <w:div w:id="1883394903">
      <w:bodyDiv w:val="1"/>
      <w:marLeft w:val="0"/>
      <w:marRight w:val="0"/>
      <w:marTop w:val="0"/>
      <w:marBottom w:val="0"/>
      <w:divBdr>
        <w:top w:val="none" w:sz="0" w:space="0" w:color="auto"/>
        <w:left w:val="none" w:sz="0" w:space="0" w:color="auto"/>
        <w:bottom w:val="none" w:sz="0" w:space="0" w:color="auto"/>
        <w:right w:val="none" w:sz="0" w:space="0" w:color="auto"/>
      </w:divBdr>
    </w:div>
    <w:div w:id="1884444143">
      <w:bodyDiv w:val="1"/>
      <w:marLeft w:val="0"/>
      <w:marRight w:val="0"/>
      <w:marTop w:val="0"/>
      <w:marBottom w:val="0"/>
      <w:divBdr>
        <w:top w:val="none" w:sz="0" w:space="0" w:color="auto"/>
        <w:left w:val="none" w:sz="0" w:space="0" w:color="auto"/>
        <w:bottom w:val="none" w:sz="0" w:space="0" w:color="auto"/>
        <w:right w:val="none" w:sz="0" w:space="0" w:color="auto"/>
      </w:divBdr>
    </w:div>
    <w:div w:id="1885214894">
      <w:bodyDiv w:val="1"/>
      <w:marLeft w:val="0"/>
      <w:marRight w:val="0"/>
      <w:marTop w:val="0"/>
      <w:marBottom w:val="0"/>
      <w:divBdr>
        <w:top w:val="none" w:sz="0" w:space="0" w:color="auto"/>
        <w:left w:val="none" w:sz="0" w:space="0" w:color="auto"/>
        <w:bottom w:val="none" w:sz="0" w:space="0" w:color="auto"/>
        <w:right w:val="none" w:sz="0" w:space="0" w:color="auto"/>
      </w:divBdr>
    </w:div>
    <w:div w:id="1886015599">
      <w:bodyDiv w:val="1"/>
      <w:marLeft w:val="0"/>
      <w:marRight w:val="0"/>
      <w:marTop w:val="0"/>
      <w:marBottom w:val="0"/>
      <w:divBdr>
        <w:top w:val="none" w:sz="0" w:space="0" w:color="auto"/>
        <w:left w:val="none" w:sz="0" w:space="0" w:color="auto"/>
        <w:bottom w:val="none" w:sz="0" w:space="0" w:color="auto"/>
        <w:right w:val="none" w:sz="0" w:space="0" w:color="auto"/>
      </w:divBdr>
    </w:div>
    <w:div w:id="1887184762">
      <w:bodyDiv w:val="1"/>
      <w:marLeft w:val="0"/>
      <w:marRight w:val="0"/>
      <w:marTop w:val="0"/>
      <w:marBottom w:val="0"/>
      <w:divBdr>
        <w:top w:val="none" w:sz="0" w:space="0" w:color="auto"/>
        <w:left w:val="none" w:sz="0" w:space="0" w:color="auto"/>
        <w:bottom w:val="none" w:sz="0" w:space="0" w:color="auto"/>
        <w:right w:val="none" w:sz="0" w:space="0" w:color="auto"/>
      </w:divBdr>
    </w:div>
    <w:div w:id="1888225672">
      <w:bodyDiv w:val="1"/>
      <w:marLeft w:val="0"/>
      <w:marRight w:val="0"/>
      <w:marTop w:val="0"/>
      <w:marBottom w:val="0"/>
      <w:divBdr>
        <w:top w:val="none" w:sz="0" w:space="0" w:color="auto"/>
        <w:left w:val="none" w:sz="0" w:space="0" w:color="auto"/>
        <w:bottom w:val="none" w:sz="0" w:space="0" w:color="auto"/>
        <w:right w:val="none" w:sz="0" w:space="0" w:color="auto"/>
      </w:divBdr>
    </w:div>
    <w:div w:id="1889796686">
      <w:bodyDiv w:val="1"/>
      <w:marLeft w:val="0"/>
      <w:marRight w:val="0"/>
      <w:marTop w:val="0"/>
      <w:marBottom w:val="0"/>
      <w:divBdr>
        <w:top w:val="none" w:sz="0" w:space="0" w:color="auto"/>
        <w:left w:val="none" w:sz="0" w:space="0" w:color="auto"/>
        <w:bottom w:val="none" w:sz="0" w:space="0" w:color="auto"/>
        <w:right w:val="none" w:sz="0" w:space="0" w:color="auto"/>
      </w:divBdr>
    </w:div>
    <w:div w:id="1889802072">
      <w:bodyDiv w:val="1"/>
      <w:marLeft w:val="0"/>
      <w:marRight w:val="0"/>
      <w:marTop w:val="0"/>
      <w:marBottom w:val="0"/>
      <w:divBdr>
        <w:top w:val="none" w:sz="0" w:space="0" w:color="auto"/>
        <w:left w:val="none" w:sz="0" w:space="0" w:color="auto"/>
        <w:bottom w:val="none" w:sz="0" w:space="0" w:color="auto"/>
        <w:right w:val="none" w:sz="0" w:space="0" w:color="auto"/>
      </w:divBdr>
    </w:div>
    <w:div w:id="1891188363">
      <w:bodyDiv w:val="1"/>
      <w:marLeft w:val="0"/>
      <w:marRight w:val="0"/>
      <w:marTop w:val="0"/>
      <w:marBottom w:val="0"/>
      <w:divBdr>
        <w:top w:val="none" w:sz="0" w:space="0" w:color="auto"/>
        <w:left w:val="none" w:sz="0" w:space="0" w:color="auto"/>
        <w:bottom w:val="none" w:sz="0" w:space="0" w:color="auto"/>
        <w:right w:val="none" w:sz="0" w:space="0" w:color="auto"/>
      </w:divBdr>
    </w:div>
    <w:div w:id="1892493067">
      <w:bodyDiv w:val="1"/>
      <w:marLeft w:val="0"/>
      <w:marRight w:val="0"/>
      <w:marTop w:val="0"/>
      <w:marBottom w:val="0"/>
      <w:divBdr>
        <w:top w:val="none" w:sz="0" w:space="0" w:color="auto"/>
        <w:left w:val="none" w:sz="0" w:space="0" w:color="auto"/>
        <w:bottom w:val="none" w:sz="0" w:space="0" w:color="auto"/>
        <w:right w:val="none" w:sz="0" w:space="0" w:color="auto"/>
      </w:divBdr>
    </w:div>
    <w:div w:id="1893417846">
      <w:bodyDiv w:val="1"/>
      <w:marLeft w:val="0"/>
      <w:marRight w:val="0"/>
      <w:marTop w:val="0"/>
      <w:marBottom w:val="0"/>
      <w:divBdr>
        <w:top w:val="none" w:sz="0" w:space="0" w:color="auto"/>
        <w:left w:val="none" w:sz="0" w:space="0" w:color="auto"/>
        <w:bottom w:val="none" w:sz="0" w:space="0" w:color="auto"/>
        <w:right w:val="none" w:sz="0" w:space="0" w:color="auto"/>
      </w:divBdr>
    </w:div>
    <w:div w:id="1893498501">
      <w:bodyDiv w:val="1"/>
      <w:marLeft w:val="0"/>
      <w:marRight w:val="0"/>
      <w:marTop w:val="0"/>
      <w:marBottom w:val="0"/>
      <w:divBdr>
        <w:top w:val="none" w:sz="0" w:space="0" w:color="auto"/>
        <w:left w:val="none" w:sz="0" w:space="0" w:color="auto"/>
        <w:bottom w:val="none" w:sz="0" w:space="0" w:color="auto"/>
        <w:right w:val="none" w:sz="0" w:space="0" w:color="auto"/>
      </w:divBdr>
    </w:div>
    <w:div w:id="1895191227">
      <w:bodyDiv w:val="1"/>
      <w:marLeft w:val="0"/>
      <w:marRight w:val="0"/>
      <w:marTop w:val="0"/>
      <w:marBottom w:val="0"/>
      <w:divBdr>
        <w:top w:val="none" w:sz="0" w:space="0" w:color="auto"/>
        <w:left w:val="none" w:sz="0" w:space="0" w:color="auto"/>
        <w:bottom w:val="none" w:sz="0" w:space="0" w:color="auto"/>
        <w:right w:val="none" w:sz="0" w:space="0" w:color="auto"/>
      </w:divBdr>
    </w:div>
    <w:div w:id="1895965281">
      <w:bodyDiv w:val="1"/>
      <w:marLeft w:val="0"/>
      <w:marRight w:val="0"/>
      <w:marTop w:val="0"/>
      <w:marBottom w:val="0"/>
      <w:divBdr>
        <w:top w:val="none" w:sz="0" w:space="0" w:color="auto"/>
        <w:left w:val="none" w:sz="0" w:space="0" w:color="auto"/>
        <w:bottom w:val="none" w:sz="0" w:space="0" w:color="auto"/>
        <w:right w:val="none" w:sz="0" w:space="0" w:color="auto"/>
      </w:divBdr>
    </w:div>
    <w:div w:id="1896964926">
      <w:bodyDiv w:val="1"/>
      <w:marLeft w:val="0"/>
      <w:marRight w:val="0"/>
      <w:marTop w:val="0"/>
      <w:marBottom w:val="0"/>
      <w:divBdr>
        <w:top w:val="none" w:sz="0" w:space="0" w:color="auto"/>
        <w:left w:val="none" w:sz="0" w:space="0" w:color="auto"/>
        <w:bottom w:val="none" w:sz="0" w:space="0" w:color="auto"/>
        <w:right w:val="none" w:sz="0" w:space="0" w:color="auto"/>
      </w:divBdr>
    </w:div>
    <w:div w:id="1897274315">
      <w:bodyDiv w:val="1"/>
      <w:marLeft w:val="0"/>
      <w:marRight w:val="0"/>
      <w:marTop w:val="0"/>
      <w:marBottom w:val="0"/>
      <w:divBdr>
        <w:top w:val="none" w:sz="0" w:space="0" w:color="auto"/>
        <w:left w:val="none" w:sz="0" w:space="0" w:color="auto"/>
        <w:bottom w:val="none" w:sz="0" w:space="0" w:color="auto"/>
        <w:right w:val="none" w:sz="0" w:space="0" w:color="auto"/>
      </w:divBdr>
    </w:div>
    <w:div w:id="1900090624">
      <w:bodyDiv w:val="1"/>
      <w:marLeft w:val="0"/>
      <w:marRight w:val="0"/>
      <w:marTop w:val="0"/>
      <w:marBottom w:val="0"/>
      <w:divBdr>
        <w:top w:val="none" w:sz="0" w:space="0" w:color="auto"/>
        <w:left w:val="none" w:sz="0" w:space="0" w:color="auto"/>
        <w:bottom w:val="none" w:sz="0" w:space="0" w:color="auto"/>
        <w:right w:val="none" w:sz="0" w:space="0" w:color="auto"/>
      </w:divBdr>
    </w:div>
    <w:div w:id="1901402010">
      <w:bodyDiv w:val="1"/>
      <w:marLeft w:val="0"/>
      <w:marRight w:val="0"/>
      <w:marTop w:val="0"/>
      <w:marBottom w:val="0"/>
      <w:divBdr>
        <w:top w:val="none" w:sz="0" w:space="0" w:color="auto"/>
        <w:left w:val="none" w:sz="0" w:space="0" w:color="auto"/>
        <w:bottom w:val="none" w:sz="0" w:space="0" w:color="auto"/>
        <w:right w:val="none" w:sz="0" w:space="0" w:color="auto"/>
      </w:divBdr>
    </w:div>
    <w:div w:id="1901405117">
      <w:bodyDiv w:val="1"/>
      <w:marLeft w:val="0"/>
      <w:marRight w:val="0"/>
      <w:marTop w:val="0"/>
      <w:marBottom w:val="0"/>
      <w:divBdr>
        <w:top w:val="none" w:sz="0" w:space="0" w:color="auto"/>
        <w:left w:val="none" w:sz="0" w:space="0" w:color="auto"/>
        <w:bottom w:val="none" w:sz="0" w:space="0" w:color="auto"/>
        <w:right w:val="none" w:sz="0" w:space="0" w:color="auto"/>
      </w:divBdr>
    </w:div>
    <w:div w:id="1905413959">
      <w:bodyDiv w:val="1"/>
      <w:marLeft w:val="0"/>
      <w:marRight w:val="0"/>
      <w:marTop w:val="0"/>
      <w:marBottom w:val="0"/>
      <w:divBdr>
        <w:top w:val="none" w:sz="0" w:space="0" w:color="auto"/>
        <w:left w:val="none" w:sz="0" w:space="0" w:color="auto"/>
        <w:bottom w:val="none" w:sz="0" w:space="0" w:color="auto"/>
        <w:right w:val="none" w:sz="0" w:space="0" w:color="auto"/>
      </w:divBdr>
    </w:div>
    <w:div w:id="1905483978">
      <w:bodyDiv w:val="1"/>
      <w:marLeft w:val="0"/>
      <w:marRight w:val="0"/>
      <w:marTop w:val="0"/>
      <w:marBottom w:val="0"/>
      <w:divBdr>
        <w:top w:val="none" w:sz="0" w:space="0" w:color="auto"/>
        <w:left w:val="none" w:sz="0" w:space="0" w:color="auto"/>
        <w:bottom w:val="none" w:sz="0" w:space="0" w:color="auto"/>
        <w:right w:val="none" w:sz="0" w:space="0" w:color="auto"/>
      </w:divBdr>
    </w:div>
    <w:div w:id="1905948188">
      <w:bodyDiv w:val="1"/>
      <w:marLeft w:val="0"/>
      <w:marRight w:val="0"/>
      <w:marTop w:val="0"/>
      <w:marBottom w:val="0"/>
      <w:divBdr>
        <w:top w:val="none" w:sz="0" w:space="0" w:color="auto"/>
        <w:left w:val="none" w:sz="0" w:space="0" w:color="auto"/>
        <w:bottom w:val="none" w:sz="0" w:space="0" w:color="auto"/>
        <w:right w:val="none" w:sz="0" w:space="0" w:color="auto"/>
      </w:divBdr>
    </w:div>
    <w:div w:id="1906603816">
      <w:bodyDiv w:val="1"/>
      <w:marLeft w:val="0"/>
      <w:marRight w:val="0"/>
      <w:marTop w:val="0"/>
      <w:marBottom w:val="0"/>
      <w:divBdr>
        <w:top w:val="none" w:sz="0" w:space="0" w:color="auto"/>
        <w:left w:val="none" w:sz="0" w:space="0" w:color="auto"/>
        <w:bottom w:val="none" w:sz="0" w:space="0" w:color="auto"/>
        <w:right w:val="none" w:sz="0" w:space="0" w:color="auto"/>
      </w:divBdr>
    </w:div>
    <w:div w:id="1907454924">
      <w:bodyDiv w:val="1"/>
      <w:marLeft w:val="0"/>
      <w:marRight w:val="0"/>
      <w:marTop w:val="0"/>
      <w:marBottom w:val="0"/>
      <w:divBdr>
        <w:top w:val="none" w:sz="0" w:space="0" w:color="auto"/>
        <w:left w:val="none" w:sz="0" w:space="0" w:color="auto"/>
        <w:bottom w:val="none" w:sz="0" w:space="0" w:color="auto"/>
        <w:right w:val="none" w:sz="0" w:space="0" w:color="auto"/>
      </w:divBdr>
    </w:div>
    <w:div w:id="1907496707">
      <w:bodyDiv w:val="1"/>
      <w:marLeft w:val="0"/>
      <w:marRight w:val="0"/>
      <w:marTop w:val="0"/>
      <w:marBottom w:val="0"/>
      <w:divBdr>
        <w:top w:val="none" w:sz="0" w:space="0" w:color="auto"/>
        <w:left w:val="none" w:sz="0" w:space="0" w:color="auto"/>
        <w:bottom w:val="none" w:sz="0" w:space="0" w:color="auto"/>
        <w:right w:val="none" w:sz="0" w:space="0" w:color="auto"/>
      </w:divBdr>
    </w:div>
    <w:div w:id="1908418530">
      <w:bodyDiv w:val="1"/>
      <w:marLeft w:val="0"/>
      <w:marRight w:val="0"/>
      <w:marTop w:val="0"/>
      <w:marBottom w:val="0"/>
      <w:divBdr>
        <w:top w:val="none" w:sz="0" w:space="0" w:color="auto"/>
        <w:left w:val="none" w:sz="0" w:space="0" w:color="auto"/>
        <w:bottom w:val="none" w:sz="0" w:space="0" w:color="auto"/>
        <w:right w:val="none" w:sz="0" w:space="0" w:color="auto"/>
      </w:divBdr>
    </w:div>
    <w:div w:id="1908881899">
      <w:bodyDiv w:val="1"/>
      <w:marLeft w:val="0"/>
      <w:marRight w:val="0"/>
      <w:marTop w:val="0"/>
      <w:marBottom w:val="0"/>
      <w:divBdr>
        <w:top w:val="none" w:sz="0" w:space="0" w:color="auto"/>
        <w:left w:val="none" w:sz="0" w:space="0" w:color="auto"/>
        <w:bottom w:val="none" w:sz="0" w:space="0" w:color="auto"/>
        <w:right w:val="none" w:sz="0" w:space="0" w:color="auto"/>
      </w:divBdr>
    </w:div>
    <w:div w:id="1911646419">
      <w:bodyDiv w:val="1"/>
      <w:marLeft w:val="0"/>
      <w:marRight w:val="0"/>
      <w:marTop w:val="0"/>
      <w:marBottom w:val="0"/>
      <w:divBdr>
        <w:top w:val="none" w:sz="0" w:space="0" w:color="auto"/>
        <w:left w:val="none" w:sz="0" w:space="0" w:color="auto"/>
        <w:bottom w:val="none" w:sz="0" w:space="0" w:color="auto"/>
        <w:right w:val="none" w:sz="0" w:space="0" w:color="auto"/>
      </w:divBdr>
    </w:div>
    <w:div w:id="1912497282">
      <w:bodyDiv w:val="1"/>
      <w:marLeft w:val="0"/>
      <w:marRight w:val="0"/>
      <w:marTop w:val="0"/>
      <w:marBottom w:val="0"/>
      <w:divBdr>
        <w:top w:val="none" w:sz="0" w:space="0" w:color="auto"/>
        <w:left w:val="none" w:sz="0" w:space="0" w:color="auto"/>
        <w:bottom w:val="none" w:sz="0" w:space="0" w:color="auto"/>
        <w:right w:val="none" w:sz="0" w:space="0" w:color="auto"/>
      </w:divBdr>
    </w:div>
    <w:div w:id="1913006024">
      <w:bodyDiv w:val="1"/>
      <w:marLeft w:val="0"/>
      <w:marRight w:val="0"/>
      <w:marTop w:val="0"/>
      <w:marBottom w:val="0"/>
      <w:divBdr>
        <w:top w:val="none" w:sz="0" w:space="0" w:color="auto"/>
        <w:left w:val="none" w:sz="0" w:space="0" w:color="auto"/>
        <w:bottom w:val="none" w:sz="0" w:space="0" w:color="auto"/>
        <w:right w:val="none" w:sz="0" w:space="0" w:color="auto"/>
      </w:divBdr>
    </w:div>
    <w:div w:id="1914312341">
      <w:bodyDiv w:val="1"/>
      <w:marLeft w:val="0"/>
      <w:marRight w:val="0"/>
      <w:marTop w:val="0"/>
      <w:marBottom w:val="0"/>
      <w:divBdr>
        <w:top w:val="none" w:sz="0" w:space="0" w:color="auto"/>
        <w:left w:val="none" w:sz="0" w:space="0" w:color="auto"/>
        <w:bottom w:val="none" w:sz="0" w:space="0" w:color="auto"/>
        <w:right w:val="none" w:sz="0" w:space="0" w:color="auto"/>
      </w:divBdr>
    </w:div>
    <w:div w:id="1914659283">
      <w:bodyDiv w:val="1"/>
      <w:marLeft w:val="0"/>
      <w:marRight w:val="0"/>
      <w:marTop w:val="0"/>
      <w:marBottom w:val="0"/>
      <w:divBdr>
        <w:top w:val="none" w:sz="0" w:space="0" w:color="auto"/>
        <w:left w:val="none" w:sz="0" w:space="0" w:color="auto"/>
        <w:bottom w:val="none" w:sz="0" w:space="0" w:color="auto"/>
        <w:right w:val="none" w:sz="0" w:space="0" w:color="auto"/>
      </w:divBdr>
    </w:div>
    <w:div w:id="1915584398">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17743387">
      <w:bodyDiv w:val="1"/>
      <w:marLeft w:val="0"/>
      <w:marRight w:val="0"/>
      <w:marTop w:val="0"/>
      <w:marBottom w:val="0"/>
      <w:divBdr>
        <w:top w:val="none" w:sz="0" w:space="0" w:color="auto"/>
        <w:left w:val="none" w:sz="0" w:space="0" w:color="auto"/>
        <w:bottom w:val="none" w:sz="0" w:space="0" w:color="auto"/>
        <w:right w:val="none" w:sz="0" w:space="0" w:color="auto"/>
      </w:divBdr>
    </w:div>
    <w:div w:id="1918175731">
      <w:bodyDiv w:val="1"/>
      <w:marLeft w:val="0"/>
      <w:marRight w:val="0"/>
      <w:marTop w:val="0"/>
      <w:marBottom w:val="0"/>
      <w:divBdr>
        <w:top w:val="none" w:sz="0" w:space="0" w:color="auto"/>
        <w:left w:val="none" w:sz="0" w:space="0" w:color="auto"/>
        <w:bottom w:val="none" w:sz="0" w:space="0" w:color="auto"/>
        <w:right w:val="none" w:sz="0" w:space="0" w:color="auto"/>
      </w:divBdr>
    </w:div>
    <w:div w:id="1920363325">
      <w:bodyDiv w:val="1"/>
      <w:marLeft w:val="0"/>
      <w:marRight w:val="0"/>
      <w:marTop w:val="0"/>
      <w:marBottom w:val="0"/>
      <w:divBdr>
        <w:top w:val="none" w:sz="0" w:space="0" w:color="auto"/>
        <w:left w:val="none" w:sz="0" w:space="0" w:color="auto"/>
        <w:bottom w:val="none" w:sz="0" w:space="0" w:color="auto"/>
        <w:right w:val="none" w:sz="0" w:space="0" w:color="auto"/>
      </w:divBdr>
    </w:div>
    <w:div w:id="1922714593">
      <w:bodyDiv w:val="1"/>
      <w:marLeft w:val="0"/>
      <w:marRight w:val="0"/>
      <w:marTop w:val="0"/>
      <w:marBottom w:val="0"/>
      <w:divBdr>
        <w:top w:val="none" w:sz="0" w:space="0" w:color="auto"/>
        <w:left w:val="none" w:sz="0" w:space="0" w:color="auto"/>
        <w:bottom w:val="none" w:sz="0" w:space="0" w:color="auto"/>
        <w:right w:val="none" w:sz="0" w:space="0" w:color="auto"/>
      </w:divBdr>
    </w:div>
    <w:div w:id="1922793334">
      <w:bodyDiv w:val="1"/>
      <w:marLeft w:val="0"/>
      <w:marRight w:val="0"/>
      <w:marTop w:val="0"/>
      <w:marBottom w:val="0"/>
      <w:divBdr>
        <w:top w:val="none" w:sz="0" w:space="0" w:color="auto"/>
        <w:left w:val="none" w:sz="0" w:space="0" w:color="auto"/>
        <w:bottom w:val="none" w:sz="0" w:space="0" w:color="auto"/>
        <w:right w:val="none" w:sz="0" w:space="0" w:color="auto"/>
      </w:divBdr>
    </w:div>
    <w:div w:id="1922829211">
      <w:bodyDiv w:val="1"/>
      <w:marLeft w:val="0"/>
      <w:marRight w:val="0"/>
      <w:marTop w:val="0"/>
      <w:marBottom w:val="0"/>
      <w:divBdr>
        <w:top w:val="none" w:sz="0" w:space="0" w:color="auto"/>
        <w:left w:val="none" w:sz="0" w:space="0" w:color="auto"/>
        <w:bottom w:val="none" w:sz="0" w:space="0" w:color="auto"/>
        <w:right w:val="none" w:sz="0" w:space="0" w:color="auto"/>
      </w:divBdr>
    </w:div>
    <w:div w:id="1923104833">
      <w:bodyDiv w:val="1"/>
      <w:marLeft w:val="0"/>
      <w:marRight w:val="0"/>
      <w:marTop w:val="0"/>
      <w:marBottom w:val="0"/>
      <w:divBdr>
        <w:top w:val="none" w:sz="0" w:space="0" w:color="auto"/>
        <w:left w:val="none" w:sz="0" w:space="0" w:color="auto"/>
        <w:bottom w:val="none" w:sz="0" w:space="0" w:color="auto"/>
        <w:right w:val="none" w:sz="0" w:space="0" w:color="auto"/>
      </w:divBdr>
    </w:div>
    <w:div w:id="1924610370">
      <w:bodyDiv w:val="1"/>
      <w:marLeft w:val="0"/>
      <w:marRight w:val="0"/>
      <w:marTop w:val="0"/>
      <w:marBottom w:val="0"/>
      <w:divBdr>
        <w:top w:val="none" w:sz="0" w:space="0" w:color="auto"/>
        <w:left w:val="none" w:sz="0" w:space="0" w:color="auto"/>
        <w:bottom w:val="none" w:sz="0" w:space="0" w:color="auto"/>
        <w:right w:val="none" w:sz="0" w:space="0" w:color="auto"/>
      </w:divBdr>
    </w:div>
    <w:div w:id="1926188831">
      <w:bodyDiv w:val="1"/>
      <w:marLeft w:val="0"/>
      <w:marRight w:val="0"/>
      <w:marTop w:val="0"/>
      <w:marBottom w:val="0"/>
      <w:divBdr>
        <w:top w:val="none" w:sz="0" w:space="0" w:color="auto"/>
        <w:left w:val="none" w:sz="0" w:space="0" w:color="auto"/>
        <w:bottom w:val="none" w:sz="0" w:space="0" w:color="auto"/>
        <w:right w:val="none" w:sz="0" w:space="0" w:color="auto"/>
      </w:divBdr>
    </w:div>
    <w:div w:id="1927031727">
      <w:bodyDiv w:val="1"/>
      <w:marLeft w:val="0"/>
      <w:marRight w:val="0"/>
      <w:marTop w:val="0"/>
      <w:marBottom w:val="0"/>
      <w:divBdr>
        <w:top w:val="none" w:sz="0" w:space="0" w:color="auto"/>
        <w:left w:val="none" w:sz="0" w:space="0" w:color="auto"/>
        <w:bottom w:val="none" w:sz="0" w:space="0" w:color="auto"/>
        <w:right w:val="none" w:sz="0" w:space="0" w:color="auto"/>
      </w:divBdr>
    </w:div>
    <w:div w:id="1927037919">
      <w:bodyDiv w:val="1"/>
      <w:marLeft w:val="0"/>
      <w:marRight w:val="0"/>
      <w:marTop w:val="0"/>
      <w:marBottom w:val="0"/>
      <w:divBdr>
        <w:top w:val="none" w:sz="0" w:space="0" w:color="auto"/>
        <w:left w:val="none" w:sz="0" w:space="0" w:color="auto"/>
        <w:bottom w:val="none" w:sz="0" w:space="0" w:color="auto"/>
        <w:right w:val="none" w:sz="0" w:space="0" w:color="auto"/>
      </w:divBdr>
    </w:div>
    <w:div w:id="1927223887">
      <w:bodyDiv w:val="1"/>
      <w:marLeft w:val="0"/>
      <w:marRight w:val="0"/>
      <w:marTop w:val="0"/>
      <w:marBottom w:val="0"/>
      <w:divBdr>
        <w:top w:val="none" w:sz="0" w:space="0" w:color="auto"/>
        <w:left w:val="none" w:sz="0" w:space="0" w:color="auto"/>
        <w:bottom w:val="none" w:sz="0" w:space="0" w:color="auto"/>
        <w:right w:val="none" w:sz="0" w:space="0" w:color="auto"/>
      </w:divBdr>
    </w:div>
    <w:div w:id="1928492870">
      <w:bodyDiv w:val="1"/>
      <w:marLeft w:val="0"/>
      <w:marRight w:val="0"/>
      <w:marTop w:val="0"/>
      <w:marBottom w:val="0"/>
      <w:divBdr>
        <w:top w:val="none" w:sz="0" w:space="0" w:color="auto"/>
        <w:left w:val="none" w:sz="0" w:space="0" w:color="auto"/>
        <w:bottom w:val="none" w:sz="0" w:space="0" w:color="auto"/>
        <w:right w:val="none" w:sz="0" w:space="0" w:color="auto"/>
      </w:divBdr>
    </w:div>
    <w:div w:id="1929189147">
      <w:bodyDiv w:val="1"/>
      <w:marLeft w:val="0"/>
      <w:marRight w:val="0"/>
      <w:marTop w:val="0"/>
      <w:marBottom w:val="0"/>
      <w:divBdr>
        <w:top w:val="none" w:sz="0" w:space="0" w:color="auto"/>
        <w:left w:val="none" w:sz="0" w:space="0" w:color="auto"/>
        <w:bottom w:val="none" w:sz="0" w:space="0" w:color="auto"/>
        <w:right w:val="none" w:sz="0" w:space="0" w:color="auto"/>
      </w:divBdr>
    </w:div>
    <w:div w:id="1930772545">
      <w:bodyDiv w:val="1"/>
      <w:marLeft w:val="0"/>
      <w:marRight w:val="0"/>
      <w:marTop w:val="0"/>
      <w:marBottom w:val="0"/>
      <w:divBdr>
        <w:top w:val="none" w:sz="0" w:space="0" w:color="auto"/>
        <w:left w:val="none" w:sz="0" w:space="0" w:color="auto"/>
        <w:bottom w:val="none" w:sz="0" w:space="0" w:color="auto"/>
        <w:right w:val="none" w:sz="0" w:space="0" w:color="auto"/>
      </w:divBdr>
    </w:div>
    <w:div w:id="1931043938">
      <w:bodyDiv w:val="1"/>
      <w:marLeft w:val="0"/>
      <w:marRight w:val="0"/>
      <w:marTop w:val="0"/>
      <w:marBottom w:val="0"/>
      <w:divBdr>
        <w:top w:val="none" w:sz="0" w:space="0" w:color="auto"/>
        <w:left w:val="none" w:sz="0" w:space="0" w:color="auto"/>
        <w:bottom w:val="none" w:sz="0" w:space="0" w:color="auto"/>
        <w:right w:val="none" w:sz="0" w:space="0" w:color="auto"/>
      </w:divBdr>
    </w:div>
    <w:div w:id="1932201859">
      <w:bodyDiv w:val="1"/>
      <w:marLeft w:val="0"/>
      <w:marRight w:val="0"/>
      <w:marTop w:val="0"/>
      <w:marBottom w:val="0"/>
      <w:divBdr>
        <w:top w:val="none" w:sz="0" w:space="0" w:color="auto"/>
        <w:left w:val="none" w:sz="0" w:space="0" w:color="auto"/>
        <w:bottom w:val="none" w:sz="0" w:space="0" w:color="auto"/>
        <w:right w:val="none" w:sz="0" w:space="0" w:color="auto"/>
      </w:divBdr>
    </w:div>
    <w:div w:id="1933319889">
      <w:bodyDiv w:val="1"/>
      <w:marLeft w:val="0"/>
      <w:marRight w:val="0"/>
      <w:marTop w:val="0"/>
      <w:marBottom w:val="0"/>
      <w:divBdr>
        <w:top w:val="none" w:sz="0" w:space="0" w:color="auto"/>
        <w:left w:val="none" w:sz="0" w:space="0" w:color="auto"/>
        <w:bottom w:val="none" w:sz="0" w:space="0" w:color="auto"/>
        <w:right w:val="none" w:sz="0" w:space="0" w:color="auto"/>
      </w:divBdr>
    </w:div>
    <w:div w:id="1934629391">
      <w:bodyDiv w:val="1"/>
      <w:marLeft w:val="0"/>
      <w:marRight w:val="0"/>
      <w:marTop w:val="0"/>
      <w:marBottom w:val="0"/>
      <w:divBdr>
        <w:top w:val="none" w:sz="0" w:space="0" w:color="auto"/>
        <w:left w:val="none" w:sz="0" w:space="0" w:color="auto"/>
        <w:bottom w:val="none" w:sz="0" w:space="0" w:color="auto"/>
        <w:right w:val="none" w:sz="0" w:space="0" w:color="auto"/>
      </w:divBdr>
    </w:div>
    <w:div w:id="1935674672">
      <w:bodyDiv w:val="1"/>
      <w:marLeft w:val="0"/>
      <w:marRight w:val="0"/>
      <w:marTop w:val="0"/>
      <w:marBottom w:val="0"/>
      <w:divBdr>
        <w:top w:val="none" w:sz="0" w:space="0" w:color="auto"/>
        <w:left w:val="none" w:sz="0" w:space="0" w:color="auto"/>
        <w:bottom w:val="none" w:sz="0" w:space="0" w:color="auto"/>
        <w:right w:val="none" w:sz="0" w:space="0" w:color="auto"/>
      </w:divBdr>
    </w:div>
    <w:div w:id="1936209320">
      <w:bodyDiv w:val="1"/>
      <w:marLeft w:val="0"/>
      <w:marRight w:val="0"/>
      <w:marTop w:val="0"/>
      <w:marBottom w:val="0"/>
      <w:divBdr>
        <w:top w:val="none" w:sz="0" w:space="0" w:color="auto"/>
        <w:left w:val="none" w:sz="0" w:space="0" w:color="auto"/>
        <w:bottom w:val="none" w:sz="0" w:space="0" w:color="auto"/>
        <w:right w:val="none" w:sz="0" w:space="0" w:color="auto"/>
      </w:divBdr>
    </w:div>
    <w:div w:id="1936478509">
      <w:bodyDiv w:val="1"/>
      <w:marLeft w:val="0"/>
      <w:marRight w:val="0"/>
      <w:marTop w:val="0"/>
      <w:marBottom w:val="0"/>
      <w:divBdr>
        <w:top w:val="none" w:sz="0" w:space="0" w:color="auto"/>
        <w:left w:val="none" w:sz="0" w:space="0" w:color="auto"/>
        <w:bottom w:val="none" w:sz="0" w:space="0" w:color="auto"/>
        <w:right w:val="none" w:sz="0" w:space="0" w:color="auto"/>
      </w:divBdr>
    </w:div>
    <w:div w:id="1937250533">
      <w:bodyDiv w:val="1"/>
      <w:marLeft w:val="0"/>
      <w:marRight w:val="0"/>
      <w:marTop w:val="0"/>
      <w:marBottom w:val="0"/>
      <w:divBdr>
        <w:top w:val="none" w:sz="0" w:space="0" w:color="auto"/>
        <w:left w:val="none" w:sz="0" w:space="0" w:color="auto"/>
        <w:bottom w:val="none" w:sz="0" w:space="0" w:color="auto"/>
        <w:right w:val="none" w:sz="0" w:space="0" w:color="auto"/>
      </w:divBdr>
    </w:div>
    <w:div w:id="1937639766">
      <w:bodyDiv w:val="1"/>
      <w:marLeft w:val="0"/>
      <w:marRight w:val="0"/>
      <w:marTop w:val="0"/>
      <w:marBottom w:val="0"/>
      <w:divBdr>
        <w:top w:val="none" w:sz="0" w:space="0" w:color="auto"/>
        <w:left w:val="none" w:sz="0" w:space="0" w:color="auto"/>
        <w:bottom w:val="none" w:sz="0" w:space="0" w:color="auto"/>
        <w:right w:val="none" w:sz="0" w:space="0" w:color="auto"/>
      </w:divBdr>
    </w:div>
    <w:div w:id="1942297688">
      <w:bodyDiv w:val="1"/>
      <w:marLeft w:val="0"/>
      <w:marRight w:val="0"/>
      <w:marTop w:val="0"/>
      <w:marBottom w:val="0"/>
      <w:divBdr>
        <w:top w:val="none" w:sz="0" w:space="0" w:color="auto"/>
        <w:left w:val="none" w:sz="0" w:space="0" w:color="auto"/>
        <w:bottom w:val="none" w:sz="0" w:space="0" w:color="auto"/>
        <w:right w:val="none" w:sz="0" w:space="0" w:color="auto"/>
      </w:divBdr>
    </w:div>
    <w:div w:id="1943995549">
      <w:bodyDiv w:val="1"/>
      <w:marLeft w:val="0"/>
      <w:marRight w:val="0"/>
      <w:marTop w:val="0"/>
      <w:marBottom w:val="0"/>
      <w:divBdr>
        <w:top w:val="none" w:sz="0" w:space="0" w:color="auto"/>
        <w:left w:val="none" w:sz="0" w:space="0" w:color="auto"/>
        <w:bottom w:val="none" w:sz="0" w:space="0" w:color="auto"/>
        <w:right w:val="none" w:sz="0" w:space="0" w:color="auto"/>
      </w:divBdr>
    </w:div>
    <w:div w:id="1944262279">
      <w:bodyDiv w:val="1"/>
      <w:marLeft w:val="0"/>
      <w:marRight w:val="0"/>
      <w:marTop w:val="0"/>
      <w:marBottom w:val="0"/>
      <w:divBdr>
        <w:top w:val="none" w:sz="0" w:space="0" w:color="auto"/>
        <w:left w:val="none" w:sz="0" w:space="0" w:color="auto"/>
        <w:bottom w:val="none" w:sz="0" w:space="0" w:color="auto"/>
        <w:right w:val="none" w:sz="0" w:space="0" w:color="auto"/>
      </w:divBdr>
    </w:div>
    <w:div w:id="1944266874">
      <w:bodyDiv w:val="1"/>
      <w:marLeft w:val="0"/>
      <w:marRight w:val="0"/>
      <w:marTop w:val="0"/>
      <w:marBottom w:val="0"/>
      <w:divBdr>
        <w:top w:val="none" w:sz="0" w:space="0" w:color="auto"/>
        <w:left w:val="none" w:sz="0" w:space="0" w:color="auto"/>
        <w:bottom w:val="none" w:sz="0" w:space="0" w:color="auto"/>
        <w:right w:val="none" w:sz="0" w:space="0" w:color="auto"/>
      </w:divBdr>
    </w:div>
    <w:div w:id="1945645759">
      <w:bodyDiv w:val="1"/>
      <w:marLeft w:val="0"/>
      <w:marRight w:val="0"/>
      <w:marTop w:val="0"/>
      <w:marBottom w:val="0"/>
      <w:divBdr>
        <w:top w:val="none" w:sz="0" w:space="0" w:color="auto"/>
        <w:left w:val="none" w:sz="0" w:space="0" w:color="auto"/>
        <w:bottom w:val="none" w:sz="0" w:space="0" w:color="auto"/>
        <w:right w:val="none" w:sz="0" w:space="0" w:color="auto"/>
      </w:divBdr>
    </w:div>
    <w:div w:id="1945652494">
      <w:bodyDiv w:val="1"/>
      <w:marLeft w:val="0"/>
      <w:marRight w:val="0"/>
      <w:marTop w:val="0"/>
      <w:marBottom w:val="0"/>
      <w:divBdr>
        <w:top w:val="none" w:sz="0" w:space="0" w:color="auto"/>
        <w:left w:val="none" w:sz="0" w:space="0" w:color="auto"/>
        <w:bottom w:val="none" w:sz="0" w:space="0" w:color="auto"/>
        <w:right w:val="none" w:sz="0" w:space="0" w:color="auto"/>
      </w:divBdr>
    </w:div>
    <w:div w:id="1945918852">
      <w:bodyDiv w:val="1"/>
      <w:marLeft w:val="0"/>
      <w:marRight w:val="0"/>
      <w:marTop w:val="0"/>
      <w:marBottom w:val="0"/>
      <w:divBdr>
        <w:top w:val="none" w:sz="0" w:space="0" w:color="auto"/>
        <w:left w:val="none" w:sz="0" w:space="0" w:color="auto"/>
        <w:bottom w:val="none" w:sz="0" w:space="0" w:color="auto"/>
        <w:right w:val="none" w:sz="0" w:space="0" w:color="auto"/>
      </w:divBdr>
    </w:div>
    <w:div w:id="1947276016">
      <w:bodyDiv w:val="1"/>
      <w:marLeft w:val="0"/>
      <w:marRight w:val="0"/>
      <w:marTop w:val="0"/>
      <w:marBottom w:val="0"/>
      <w:divBdr>
        <w:top w:val="none" w:sz="0" w:space="0" w:color="auto"/>
        <w:left w:val="none" w:sz="0" w:space="0" w:color="auto"/>
        <w:bottom w:val="none" w:sz="0" w:space="0" w:color="auto"/>
        <w:right w:val="none" w:sz="0" w:space="0" w:color="auto"/>
      </w:divBdr>
    </w:div>
    <w:div w:id="1948193292">
      <w:bodyDiv w:val="1"/>
      <w:marLeft w:val="0"/>
      <w:marRight w:val="0"/>
      <w:marTop w:val="0"/>
      <w:marBottom w:val="0"/>
      <w:divBdr>
        <w:top w:val="none" w:sz="0" w:space="0" w:color="auto"/>
        <w:left w:val="none" w:sz="0" w:space="0" w:color="auto"/>
        <w:bottom w:val="none" w:sz="0" w:space="0" w:color="auto"/>
        <w:right w:val="none" w:sz="0" w:space="0" w:color="auto"/>
      </w:divBdr>
    </w:div>
    <w:div w:id="1948585463">
      <w:bodyDiv w:val="1"/>
      <w:marLeft w:val="0"/>
      <w:marRight w:val="0"/>
      <w:marTop w:val="0"/>
      <w:marBottom w:val="0"/>
      <w:divBdr>
        <w:top w:val="none" w:sz="0" w:space="0" w:color="auto"/>
        <w:left w:val="none" w:sz="0" w:space="0" w:color="auto"/>
        <w:bottom w:val="none" w:sz="0" w:space="0" w:color="auto"/>
        <w:right w:val="none" w:sz="0" w:space="0" w:color="auto"/>
      </w:divBdr>
    </w:div>
    <w:div w:id="1951159538">
      <w:bodyDiv w:val="1"/>
      <w:marLeft w:val="0"/>
      <w:marRight w:val="0"/>
      <w:marTop w:val="0"/>
      <w:marBottom w:val="0"/>
      <w:divBdr>
        <w:top w:val="none" w:sz="0" w:space="0" w:color="auto"/>
        <w:left w:val="none" w:sz="0" w:space="0" w:color="auto"/>
        <w:bottom w:val="none" w:sz="0" w:space="0" w:color="auto"/>
        <w:right w:val="none" w:sz="0" w:space="0" w:color="auto"/>
      </w:divBdr>
    </w:div>
    <w:div w:id="1951273748">
      <w:bodyDiv w:val="1"/>
      <w:marLeft w:val="0"/>
      <w:marRight w:val="0"/>
      <w:marTop w:val="0"/>
      <w:marBottom w:val="0"/>
      <w:divBdr>
        <w:top w:val="none" w:sz="0" w:space="0" w:color="auto"/>
        <w:left w:val="none" w:sz="0" w:space="0" w:color="auto"/>
        <w:bottom w:val="none" w:sz="0" w:space="0" w:color="auto"/>
        <w:right w:val="none" w:sz="0" w:space="0" w:color="auto"/>
      </w:divBdr>
    </w:div>
    <w:div w:id="1951544876">
      <w:bodyDiv w:val="1"/>
      <w:marLeft w:val="0"/>
      <w:marRight w:val="0"/>
      <w:marTop w:val="0"/>
      <w:marBottom w:val="0"/>
      <w:divBdr>
        <w:top w:val="none" w:sz="0" w:space="0" w:color="auto"/>
        <w:left w:val="none" w:sz="0" w:space="0" w:color="auto"/>
        <w:bottom w:val="none" w:sz="0" w:space="0" w:color="auto"/>
        <w:right w:val="none" w:sz="0" w:space="0" w:color="auto"/>
      </w:divBdr>
    </w:div>
    <w:div w:id="1951663152">
      <w:bodyDiv w:val="1"/>
      <w:marLeft w:val="0"/>
      <w:marRight w:val="0"/>
      <w:marTop w:val="0"/>
      <w:marBottom w:val="0"/>
      <w:divBdr>
        <w:top w:val="none" w:sz="0" w:space="0" w:color="auto"/>
        <w:left w:val="none" w:sz="0" w:space="0" w:color="auto"/>
        <w:bottom w:val="none" w:sz="0" w:space="0" w:color="auto"/>
        <w:right w:val="none" w:sz="0" w:space="0" w:color="auto"/>
      </w:divBdr>
    </w:div>
    <w:div w:id="1955361253">
      <w:bodyDiv w:val="1"/>
      <w:marLeft w:val="0"/>
      <w:marRight w:val="0"/>
      <w:marTop w:val="0"/>
      <w:marBottom w:val="0"/>
      <w:divBdr>
        <w:top w:val="none" w:sz="0" w:space="0" w:color="auto"/>
        <w:left w:val="none" w:sz="0" w:space="0" w:color="auto"/>
        <w:bottom w:val="none" w:sz="0" w:space="0" w:color="auto"/>
        <w:right w:val="none" w:sz="0" w:space="0" w:color="auto"/>
      </w:divBdr>
    </w:div>
    <w:div w:id="1955361610">
      <w:bodyDiv w:val="1"/>
      <w:marLeft w:val="0"/>
      <w:marRight w:val="0"/>
      <w:marTop w:val="0"/>
      <w:marBottom w:val="0"/>
      <w:divBdr>
        <w:top w:val="none" w:sz="0" w:space="0" w:color="auto"/>
        <w:left w:val="none" w:sz="0" w:space="0" w:color="auto"/>
        <w:bottom w:val="none" w:sz="0" w:space="0" w:color="auto"/>
        <w:right w:val="none" w:sz="0" w:space="0" w:color="auto"/>
      </w:divBdr>
    </w:div>
    <w:div w:id="1955599323">
      <w:bodyDiv w:val="1"/>
      <w:marLeft w:val="0"/>
      <w:marRight w:val="0"/>
      <w:marTop w:val="0"/>
      <w:marBottom w:val="0"/>
      <w:divBdr>
        <w:top w:val="none" w:sz="0" w:space="0" w:color="auto"/>
        <w:left w:val="none" w:sz="0" w:space="0" w:color="auto"/>
        <w:bottom w:val="none" w:sz="0" w:space="0" w:color="auto"/>
        <w:right w:val="none" w:sz="0" w:space="0" w:color="auto"/>
      </w:divBdr>
    </w:div>
    <w:div w:id="1955742857">
      <w:bodyDiv w:val="1"/>
      <w:marLeft w:val="0"/>
      <w:marRight w:val="0"/>
      <w:marTop w:val="0"/>
      <w:marBottom w:val="0"/>
      <w:divBdr>
        <w:top w:val="none" w:sz="0" w:space="0" w:color="auto"/>
        <w:left w:val="none" w:sz="0" w:space="0" w:color="auto"/>
        <w:bottom w:val="none" w:sz="0" w:space="0" w:color="auto"/>
        <w:right w:val="none" w:sz="0" w:space="0" w:color="auto"/>
      </w:divBdr>
    </w:div>
    <w:div w:id="1956327389">
      <w:bodyDiv w:val="1"/>
      <w:marLeft w:val="0"/>
      <w:marRight w:val="0"/>
      <w:marTop w:val="0"/>
      <w:marBottom w:val="0"/>
      <w:divBdr>
        <w:top w:val="none" w:sz="0" w:space="0" w:color="auto"/>
        <w:left w:val="none" w:sz="0" w:space="0" w:color="auto"/>
        <w:bottom w:val="none" w:sz="0" w:space="0" w:color="auto"/>
        <w:right w:val="none" w:sz="0" w:space="0" w:color="auto"/>
      </w:divBdr>
    </w:div>
    <w:div w:id="1958439411">
      <w:bodyDiv w:val="1"/>
      <w:marLeft w:val="0"/>
      <w:marRight w:val="0"/>
      <w:marTop w:val="0"/>
      <w:marBottom w:val="0"/>
      <w:divBdr>
        <w:top w:val="none" w:sz="0" w:space="0" w:color="auto"/>
        <w:left w:val="none" w:sz="0" w:space="0" w:color="auto"/>
        <w:bottom w:val="none" w:sz="0" w:space="0" w:color="auto"/>
        <w:right w:val="none" w:sz="0" w:space="0" w:color="auto"/>
      </w:divBdr>
    </w:div>
    <w:div w:id="1959678723">
      <w:bodyDiv w:val="1"/>
      <w:marLeft w:val="0"/>
      <w:marRight w:val="0"/>
      <w:marTop w:val="0"/>
      <w:marBottom w:val="0"/>
      <w:divBdr>
        <w:top w:val="none" w:sz="0" w:space="0" w:color="auto"/>
        <w:left w:val="none" w:sz="0" w:space="0" w:color="auto"/>
        <w:bottom w:val="none" w:sz="0" w:space="0" w:color="auto"/>
        <w:right w:val="none" w:sz="0" w:space="0" w:color="auto"/>
      </w:divBdr>
    </w:div>
    <w:div w:id="1960380847">
      <w:bodyDiv w:val="1"/>
      <w:marLeft w:val="0"/>
      <w:marRight w:val="0"/>
      <w:marTop w:val="0"/>
      <w:marBottom w:val="0"/>
      <w:divBdr>
        <w:top w:val="none" w:sz="0" w:space="0" w:color="auto"/>
        <w:left w:val="none" w:sz="0" w:space="0" w:color="auto"/>
        <w:bottom w:val="none" w:sz="0" w:space="0" w:color="auto"/>
        <w:right w:val="none" w:sz="0" w:space="0" w:color="auto"/>
      </w:divBdr>
    </w:div>
    <w:div w:id="1960408204">
      <w:bodyDiv w:val="1"/>
      <w:marLeft w:val="0"/>
      <w:marRight w:val="0"/>
      <w:marTop w:val="0"/>
      <w:marBottom w:val="0"/>
      <w:divBdr>
        <w:top w:val="none" w:sz="0" w:space="0" w:color="auto"/>
        <w:left w:val="none" w:sz="0" w:space="0" w:color="auto"/>
        <w:bottom w:val="none" w:sz="0" w:space="0" w:color="auto"/>
        <w:right w:val="none" w:sz="0" w:space="0" w:color="auto"/>
      </w:divBdr>
    </w:div>
    <w:div w:id="1961689455">
      <w:bodyDiv w:val="1"/>
      <w:marLeft w:val="0"/>
      <w:marRight w:val="0"/>
      <w:marTop w:val="0"/>
      <w:marBottom w:val="0"/>
      <w:divBdr>
        <w:top w:val="none" w:sz="0" w:space="0" w:color="auto"/>
        <w:left w:val="none" w:sz="0" w:space="0" w:color="auto"/>
        <w:bottom w:val="none" w:sz="0" w:space="0" w:color="auto"/>
        <w:right w:val="none" w:sz="0" w:space="0" w:color="auto"/>
      </w:divBdr>
    </w:div>
    <w:div w:id="1961836289">
      <w:bodyDiv w:val="1"/>
      <w:marLeft w:val="0"/>
      <w:marRight w:val="0"/>
      <w:marTop w:val="0"/>
      <w:marBottom w:val="0"/>
      <w:divBdr>
        <w:top w:val="none" w:sz="0" w:space="0" w:color="auto"/>
        <w:left w:val="none" w:sz="0" w:space="0" w:color="auto"/>
        <w:bottom w:val="none" w:sz="0" w:space="0" w:color="auto"/>
        <w:right w:val="none" w:sz="0" w:space="0" w:color="auto"/>
      </w:divBdr>
    </w:div>
    <w:div w:id="1962227960">
      <w:bodyDiv w:val="1"/>
      <w:marLeft w:val="0"/>
      <w:marRight w:val="0"/>
      <w:marTop w:val="0"/>
      <w:marBottom w:val="0"/>
      <w:divBdr>
        <w:top w:val="none" w:sz="0" w:space="0" w:color="auto"/>
        <w:left w:val="none" w:sz="0" w:space="0" w:color="auto"/>
        <w:bottom w:val="none" w:sz="0" w:space="0" w:color="auto"/>
        <w:right w:val="none" w:sz="0" w:space="0" w:color="auto"/>
      </w:divBdr>
    </w:div>
    <w:div w:id="1963416875">
      <w:bodyDiv w:val="1"/>
      <w:marLeft w:val="0"/>
      <w:marRight w:val="0"/>
      <w:marTop w:val="0"/>
      <w:marBottom w:val="0"/>
      <w:divBdr>
        <w:top w:val="none" w:sz="0" w:space="0" w:color="auto"/>
        <w:left w:val="none" w:sz="0" w:space="0" w:color="auto"/>
        <w:bottom w:val="none" w:sz="0" w:space="0" w:color="auto"/>
        <w:right w:val="none" w:sz="0" w:space="0" w:color="auto"/>
      </w:divBdr>
    </w:div>
    <w:div w:id="1963881793">
      <w:bodyDiv w:val="1"/>
      <w:marLeft w:val="0"/>
      <w:marRight w:val="0"/>
      <w:marTop w:val="0"/>
      <w:marBottom w:val="0"/>
      <w:divBdr>
        <w:top w:val="none" w:sz="0" w:space="0" w:color="auto"/>
        <w:left w:val="none" w:sz="0" w:space="0" w:color="auto"/>
        <w:bottom w:val="none" w:sz="0" w:space="0" w:color="auto"/>
        <w:right w:val="none" w:sz="0" w:space="0" w:color="auto"/>
      </w:divBdr>
    </w:div>
    <w:div w:id="1965236301">
      <w:bodyDiv w:val="1"/>
      <w:marLeft w:val="0"/>
      <w:marRight w:val="0"/>
      <w:marTop w:val="0"/>
      <w:marBottom w:val="0"/>
      <w:divBdr>
        <w:top w:val="none" w:sz="0" w:space="0" w:color="auto"/>
        <w:left w:val="none" w:sz="0" w:space="0" w:color="auto"/>
        <w:bottom w:val="none" w:sz="0" w:space="0" w:color="auto"/>
        <w:right w:val="none" w:sz="0" w:space="0" w:color="auto"/>
      </w:divBdr>
    </w:div>
    <w:div w:id="1967275029">
      <w:bodyDiv w:val="1"/>
      <w:marLeft w:val="0"/>
      <w:marRight w:val="0"/>
      <w:marTop w:val="0"/>
      <w:marBottom w:val="0"/>
      <w:divBdr>
        <w:top w:val="none" w:sz="0" w:space="0" w:color="auto"/>
        <w:left w:val="none" w:sz="0" w:space="0" w:color="auto"/>
        <w:bottom w:val="none" w:sz="0" w:space="0" w:color="auto"/>
        <w:right w:val="none" w:sz="0" w:space="0" w:color="auto"/>
      </w:divBdr>
    </w:div>
    <w:div w:id="1973166827">
      <w:bodyDiv w:val="1"/>
      <w:marLeft w:val="0"/>
      <w:marRight w:val="0"/>
      <w:marTop w:val="0"/>
      <w:marBottom w:val="0"/>
      <w:divBdr>
        <w:top w:val="none" w:sz="0" w:space="0" w:color="auto"/>
        <w:left w:val="none" w:sz="0" w:space="0" w:color="auto"/>
        <w:bottom w:val="none" w:sz="0" w:space="0" w:color="auto"/>
        <w:right w:val="none" w:sz="0" w:space="0" w:color="auto"/>
      </w:divBdr>
    </w:div>
    <w:div w:id="1978144876">
      <w:bodyDiv w:val="1"/>
      <w:marLeft w:val="0"/>
      <w:marRight w:val="0"/>
      <w:marTop w:val="0"/>
      <w:marBottom w:val="0"/>
      <w:divBdr>
        <w:top w:val="none" w:sz="0" w:space="0" w:color="auto"/>
        <w:left w:val="none" w:sz="0" w:space="0" w:color="auto"/>
        <w:bottom w:val="none" w:sz="0" w:space="0" w:color="auto"/>
        <w:right w:val="none" w:sz="0" w:space="0" w:color="auto"/>
      </w:divBdr>
    </w:div>
    <w:div w:id="1978491718">
      <w:bodyDiv w:val="1"/>
      <w:marLeft w:val="0"/>
      <w:marRight w:val="0"/>
      <w:marTop w:val="0"/>
      <w:marBottom w:val="0"/>
      <w:divBdr>
        <w:top w:val="none" w:sz="0" w:space="0" w:color="auto"/>
        <w:left w:val="none" w:sz="0" w:space="0" w:color="auto"/>
        <w:bottom w:val="none" w:sz="0" w:space="0" w:color="auto"/>
        <w:right w:val="none" w:sz="0" w:space="0" w:color="auto"/>
      </w:divBdr>
    </w:div>
    <w:div w:id="1979610568">
      <w:bodyDiv w:val="1"/>
      <w:marLeft w:val="0"/>
      <w:marRight w:val="0"/>
      <w:marTop w:val="0"/>
      <w:marBottom w:val="0"/>
      <w:divBdr>
        <w:top w:val="none" w:sz="0" w:space="0" w:color="auto"/>
        <w:left w:val="none" w:sz="0" w:space="0" w:color="auto"/>
        <w:bottom w:val="none" w:sz="0" w:space="0" w:color="auto"/>
        <w:right w:val="none" w:sz="0" w:space="0" w:color="auto"/>
      </w:divBdr>
    </w:div>
    <w:div w:id="1980182817">
      <w:bodyDiv w:val="1"/>
      <w:marLeft w:val="0"/>
      <w:marRight w:val="0"/>
      <w:marTop w:val="0"/>
      <w:marBottom w:val="0"/>
      <w:divBdr>
        <w:top w:val="none" w:sz="0" w:space="0" w:color="auto"/>
        <w:left w:val="none" w:sz="0" w:space="0" w:color="auto"/>
        <w:bottom w:val="none" w:sz="0" w:space="0" w:color="auto"/>
        <w:right w:val="none" w:sz="0" w:space="0" w:color="auto"/>
      </w:divBdr>
    </w:div>
    <w:div w:id="1980264551">
      <w:bodyDiv w:val="1"/>
      <w:marLeft w:val="0"/>
      <w:marRight w:val="0"/>
      <w:marTop w:val="0"/>
      <w:marBottom w:val="0"/>
      <w:divBdr>
        <w:top w:val="none" w:sz="0" w:space="0" w:color="auto"/>
        <w:left w:val="none" w:sz="0" w:space="0" w:color="auto"/>
        <w:bottom w:val="none" w:sz="0" w:space="0" w:color="auto"/>
        <w:right w:val="none" w:sz="0" w:space="0" w:color="auto"/>
      </w:divBdr>
    </w:div>
    <w:div w:id="1981419803">
      <w:bodyDiv w:val="1"/>
      <w:marLeft w:val="0"/>
      <w:marRight w:val="0"/>
      <w:marTop w:val="0"/>
      <w:marBottom w:val="0"/>
      <w:divBdr>
        <w:top w:val="none" w:sz="0" w:space="0" w:color="auto"/>
        <w:left w:val="none" w:sz="0" w:space="0" w:color="auto"/>
        <w:bottom w:val="none" w:sz="0" w:space="0" w:color="auto"/>
        <w:right w:val="none" w:sz="0" w:space="0" w:color="auto"/>
      </w:divBdr>
    </w:div>
    <w:div w:id="1981686300">
      <w:bodyDiv w:val="1"/>
      <w:marLeft w:val="0"/>
      <w:marRight w:val="0"/>
      <w:marTop w:val="0"/>
      <w:marBottom w:val="0"/>
      <w:divBdr>
        <w:top w:val="none" w:sz="0" w:space="0" w:color="auto"/>
        <w:left w:val="none" w:sz="0" w:space="0" w:color="auto"/>
        <w:bottom w:val="none" w:sz="0" w:space="0" w:color="auto"/>
        <w:right w:val="none" w:sz="0" w:space="0" w:color="auto"/>
      </w:divBdr>
    </w:div>
    <w:div w:id="1982034638">
      <w:bodyDiv w:val="1"/>
      <w:marLeft w:val="0"/>
      <w:marRight w:val="0"/>
      <w:marTop w:val="0"/>
      <w:marBottom w:val="0"/>
      <w:divBdr>
        <w:top w:val="none" w:sz="0" w:space="0" w:color="auto"/>
        <w:left w:val="none" w:sz="0" w:space="0" w:color="auto"/>
        <w:bottom w:val="none" w:sz="0" w:space="0" w:color="auto"/>
        <w:right w:val="none" w:sz="0" w:space="0" w:color="auto"/>
      </w:divBdr>
    </w:div>
    <w:div w:id="1984314063">
      <w:bodyDiv w:val="1"/>
      <w:marLeft w:val="0"/>
      <w:marRight w:val="0"/>
      <w:marTop w:val="0"/>
      <w:marBottom w:val="0"/>
      <w:divBdr>
        <w:top w:val="none" w:sz="0" w:space="0" w:color="auto"/>
        <w:left w:val="none" w:sz="0" w:space="0" w:color="auto"/>
        <w:bottom w:val="none" w:sz="0" w:space="0" w:color="auto"/>
        <w:right w:val="none" w:sz="0" w:space="0" w:color="auto"/>
      </w:divBdr>
    </w:div>
    <w:div w:id="1984775925">
      <w:bodyDiv w:val="1"/>
      <w:marLeft w:val="0"/>
      <w:marRight w:val="0"/>
      <w:marTop w:val="0"/>
      <w:marBottom w:val="0"/>
      <w:divBdr>
        <w:top w:val="none" w:sz="0" w:space="0" w:color="auto"/>
        <w:left w:val="none" w:sz="0" w:space="0" w:color="auto"/>
        <w:bottom w:val="none" w:sz="0" w:space="0" w:color="auto"/>
        <w:right w:val="none" w:sz="0" w:space="0" w:color="auto"/>
      </w:divBdr>
    </w:div>
    <w:div w:id="1985575215">
      <w:bodyDiv w:val="1"/>
      <w:marLeft w:val="0"/>
      <w:marRight w:val="0"/>
      <w:marTop w:val="0"/>
      <w:marBottom w:val="0"/>
      <w:divBdr>
        <w:top w:val="none" w:sz="0" w:space="0" w:color="auto"/>
        <w:left w:val="none" w:sz="0" w:space="0" w:color="auto"/>
        <w:bottom w:val="none" w:sz="0" w:space="0" w:color="auto"/>
        <w:right w:val="none" w:sz="0" w:space="0" w:color="auto"/>
      </w:divBdr>
    </w:div>
    <w:div w:id="1986083540">
      <w:bodyDiv w:val="1"/>
      <w:marLeft w:val="0"/>
      <w:marRight w:val="0"/>
      <w:marTop w:val="0"/>
      <w:marBottom w:val="0"/>
      <w:divBdr>
        <w:top w:val="none" w:sz="0" w:space="0" w:color="auto"/>
        <w:left w:val="none" w:sz="0" w:space="0" w:color="auto"/>
        <w:bottom w:val="none" w:sz="0" w:space="0" w:color="auto"/>
        <w:right w:val="none" w:sz="0" w:space="0" w:color="auto"/>
      </w:divBdr>
    </w:div>
    <w:div w:id="1986738672">
      <w:bodyDiv w:val="1"/>
      <w:marLeft w:val="0"/>
      <w:marRight w:val="0"/>
      <w:marTop w:val="0"/>
      <w:marBottom w:val="0"/>
      <w:divBdr>
        <w:top w:val="none" w:sz="0" w:space="0" w:color="auto"/>
        <w:left w:val="none" w:sz="0" w:space="0" w:color="auto"/>
        <w:bottom w:val="none" w:sz="0" w:space="0" w:color="auto"/>
        <w:right w:val="none" w:sz="0" w:space="0" w:color="auto"/>
      </w:divBdr>
    </w:div>
    <w:div w:id="1986886537">
      <w:bodyDiv w:val="1"/>
      <w:marLeft w:val="0"/>
      <w:marRight w:val="0"/>
      <w:marTop w:val="0"/>
      <w:marBottom w:val="0"/>
      <w:divBdr>
        <w:top w:val="none" w:sz="0" w:space="0" w:color="auto"/>
        <w:left w:val="none" w:sz="0" w:space="0" w:color="auto"/>
        <w:bottom w:val="none" w:sz="0" w:space="0" w:color="auto"/>
        <w:right w:val="none" w:sz="0" w:space="0" w:color="auto"/>
      </w:divBdr>
    </w:div>
    <w:div w:id="1988507843">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
    <w:div w:id="1988626768">
      <w:bodyDiv w:val="1"/>
      <w:marLeft w:val="0"/>
      <w:marRight w:val="0"/>
      <w:marTop w:val="0"/>
      <w:marBottom w:val="0"/>
      <w:divBdr>
        <w:top w:val="none" w:sz="0" w:space="0" w:color="auto"/>
        <w:left w:val="none" w:sz="0" w:space="0" w:color="auto"/>
        <w:bottom w:val="none" w:sz="0" w:space="0" w:color="auto"/>
        <w:right w:val="none" w:sz="0" w:space="0" w:color="auto"/>
      </w:divBdr>
    </w:div>
    <w:div w:id="1988700512">
      <w:bodyDiv w:val="1"/>
      <w:marLeft w:val="0"/>
      <w:marRight w:val="0"/>
      <w:marTop w:val="0"/>
      <w:marBottom w:val="0"/>
      <w:divBdr>
        <w:top w:val="none" w:sz="0" w:space="0" w:color="auto"/>
        <w:left w:val="none" w:sz="0" w:space="0" w:color="auto"/>
        <w:bottom w:val="none" w:sz="0" w:space="0" w:color="auto"/>
        <w:right w:val="none" w:sz="0" w:space="0" w:color="auto"/>
      </w:divBdr>
    </w:div>
    <w:div w:id="1989625103">
      <w:bodyDiv w:val="1"/>
      <w:marLeft w:val="0"/>
      <w:marRight w:val="0"/>
      <w:marTop w:val="0"/>
      <w:marBottom w:val="0"/>
      <w:divBdr>
        <w:top w:val="none" w:sz="0" w:space="0" w:color="auto"/>
        <w:left w:val="none" w:sz="0" w:space="0" w:color="auto"/>
        <w:bottom w:val="none" w:sz="0" w:space="0" w:color="auto"/>
        <w:right w:val="none" w:sz="0" w:space="0" w:color="auto"/>
      </w:divBdr>
    </w:div>
    <w:div w:id="1991665243">
      <w:bodyDiv w:val="1"/>
      <w:marLeft w:val="0"/>
      <w:marRight w:val="0"/>
      <w:marTop w:val="0"/>
      <w:marBottom w:val="0"/>
      <w:divBdr>
        <w:top w:val="none" w:sz="0" w:space="0" w:color="auto"/>
        <w:left w:val="none" w:sz="0" w:space="0" w:color="auto"/>
        <w:bottom w:val="none" w:sz="0" w:space="0" w:color="auto"/>
        <w:right w:val="none" w:sz="0" w:space="0" w:color="auto"/>
      </w:divBdr>
    </w:div>
    <w:div w:id="1991977232">
      <w:bodyDiv w:val="1"/>
      <w:marLeft w:val="0"/>
      <w:marRight w:val="0"/>
      <w:marTop w:val="0"/>
      <w:marBottom w:val="0"/>
      <w:divBdr>
        <w:top w:val="none" w:sz="0" w:space="0" w:color="auto"/>
        <w:left w:val="none" w:sz="0" w:space="0" w:color="auto"/>
        <w:bottom w:val="none" w:sz="0" w:space="0" w:color="auto"/>
        <w:right w:val="none" w:sz="0" w:space="0" w:color="auto"/>
      </w:divBdr>
    </w:div>
    <w:div w:id="1992974872">
      <w:bodyDiv w:val="1"/>
      <w:marLeft w:val="0"/>
      <w:marRight w:val="0"/>
      <w:marTop w:val="0"/>
      <w:marBottom w:val="0"/>
      <w:divBdr>
        <w:top w:val="none" w:sz="0" w:space="0" w:color="auto"/>
        <w:left w:val="none" w:sz="0" w:space="0" w:color="auto"/>
        <w:bottom w:val="none" w:sz="0" w:space="0" w:color="auto"/>
        <w:right w:val="none" w:sz="0" w:space="0" w:color="auto"/>
      </w:divBdr>
    </w:div>
    <w:div w:id="1994792202">
      <w:bodyDiv w:val="1"/>
      <w:marLeft w:val="0"/>
      <w:marRight w:val="0"/>
      <w:marTop w:val="0"/>
      <w:marBottom w:val="0"/>
      <w:divBdr>
        <w:top w:val="none" w:sz="0" w:space="0" w:color="auto"/>
        <w:left w:val="none" w:sz="0" w:space="0" w:color="auto"/>
        <w:bottom w:val="none" w:sz="0" w:space="0" w:color="auto"/>
        <w:right w:val="none" w:sz="0" w:space="0" w:color="auto"/>
      </w:divBdr>
    </w:div>
    <w:div w:id="1995790784">
      <w:bodyDiv w:val="1"/>
      <w:marLeft w:val="0"/>
      <w:marRight w:val="0"/>
      <w:marTop w:val="0"/>
      <w:marBottom w:val="0"/>
      <w:divBdr>
        <w:top w:val="none" w:sz="0" w:space="0" w:color="auto"/>
        <w:left w:val="none" w:sz="0" w:space="0" w:color="auto"/>
        <w:bottom w:val="none" w:sz="0" w:space="0" w:color="auto"/>
        <w:right w:val="none" w:sz="0" w:space="0" w:color="auto"/>
      </w:divBdr>
    </w:div>
    <w:div w:id="1996568372">
      <w:bodyDiv w:val="1"/>
      <w:marLeft w:val="0"/>
      <w:marRight w:val="0"/>
      <w:marTop w:val="0"/>
      <w:marBottom w:val="0"/>
      <w:divBdr>
        <w:top w:val="none" w:sz="0" w:space="0" w:color="auto"/>
        <w:left w:val="none" w:sz="0" w:space="0" w:color="auto"/>
        <w:bottom w:val="none" w:sz="0" w:space="0" w:color="auto"/>
        <w:right w:val="none" w:sz="0" w:space="0" w:color="auto"/>
      </w:divBdr>
    </w:div>
    <w:div w:id="1997100080">
      <w:bodyDiv w:val="1"/>
      <w:marLeft w:val="0"/>
      <w:marRight w:val="0"/>
      <w:marTop w:val="0"/>
      <w:marBottom w:val="0"/>
      <w:divBdr>
        <w:top w:val="none" w:sz="0" w:space="0" w:color="auto"/>
        <w:left w:val="none" w:sz="0" w:space="0" w:color="auto"/>
        <w:bottom w:val="none" w:sz="0" w:space="0" w:color="auto"/>
        <w:right w:val="none" w:sz="0" w:space="0" w:color="auto"/>
      </w:divBdr>
    </w:div>
    <w:div w:id="1997370909">
      <w:bodyDiv w:val="1"/>
      <w:marLeft w:val="0"/>
      <w:marRight w:val="0"/>
      <w:marTop w:val="0"/>
      <w:marBottom w:val="0"/>
      <w:divBdr>
        <w:top w:val="none" w:sz="0" w:space="0" w:color="auto"/>
        <w:left w:val="none" w:sz="0" w:space="0" w:color="auto"/>
        <w:bottom w:val="none" w:sz="0" w:space="0" w:color="auto"/>
        <w:right w:val="none" w:sz="0" w:space="0" w:color="auto"/>
      </w:divBdr>
    </w:div>
    <w:div w:id="1997613458">
      <w:bodyDiv w:val="1"/>
      <w:marLeft w:val="0"/>
      <w:marRight w:val="0"/>
      <w:marTop w:val="0"/>
      <w:marBottom w:val="0"/>
      <w:divBdr>
        <w:top w:val="none" w:sz="0" w:space="0" w:color="auto"/>
        <w:left w:val="none" w:sz="0" w:space="0" w:color="auto"/>
        <w:bottom w:val="none" w:sz="0" w:space="0" w:color="auto"/>
        <w:right w:val="none" w:sz="0" w:space="0" w:color="auto"/>
      </w:divBdr>
    </w:div>
    <w:div w:id="1998069202">
      <w:bodyDiv w:val="1"/>
      <w:marLeft w:val="0"/>
      <w:marRight w:val="0"/>
      <w:marTop w:val="0"/>
      <w:marBottom w:val="0"/>
      <w:divBdr>
        <w:top w:val="none" w:sz="0" w:space="0" w:color="auto"/>
        <w:left w:val="none" w:sz="0" w:space="0" w:color="auto"/>
        <w:bottom w:val="none" w:sz="0" w:space="0" w:color="auto"/>
        <w:right w:val="none" w:sz="0" w:space="0" w:color="auto"/>
      </w:divBdr>
    </w:div>
    <w:div w:id="1999183994">
      <w:bodyDiv w:val="1"/>
      <w:marLeft w:val="0"/>
      <w:marRight w:val="0"/>
      <w:marTop w:val="0"/>
      <w:marBottom w:val="0"/>
      <w:divBdr>
        <w:top w:val="none" w:sz="0" w:space="0" w:color="auto"/>
        <w:left w:val="none" w:sz="0" w:space="0" w:color="auto"/>
        <w:bottom w:val="none" w:sz="0" w:space="0" w:color="auto"/>
        <w:right w:val="none" w:sz="0" w:space="0" w:color="auto"/>
      </w:divBdr>
    </w:div>
    <w:div w:id="1999839732">
      <w:bodyDiv w:val="1"/>
      <w:marLeft w:val="0"/>
      <w:marRight w:val="0"/>
      <w:marTop w:val="0"/>
      <w:marBottom w:val="0"/>
      <w:divBdr>
        <w:top w:val="none" w:sz="0" w:space="0" w:color="auto"/>
        <w:left w:val="none" w:sz="0" w:space="0" w:color="auto"/>
        <w:bottom w:val="none" w:sz="0" w:space="0" w:color="auto"/>
        <w:right w:val="none" w:sz="0" w:space="0" w:color="auto"/>
      </w:divBdr>
    </w:div>
    <w:div w:id="2002847282">
      <w:bodyDiv w:val="1"/>
      <w:marLeft w:val="0"/>
      <w:marRight w:val="0"/>
      <w:marTop w:val="0"/>
      <w:marBottom w:val="0"/>
      <w:divBdr>
        <w:top w:val="none" w:sz="0" w:space="0" w:color="auto"/>
        <w:left w:val="none" w:sz="0" w:space="0" w:color="auto"/>
        <w:bottom w:val="none" w:sz="0" w:space="0" w:color="auto"/>
        <w:right w:val="none" w:sz="0" w:space="0" w:color="auto"/>
      </w:divBdr>
    </w:div>
    <w:div w:id="2004048747">
      <w:bodyDiv w:val="1"/>
      <w:marLeft w:val="0"/>
      <w:marRight w:val="0"/>
      <w:marTop w:val="0"/>
      <w:marBottom w:val="0"/>
      <w:divBdr>
        <w:top w:val="none" w:sz="0" w:space="0" w:color="auto"/>
        <w:left w:val="none" w:sz="0" w:space="0" w:color="auto"/>
        <w:bottom w:val="none" w:sz="0" w:space="0" w:color="auto"/>
        <w:right w:val="none" w:sz="0" w:space="0" w:color="auto"/>
      </w:divBdr>
    </w:div>
    <w:div w:id="2006200663">
      <w:bodyDiv w:val="1"/>
      <w:marLeft w:val="0"/>
      <w:marRight w:val="0"/>
      <w:marTop w:val="0"/>
      <w:marBottom w:val="0"/>
      <w:divBdr>
        <w:top w:val="none" w:sz="0" w:space="0" w:color="auto"/>
        <w:left w:val="none" w:sz="0" w:space="0" w:color="auto"/>
        <w:bottom w:val="none" w:sz="0" w:space="0" w:color="auto"/>
        <w:right w:val="none" w:sz="0" w:space="0" w:color="auto"/>
      </w:divBdr>
    </w:div>
    <w:div w:id="2007399465">
      <w:bodyDiv w:val="1"/>
      <w:marLeft w:val="0"/>
      <w:marRight w:val="0"/>
      <w:marTop w:val="0"/>
      <w:marBottom w:val="0"/>
      <w:divBdr>
        <w:top w:val="none" w:sz="0" w:space="0" w:color="auto"/>
        <w:left w:val="none" w:sz="0" w:space="0" w:color="auto"/>
        <w:bottom w:val="none" w:sz="0" w:space="0" w:color="auto"/>
        <w:right w:val="none" w:sz="0" w:space="0" w:color="auto"/>
      </w:divBdr>
    </w:div>
    <w:div w:id="2007588076">
      <w:bodyDiv w:val="1"/>
      <w:marLeft w:val="0"/>
      <w:marRight w:val="0"/>
      <w:marTop w:val="0"/>
      <w:marBottom w:val="0"/>
      <w:divBdr>
        <w:top w:val="none" w:sz="0" w:space="0" w:color="auto"/>
        <w:left w:val="none" w:sz="0" w:space="0" w:color="auto"/>
        <w:bottom w:val="none" w:sz="0" w:space="0" w:color="auto"/>
        <w:right w:val="none" w:sz="0" w:space="0" w:color="auto"/>
      </w:divBdr>
    </w:div>
    <w:div w:id="2009749701">
      <w:bodyDiv w:val="1"/>
      <w:marLeft w:val="0"/>
      <w:marRight w:val="0"/>
      <w:marTop w:val="0"/>
      <w:marBottom w:val="0"/>
      <w:divBdr>
        <w:top w:val="none" w:sz="0" w:space="0" w:color="auto"/>
        <w:left w:val="none" w:sz="0" w:space="0" w:color="auto"/>
        <w:bottom w:val="none" w:sz="0" w:space="0" w:color="auto"/>
        <w:right w:val="none" w:sz="0" w:space="0" w:color="auto"/>
      </w:divBdr>
    </w:div>
    <w:div w:id="2010407716">
      <w:bodyDiv w:val="1"/>
      <w:marLeft w:val="0"/>
      <w:marRight w:val="0"/>
      <w:marTop w:val="0"/>
      <w:marBottom w:val="0"/>
      <w:divBdr>
        <w:top w:val="none" w:sz="0" w:space="0" w:color="auto"/>
        <w:left w:val="none" w:sz="0" w:space="0" w:color="auto"/>
        <w:bottom w:val="none" w:sz="0" w:space="0" w:color="auto"/>
        <w:right w:val="none" w:sz="0" w:space="0" w:color="auto"/>
      </w:divBdr>
    </w:div>
    <w:div w:id="2011444483">
      <w:bodyDiv w:val="1"/>
      <w:marLeft w:val="0"/>
      <w:marRight w:val="0"/>
      <w:marTop w:val="0"/>
      <w:marBottom w:val="0"/>
      <w:divBdr>
        <w:top w:val="none" w:sz="0" w:space="0" w:color="auto"/>
        <w:left w:val="none" w:sz="0" w:space="0" w:color="auto"/>
        <w:bottom w:val="none" w:sz="0" w:space="0" w:color="auto"/>
        <w:right w:val="none" w:sz="0" w:space="0" w:color="auto"/>
      </w:divBdr>
    </w:div>
    <w:div w:id="2012104674">
      <w:bodyDiv w:val="1"/>
      <w:marLeft w:val="0"/>
      <w:marRight w:val="0"/>
      <w:marTop w:val="0"/>
      <w:marBottom w:val="0"/>
      <w:divBdr>
        <w:top w:val="none" w:sz="0" w:space="0" w:color="auto"/>
        <w:left w:val="none" w:sz="0" w:space="0" w:color="auto"/>
        <w:bottom w:val="none" w:sz="0" w:space="0" w:color="auto"/>
        <w:right w:val="none" w:sz="0" w:space="0" w:color="auto"/>
      </w:divBdr>
    </w:div>
    <w:div w:id="2012441807">
      <w:bodyDiv w:val="1"/>
      <w:marLeft w:val="0"/>
      <w:marRight w:val="0"/>
      <w:marTop w:val="0"/>
      <w:marBottom w:val="0"/>
      <w:divBdr>
        <w:top w:val="none" w:sz="0" w:space="0" w:color="auto"/>
        <w:left w:val="none" w:sz="0" w:space="0" w:color="auto"/>
        <w:bottom w:val="none" w:sz="0" w:space="0" w:color="auto"/>
        <w:right w:val="none" w:sz="0" w:space="0" w:color="auto"/>
      </w:divBdr>
    </w:div>
    <w:div w:id="2012444474">
      <w:bodyDiv w:val="1"/>
      <w:marLeft w:val="0"/>
      <w:marRight w:val="0"/>
      <w:marTop w:val="0"/>
      <w:marBottom w:val="0"/>
      <w:divBdr>
        <w:top w:val="none" w:sz="0" w:space="0" w:color="auto"/>
        <w:left w:val="none" w:sz="0" w:space="0" w:color="auto"/>
        <w:bottom w:val="none" w:sz="0" w:space="0" w:color="auto"/>
        <w:right w:val="none" w:sz="0" w:space="0" w:color="auto"/>
      </w:divBdr>
    </w:div>
    <w:div w:id="2013069531">
      <w:marLeft w:val="0"/>
      <w:marRight w:val="0"/>
      <w:marTop w:val="0"/>
      <w:marBottom w:val="0"/>
      <w:divBdr>
        <w:top w:val="none" w:sz="0" w:space="0" w:color="auto"/>
        <w:left w:val="none" w:sz="0" w:space="0" w:color="auto"/>
        <w:bottom w:val="none" w:sz="0" w:space="0" w:color="auto"/>
        <w:right w:val="none" w:sz="0" w:space="0" w:color="auto"/>
      </w:divBdr>
    </w:div>
    <w:div w:id="2013147023">
      <w:bodyDiv w:val="1"/>
      <w:marLeft w:val="0"/>
      <w:marRight w:val="0"/>
      <w:marTop w:val="0"/>
      <w:marBottom w:val="0"/>
      <w:divBdr>
        <w:top w:val="none" w:sz="0" w:space="0" w:color="auto"/>
        <w:left w:val="none" w:sz="0" w:space="0" w:color="auto"/>
        <w:bottom w:val="none" w:sz="0" w:space="0" w:color="auto"/>
        <w:right w:val="none" w:sz="0" w:space="0" w:color="auto"/>
      </w:divBdr>
    </w:div>
    <w:div w:id="2014457520">
      <w:bodyDiv w:val="1"/>
      <w:marLeft w:val="0"/>
      <w:marRight w:val="0"/>
      <w:marTop w:val="0"/>
      <w:marBottom w:val="0"/>
      <w:divBdr>
        <w:top w:val="none" w:sz="0" w:space="0" w:color="auto"/>
        <w:left w:val="none" w:sz="0" w:space="0" w:color="auto"/>
        <w:bottom w:val="none" w:sz="0" w:space="0" w:color="auto"/>
        <w:right w:val="none" w:sz="0" w:space="0" w:color="auto"/>
      </w:divBdr>
    </w:div>
    <w:div w:id="2014725103">
      <w:bodyDiv w:val="1"/>
      <w:marLeft w:val="0"/>
      <w:marRight w:val="0"/>
      <w:marTop w:val="0"/>
      <w:marBottom w:val="0"/>
      <w:divBdr>
        <w:top w:val="none" w:sz="0" w:space="0" w:color="auto"/>
        <w:left w:val="none" w:sz="0" w:space="0" w:color="auto"/>
        <w:bottom w:val="none" w:sz="0" w:space="0" w:color="auto"/>
        <w:right w:val="none" w:sz="0" w:space="0" w:color="auto"/>
      </w:divBdr>
    </w:div>
    <w:div w:id="2015495432">
      <w:bodyDiv w:val="1"/>
      <w:marLeft w:val="0"/>
      <w:marRight w:val="0"/>
      <w:marTop w:val="0"/>
      <w:marBottom w:val="0"/>
      <w:divBdr>
        <w:top w:val="none" w:sz="0" w:space="0" w:color="auto"/>
        <w:left w:val="none" w:sz="0" w:space="0" w:color="auto"/>
        <w:bottom w:val="none" w:sz="0" w:space="0" w:color="auto"/>
        <w:right w:val="none" w:sz="0" w:space="0" w:color="auto"/>
      </w:divBdr>
    </w:div>
    <w:div w:id="2018772323">
      <w:bodyDiv w:val="1"/>
      <w:marLeft w:val="0"/>
      <w:marRight w:val="0"/>
      <w:marTop w:val="0"/>
      <w:marBottom w:val="0"/>
      <w:divBdr>
        <w:top w:val="none" w:sz="0" w:space="0" w:color="auto"/>
        <w:left w:val="none" w:sz="0" w:space="0" w:color="auto"/>
        <w:bottom w:val="none" w:sz="0" w:space="0" w:color="auto"/>
        <w:right w:val="none" w:sz="0" w:space="0" w:color="auto"/>
      </w:divBdr>
    </w:div>
    <w:div w:id="2018850988">
      <w:bodyDiv w:val="1"/>
      <w:marLeft w:val="0"/>
      <w:marRight w:val="0"/>
      <w:marTop w:val="0"/>
      <w:marBottom w:val="0"/>
      <w:divBdr>
        <w:top w:val="none" w:sz="0" w:space="0" w:color="auto"/>
        <w:left w:val="none" w:sz="0" w:space="0" w:color="auto"/>
        <w:bottom w:val="none" w:sz="0" w:space="0" w:color="auto"/>
        <w:right w:val="none" w:sz="0" w:space="0" w:color="auto"/>
      </w:divBdr>
    </w:div>
    <w:div w:id="2019889102">
      <w:bodyDiv w:val="1"/>
      <w:marLeft w:val="0"/>
      <w:marRight w:val="0"/>
      <w:marTop w:val="0"/>
      <w:marBottom w:val="0"/>
      <w:divBdr>
        <w:top w:val="none" w:sz="0" w:space="0" w:color="auto"/>
        <w:left w:val="none" w:sz="0" w:space="0" w:color="auto"/>
        <w:bottom w:val="none" w:sz="0" w:space="0" w:color="auto"/>
        <w:right w:val="none" w:sz="0" w:space="0" w:color="auto"/>
      </w:divBdr>
    </w:div>
    <w:div w:id="2021614778">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24625394">
      <w:bodyDiv w:val="1"/>
      <w:marLeft w:val="0"/>
      <w:marRight w:val="0"/>
      <w:marTop w:val="0"/>
      <w:marBottom w:val="0"/>
      <w:divBdr>
        <w:top w:val="none" w:sz="0" w:space="0" w:color="auto"/>
        <w:left w:val="none" w:sz="0" w:space="0" w:color="auto"/>
        <w:bottom w:val="none" w:sz="0" w:space="0" w:color="auto"/>
        <w:right w:val="none" w:sz="0" w:space="0" w:color="auto"/>
      </w:divBdr>
    </w:div>
    <w:div w:id="2025327939">
      <w:bodyDiv w:val="1"/>
      <w:marLeft w:val="0"/>
      <w:marRight w:val="0"/>
      <w:marTop w:val="0"/>
      <w:marBottom w:val="0"/>
      <w:divBdr>
        <w:top w:val="none" w:sz="0" w:space="0" w:color="auto"/>
        <w:left w:val="none" w:sz="0" w:space="0" w:color="auto"/>
        <w:bottom w:val="none" w:sz="0" w:space="0" w:color="auto"/>
        <w:right w:val="none" w:sz="0" w:space="0" w:color="auto"/>
      </w:divBdr>
    </w:div>
    <w:div w:id="2025395171">
      <w:bodyDiv w:val="1"/>
      <w:marLeft w:val="0"/>
      <w:marRight w:val="0"/>
      <w:marTop w:val="0"/>
      <w:marBottom w:val="0"/>
      <w:divBdr>
        <w:top w:val="none" w:sz="0" w:space="0" w:color="auto"/>
        <w:left w:val="none" w:sz="0" w:space="0" w:color="auto"/>
        <w:bottom w:val="none" w:sz="0" w:space="0" w:color="auto"/>
        <w:right w:val="none" w:sz="0" w:space="0" w:color="auto"/>
      </w:divBdr>
    </w:div>
    <w:div w:id="2025815874">
      <w:bodyDiv w:val="1"/>
      <w:marLeft w:val="0"/>
      <w:marRight w:val="0"/>
      <w:marTop w:val="0"/>
      <w:marBottom w:val="0"/>
      <w:divBdr>
        <w:top w:val="none" w:sz="0" w:space="0" w:color="auto"/>
        <w:left w:val="none" w:sz="0" w:space="0" w:color="auto"/>
        <w:bottom w:val="none" w:sz="0" w:space="0" w:color="auto"/>
        <w:right w:val="none" w:sz="0" w:space="0" w:color="auto"/>
      </w:divBdr>
    </w:div>
    <w:div w:id="2026981114">
      <w:bodyDiv w:val="1"/>
      <w:marLeft w:val="0"/>
      <w:marRight w:val="0"/>
      <w:marTop w:val="0"/>
      <w:marBottom w:val="0"/>
      <w:divBdr>
        <w:top w:val="none" w:sz="0" w:space="0" w:color="auto"/>
        <w:left w:val="none" w:sz="0" w:space="0" w:color="auto"/>
        <w:bottom w:val="none" w:sz="0" w:space="0" w:color="auto"/>
        <w:right w:val="none" w:sz="0" w:space="0" w:color="auto"/>
      </w:divBdr>
    </w:div>
    <w:div w:id="2031253728">
      <w:bodyDiv w:val="1"/>
      <w:marLeft w:val="0"/>
      <w:marRight w:val="0"/>
      <w:marTop w:val="0"/>
      <w:marBottom w:val="0"/>
      <w:divBdr>
        <w:top w:val="none" w:sz="0" w:space="0" w:color="auto"/>
        <w:left w:val="none" w:sz="0" w:space="0" w:color="auto"/>
        <w:bottom w:val="none" w:sz="0" w:space="0" w:color="auto"/>
        <w:right w:val="none" w:sz="0" w:space="0" w:color="auto"/>
      </w:divBdr>
    </w:div>
    <w:div w:id="2031491807">
      <w:bodyDiv w:val="1"/>
      <w:marLeft w:val="0"/>
      <w:marRight w:val="0"/>
      <w:marTop w:val="0"/>
      <w:marBottom w:val="0"/>
      <w:divBdr>
        <w:top w:val="none" w:sz="0" w:space="0" w:color="auto"/>
        <w:left w:val="none" w:sz="0" w:space="0" w:color="auto"/>
        <w:bottom w:val="none" w:sz="0" w:space="0" w:color="auto"/>
        <w:right w:val="none" w:sz="0" w:space="0" w:color="auto"/>
      </w:divBdr>
    </w:div>
    <w:div w:id="2031905882">
      <w:bodyDiv w:val="1"/>
      <w:marLeft w:val="0"/>
      <w:marRight w:val="0"/>
      <w:marTop w:val="0"/>
      <w:marBottom w:val="0"/>
      <w:divBdr>
        <w:top w:val="none" w:sz="0" w:space="0" w:color="auto"/>
        <w:left w:val="none" w:sz="0" w:space="0" w:color="auto"/>
        <w:bottom w:val="none" w:sz="0" w:space="0" w:color="auto"/>
        <w:right w:val="none" w:sz="0" w:space="0" w:color="auto"/>
      </w:divBdr>
    </w:div>
    <w:div w:id="2032753523">
      <w:bodyDiv w:val="1"/>
      <w:marLeft w:val="0"/>
      <w:marRight w:val="0"/>
      <w:marTop w:val="0"/>
      <w:marBottom w:val="0"/>
      <w:divBdr>
        <w:top w:val="none" w:sz="0" w:space="0" w:color="auto"/>
        <w:left w:val="none" w:sz="0" w:space="0" w:color="auto"/>
        <w:bottom w:val="none" w:sz="0" w:space="0" w:color="auto"/>
        <w:right w:val="none" w:sz="0" w:space="0" w:color="auto"/>
      </w:divBdr>
    </w:div>
    <w:div w:id="2034921787">
      <w:bodyDiv w:val="1"/>
      <w:marLeft w:val="0"/>
      <w:marRight w:val="0"/>
      <w:marTop w:val="0"/>
      <w:marBottom w:val="0"/>
      <w:divBdr>
        <w:top w:val="none" w:sz="0" w:space="0" w:color="auto"/>
        <w:left w:val="none" w:sz="0" w:space="0" w:color="auto"/>
        <w:bottom w:val="none" w:sz="0" w:space="0" w:color="auto"/>
        <w:right w:val="none" w:sz="0" w:space="0" w:color="auto"/>
      </w:divBdr>
    </w:div>
    <w:div w:id="2035841650">
      <w:bodyDiv w:val="1"/>
      <w:marLeft w:val="0"/>
      <w:marRight w:val="0"/>
      <w:marTop w:val="0"/>
      <w:marBottom w:val="0"/>
      <w:divBdr>
        <w:top w:val="none" w:sz="0" w:space="0" w:color="auto"/>
        <w:left w:val="none" w:sz="0" w:space="0" w:color="auto"/>
        <w:bottom w:val="none" w:sz="0" w:space="0" w:color="auto"/>
        <w:right w:val="none" w:sz="0" w:space="0" w:color="auto"/>
      </w:divBdr>
    </w:div>
    <w:div w:id="2037536073">
      <w:bodyDiv w:val="1"/>
      <w:marLeft w:val="0"/>
      <w:marRight w:val="0"/>
      <w:marTop w:val="0"/>
      <w:marBottom w:val="0"/>
      <w:divBdr>
        <w:top w:val="none" w:sz="0" w:space="0" w:color="auto"/>
        <w:left w:val="none" w:sz="0" w:space="0" w:color="auto"/>
        <w:bottom w:val="none" w:sz="0" w:space="0" w:color="auto"/>
        <w:right w:val="none" w:sz="0" w:space="0" w:color="auto"/>
      </w:divBdr>
    </w:div>
    <w:div w:id="2038500328">
      <w:bodyDiv w:val="1"/>
      <w:marLeft w:val="0"/>
      <w:marRight w:val="0"/>
      <w:marTop w:val="0"/>
      <w:marBottom w:val="0"/>
      <w:divBdr>
        <w:top w:val="none" w:sz="0" w:space="0" w:color="auto"/>
        <w:left w:val="none" w:sz="0" w:space="0" w:color="auto"/>
        <w:bottom w:val="none" w:sz="0" w:space="0" w:color="auto"/>
        <w:right w:val="none" w:sz="0" w:space="0" w:color="auto"/>
      </w:divBdr>
    </w:div>
    <w:div w:id="2039768988">
      <w:bodyDiv w:val="1"/>
      <w:marLeft w:val="0"/>
      <w:marRight w:val="0"/>
      <w:marTop w:val="0"/>
      <w:marBottom w:val="0"/>
      <w:divBdr>
        <w:top w:val="none" w:sz="0" w:space="0" w:color="auto"/>
        <w:left w:val="none" w:sz="0" w:space="0" w:color="auto"/>
        <w:bottom w:val="none" w:sz="0" w:space="0" w:color="auto"/>
        <w:right w:val="none" w:sz="0" w:space="0" w:color="auto"/>
      </w:divBdr>
    </w:div>
    <w:div w:id="2042197263">
      <w:bodyDiv w:val="1"/>
      <w:marLeft w:val="0"/>
      <w:marRight w:val="0"/>
      <w:marTop w:val="0"/>
      <w:marBottom w:val="0"/>
      <w:divBdr>
        <w:top w:val="none" w:sz="0" w:space="0" w:color="auto"/>
        <w:left w:val="none" w:sz="0" w:space="0" w:color="auto"/>
        <w:bottom w:val="none" w:sz="0" w:space="0" w:color="auto"/>
        <w:right w:val="none" w:sz="0" w:space="0" w:color="auto"/>
      </w:divBdr>
    </w:div>
    <w:div w:id="2042393016">
      <w:bodyDiv w:val="1"/>
      <w:marLeft w:val="0"/>
      <w:marRight w:val="0"/>
      <w:marTop w:val="0"/>
      <w:marBottom w:val="0"/>
      <w:divBdr>
        <w:top w:val="none" w:sz="0" w:space="0" w:color="auto"/>
        <w:left w:val="none" w:sz="0" w:space="0" w:color="auto"/>
        <w:bottom w:val="none" w:sz="0" w:space="0" w:color="auto"/>
        <w:right w:val="none" w:sz="0" w:space="0" w:color="auto"/>
      </w:divBdr>
    </w:div>
    <w:div w:id="2042631300">
      <w:bodyDiv w:val="1"/>
      <w:marLeft w:val="0"/>
      <w:marRight w:val="0"/>
      <w:marTop w:val="0"/>
      <w:marBottom w:val="0"/>
      <w:divBdr>
        <w:top w:val="none" w:sz="0" w:space="0" w:color="auto"/>
        <w:left w:val="none" w:sz="0" w:space="0" w:color="auto"/>
        <w:bottom w:val="none" w:sz="0" w:space="0" w:color="auto"/>
        <w:right w:val="none" w:sz="0" w:space="0" w:color="auto"/>
      </w:divBdr>
    </w:div>
    <w:div w:id="2043286694">
      <w:bodyDiv w:val="1"/>
      <w:marLeft w:val="0"/>
      <w:marRight w:val="0"/>
      <w:marTop w:val="0"/>
      <w:marBottom w:val="0"/>
      <w:divBdr>
        <w:top w:val="none" w:sz="0" w:space="0" w:color="auto"/>
        <w:left w:val="none" w:sz="0" w:space="0" w:color="auto"/>
        <w:bottom w:val="none" w:sz="0" w:space="0" w:color="auto"/>
        <w:right w:val="none" w:sz="0" w:space="0" w:color="auto"/>
      </w:divBdr>
    </w:div>
    <w:div w:id="2044018657">
      <w:bodyDiv w:val="1"/>
      <w:marLeft w:val="0"/>
      <w:marRight w:val="0"/>
      <w:marTop w:val="0"/>
      <w:marBottom w:val="0"/>
      <w:divBdr>
        <w:top w:val="none" w:sz="0" w:space="0" w:color="auto"/>
        <w:left w:val="none" w:sz="0" w:space="0" w:color="auto"/>
        <w:bottom w:val="none" w:sz="0" w:space="0" w:color="auto"/>
        <w:right w:val="none" w:sz="0" w:space="0" w:color="auto"/>
      </w:divBdr>
    </w:div>
    <w:div w:id="2044281336">
      <w:bodyDiv w:val="1"/>
      <w:marLeft w:val="0"/>
      <w:marRight w:val="0"/>
      <w:marTop w:val="0"/>
      <w:marBottom w:val="0"/>
      <w:divBdr>
        <w:top w:val="none" w:sz="0" w:space="0" w:color="auto"/>
        <w:left w:val="none" w:sz="0" w:space="0" w:color="auto"/>
        <w:bottom w:val="none" w:sz="0" w:space="0" w:color="auto"/>
        <w:right w:val="none" w:sz="0" w:space="0" w:color="auto"/>
      </w:divBdr>
    </w:div>
    <w:div w:id="2044669491">
      <w:bodyDiv w:val="1"/>
      <w:marLeft w:val="0"/>
      <w:marRight w:val="0"/>
      <w:marTop w:val="0"/>
      <w:marBottom w:val="0"/>
      <w:divBdr>
        <w:top w:val="none" w:sz="0" w:space="0" w:color="auto"/>
        <w:left w:val="none" w:sz="0" w:space="0" w:color="auto"/>
        <w:bottom w:val="none" w:sz="0" w:space="0" w:color="auto"/>
        <w:right w:val="none" w:sz="0" w:space="0" w:color="auto"/>
      </w:divBdr>
    </w:div>
    <w:div w:id="2044749441">
      <w:bodyDiv w:val="1"/>
      <w:marLeft w:val="0"/>
      <w:marRight w:val="0"/>
      <w:marTop w:val="0"/>
      <w:marBottom w:val="0"/>
      <w:divBdr>
        <w:top w:val="none" w:sz="0" w:space="0" w:color="auto"/>
        <w:left w:val="none" w:sz="0" w:space="0" w:color="auto"/>
        <w:bottom w:val="none" w:sz="0" w:space="0" w:color="auto"/>
        <w:right w:val="none" w:sz="0" w:space="0" w:color="auto"/>
      </w:divBdr>
    </w:div>
    <w:div w:id="2044986328">
      <w:bodyDiv w:val="1"/>
      <w:marLeft w:val="0"/>
      <w:marRight w:val="0"/>
      <w:marTop w:val="0"/>
      <w:marBottom w:val="0"/>
      <w:divBdr>
        <w:top w:val="none" w:sz="0" w:space="0" w:color="auto"/>
        <w:left w:val="none" w:sz="0" w:space="0" w:color="auto"/>
        <w:bottom w:val="none" w:sz="0" w:space="0" w:color="auto"/>
        <w:right w:val="none" w:sz="0" w:space="0" w:color="auto"/>
      </w:divBdr>
    </w:div>
    <w:div w:id="2045593660">
      <w:bodyDiv w:val="1"/>
      <w:marLeft w:val="0"/>
      <w:marRight w:val="0"/>
      <w:marTop w:val="0"/>
      <w:marBottom w:val="0"/>
      <w:divBdr>
        <w:top w:val="none" w:sz="0" w:space="0" w:color="auto"/>
        <w:left w:val="none" w:sz="0" w:space="0" w:color="auto"/>
        <w:bottom w:val="none" w:sz="0" w:space="0" w:color="auto"/>
        <w:right w:val="none" w:sz="0" w:space="0" w:color="auto"/>
      </w:divBdr>
    </w:div>
    <w:div w:id="2046367843">
      <w:bodyDiv w:val="1"/>
      <w:marLeft w:val="0"/>
      <w:marRight w:val="0"/>
      <w:marTop w:val="0"/>
      <w:marBottom w:val="0"/>
      <w:divBdr>
        <w:top w:val="none" w:sz="0" w:space="0" w:color="auto"/>
        <w:left w:val="none" w:sz="0" w:space="0" w:color="auto"/>
        <w:bottom w:val="none" w:sz="0" w:space="0" w:color="auto"/>
        <w:right w:val="none" w:sz="0" w:space="0" w:color="auto"/>
      </w:divBdr>
    </w:div>
    <w:div w:id="2047367748">
      <w:bodyDiv w:val="1"/>
      <w:marLeft w:val="0"/>
      <w:marRight w:val="0"/>
      <w:marTop w:val="0"/>
      <w:marBottom w:val="0"/>
      <w:divBdr>
        <w:top w:val="none" w:sz="0" w:space="0" w:color="auto"/>
        <w:left w:val="none" w:sz="0" w:space="0" w:color="auto"/>
        <w:bottom w:val="none" w:sz="0" w:space="0" w:color="auto"/>
        <w:right w:val="none" w:sz="0" w:space="0" w:color="auto"/>
      </w:divBdr>
    </w:div>
    <w:div w:id="2047564186">
      <w:bodyDiv w:val="1"/>
      <w:marLeft w:val="0"/>
      <w:marRight w:val="0"/>
      <w:marTop w:val="0"/>
      <w:marBottom w:val="0"/>
      <w:divBdr>
        <w:top w:val="none" w:sz="0" w:space="0" w:color="auto"/>
        <w:left w:val="none" w:sz="0" w:space="0" w:color="auto"/>
        <w:bottom w:val="none" w:sz="0" w:space="0" w:color="auto"/>
        <w:right w:val="none" w:sz="0" w:space="0" w:color="auto"/>
      </w:divBdr>
    </w:div>
    <w:div w:id="2049641310">
      <w:bodyDiv w:val="1"/>
      <w:marLeft w:val="0"/>
      <w:marRight w:val="0"/>
      <w:marTop w:val="0"/>
      <w:marBottom w:val="0"/>
      <w:divBdr>
        <w:top w:val="none" w:sz="0" w:space="0" w:color="auto"/>
        <w:left w:val="none" w:sz="0" w:space="0" w:color="auto"/>
        <w:bottom w:val="none" w:sz="0" w:space="0" w:color="auto"/>
        <w:right w:val="none" w:sz="0" w:space="0" w:color="auto"/>
      </w:divBdr>
    </w:div>
    <w:div w:id="2050183145">
      <w:bodyDiv w:val="1"/>
      <w:marLeft w:val="0"/>
      <w:marRight w:val="0"/>
      <w:marTop w:val="0"/>
      <w:marBottom w:val="0"/>
      <w:divBdr>
        <w:top w:val="none" w:sz="0" w:space="0" w:color="auto"/>
        <w:left w:val="none" w:sz="0" w:space="0" w:color="auto"/>
        <w:bottom w:val="none" w:sz="0" w:space="0" w:color="auto"/>
        <w:right w:val="none" w:sz="0" w:space="0" w:color="auto"/>
      </w:divBdr>
    </w:div>
    <w:div w:id="2055034213">
      <w:bodyDiv w:val="1"/>
      <w:marLeft w:val="0"/>
      <w:marRight w:val="0"/>
      <w:marTop w:val="0"/>
      <w:marBottom w:val="0"/>
      <w:divBdr>
        <w:top w:val="none" w:sz="0" w:space="0" w:color="auto"/>
        <w:left w:val="none" w:sz="0" w:space="0" w:color="auto"/>
        <w:bottom w:val="none" w:sz="0" w:space="0" w:color="auto"/>
        <w:right w:val="none" w:sz="0" w:space="0" w:color="auto"/>
      </w:divBdr>
    </w:div>
    <w:div w:id="2060274436">
      <w:bodyDiv w:val="1"/>
      <w:marLeft w:val="0"/>
      <w:marRight w:val="0"/>
      <w:marTop w:val="0"/>
      <w:marBottom w:val="0"/>
      <w:divBdr>
        <w:top w:val="none" w:sz="0" w:space="0" w:color="auto"/>
        <w:left w:val="none" w:sz="0" w:space="0" w:color="auto"/>
        <w:bottom w:val="none" w:sz="0" w:space="0" w:color="auto"/>
        <w:right w:val="none" w:sz="0" w:space="0" w:color="auto"/>
      </w:divBdr>
    </w:div>
    <w:div w:id="2060350951">
      <w:bodyDiv w:val="1"/>
      <w:marLeft w:val="0"/>
      <w:marRight w:val="0"/>
      <w:marTop w:val="0"/>
      <w:marBottom w:val="0"/>
      <w:divBdr>
        <w:top w:val="none" w:sz="0" w:space="0" w:color="auto"/>
        <w:left w:val="none" w:sz="0" w:space="0" w:color="auto"/>
        <w:bottom w:val="none" w:sz="0" w:space="0" w:color="auto"/>
        <w:right w:val="none" w:sz="0" w:space="0" w:color="auto"/>
      </w:divBdr>
    </w:div>
    <w:div w:id="2060860602">
      <w:bodyDiv w:val="1"/>
      <w:marLeft w:val="0"/>
      <w:marRight w:val="0"/>
      <w:marTop w:val="0"/>
      <w:marBottom w:val="0"/>
      <w:divBdr>
        <w:top w:val="none" w:sz="0" w:space="0" w:color="auto"/>
        <w:left w:val="none" w:sz="0" w:space="0" w:color="auto"/>
        <w:bottom w:val="none" w:sz="0" w:space="0" w:color="auto"/>
        <w:right w:val="none" w:sz="0" w:space="0" w:color="auto"/>
      </w:divBdr>
    </w:div>
    <w:div w:id="2061706575">
      <w:bodyDiv w:val="1"/>
      <w:marLeft w:val="0"/>
      <w:marRight w:val="0"/>
      <w:marTop w:val="0"/>
      <w:marBottom w:val="0"/>
      <w:divBdr>
        <w:top w:val="none" w:sz="0" w:space="0" w:color="auto"/>
        <w:left w:val="none" w:sz="0" w:space="0" w:color="auto"/>
        <w:bottom w:val="none" w:sz="0" w:space="0" w:color="auto"/>
        <w:right w:val="none" w:sz="0" w:space="0" w:color="auto"/>
      </w:divBdr>
    </w:div>
    <w:div w:id="2063096722">
      <w:bodyDiv w:val="1"/>
      <w:marLeft w:val="0"/>
      <w:marRight w:val="0"/>
      <w:marTop w:val="0"/>
      <w:marBottom w:val="0"/>
      <w:divBdr>
        <w:top w:val="none" w:sz="0" w:space="0" w:color="auto"/>
        <w:left w:val="none" w:sz="0" w:space="0" w:color="auto"/>
        <w:bottom w:val="none" w:sz="0" w:space="0" w:color="auto"/>
        <w:right w:val="none" w:sz="0" w:space="0" w:color="auto"/>
      </w:divBdr>
    </w:div>
    <w:div w:id="2063359992">
      <w:bodyDiv w:val="1"/>
      <w:marLeft w:val="0"/>
      <w:marRight w:val="0"/>
      <w:marTop w:val="0"/>
      <w:marBottom w:val="0"/>
      <w:divBdr>
        <w:top w:val="none" w:sz="0" w:space="0" w:color="auto"/>
        <w:left w:val="none" w:sz="0" w:space="0" w:color="auto"/>
        <w:bottom w:val="none" w:sz="0" w:space="0" w:color="auto"/>
        <w:right w:val="none" w:sz="0" w:space="0" w:color="auto"/>
      </w:divBdr>
    </w:div>
    <w:div w:id="2063555386">
      <w:bodyDiv w:val="1"/>
      <w:marLeft w:val="0"/>
      <w:marRight w:val="0"/>
      <w:marTop w:val="0"/>
      <w:marBottom w:val="0"/>
      <w:divBdr>
        <w:top w:val="none" w:sz="0" w:space="0" w:color="auto"/>
        <w:left w:val="none" w:sz="0" w:space="0" w:color="auto"/>
        <w:bottom w:val="none" w:sz="0" w:space="0" w:color="auto"/>
        <w:right w:val="none" w:sz="0" w:space="0" w:color="auto"/>
      </w:divBdr>
      <w:divsChild>
        <w:div w:id="184909335">
          <w:marLeft w:val="0"/>
          <w:marRight w:val="0"/>
          <w:marTop w:val="0"/>
          <w:marBottom w:val="0"/>
          <w:divBdr>
            <w:top w:val="none" w:sz="0" w:space="0" w:color="auto"/>
            <w:left w:val="none" w:sz="0" w:space="0" w:color="auto"/>
            <w:bottom w:val="none" w:sz="0" w:space="0" w:color="auto"/>
            <w:right w:val="none" w:sz="0" w:space="0" w:color="auto"/>
          </w:divBdr>
        </w:div>
        <w:div w:id="1664622958">
          <w:marLeft w:val="0"/>
          <w:marRight w:val="0"/>
          <w:marTop w:val="0"/>
          <w:marBottom w:val="0"/>
          <w:divBdr>
            <w:top w:val="none" w:sz="0" w:space="0" w:color="auto"/>
            <w:left w:val="none" w:sz="0" w:space="0" w:color="auto"/>
            <w:bottom w:val="none" w:sz="0" w:space="0" w:color="auto"/>
            <w:right w:val="none" w:sz="0" w:space="0" w:color="auto"/>
          </w:divBdr>
        </w:div>
      </w:divsChild>
    </w:div>
    <w:div w:id="2064519600">
      <w:bodyDiv w:val="1"/>
      <w:marLeft w:val="0"/>
      <w:marRight w:val="0"/>
      <w:marTop w:val="0"/>
      <w:marBottom w:val="0"/>
      <w:divBdr>
        <w:top w:val="none" w:sz="0" w:space="0" w:color="auto"/>
        <w:left w:val="none" w:sz="0" w:space="0" w:color="auto"/>
        <w:bottom w:val="none" w:sz="0" w:space="0" w:color="auto"/>
        <w:right w:val="none" w:sz="0" w:space="0" w:color="auto"/>
      </w:divBdr>
    </w:div>
    <w:div w:id="2065791995">
      <w:bodyDiv w:val="1"/>
      <w:marLeft w:val="0"/>
      <w:marRight w:val="0"/>
      <w:marTop w:val="0"/>
      <w:marBottom w:val="0"/>
      <w:divBdr>
        <w:top w:val="none" w:sz="0" w:space="0" w:color="auto"/>
        <w:left w:val="none" w:sz="0" w:space="0" w:color="auto"/>
        <w:bottom w:val="none" w:sz="0" w:space="0" w:color="auto"/>
        <w:right w:val="none" w:sz="0" w:space="0" w:color="auto"/>
      </w:divBdr>
    </w:div>
    <w:div w:id="2066565640">
      <w:bodyDiv w:val="1"/>
      <w:marLeft w:val="0"/>
      <w:marRight w:val="0"/>
      <w:marTop w:val="0"/>
      <w:marBottom w:val="0"/>
      <w:divBdr>
        <w:top w:val="none" w:sz="0" w:space="0" w:color="auto"/>
        <w:left w:val="none" w:sz="0" w:space="0" w:color="auto"/>
        <w:bottom w:val="none" w:sz="0" w:space="0" w:color="auto"/>
        <w:right w:val="none" w:sz="0" w:space="0" w:color="auto"/>
      </w:divBdr>
    </w:div>
    <w:div w:id="2067490934">
      <w:bodyDiv w:val="1"/>
      <w:marLeft w:val="0"/>
      <w:marRight w:val="0"/>
      <w:marTop w:val="0"/>
      <w:marBottom w:val="0"/>
      <w:divBdr>
        <w:top w:val="none" w:sz="0" w:space="0" w:color="auto"/>
        <w:left w:val="none" w:sz="0" w:space="0" w:color="auto"/>
        <w:bottom w:val="none" w:sz="0" w:space="0" w:color="auto"/>
        <w:right w:val="none" w:sz="0" w:space="0" w:color="auto"/>
      </w:divBdr>
    </w:div>
    <w:div w:id="2067607478">
      <w:bodyDiv w:val="1"/>
      <w:marLeft w:val="0"/>
      <w:marRight w:val="0"/>
      <w:marTop w:val="0"/>
      <w:marBottom w:val="0"/>
      <w:divBdr>
        <w:top w:val="none" w:sz="0" w:space="0" w:color="auto"/>
        <w:left w:val="none" w:sz="0" w:space="0" w:color="auto"/>
        <w:bottom w:val="none" w:sz="0" w:space="0" w:color="auto"/>
        <w:right w:val="none" w:sz="0" w:space="0" w:color="auto"/>
      </w:divBdr>
    </w:div>
    <w:div w:id="2068070949">
      <w:bodyDiv w:val="1"/>
      <w:marLeft w:val="0"/>
      <w:marRight w:val="0"/>
      <w:marTop w:val="0"/>
      <w:marBottom w:val="0"/>
      <w:divBdr>
        <w:top w:val="none" w:sz="0" w:space="0" w:color="auto"/>
        <w:left w:val="none" w:sz="0" w:space="0" w:color="auto"/>
        <w:bottom w:val="none" w:sz="0" w:space="0" w:color="auto"/>
        <w:right w:val="none" w:sz="0" w:space="0" w:color="auto"/>
      </w:divBdr>
    </w:div>
    <w:div w:id="2069641515">
      <w:bodyDiv w:val="1"/>
      <w:marLeft w:val="0"/>
      <w:marRight w:val="0"/>
      <w:marTop w:val="0"/>
      <w:marBottom w:val="0"/>
      <w:divBdr>
        <w:top w:val="none" w:sz="0" w:space="0" w:color="auto"/>
        <w:left w:val="none" w:sz="0" w:space="0" w:color="auto"/>
        <w:bottom w:val="none" w:sz="0" w:space="0" w:color="auto"/>
        <w:right w:val="none" w:sz="0" w:space="0" w:color="auto"/>
      </w:divBdr>
    </w:div>
    <w:div w:id="2071145656">
      <w:bodyDiv w:val="1"/>
      <w:marLeft w:val="0"/>
      <w:marRight w:val="0"/>
      <w:marTop w:val="0"/>
      <w:marBottom w:val="0"/>
      <w:divBdr>
        <w:top w:val="none" w:sz="0" w:space="0" w:color="auto"/>
        <w:left w:val="none" w:sz="0" w:space="0" w:color="auto"/>
        <w:bottom w:val="none" w:sz="0" w:space="0" w:color="auto"/>
        <w:right w:val="none" w:sz="0" w:space="0" w:color="auto"/>
      </w:divBdr>
    </w:div>
    <w:div w:id="2071342118">
      <w:bodyDiv w:val="1"/>
      <w:marLeft w:val="0"/>
      <w:marRight w:val="0"/>
      <w:marTop w:val="0"/>
      <w:marBottom w:val="0"/>
      <w:divBdr>
        <w:top w:val="none" w:sz="0" w:space="0" w:color="auto"/>
        <w:left w:val="none" w:sz="0" w:space="0" w:color="auto"/>
        <w:bottom w:val="none" w:sz="0" w:space="0" w:color="auto"/>
        <w:right w:val="none" w:sz="0" w:space="0" w:color="auto"/>
      </w:divBdr>
    </w:div>
    <w:div w:id="2072539974">
      <w:bodyDiv w:val="1"/>
      <w:marLeft w:val="0"/>
      <w:marRight w:val="0"/>
      <w:marTop w:val="0"/>
      <w:marBottom w:val="0"/>
      <w:divBdr>
        <w:top w:val="none" w:sz="0" w:space="0" w:color="auto"/>
        <w:left w:val="none" w:sz="0" w:space="0" w:color="auto"/>
        <w:bottom w:val="none" w:sz="0" w:space="0" w:color="auto"/>
        <w:right w:val="none" w:sz="0" w:space="0" w:color="auto"/>
      </w:divBdr>
    </w:div>
    <w:div w:id="2072803291">
      <w:bodyDiv w:val="1"/>
      <w:marLeft w:val="0"/>
      <w:marRight w:val="0"/>
      <w:marTop w:val="0"/>
      <w:marBottom w:val="0"/>
      <w:divBdr>
        <w:top w:val="none" w:sz="0" w:space="0" w:color="auto"/>
        <w:left w:val="none" w:sz="0" w:space="0" w:color="auto"/>
        <w:bottom w:val="none" w:sz="0" w:space="0" w:color="auto"/>
        <w:right w:val="none" w:sz="0" w:space="0" w:color="auto"/>
      </w:divBdr>
    </w:div>
    <w:div w:id="2073652892">
      <w:bodyDiv w:val="1"/>
      <w:marLeft w:val="0"/>
      <w:marRight w:val="0"/>
      <w:marTop w:val="0"/>
      <w:marBottom w:val="0"/>
      <w:divBdr>
        <w:top w:val="none" w:sz="0" w:space="0" w:color="auto"/>
        <w:left w:val="none" w:sz="0" w:space="0" w:color="auto"/>
        <w:bottom w:val="none" w:sz="0" w:space="0" w:color="auto"/>
        <w:right w:val="none" w:sz="0" w:space="0" w:color="auto"/>
      </w:divBdr>
    </w:div>
    <w:div w:id="2074086364">
      <w:bodyDiv w:val="1"/>
      <w:marLeft w:val="0"/>
      <w:marRight w:val="0"/>
      <w:marTop w:val="0"/>
      <w:marBottom w:val="0"/>
      <w:divBdr>
        <w:top w:val="none" w:sz="0" w:space="0" w:color="auto"/>
        <w:left w:val="none" w:sz="0" w:space="0" w:color="auto"/>
        <w:bottom w:val="none" w:sz="0" w:space="0" w:color="auto"/>
        <w:right w:val="none" w:sz="0" w:space="0" w:color="auto"/>
      </w:divBdr>
    </w:div>
    <w:div w:id="2075228003">
      <w:bodyDiv w:val="1"/>
      <w:marLeft w:val="0"/>
      <w:marRight w:val="0"/>
      <w:marTop w:val="0"/>
      <w:marBottom w:val="0"/>
      <w:divBdr>
        <w:top w:val="none" w:sz="0" w:space="0" w:color="auto"/>
        <w:left w:val="none" w:sz="0" w:space="0" w:color="auto"/>
        <w:bottom w:val="none" w:sz="0" w:space="0" w:color="auto"/>
        <w:right w:val="none" w:sz="0" w:space="0" w:color="auto"/>
      </w:divBdr>
    </w:div>
    <w:div w:id="2075590683">
      <w:bodyDiv w:val="1"/>
      <w:marLeft w:val="0"/>
      <w:marRight w:val="0"/>
      <w:marTop w:val="0"/>
      <w:marBottom w:val="0"/>
      <w:divBdr>
        <w:top w:val="none" w:sz="0" w:space="0" w:color="auto"/>
        <w:left w:val="none" w:sz="0" w:space="0" w:color="auto"/>
        <w:bottom w:val="none" w:sz="0" w:space="0" w:color="auto"/>
        <w:right w:val="none" w:sz="0" w:space="0" w:color="auto"/>
      </w:divBdr>
    </w:div>
    <w:div w:id="2075660521">
      <w:bodyDiv w:val="1"/>
      <w:marLeft w:val="0"/>
      <w:marRight w:val="0"/>
      <w:marTop w:val="0"/>
      <w:marBottom w:val="0"/>
      <w:divBdr>
        <w:top w:val="none" w:sz="0" w:space="0" w:color="auto"/>
        <w:left w:val="none" w:sz="0" w:space="0" w:color="auto"/>
        <w:bottom w:val="none" w:sz="0" w:space="0" w:color="auto"/>
        <w:right w:val="none" w:sz="0" w:space="0" w:color="auto"/>
      </w:divBdr>
    </w:div>
    <w:div w:id="2075660577">
      <w:bodyDiv w:val="1"/>
      <w:marLeft w:val="0"/>
      <w:marRight w:val="0"/>
      <w:marTop w:val="0"/>
      <w:marBottom w:val="0"/>
      <w:divBdr>
        <w:top w:val="none" w:sz="0" w:space="0" w:color="auto"/>
        <w:left w:val="none" w:sz="0" w:space="0" w:color="auto"/>
        <w:bottom w:val="none" w:sz="0" w:space="0" w:color="auto"/>
        <w:right w:val="none" w:sz="0" w:space="0" w:color="auto"/>
      </w:divBdr>
    </w:div>
    <w:div w:id="2076082135">
      <w:bodyDiv w:val="1"/>
      <w:marLeft w:val="0"/>
      <w:marRight w:val="0"/>
      <w:marTop w:val="0"/>
      <w:marBottom w:val="0"/>
      <w:divBdr>
        <w:top w:val="none" w:sz="0" w:space="0" w:color="auto"/>
        <w:left w:val="none" w:sz="0" w:space="0" w:color="auto"/>
        <w:bottom w:val="none" w:sz="0" w:space="0" w:color="auto"/>
        <w:right w:val="none" w:sz="0" w:space="0" w:color="auto"/>
      </w:divBdr>
    </w:div>
    <w:div w:id="2076925079">
      <w:bodyDiv w:val="1"/>
      <w:marLeft w:val="0"/>
      <w:marRight w:val="0"/>
      <w:marTop w:val="0"/>
      <w:marBottom w:val="0"/>
      <w:divBdr>
        <w:top w:val="none" w:sz="0" w:space="0" w:color="auto"/>
        <w:left w:val="none" w:sz="0" w:space="0" w:color="auto"/>
        <w:bottom w:val="none" w:sz="0" w:space="0" w:color="auto"/>
        <w:right w:val="none" w:sz="0" w:space="0" w:color="auto"/>
      </w:divBdr>
    </w:div>
    <w:div w:id="2077319526">
      <w:bodyDiv w:val="1"/>
      <w:marLeft w:val="0"/>
      <w:marRight w:val="0"/>
      <w:marTop w:val="0"/>
      <w:marBottom w:val="0"/>
      <w:divBdr>
        <w:top w:val="none" w:sz="0" w:space="0" w:color="auto"/>
        <w:left w:val="none" w:sz="0" w:space="0" w:color="auto"/>
        <w:bottom w:val="none" w:sz="0" w:space="0" w:color="auto"/>
        <w:right w:val="none" w:sz="0" w:space="0" w:color="auto"/>
      </w:divBdr>
    </w:div>
    <w:div w:id="2077705159">
      <w:bodyDiv w:val="1"/>
      <w:marLeft w:val="0"/>
      <w:marRight w:val="0"/>
      <w:marTop w:val="0"/>
      <w:marBottom w:val="0"/>
      <w:divBdr>
        <w:top w:val="none" w:sz="0" w:space="0" w:color="auto"/>
        <w:left w:val="none" w:sz="0" w:space="0" w:color="auto"/>
        <w:bottom w:val="none" w:sz="0" w:space="0" w:color="auto"/>
        <w:right w:val="none" w:sz="0" w:space="0" w:color="auto"/>
      </w:divBdr>
    </w:div>
    <w:div w:id="2079015587">
      <w:bodyDiv w:val="1"/>
      <w:marLeft w:val="0"/>
      <w:marRight w:val="0"/>
      <w:marTop w:val="0"/>
      <w:marBottom w:val="0"/>
      <w:divBdr>
        <w:top w:val="none" w:sz="0" w:space="0" w:color="auto"/>
        <w:left w:val="none" w:sz="0" w:space="0" w:color="auto"/>
        <w:bottom w:val="none" w:sz="0" w:space="0" w:color="auto"/>
        <w:right w:val="none" w:sz="0" w:space="0" w:color="auto"/>
      </w:divBdr>
    </w:div>
    <w:div w:id="2079358793">
      <w:bodyDiv w:val="1"/>
      <w:marLeft w:val="0"/>
      <w:marRight w:val="0"/>
      <w:marTop w:val="0"/>
      <w:marBottom w:val="0"/>
      <w:divBdr>
        <w:top w:val="none" w:sz="0" w:space="0" w:color="auto"/>
        <w:left w:val="none" w:sz="0" w:space="0" w:color="auto"/>
        <w:bottom w:val="none" w:sz="0" w:space="0" w:color="auto"/>
        <w:right w:val="none" w:sz="0" w:space="0" w:color="auto"/>
      </w:divBdr>
    </w:div>
    <w:div w:id="2080131901">
      <w:bodyDiv w:val="1"/>
      <w:marLeft w:val="0"/>
      <w:marRight w:val="0"/>
      <w:marTop w:val="0"/>
      <w:marBottom w:val="0"/>
      <w:divBdr>
        <w:top w:val="none" w:sz="0" w:space="0" w:color="auto"/>
        <w:left w:val="none" w:sz="0" w:space="0" w:color="auto"/>
        <w:bottom w:val="none" w:sz="0" w:space="0" w:color="auto"/>
        <w:right w:val="none" w:sz="0" w:space="0" w:color="auto"/>
      </w:divBdr>
    </w:div>
    <w:div w:id="2081098096">
      <w:bodyDiv w:val="1"/>
      <w:marLeft w:val="0"/>
      <w:marRight w:val="0"/>
      <w:marTop w:val="0"/>
      <w:marBottom w:val="0"/>
      <w:divBdr>
        <w:top w:val="none" w:sz="0" w:space="0" w:color="auto"/>
        <w:left w:val="none" w:sz="0" w:space="0" w:color="auto"/>
        <w:bottom w:val="none" w:sz="0" w:space="0" w:color="auto"/>
        <w:right w:val="none" w:sz="0" w:space="0" w:color="auto"/>
      </w:divBdr>
    </w:div>
    <w:div w:id="2082822588">
      <w:bodyDiv w:val="1"/>
      <w:marLeft w:val="0"/>
      <w:marRight w:val="0"/>
      <w:marTop w:val="0"/>
      <w:marBottom w:val="0"/>
      <w:divBdr>
        <w:top w:val="none" w:sz="0" w:space="0" w:color="auto"/>
        <w:left w:val="none" w:sz="0" w:space="0" w:color="auto"/>
        <w:bottom w:val="none" w:sz="0" w:space="0" w:color="auto"/>
        <w:right w:val="none" w:sz="0" w:space="0" w:color="auto"/>
      </w:divBdr>
    </w:div>
    <w:div w:id="2086099858">
      <w:bodyDiv w:val="1"/>
      <w:marLeft w:val="0"/>
      <w:marRight w:val="0"/>
      <w:marTop w:val="0"/>
      <w:marBottom w:val="0"/>
      <w:divBdr>
        <w:top w:val="none" w:sz="0" w:space="0" w:color="auto"/>
        <w:left w:val="none" w:sz="0" w:space="0" w:color="auto"/>
        <w:bottom w:val="none" w:sz="0" w:space="0" w:color="auto"/>
        <w:right w:val="none" w:sz="0" w:space="0" w:color="auto"/>
      </w:divBdr>
    </w:div>
    <w:div w:id="2086485676">
      <w:bodyDiv w:val="1"/>
      <w:marLeft w:val="0"/>
      <w:marRight w:val="0"/>
      <w:marTop w:val="0"/>
      <w:marBottom w:val="0"/>
      <w:divBdr>
        <w:top w:val="none" w:sz="0" w:space="0" w:color="auto"/>
        <w:left w:val="none" w:sz="0" w:space="0" w:color="auto"/>
        <w:bottom w:val="none" w:sz="0" w:space="0" w:color="auto"/>
        <w:right w:val="none" w:sz="0" w:space="0" w:color="auto"/>
      </w:divBdr>
    </w:div>
    <w:div w:id="2087604005">
      <w:bodyDiv w:val="1"/>
      <w:marLeft w:val="0"/>
      <w:marRight w:val="0"/>
      <w:marTop w:val="0"/>
      <w:marBottom w:val="0"/>
      <w:divBdr>
        <w:top w:val="none" w:sz="0" w:space="0" w:color="auto"/>
        <w:left w:val="none" w:sz="0" w:space="0" w:color="auto"/>
        <w:bottom w:val="none" w:sz="0" w:space="0" w:color="auto"/>
        <w:right w:val="none" w:sz="0" w:space="0" w:color="auto"/>
      </w:divBdr>
    </w:div>
    <w:div w:id="2088644287">
      <w:bodyDiv w:val="1"/>
      <w:marLeft w:val="0"/>
      <w:marRight w:val="0"/>
      <w:marTop w:val="0"/>
      <w:marBottom w:val="0"/>
      <w:divBdr>
        <w:top w:val="none" w:sz="0" w:space="0" w:color="auto"/>
        <w:left w:val="none" w:sz="0" w:space="0" w:color="auto"/>
        <w:bottom w:val="none" w:sz="0" w:space="0" w:color="auto"/>
        <w:right w:val="none" w:sz="0" w:space="0" w:color="auto"/>
      </w:divBdr>
    </w:div>
    <w:div w:id="2088840051">
      <w:bodyDiv w:val="1"/>
      <w:marLeft w:val="0"/>
      <w:marRight w:val="0"/>
      <w:marTop w:val="0"/>
      <w:marBottom w:val="0"/>
      <w:divBdr>
        <w:top w:val="none" w:sz="0" w:space="0" w:color="auto"/>
        <w:left w:val="none" w:sz="0" w:space="0" w:color="auto"/>
        <w:bottom w:val="none" w:sz="0" w:space="0" w:color="auto"/>
        <w:right w:val="none" w:sz="0" w:space="0" w:color="auto"/>
      </w:divBdr>
    </w:div>
    <w:div w:id="2089113903">
      <w:bodyDiv w:val="1"/>
      <w:marLeft w:val="0"/>
      <w:marRight w:val="0"/>
      <w:marTop w:val="0"/>
      <w:marBottom w:val="0"/>
      <w:divBdr>
        <w:top w:val="none" w:sz="0" w:space="0" w:color="auto"/>
        <w:left w:val="none" w:sz="0" w:space="0" w:color="auto"/>
        <w:bottom w:val="none" w:sz="0" w:space="0" w:color="auto"/>
        <w:right w:val="none" w:sz="0" w:space="0" w:color="auto"/>
      </w:divBdr>
    </w:div>
    <w:div w:id="2090690087">
      <w:bodyDiv w:val="1"/>
      <w:marLeft w:val="0"/>
      <w:marRight w:val="0"/>
      <w:marTop w:val="0"/>
      <w:marBottom w:val="0"/>
      <w:divBdr>
        <w:top w:val="none" w:sz="0" w:space="0" w:color="auto"/>
        <w:left w:val="none" w:sz="0" w:space="0" w:color="auto"/>
        <w:bottom w:val="none" w:sz="0" w:space="0" w:color="auto"/>
        <w:right w:val="none" w:sz="0" w:space="0" w:color="auto"/>
      </w:divBdr>
    </w:div>
    <w:div w:id="2093773758">
      <w:bodyDiv w:val="1"/>
      <w:marLeft w:val="0"/>
      <w:marRight w:val="0"/>
      <w:marTop w:val="0"/>
      <w:marBottom w:val="0"/>
      <w:divBdr>
        <w:top w:val="none" w:sz="0" w:space="0" w:color="auto"/>
        <w:left w:val="none" w:sz="0" w:space="0" w:color="auto"/>
        <w:bottom w:val="none" w:sz="0" w:space="0" w:color="auto"/>
        <w:right w:val="none" w:sz="0" w:space="0" w:color="auto"/>
      </w:divBdr>
    </w:div>
    <w:div w:id="2094886193">
      <w:bodyDiv w:val="1"/>
      <w:marLeft w:val="0"/>
      <w:marRight w:val="0"/>
      <w:marTop w:val="0"/>
      <w:marBottom w:val="0"/>
      <w:divBdr>
        <w:top w:val="none" w:sz="0" w:space="0" w:color="auto"/>
        <w:left w:val="none" w:sz="0" w:space="0" w:color="auto"/>
        <w:bottom w:val="none" w:sz="0" w:space="0" w:color="auto"/>
        <w:right w:val="none" w:sz="0" w:space="0" w:color="auto"/>
      </w:divBdr>
    </w:div>
    <w:div w:id="2096243584">
      <w:bodyDiv w:val="1"/>
      <w:marLeft w:val="0"/>
      <w:marRight w:val="0"/>
      <w:marTop w:val="0"/>
      <w:marBottom w:val="0"/>
      <w:divBdr>
        <w:top w:val="none" w:sz="0" w:space="0" w:color="auto"/>
        <w:left w:val="none" w:sz="0" w:space="0" w:color="auto"/>
        <w:bottom w:val="none" w:sz="0" w:space="0" w:color="auto"/>
        <w:right w:val="none" w:sz="0" w:space="0" w:color="auto"/>
      </w:divBdr>
    </w:div>
    <w:div w:id="2097632412">
      <w:bodyDiv w:val="1"/>
      <w:marLeft w:val="0"/>
      <w:marRight w:val="0"/>
      <w:marTop w:val="0"/>
      <w:marBottom w:val="0"/>
      <w:divBdr>
        <w:top w:val="none" w:sz="0" w:space="0" w:color="auto"/>
        <w:left w:val="none" w:sz="0" w:space="0" w:color="auto"/>
        <w:bottom w:val="none" w:sz="0" w:space="0" w:color="auto"/>
        <w:right w:val="none" w:sz="0" w:space="0" w:color="auto"/>
      </w:divBdr>
    </w:div>
    <w:div w:id="2097943894">
      <w:bodyDiv w:val="1"/>
      <w:marLeft w:val="0"/>
      <w:marRight w:val="0"/>
      <w:marTop w:val="0"/>
      <w:marBottom w:val="0"/>
      <w:divBdr>
        <w:top w:val="none" w:sz="0" w:space="0" w:color="auto"/>
        <w:left w:val="none" w:sz="0" w:space="0" w:color="auto"/>
        <w:bottom w:val="none" w:sz="0" w:space="0" w:color="auto"/>
        <w:right w:val="none" w:sz="0" w:space="0" w:color="auto"/>
      </w:divBdr>
    </w:div>
    <w:div w:id="2098014402">
      <w:bodyDiv w:val="1"/>
      <w:marLeft w:val="0"/>
      <w:marRight w:val="0"/>
      <w:marTop w:val="0"/>
      <w:marBottom w:val="0"/>
      <w:divBdr>
        <w:top w:val="none" w:sz="0" w:space="0" w:color="auto"/>
        <w:left w:val="none" w:sz="0" w:space="0" w:color="auto"/>
        <w:bottom w:val="none" w:sz="0" w:space="0" w:color="auto"/>
        <w:right w:val="none" w:sz="0" w:space="0" w:color="auto"/>
      </w:divBdr>
    </w:div>
    <w:div w:id="2098136745">
      <w:bodyDiv w:val="1"/>
      <w:marLeft w:val="0"/>
      <w:marRight w:val="0"/>
      <w:marTop w:val="0"/>
      <w:marBottom w:val="0"/>
      <w:divBdr>
        <w:top w:val="none" w:sz="0" w:space="0" w:color="auto"/>
        <w:left w:val="none" w:sz="0" w:space="0" w:color="auto"/>
        <w:bottom w:val="none" w:sz="0" w:space="0" w:color="auto"/>
        <w:right w:val="none" w:sz="0" w:space="0" w:color="auto"/>
      </w:divBdr>
    </w:div>
    <w:div w:id="2098476589">
      <w:bodyDiv w:val="1"/>
      <w:marLeft w:val="0"/>
      <w:marRight w:val="0"/>
      <w:marTop w:val="0"/>
      <w:marBottom w:val="0"/>
      <w:divBdr>
        <w:top w:val="none" w:sz="0" w:space="0" w:color="auto"/>
        <w:left w:val="none" w:sz="0" w:space="0" w:color="auto"/>
        <w:bottom w:val="none" w:sz="0" w:space="0" w:color="auto"/>
        <w:right w:val="none" w:sz="0" w:space="0" w:color="auto"/>
      </w:divBdr>
    </w:div>
    <w:div w:id="2098549322">
      <w:bodyDiv w:val="1"/>
      <w:marLeft w:val="0"/>
      <w:marRight w:val="0"/>
      <w:marTop w:val="0"/>
      <w:marBottom w:val="0"/>
      <w:divBdr>
        <w:top w:val="none" w:sz="0" w:space="0" w:color="auto"/>
        <w:left w:val="none" w:sz="0" w:space="0" w:color="auto"/>
        <w:bottom w:val="none" w:sz="0" w:space="0" w:color="auto"/>
        <w:right w:val="none" w:sz="0" w:space="0" w:color="auto"/>
      </w:divBdr>
    </w:div>
    <w:div w:id="2098935791">
      <w:bodyDiv w:val="1"/>
      <w:marLeft w:val="0"/>
      <w:marRight w:val="0"/>
      <w:marTop w:val="0"/>
      <w:marBottom w:val="0"/>
      <w:divBdr>
        <w:top w:val="none" w:sz="0" w:space="0" w:color="auto"/>
        <w:left w:val="none" w:sz="0" w:space="0" w:color="auto"/>
        <w:bottom w:val="none" w:sz="0" w:space="0" w:color="auto"/>
        <w:right w:val="none" w:sz="0" w:space="0" w:color="auto"/>
      </w:divBdr>
    </w:div>
    <w:div w:id="2099985476">
      <w:bodyDiv w:val="1"/>
      <w:marLeft w:val="0"/>
      <w:marRight w:val="0"/>
      <w:marTop w:val="0"/>
      <w:marBottom w:val="0"/>
      <w:divBdr>
        <w:top w:val="none" w:sz="0" w:space="0" w:color="auto"/>
        <w:left w:val="none" w:sz="0" w:space="0" w:color="auto"/>
        <w:bottom w:val="none" w:sz="0" w:space="0" w:color="auto"/>
        <w:right w:val="none" w:sz="0" w:space="0" w:color="auto"/>
      </w:divBdr>
    </w:div>
    <w:div w:id="2101440815">
      <w:bodyDiv w:val="1"/>
      <w:marLeft w:val="0"/>
      <w:marRight w:val="0"/>
      <w:marTop w:val="0"/>
      <w:marBottom w:val="0"/>
      <w:divBdr>
        <w:top w:val="none" w:sz="0" w:space="0" w:color="auto"/>
        <w:left w:val="none" w:sz="0" w:space="0" w:color="auto"/>
        <w:bottom w:val="none" w:sz="0" w:space="0" w:color="auto"/>
        <w:right w:val="none" w:sz="0" w:space="0" w:color="auto"/>
      </w:divBdr>
    </w:div>
    <w:div w:id="2102990766">
      <w:bodyDiv w:val="1"/>
      <w:marLeft w:val="0"/>
      <w:marRight w:val="0"/>
      <w:marTop w:val="0"/>
      <w:marBottom w:val="0"/>
      <w:divBdr>
        <w:top w:val="none" w:sz="0" w:space="0" w:color="auto"/>
        <w:left w:val="none" w:sz="0" w:space="0" w:color="auto"/>
        <w:bottom w:val="none" w:sz="0" w:space="0" w:color="auto"/>
        <w:right w:val="none" w:sz="0" w:space="0" w:color="auto"/>
      </w:divBdr>
    </w:div>
    <w:div w:id="2104104971">
      <w:bodyDiv w:val="1"/>
      <w:marLeft w:val="0"/>
      <w:marRight w:val="0"/>
      <w:marTop w:val="0"/>
      <w:marBottom w:val="0"/>
      <w:divBdr>
        <w:top w:val="none" w:sz="0" w:space="0" w:color="auto"/>
        <w:left w:val="none" w:sz="0" w:space="0" w:color="auto"/>
        <w:bottom w:val="none" w:sz="0" w:space="0" w:color="auto"/>
        <w:right w:val="none" w:sz="0" w:space="0" w:color="auto"/>
      </w:divBdr>
    </w:div>
    <w:div w:id="2106614473">
      <w:bodyDiv w:val="1"/>
      <w:marLeft w:val="0"/>
      <w:marRight w:val="0"/>
      <w:marTop w:val="0"/>
      <w:marBottom w:val="0"/>
      <w:divBdr>
        <w:top w:val="none" w:sz="0" w:space="0" w:color="auto"/>
        <w:left w:val="none" w:sz="0" w:space="0" w:color="auto"/>
        <w:bottom w:val="none" w:sz="0" w:space="0" w:color="auto"/>
        <w:right w:val="none" w:sz="0" w:space="0" w:color="auto"/>
      </w:divBdr>
    </w:div>
    <w:div w:id="2106614716">
      <w:bodyDiv w:val="1"/>
      <w:marLeft w:val="0"/>
      <w:marRight w:val="0"/>
      <w:marTop w:val="0"/>
      <w:marBottom w:val="0"/>
      <w:divBdr>
        <w:top w:val="none" w:sz="0" w:space="0" w:color="auto"/>
        <w:left w:val="none" w:sz="0" w:space="0" w:color="auto"/>
        <w:bottom w:val="none" w:sz="0" w:space="0" w:color="auto"/>
        <w:right w:val="none" w:sz="0" w:space="0" w:color="auto"/>
      </w:divBdr>
    </w:div>
    <w:div w:id="2109538612">
      <w:bodyDiv w:val="1"/>
      <w:marLeft w:val="0"/>
      <w:marRight w:val="0"/>
      <w:marTop w:val="0"/>
      <w:marBottom w:val="0"/>
      <w:divBdr>
        <w:top w:val="none" w:sz="0" w:space="0" w:color="auto"/>
        <w:left w:val="none" w:sz="0" w:space="0" w:color="auto"/>
        <w:bottom w:val="none" w:sz="0" w:space="0" w:color="auto"/>
        <w:right w:val="none" w:sz="0" w:space="0" w:color="auto"/>
      </w:divBdr>
    </w:div>
    <w:div w:id="2110270804">
      <w:bodyDiv w:val="1"/>
      <w:marLeft w:val="0"/>
      <w:marRight w:val="0"/>
      <w:marTop w:val="0"/>
      <w:marBottom w:val="0"/>
      <w:divBdr>
        <w:top w:val="none" w:sz="0" w:space="0" w:color="auto"/>
        <w:left w:val="none" w:sz="0" w:space="0" w:color="auto"/>
        <w:bottom w:val="none" w:sz="0" w:space="0" w:color="auto"/>
        <w:right w:val="none" w:sz="0" w:space="0" w:color="auto"/>
      </w:divBdr>
    </w:div>
    <w:div w:id="2111731779">
      <w:bodyDiv w:val="1"/>
      <w:marLeft w:val="0"/>
      <w:marRight w:val="0"/>
      <w:marTop w:val="0"/>
      <w:marBottom w:val="0"/>
      <w:divBdr>
        <w:top w:val="none" w:sz="0" w:space="0" w:color="auto"/>
        <w:left w:val="none" w:sz="0" w:space="0" w:color="auto"/>
        <w:bottom w:val="none" w:sz="0" w:space="0" w:color="auto"/>
        <w:right w:val="none" w:sz="0" w:space="0" w:color="auto"/>
      </w:divBdr>
    </w:div>
    <w:div w:id="2112166652">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13353789">
      <w:bodyDiv w:val="1"/>
      <w:marLeft w:val="0"/>
      <w:marRight w:val="0"/>
      <w:marTop w:val="0"/>
      <w:marBottom w:val="0"/>
      <w:divBdr>
        <w:top w:val="none" w:sz="0" w:space="0" w:color="auto"/>
        <w:left w:val="none" w:sz="0" w:space="0" w:color="auto"/>
        <w:bottom w:val="none" w:sz="0" w:space="0" w:color="auto"/>
        <w:right w:val="none" w:sz="0" w:space="0" w:color="auto"/>
      </w:divBdr>
    </w:div>
    <w:div w:id="2115396108">
      <w:bodyDiv w:val="1"/>
      <w:marLeft w:val="0"/>
      <w:marRight w:val="0"/>
      <w:marTop w:val="0"/>
      <w:marBottom w:val="0"/>
      <w:divBdr>
        <w:top w:val="none" w:sz="0" w:space="0" w:color="auto"/>
        <w:left w:val="none" w:sz="0" w:space="0" w:color="auto"/>
        <w:bottom w:val="none" w:sz="0" w:space="0" w:color="auto"/>
        <w:right w:val="none" w:sz="0" w:space="0" w:color="auto"/>
      </w:divBdr>
    </w:div>
    <w:div w:id="2116827683">
      <w:bodyDiv w:val="1"/>
      <w:marLeft w:val="0"/>
      <w:marRight w:val="0"/>
      <w:marTop w:val="0"/>
      <w:marBottom w:val="0"/>
      <w:divBdr>
        <w:top w:val="none" w:sz="0" w:space="0" w:color="auto"/>
        <w:left w:val="none" w:sz="0" w:space="0" w:color="auto"/>
        <w:bottom w:val="none" w:sz="0" w:space="0" w:color="auto"/>
        <w:right w:val="none" w:sz="0" w:space="0" w:color="auto"/>
      </w:divBdr>
    </w:div>
    <w:div w:id="2117365486">
      <w:bodyDiv w:val="1"/>
      <w:marLeft w:val="0"/>
      <w:marRight w:val="0"/>
      <w:marTop w:val="0"/>
      <w:marBottom w:val="0"/>
      <w:divBdr>
        <w:top w:val="none" w:sz="0" w:space="0" w:color="auto"/>
        <w:left w:val="none" w:sz="0" w:space="0" w:color="auto"/>
        <w:bottom w:val="none" w:sz="0" w:space="0" w:color="auto"/>
        <w:right w:val="none" w:sz="0" w:space="0" w:color="auto"/>
      </w:divBdr>
    </w:div>
    <w:div w:id="2118669888">
      <w:bodyDiv w:val="1"/>
      <w:marLeft w:val="0"/>
      <w:marRight w:val="0"/>
      <w:marTop w:val="0"/>
      <w:marBottom w:val="0"/>
      <w:divBdr>
        <w:top w:val="none" w:sz="0" w:space="0" w:color="auto"/>
        <w:left w:val="none" w:sz="0" w:space="0" w:color="auto"/>
        <w:bottom w:val="none" w:sz="0" w:space="0" w:color="auto"/>
        <w:right w:val="none" w:sz="0" w:space="0" w:color="auto"/>
      </w:divBdr>
    </w:div>
    <w:div w:id="2119836785">
      <w:bodyDiv w:val="1"/>
      <w:marLeft w:val="0"/>
      <w:marRight w:val="0"/>
      <w:marTop w:val="0"/>
      <w:marBottom w:val="0"/>
      <w:divBdr>
        <w:top w:val="none" w:sz="0" w:space="0" w:color="auto"/>
        <w:left w:val="none" w:sz="0" w:space="0" w:color="auto"/>
        <w:bottom w:val="none" w:sz="0" w:space="0" w:color="auto"/>
        <w:right w:val="none" w:sz="0" w:space="0" w:color="auto"/>
      </w:divBdr>
    </w:div>
    <w:div w:id="2120103397">
      <w:bodyDiv w:val="1"/>
      <w:marLeft w:val="0"/>
      <w:marRight w:val="0"/>
      <w:marTop w:val="0"/>
      <w:marBottom w:val="0"/>
      <w:divBdr>
        <w:top w:val="none" w:sz="0" w:space="0" w:color="auto"/>
        <w:left w:val="none" w:sz="0" w:space="0" w:color="auto"/>
        <w:bottom w:val="none" w:sz="0" w:space="0" w:color="auto"/>
        <w:right w:val="none" w:sz="0" w:space="0" w:color="auto"/>
      </w:divBdr>
    </w:div>
    <w:div w:id="2120172733">
      <w:bodyDiv w:val="1"/>
      <w:marLeft w:val="0"/>
      <w:marRight w:val="0"/>
      <w:marTop w:val="0"/>
      <w:marBottom w:val="0"/>
      <w:divBdr>
        <w:top w:val="none" w:sz="0" w:space="0" w:color="auto"/>
        <w:left w:val="none" w:sz="0" w:space="0" w:color="auto"/>
        <w:bottom w:val="none" w:sz="0" w:space="0" w:color="auto"/>
        <w:right w:val="none" w:sz="0" w:space="0" w:color="auto"/>
      </w:divBdr>
    </w:div>
    <w:div w:id="2121021748">
      <w:bodyDiv w:val="1"/>
      <w:marLeft w:val="0"/>
      <w:marRight w:val="0"/>
      <w:marTop w:val="0"/>
      <w:marBottom w:val="0"/>
      <w:divBdr>
        <w:top w:val="none" w:sz="0" w:space="0" w:color="auto"/>
        <w:left w:val="none" w:sz="0" w:space="0" w:color="auto"/>
        <w:bottom w:val="none" w:sz="0" w:space="0" w:color="auto"/>
        <w:right w:val="none" w:sz="0" w:space="0" w:color="auto"/>
      </w:divBdr>
    </w:div>
    <w:div w:id="2121795358">
      <w:bodyDiv w:val="1"/>
      <w:marLeft w:val="0"/>
      <w:marRight w:val="0"/>
      <w:marTop w:val="0"/>
      <w:marBottom w:val="0"/>
      <w:divBdr>
        <w:top w:val="none" w:sz="0" w:space="0" w:color="auto"/>
        <w:left w:val="none" w:sz="0" w:space="0" w:color="auto"/>
        <w:bottom w:val="none" w:sz="0" w:space="0" w:color="auto"/>
        <w:right w:val="none" w:sz="0" w:space="0" w:color="auto"/>
      </w:divBdr>
    </w:div>
    <w:div w:id="2122916008">
      <w:bodyDiv w:val="1"/>
      <w:marLeft w:val="0"/>
      <w:marRight w:val="0"/>
      <w:marTop w:val="0"/>
      <w:marBottom w:val="0"/>
      <w:divBdr>
        <w:top w:val="none" w:sz="0" w:space="0" w:color="auto"/>
        <w:left w:val="none" w:sz="0" w:space="0" w:color="auto"/>
        <w:bottom w:val="none" w:sz="0" w:space="0" w:color="auto"/>
        <w:right w:val="none" w:sz="0" w:space="0" w:color="auto"/>
      </w:divBdr>
    </w:div>
    <w:div w:id="2123525849">
      <w:bodyDiv w:val="1"/>
      <w:marLeft w:val="0"/>
      <w:marRight w:val="0"/>
      <w:marTop w:val="0"/>
      <w:marBottom w:val="0"/>
      <w:divBdr>
        <w:top w:val="none" w:sz="0" w:space="0" w:color="auto"/>
        <w:left w:val="none" w:sz="0" w:space="0" w:color="auto"/>
        <w:bottom w:val="none" w:sz="0" w:space="0" w:color="auto"/>
        <w:right w:val="none" w:sz="0" w:space="0" w:color="auto"/>
      </w:divBdr>
    </w:div>
    <w:div w:id="2124810208">
      <w:bodyDiv w:val="1"/>
      <w:marLeft w:val="0"/>
      <w:marRight w:val="0"/>
      <w:marTop w:val="0"/>
      <w:marBottom w:val="0"/>
      <w:divBdr>
        <w:top w:val="none" w:sz="0" w:space="0" w:color="auto"/>
        <w:left w:val="none" w:sz="0" w:space="0" w:color="auto"/>
        <w:bottom w:val="none" w:sz="0" w:space="0" w:color="auto"/>
        <w:right w:val="none" w:sz="0" w:space="0" w:color="auto"/>
      </w:divBdr>
    </w:div>
    <w:div w:id="2128621863">
      <w:bodyDiv w:val="1"/>
      <w:marLeft w:val="0"/>
      <w:marRight w:val="0"/>
      <w:marTop w:val="0"/>
      <w:marBottom w:val="0"/>
      <w:divBdr>
        <w:top w:val="none" w:sz="0" w:space="0" w:color="auto"/>
        <w:left w:val="none" w:sz="0" w:space="0" w:color="auto"/>
        <w:bottom w:val="none" w:sz="0" w:space="0" w:color="auto"/>
        <w:right w:val="none" w:sz="0" w:space="0" w:color="auto"/>
      </w:divBdr>
    </w:div>
    <w:div w:id="2130322160">
      <w:bodyDiv w:val="1"/>
      <w:marLeft w:val="0"/>
      <w:marRight w:val="0"/>
      <w:marTop w:val="0"/>
      <w:marBottom w:val="0"/>
      <w:divBdr>
        <w:top w:val="none" w:sz="0" w:space="0" w:color="auto"/>
        <w:left w:val="none" w:sz="0" w:space="0" w:color="auto"/>
        <w:bottom w:val="none" w:sz="0" w:space="0" w:color="auto"/>
        <w:right w:val="none" w:sz="0" w:space="0" w:color="auto"/>
      </w:divBdr>
    </w:div>
    <w:div w:id="2130588940">
      <w:bodyDiv w:val="1"/>
      <w:marLeft w:val="0"/>
      <w:marRight w:val="0"/>
      <w:marTop w:val="0"/>
      <w:marBottom w:val="0"/>
      <w:divBdr>
        <w:top w:val="none" w:sz="0" w:space="0" w:color="auto"/>
        <w:left w:val="none" w:sz="0" w:space="0" w:color="auto"/>
        <w:bottom w:val="none" w:sz="0" w:space="0" w:color="auto"/>
        <w:right w:val="none" w:sz="0" w:space="0" w:color="auto"/>
      </w:divBdr>
    </w:div>
    <w:div w:id="2131045088">
      <w:bodyDiv w:val="1"/>
      <w:marLeft w:val="0"/>
      <w:marRight w:val="0"/>
      <w:marTop w:val="0"/>
      <w:marBottom w:val="0"/>
      <w:divBdr>
        <w:top w:val="none" w:sz="0" w:space="0" w:color="auto"/>
        <w:left w:val="none" w:sz="0" w:space="0" w:color="auto"/>
        <w:bottom w:val="none" w:sz="0" w:space="0" w:color="auto"/>
        <w:right w:val="none" w:sz="0" w:space="0" w:color="auto"/>
      </w:divBdr>
    </w:div>
    <w:div w:id="2131974291">
      <w:bodyDiv w:val="1"/>
      <w:marLeft w:val="0"/>
      <w:marRight w:val="0"/>
      <w:marTop w:val="0"/>
      <w:marBottom w:val="0"/>
      <w:divBdr>
        <w:top w:val="none" w:sz="0" w:space="0" w:color="auto"/>
        <w:left w:val="none" w:sz="0" w:space="0" w:color="auto"/>
        <w:bottom w:val="none" w:sz="0" w:space="0" w:color="auto"/>
        <w:right w:val="none" w:sz="0" w:space="0" w:color="auto"/>
      </w:divBdr>
    </w:div>
    <w:div w:id="2132237651">
      <w:bodyDiv w:val="1"/>
      <w:marLeft w:val="0"/>
      <w:marRight w:val="0"/>
      <w:marTop w:val="0"/>
      <w:marBottom w:val="0"/>
      <w:divBdr>
        <w:top w:val="none" w:sz="0" w:space="0" w:color="auto"/>
        <w:left w:val="none" w:sz="0" w:space="0" w:color="auto"/>
        <w:bottom w:val="none" w:sz="0" w:space="0" w:color="auto"/>
        <w:right w:val="none" w:sz="0" w:space="0" w:color="auto"/>
      </w:divBdr>
    </w:div>
    <w:div w:id="2132238696">
      <w:bodyDiv w:val="1"/>
      <w:marLeft w:val="0"/>
      <w:marRight w:val="0"/>
      <w:marTop w:val="0"/>
      <w:marBottom w:val="0"/>
      <w:divBdr>
        <w:top w:val="none" w:sz="0" w:space="0" w:color="auto"/>
        <w:left w:val="none" w:sz="0" w:space="0" w:color="auto"/>
        <w:bottom w:val="none" w:sz="0" w:space="0" w:color="auto"/>
        <w:right w:val="none" w:sz="0" w:space="0" w:color="auto"/>
      </w:divBdr>
    </w:div>
    <w:div w:id="2133088971">
      <w:bodyDiv w:val="1"/>
      <w:marLeft w:val="0"/>
      <w:marRight w:val="0"/>
      <w:marTop w:val="0"/>
      <w:marBottom w:val="0"/>
      <w:divBdr>
        <w:top w:val="none" w:sz="0" w:space="0" w:color="auto"/>
        <w:left w:val="none" w:sz="0" w:space="0" w:color="auto"/>
        <w:bottom w:val="none" w:sz="0" w:space="0" w:color="auto"/>
        <w:right w:val="none" w:sz="0" w:space="0" w:color="auto"/>
      </w:divBdr>
    </w:div>
    <w:div w:id="2133089806">
      <w:bodyDiv w:val="1"/>
      <w:marLeft w:val="0"/>
      <w:marRight w:val="0"/>
      <w:marTop w:val="0"/>
      <w:marBottom w:val="0"/>
      <w:divBdr>
        <w:top w:val="none" w:sz="0" w:space="0" w:color="auto"/>
        <w:left w:val="none" w:sz="0" w:space="0" w:color="auto"/>
        <w:bottom w:val="none" w:sz="0" w:space="0" w:color="auto"/>
        <w:right w:val="none" w:sz="0" w:space="0" w:color="auto"/>
      </w:divBdr>
    </w:div>
    <w:div w:id="2133984036">
      <w:bodyDiv w:val="1"/>
      <w:marLeft w:val="0"/>
      <w:marRight w:val="0"/>
      <w:marTop w:val="0"/>
      <w:marBottom w:val="0"/>
      <w:divBdr>
        <w:top w:val="none" w:sz="0" w:space="0" w:color="auto"/>
        <w:left w:val="none" w:sz="0" w:space="0" w:color="auto"/>
        <w:bottom w:val="none" w:sz="0" w:space="0" w:color="auto"/>
        <w:right w:val="none" w:sz="0" w:space="0" w:color="auto"/>
      </w:divBdr>
    </w:div>
    <w:div w:id="2135714874">
      <w:bodyDiv w:val="1"/>
      <w:marLeft w:val="0"/>
      <w:marRight w:val="0"/>
      <w:marTop w:val="0"/>
      <w:marBottom w:val="0"/>
      <w:divBdr>
        <w:top w:val="none" w:sz="0" w:space="0" w:color="auto"/>
        <w:left w:val="none" w:sz="0" w:space="0" w:color="auto"/>
        <w:bottom w:val="none" w:sz="0" w:space="0" w:color="auto"/>
        <w:right w:val="none" w:sz="0" w:space="0" w:color="auto"/>
      </w:divBdr>
    </w:div>
    <w:div w:id="2135976031">
      <w:bodyDiv w:val="1"/>
      <w:marLeft w:val="0"/>
      <w:marRight w:val="0"/>
      <w:marTop w:val="0"/>
      <w:marBottom w:val="0"/>
      <w:divBdr>
        <w:top w:val="none" w:sz="0" w:space="0" w:color="auto"/>
        <w:left w:val="none" w:sz="0" w:space="0" w:color="auto"/>
        <w:bottom w:val="none" w:sz="0" w:space="0" w:color="auto"/>
        <w:right w:val="none" w:sz="0" w:space="0" w:color="auto"/>
      </w:divBdr>
    </w:div>
    <w:div w:id="2137065862">
      <w:bodyDiv w:val="1"/>
      <w:marLeft w:val="0"/>
      <w:marRight w:val="0"/>
      <w:marTop w:val="0"/>
      <w:marBottom w:val="0"/>
      <w:divBdr>
        <w:top w:val="none" w:sz="0" w:space="0" w:color="auto"/>
        <w:left w:val="none" w:sz="0" w:space="0" w:color="auto"/>
        <w:bottom w:val="none" w:sz="0" w:space="0" w:color="auto"/>
        <w:right w:val="none" w:sz="0" w:space="0" w:color="auto"/>
      </w:divBdr>
    </w:div>
    <w:div w:id="2139716788">
      <w:bodyDiv w:val="1"/>
      <w:marLeft w:val="0"/>
      <w:marRight w:val="0"/>
      <w:marTop w:val="0"/>
      <w:marBottom w:val="0"/>
      <w:divBdr>
        <w:top w:val="none" w:sz="0" w:space="0" w:color="auto"/>
        <w:left w:val="none" w:sz="0" w:space="0" w:color="auto"/>
        <w:bottom w:val="none" w:sz="0" w:space="0" w:color="auto"/>
        <w:right w:val="none" w:sz="0" w:space="0" w:color="auto"/>
      </w:divBdr>
    </w:div>
    <w:div w:id="2139881664">
      <w:bodyDiv w:val="1"/>
      <w:marLeft w:val="0"/>
      <w:marRight w:val="0"/>
      <w:marTop w:val="0"/>
      <w:marBottom w:val="0"/>
      <w:divBdr>
        <w:top w:val="none" w:sz="0" w:space="0" w:color="auto"/>
        <w:left w:val="none" w:sz="0" w:space="0" w:color="auto"/>
        <w:bottom w:val="none" w:sz="0" w:space="0" w:color="auto"/>
        <w:right w:val="none" w:sz="0" w:space="0" w:color="auto"/>
      </w:divBdr>
    </w:div>
    <w:div w:id="2140956142">
      <w:bodyDiv w:val="1"/>
      <w:marLeft w:val="0"/>
      <w:marRight w:val="0"/>
      <w:marTop w:val="0"/>
      <w:marBottom w:val="0"/>
      <w:divBdr>
        <w:top w:val="none" w:sz="0" w:space="0" w:color="auto"/>
        <w:left w:val="none" w:sz="0" w:space="0" w:color="auto"/>
        <w:bottom w:val="none" w:sz="0" w:space="0" w:color="auto"/>
        <w:right w:val="none" w:sz="0" w:space="0" w:color="auto"/>
      </w:divBdr>
    </w:div>
    <w:div w:id="2141224421">
      <w:bodyDiv w:val="1"/>
      <w:marLeft w:val="0"/>
      <w:marRight w:val="0"/>
      <w:marTop w:val="0"/>
      <w:marBottom w:val="0"/>
      <w:divBdr>
        <w:top w:val="none" w:sz="0" w:space="0" w:color="auto"/>
        <w:left w:val="none" w:sz="0" w:space="0" w:color="auto"/>
        <w:bottom w:val="none" w:sz="0" w:space="0" w:color="auto"/>
        <w:right w:val="none" w:sz="0" w:space="0" w:color="auto"/>
      </w:divBdr>
    </w:div>
    <w:div w:id="2142839295">
      <w:bodyDiv w:val="1"/>
      <w:marLeft w:val="0"/>
      <w:marRight w:val="0"/>
      <w:marTop w:val="0"/>
      <w:marBottom w:val="0"/>
      <w:divBdr>
        <w:top w:val="none" w:sz="0" w:space="0" w:color="auto"/>
        <w:left w:val="none" w:sz="0" w:space="0" w:color="auto"/>
        <w:bottom w:val="none" w:sz="0" w:space="0" w:color="auto"/>
        <w:right w:val="none" w:sz="0" w:space="0" w:color="auto"/>
      </w:divBdr>
    </w:div>
    <w:div w:id="2143840265">
      <w:bodyDiv w:val="1"/>
      <w:marLeft w:val="0"/>
      <w:marRight w:val="0"/>
      <w:marTop w:val="0"/>
      <w:marBottom w:val="0"/>
      <w:divBdr>
        <w:top w:val="none" w:sz="0" w:space="0" w:color="auto"/>
        <w:left w:val="none" w:sz="0" w:space="0" w:color="auto"/>
        <w:bottom w:val="none" w:sz="0" w:space="0" w:color="auto"/>
        <w:right w:val="none" w:sz="0" w:space="0" w:color="auto"/>
      </w:divBdr>
    </w:div>
    <w:div w:id="21461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21.xml"/><Relationship Id="rId21" Type="http://schemas.openxmlformats.org/officeDocument/2006/relationships/footer" Target="footer9.xml"/><Relationship Id="rId34" Type="http://schemas.openxmlformats.org/officeDocument/2006/relationships/footer" Target="footer17.xml"/><Relationship Id="rId42" Type="http://schemas.openxmlformats.org/officeDocument/2006/relationships/footer" Target="foot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footer" Target="footer14.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eader" Target="header7.xml"/><Relationship Id="rId36" Type="http://schemas.openxmlformats.org/officeDocument/2006/relationships/hyperlink" Target="callto:1010276-63.2018.4.01" TargetMode="Externa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hyperlink" Target="http://www.telebras.com.br" TargetMode="External"/><Relationship Id="rId35" Type="http://schemas.openxmlformats.org/officeDocument/2006/relationships/footer" Target="footer18.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oter" Target="footer16.xml"/><Relationship Id="rId38" Type="http://schemas.openxmlformats.org/officeDocument/2006/relationships/footer" Target="footer2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528ED-104F-4693-BF26-6C08A411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22877</Words>
  <Characters>132916</Characters>
  <Application>Microsoft Office Word</Application>
  <DocSecurity>0</DocSecurity>
  <Lines>11076</Lines>
  <Paragraphs>8655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Pscheidt</dc:creator>
  <cp:keywords/>
  <dc:description/>
  <cp:lastModifiedBy>Alessandra De Noronha Carvalhal</cp:lastModifiedBy>
  <cp:revision>2</cp:revision>
  <cp:lastPrinted>2026-05-08T12:55:00Z</cp:lastPrinted>
  <dcterms:created xsi:type="dcterms:W3CDTF">2026-05-13T12:59:00Z</dcterms:created>
  <dcterms:modified xsi:type="dcterms:W3CDTF">2026-05-13T12:59:00Z</dcterms:modified>
</cp:coreProperties>
</file>