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53B9" w14:textId="787EA49E" w:rsidR="00A26960" w:rsidRDefault="00DE473B" w:rsidP="0058236F">
      <w:pPr>
        <w:ind w:left="-851"/>
        <w:jc w:val="both"/>
        <w:rPr>
          <w:rStyle w:val="RefernciaIntensa"/>
          <w:rFonts w:ascii="Arial" w:hAnsi="Arial" w:cs="Arial"/>
          <w:color w:val="auto"/>
        </w:rPr>
      </w:pPr>
      <w:r w:rsidRPr="004F40FE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67E86A11" wp14:editId="6574CB6E">
                <wp:simplePos x="0" y="0"/>
                <wp:positionH relativeFrom="page">
                  <wp:posOffset>-31750</wp:posOffset>
                </wp:positionH>
                <wp:positionV relativeFrom="paragraph">
                  <wp:posOffset>17145</wp:posOffset>
                </wp:positionV>
                <wp:extent cx="9343390" cy="12484100"/>
                <wp:effectExtent l="0" t="0" r="0" b="0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3390" cy="12484100"/>
                        </a:xfrm>
                        <a:prstGeom prst="rect">
                          <a:avLst/>
                        </a:prstGeom>
                        <a:solidFill>
                          <a:srgbClr val="2249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B9066" id="Retângulo 35" o:spid="_x0000_s1026" style="position:absolute;margin-left:-2.5pt;margin-top:1.35pt;width:735.7pt;height:983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" fillcolor="#22498e" stroked="f" strokeweight="2pt">
                <w10:wrap anchorx="page"/>
              </v:rect>
            </w:pict>
          </mc:Fallback>
        </mc:AlternateContent>
      </w:r>
      <w:r w:rsidR="00D1739F" w:rsidRPr="004F40FE">
        <w:rPr>
          <w:rFonts w:cs="Calibri"/>
          <w:noProof/>
        </w:rPr>
        <w:drawing>
          <wp:anchor distT="0" distB="0" distL="114300" distR="114300" simplePos="0" relativeHeight="251849728" behindDoc="0" locked="0" layoutInCell="1" allowOverlap="1" wp14:anchorId="03FE80C8" wp14:editId="3344568E">
            <wp:simplePos x="0" y="0"/>
            <wp:positionH relativeFrom="page">
              <wp:posOffset>1762125</wp:posOffset>
            </wp:positionH>
            <wp:positionV relativeFrom="paragraph">
              <wp:posOffset>19050</wp:posOffset>
            </wp:positionV>
            <wp:extent cx="5778500" cy="8891270"/>
            <wp:effectExtent l="0" t="0" r="0" b="0"/>
            <wp:wrapNone/>
            <wp:docPr id="2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7"/>
                    <pic:cNvPicPr>
                      <a:picLocks noChangeAspect="1"/>
                    </pic:cNvPicPr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55" r="39649" b="8508"/>
                    <a:stretch/>
                  </pic:blipFill>
                  <pic:spPr bwMode="auto">
                    <a:xfrm>
                      <a:off x="0" y="0"/>
                      <a:ext cx="5778500" cy="8891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F25AC" w14:textId="2D784DD9" w:rsidR="0058236F" w:rsidRDefault="00D1739F" w:rsidP="0058236F">
      <w:pPr>
        <w:ind w:left="-851"/>
        <w:jc w:val="both"/>
        <w:rPr>
          <w:rStyle w:val="RefernciaIntensa"/>
          <w:rFonts w:ascii="Arial" w:hAnsi="Arial" w:cs="Arial"/>
          <w:color w:val="auto"/>
        </w:rPr>
        <w:sectPr w:rsidR="0058236F" w:rsidSect="000B1FA9">
          <w:headerReference w:type="default" r:id="rId9"/>
          <w:pgSz w:w="11906" w:h="16838"/>
          <w:pgMar w:top="0" w:right="567" w:bottom="1418" w:left="851" w:header="0" w:footer="709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622035" wp14:editId="09790182">
                <wp:simplePos x="0" y="0"/>
                <wp:positionH relativeFrom="margin">
                  <wp:align>left</wp:align>
                </wp:positionH>
                <wp:positionV relativeFrom="paragraph">
                  <wp:posOffset>5946140</wp:posOffset>
                </wp:positionV>
                <wp:extent cx="6343650" cy="1571625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6B749" w14:textId="18ACB25A" w:rsidR="00B96302" w:rsidRPr="00D1739F" w:rsidRDefault="00B96302" w:rsidP="0037520B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1739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Telecomunicações Brasileiras S.A - Telebras</w:t>
                            </w:r>
                          </w:p>
                          <w:p w14:paraId="53983AAE" w14:textId="57EBA1C7" w:rsidR="00B96302" w:rsidRPr="00D1739F" w:rsidRDefault="00B96302" w:rsidP="0037520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1739F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Comentários de Desempenho</w:t>
                            </w:r>
                          </w:p>
                          <w:p w14:paraId="0176BEDB" w14:textId="12B7AFAC" w:rsidR="00B96302" w:rsidRPr="00D1739F" w:rsidRDefault="0094057D" w:rsidP="0037520B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4</w:t>
                            </w:r>
                            <w:r w:rsidR="00B9630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º Trimestre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22035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0;margin-top:468.2pt;width:499.5pt;height:123.7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" filled="f" stroked="f" strokeweight=".5pt">
                <v:textbox>
                  <w:txbxContent>
                    <w:p w14:paraId="07A6B749" w14:textId="18ACB25A" w:rsidR="00B96302" w:rsidRPr="00D1739F" w:rsidRDefault="00B96302" w:rsidP="0037520B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D1739F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Telecomunicações Brasileiras S.A - Telebras</w:t>
                      </w:r>
                    </w:p>
                    <w:p w14:paraId="53983AAE" w14:textId="57EBA1C7" w:rsidR="00B96302" w:rsidRPr="00D1739F" w:rsidRDefault="00B96302" w:rsidP="0037520B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1739F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Comentários de Desempenho</w:t>
                      </w:r>
                    </w:p>
                    <w:p w14:paraId="0176BEDB" w14:textId="12B7AFAC" w:rsidR="00B96302" w:rsidRPr="00D1739F" w:rsidRDefault="0094057D" w:rsidP="0037520B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4</w:t>
                      </w:r>
                      <w:r w:rsidR="00B96302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º Trimestre de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E99265" w14:textId="465D923C" w:rsidR="00886467" w:rsidRDefault="00886467" w:rsidP="00886467">
      <w:pPr>
        <w:jc w:val="both"/>
        <w:rPr>
          <w:rFonts w:ascii="Arial" w:hAnsi="Arial" w:cs="Arial"/>
          <w:sz w:val="20"/>
          <w:szCs w:val="20"/>
        </w:rPr>
      </w:pPr>
      <w:r w:rsidRPr="0082179B">
        <w:rPr>
          <w:rFonts w:ascii="Arial" w:hAnsi="Arial" w:cs="Arial"/>
          <w:b/>
          <w:sz w:val="20"/>
          <w:szCs w:val="20"/>
        </w:rPr>
        <w:lastRenderedPageBreak/>
        <w:t>Informação Pública -</w:t>
      </w:r>
      <w:r w:rsidRPr="0082179B">
        <w:rPr>
          <w:rFonts w:ascii="Arial" w:hAnsi="Arial" w:cs="Arial"/>
          <w:sz w:val="20"/>
          <w:szCs w:val="20"/>
        </w:rPr>
        <w:t xml:space="preserve"> A Telecomunicações Brasileiras S.A. - Telebras (B3: TELB3 e TELB4) divulga</w:t>
      </w:r>
      <w:r>
        <w:rPr>
          <w:rFonts w:ascii="Arial" w:hAnsi="Arial" w:cs="Arial"/>
          <w:sz w:val="20"/>
          <w:szCs w:val="20"/>
        </w:rPr>
        <w:t xml:space="preserve"> nesse documento os comentários de desempenho dos</w:t>
      </w:r>
      <w:r w:rsidRPr="0082179B">
        <w:rPr>
          <w:rFonts w:ascii="Arial" w:hAnsi="Arial" w:cs="Arial"/>
          <w:sz w:val="20"/>
          <w:szCs w:val="20"/>
        </w:rPr>
        <w:t xml:space="preserve"> resultados do </w:t>
      </w:r>
      <w:r>
        <w:rPr>
          <w:rFonts w:ascii="Arial" w:hAnsi="Arial" w:cs="Arial"/>
          <w:sz w:val="20"/>
          <w:szCs w:val="20"/>
        </w:rPr>
        <w:t>quarto</w:t>
      </w:r>
      <w:r w:rsidRPr="0082179B">
        <w:rPr>
          <w:rFonts w:ascii="Arial" w:hAnsi="Arial" w:cs="Arial"/>
          <w:sz w:val="20"/>
          <w:szCs w:val="20"/>
        </w:rPr>
        <w:t xml:space="preserve"> trimestre do exercício de 20</w:t>
      </w:r>
      <w:r>
        <w:rPr>
          <w:rFonts w:ascii="Arial" w:hAnsi="Arial" w:cs="Arial"/>
          <w:sz w:val="20"/>
          <w:szCs w:val="20"/>
        </w:rPr>
        <w:t>25</w:t>
      </w:r>
      <w:r w:rsidRPr="0082179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4</w:t>
      </w:r>
      <w:r w:rsidRPr="0082179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25</w:t>
      </w:r>
      <w:r w:rsidRPr="0082179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bem como os resultados dos doze meses de 2025 (2025). </w:t>
      </w:r>
      <w:r w:rsidRPr="0082179B">
        <w:rPr>
          <w:rFonts w:ascii="Arial" w:hAnsi="Arial" w:cs="Arial"/>
          <w:sz w:val="20"/>
          <w:szCs w:val="20"/>
        </w:rPr>
        <w:t>As informações operacionais</w:t>
      </w:r>
      <w:r>
        <w:rPr>
          <w:rFonts w:ascii="Arial" w:hAnsi="Arial" w:cs="Arial"/>
          <w:sz w:val="20"/>
          <w:szCs w:val="20"/>
        </w:rPr>
        <w:t>, econômicas</w:t>
      </w:r>
      <w:r w:rsidRPr="0082179B">
        <w:rPr>
          <w:rFonts w:ascii="Arial" w:hAnsi="Arial" w:cs="Arial"/>
          <w:sz w:val="20"/>
          <w:szCs w:val="20"/>
        </w:rPr>
        <w:t xml:space="preserve"> e financeiras da Companhia, exceto quando indicado de outra forma, são apresentadas com base em números não consolidados e em Reais, em conformidade com as práticas contábeis adotadas no Brasil (BR GAAP), </w:t>
      </w:r>
      <w:r w:rsidRPr="0082179B">
        <w:rPr>
          <w:rFonts w:ascii="Arial" w:hAnsi="Arial" w:cs="Arial"/>
          <w:color w:val="000000"/>
          <w:sz w:val="20"/>
          <w:szCs w:val="20"/>
        </w:rPr>
        <w:t xml:space="preserve">de acordo com os IFRS, bem como estão alinhados com o IAS </w:t>
      </w:r>
      <w:r w:rsidRPr="0082179B">
        <w:rPr>
          <w:rFonts w:ascii="Arial" w:hAnsi="Arial" w:cs="Arial"/>
          <w:sz w:val="20"/>
          <w:szCs w:val="20"/>
        </w:rPr>
        <w:t>–</w:t>
      </w:r>
      <w:r w:rsidRPr="0082179B">
        <w:rPr>
          <w:rFonts w:ascii="Arial" w:hAnsi="Arial" w:cs="Arial"/>
          <w:color w:val="000000"/>
          <w:sz w:val="20"/>
          <w:szCs w:val="20"/>
        </w:rPr>
        <w:t xml:space="preserve"> “</w:t>
      </w:r>
      <w:proofErr w:type="spellStart"/>
      <w:r w:rsidRPr="0082179B">
        <w:rPr>
          <w:rFonts w:ascii="Arial" w:hAnsi="Arial" w:cs="Arial"/>
          <w:i/>
          <w:iCs/>
          <w:color w:val="000000"/>
          <w:sz w:val="20"/>
          <w:szCs w:val="20"/>
        </w:rPr>
        <w:t>International</w:t>
      </w:r>
      <w:proofErr w:type="spellEnd"/>
      <w:r w:rsidRPr="0082179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82179B">
        <w:rPr>
          <w:rFonts w:ascii="Arial" w:hAnsi="Arial" w:cs="Arial"/>
          <w:i/>
          <w:iCs/>
          <w:color w:val="000000"/>
          <w:sz w:val="20"/>
          <w:szCs w:val="20"/>
        </w:rPr>
        <w:t>Accounting</w:t>
      </w:r>
      <w:proofErr w:type="spellEnd"/>
      <w:r w:rsidRPr="0082179B">
        <w:rPr>
          <w:rFonts w:ascii="Arial" w:hAnsi="Arial" w:cs="Arial"/>
          <w:i/>
          <w:iCs/>
          <w:color w:val="000000"/>
          <w:sz w:val="20"/>
          <w:szCs w:val="20"/>
        </w:rPr>
        <w:t xml:space="preserve"> Standards” </w:t>
      </w:r>
      <w:r w:rsidRPr="0082179B">
        <w:rPr>
          <w:rFonts w:ascii="Arial" w:hAnsi="Arial" w:cs="Arial"/>
          <w:color w:val="000000"/>
          <w:sz w:val="20"/>
          <w:szCs w:val="20"/>
        </w:rPr>
        <w:t xml:space="preserve">nº 34 e com o pronunciamento técnico emitido pelo CPC </w:t>
      </w:r>
      <w:r w:rsidRPr="0082179B">
        <w:rPr>
          <w:rFonts w:ascii="Arial" w:hAnsi="Arial" w:cs="Arial"/>
          <w:sz w:val="20"/>
          <w:szCs w:val="20"/>
        </w:rPr>
        <w:t>–</w:t>
      </w:r>
      <w:r w:rsidRPr="0082179B">
        <w:rPr>
          <w:rFonts w:ascii="Arial" w:hAnsi="Arial" w:cs="Arial"/>
          <w:color w:val="000000"/>
          <w:sz w:val="20"/>
          <w:szCs w:val="20"/>
        </w:rPr>
        <w:t xml:space="preserve"> Comitê de Pronunciamentos Contábeis nº 21 (R1), que tratam das </w:t>
      </w:r>
      <w:r>
        <w:rPr>
          <w:rFonts w:ascii="Arial" w:hAnsi="Arial" w:cs="Arial"/>
          <w:color w:val="000000"/>
          <w:sz w:val="20"/>
          <w:szCs w:val="20"/>
        </w:rPr>
        <w:t>informações contábeis</w:t>
      </w:r>
      <w:r w:rsidRPr="0082179B">
        <w:rPr>
          <w:rFonts w:ascii="Arial" w:hAnsi="Arial" w:cs="Arial"/>
          <w:color w:val="000000"/>
          <w:sz w:val="20"/>
          <w:szCs w:val="20"/>
        </w:rPr>
        <w:t xml:space="preserve"> intermediárias.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2179B">
        <w:rPr>
          <w:rFonts w:ascii="Arial" w:hAnsi="Arial" w:cs="Arial"/>
          <w:sz w:val="20"/>
          <w:szCs w:val="20"/>
        </w:rPr>
        <w:t>As comparações realizadas neste comunicado levam em consideração o</w:t>
      </w:r>
      <w:r>
        <w:rPr>
          <w:rFonts w:ascii="Arial" w:hAnsi="Arial" w:cs="Arial"/>
          <w:sz w:val="20"/>
          <w:szCs w:val="20"/>
        </w:rPr>
        <w:t xml:space="preserve"> quarto trimestre de 2024 (4T24) e o</w:t>
      </w:r>
      <w:r w:rsidRPr="008217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terceiro</w:t>
      </w:r>
      <w:r w:rsidRPr="0082179B">
        <w:rPr>
          <w:rFonts w:ascii="Arial" w:hAnsi="Arial" w:cs="Arial"/>
          <w:sz w:val="20"/>
          <w:szCs w:val="20"/>
        </w:rPr>
        <w:t xml:space="preserve"> trimestre de 20</w:t>
      </w:r>
      <w:r>
        <w:rPr>
          <w:rFonts w:ascii="Arial" w:hAnsi="Arial" w:cs="Arial"/>
          <w:sz w:val="20"/>
          <w:szCs w:val="20"/>
        </w:rPr>
        <w:t>25</w:t>
      </w:r>
      <w:r w:rsidRPr="0082179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3</w:t>
      </w:r>
      <w:r w:rsidRPr="0082179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25</w:t>
      </w:r>
      <w:r w:rsidRPr="0082179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e os doze meses de 2024 (2024)</w:t>
      </w:r>
      <w:r w:rsidRPr="0082179B">
        <w:rPr>
          <w:rFonts w:ascii="Arial" w:hAnsi="Arial" w:cs="Arial"/>
          <w:sz w:val="20"/>
          <w:szCs w:val="20"/>
        </w:rPr>
        <w:t>, exceto quando especificado em contrário.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AC925DD" w14:textId="6EAF1D90" w:rsidR="00362FDC" w:rsidRDefault="00057950" w:rsidP="00362FDC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DC67276" wp14:editId="07CCA6BB">
                <wp:simplePos x="0" y="0"/>
                <wp:positionH relativeFrom="column">
                  <wp:posOffset>-34925</wp:posOffset>
                </wp:positionH>
                <wp:positionV relativeFrom="paragraph">
                  <wp:posOffset>131445</wp:posOffset>
                </wp:positionV>
                <wp:extent cx="6829425" cy="0"/>
                <wp:effectExtent l="38100" t="38100" r="66675" b="95250"/>
                <wp:wrapNone/>
                <wp:docPr id="20" name="Conector re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8E1A5" id="Conector reto 20" o:spid="_x0000_s1026" style="position:absolute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.75pt,10.35pt" to="53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" strokecolor="blue" strokeweight="2pt">
                <v:shadow on="t" color="black" opacity="24903f" origin=",.5" offset="0,.55556mm"/>
              </v:line>
            </w:pict>
          </mc:Fallback>
        </mc:AlternateContent>
      </w:r>
    </w:p>
    <w:p w14:paraId="0807F29A" w14:textId="45231A27" w:rsidR="004F1B23" w:rsidRDefault="004F1B23" w:rsidP="00075664">
      <w:pPr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52DD917C" w14:textId="77777777" w:rsidR="006E6DE7" w:rsidRDefault="006E6DE7" w:rsidP="00075664">
      <w:pPr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67ADF8AA" w14:textId="77777777" w:rsidR="006E6DE7" w:rsidRPr="006E6DE7" w:rsidRDefault="006E6DE7" w:rsidP="006E6DE7">
      <w:pPr>
        <w:pStyle w:val="Ttulo2"/>
        <w:keepLines w:val="0"/>
        <w:spacing w:before="0" w:line="276" w:lineRule="auto"/>
        <w:jc w:val="both"/>
        <w:rPr>
          <w:rStyle w:val="RefernciaIntensa"/>
          <w:rFonts w:ascii="Arial" w:eastAsia="Times New Roman" w:hAnsi="Arial" w:cs="Arial"/>
          <w:color w:val="auto"/>
          <w:sz w:val="24"/>
          <w:szCs w:val="24"/>
        </w:rPr>
      </w:pPr>
      <w:r w:rsidRPr="006E6DE7">
        <w:rPr>
          <w:rStyle w:val="RefernciaIntensa"/>
          <w:rFonts w:ascii="Arial" w:eastAsia="Times New Roman" w:hAnsi="Arial" w:cs="Arial"/>
          <w:color w:val="auto"/>
          <w:sz w:val="24"/>
          <w:szCs w:val="24"/>
        </w:rPr>
        <w:t>Contrato de Gestão e Plano De Sustentabilidade Econômico-Financeira</w:t>
      </w:r>
    </w:p>
    <w:p w14:paraId="18298467" w14:textId="77777777" w:rsidR="006E6DE7" w:rsidRDefault="006E6DE7" w:rsidP="006E6DE7">
      <w:pPr>
        <w:pStyle w:val="PargrafodaLista"/>
        <w:ind w:left="0"/>
        <w:rPr>
          <w:rFonts w:ascii="Arial" w:hAnsi="Arial" w:cs="Arial"/>
          <w:sz w:val="22"/>
          <w:szCs w:val="22"/>
        </w:rPr>
      </w:pPr>
    </w:p>
    <w:p w14:paraId="0BC91373" w14:textId="2D666EAB" w:rsidR="006E6DE7" w:rsidRPr="008A30E7" w:rsidRDefault="006E6DE7" w:rsidP="006E6DE7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8A30E7">
        <w:rPr>
          <w:rFonts w:ascii="Arial" w:hAnsi="Arial" w:cs="Arial"/>
          <w:sz w:val="22"/>
          <w:szCs w:val="22"/>
        </w:rPr>
        <w:t xml:space="preserve">Em 05 de setembro de 2025, a Telecomunicações Brasileiras S.A. – Telebras celebrou Contrato de Gestão com seu órgão supervisor, o Ministério das Comunicações, em conformidade com a Portaria Conjunta MGI/MPO/MF nº 57, de 11 de agosto de 2025, que regulamenta o Decreto nº 12.500, de 11 de junho de 2025 e a Lei nº 13.303/2016. </w:t>
      </w:r>
    </w:p>
    <w:p w14:paraId="3BFBE6D0" w14:textId="6B80207B" w:rsidR="006E6DE7" w:rsidRPr="008A30E7" w:rsidRDefault="006E6DE7" w:rsidP="006E6DE7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8A30E7">
        <w:rPr>
          <w:rFonts w:ascii="Arial" w:hAnsi="Arial" w:cs="Arial"/>
          <w:sz w:val="22"/>
          <w:szCs w:val="22"/>
        </w:rPr>
        <w:t xml:space="preserve">O contrato tem como fundamento o art. 47 da Lei Complementar nº 101/2001, os </w:t>
      </w:r>
      <w:proofErr w:type="spellStart"/>
      <w:r w:rsidRPr="008A30E7">
        <w:rPr>
          <w:rFonts w:ascii="Arial" w:hAnsi="Arial" w:cs="Arial"/>
          <w:sz w:val="22"/>
          <w:szCs w:val="22"/>
        </w:rPr>
        <w:t>arts</w:t>
      </w:r>
      <w:proofErr w:type="spellEnd"/>
      <w:r w:rsidRPr="008A30E7">
        <w:rPr>
          <w:rFonts w:ascii="Arial" w:hAnsi="Arial" w:cs="Arial"/>
          <w:sz w:val="22"/>
          <w:szCs w:val="22"/>
        </w:rPr>
        <w:t xml:space="preserve">. 6º, §§ 2º a 4º, e 48, §§ 6º a 8º, da Lei nº 15.080/2024, bem como as normas e regulamentações específicas editadas pelo órgão central do Sistema de Coordenação da Governança e da Supervisão Ministerial das Empresas Estatais Federais – SISEST/MGI. </w:t>
      </w:r>
    </w:p>
    <w:p w14:paraId="49D290B4" w14:textId="77777777" w:rsidR="006E6DE7" w:rsidRPr="008A30E7" w:rsidRDefault="006E6DE7" w:rsidP="006E6DE7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8A30E7">
        <w:rPr>
          <w:rFonts w:ascii="Arial" w:hAnsi="Arial" w:cs="Arial"/>
          <w:sz w:val="22"/>
          <w:szCs w:val="22"/>
        </w:rPr>
        <w:t xml:space="preserve">O Contrato de Gestão, celebrado pelo prazo de cinco anos, tem por finalidade a implementação do Plano de Sustentabilidade Econômico-Financeira (PSEF) da Companhia com o objetivo de regular o processo de transição da Telebras para o regime de empresa estatal não dependente. Esse plano reúne o diagnóstico econômico-financeiro, o planejamento estratégico, as projeções de fluxo de caixa e de resultados, além de indicadores e metas de desempenho correspondentes ao período contratual. A validade e a eficácia do Contrato de Gestão ficam condicionadas à publicação de seu extrato pelo Ministério supervisor no Diário Oficial da União e em seu sítio eletrônico oficial. </w:t>
      </w:r>
    </w:p>
    <w:p w14:paraId="2E062CBF" w14:textId="7E1285AF" w:rsidR="006E6DE7" w:rsidRPr="008A30E7" w:rsidRDefault="006E6DE7" w:rsidP="006E6DE7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8A30E7">
        <w:rPr>
          <w:rFonts w:ascii="Arial" w:hAnsi="Arial" w:cs="Arial"/>
          <w:sz w:val="22"/>
          <w:szCs w:val="22"/>
        </w:rPr>
        <w:t xml:space="preserve">Com a vigência do Contrato de Gestão, a Telebras passou a dispor de autonomia orçamentária e financeira, conforme previsto no art. 6º e § 7º do art. 48 da Lei nº 15.080/2024, submetendo-se, a partir de então, ao regime orçamentário e financeiro aplicável às empresas estatais não dependentes. Assim, a Companhia deixou de integrar o Orçamento Fiscal e da Seguridade Social da União, passando a ter seu orçamento acompanhado no âmbito do Orçamento de Investimento (OI) e do Programa de Dispêndios Globais (PDG) das empresas estatais federais, sob supervisão da Secretaria de Coordenação e Governança das Empresas Estatais – SEST. </w:t>
      </w:r>
      <w:r w:rsidR="00302856">
        <w:rPr>
          <w:rFonts w:ascii="Arial" w:hAnsi="Arial" w:cs="Arial"/>
          <w:sz w:val="22"/>
          <w:szCs w:val="22"/>
        </w:rPr>
        <w:t>A</w:t>
      </w:r>
      <w:r w:rsidRPr="008A30E7">
        <w:rPr>
          <w:rFonts w:ascii="Arial" w:hAnsi="Arial" w:cs="Arial"/>
          <w:sz w:val="22"/>
          <w:szCs w:val="22"/>
        </w:rPr>
        <w:t xml:space="preserve"> Companhia permanece, até a efetiva conclusão do processo de transição, classificada como empresa estatal dependente. </w:t>
      </w:r>
    </w:p>
    <w:p w14:paraId="3DEF6FAE" w14:textId="77777777" w:rsidR="006E6DE7" w:rsidRPr="008A30E7" w:rsidRDefault="006E6DE7" w:rsidP="006E6DE7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8A30E7">
        <w:rPr>
          <w:rFonts w:ascii="Arial" w:hAnsi="Arial" w:cs="Arial"/>
          <w:sz w:val="22"/>
          <w:szCs w:val="22"/>
        </w:rPr>
        <w:t xml:space="preserve">Para a execução do Contrato de Gestão, serão disponibilizados à Telebras recursos orçamentários pela União, a título de subvenção econômica, destinados à cobertura do déficit de manutenção relativo à operação e manutenção dos ativos e instalações, especialmente os custos e despesas que são necessárias para assegurar a continuidade e a eficiência das atividades operacionais da Companhia, discriminados na unidade orçamentária nº 41.260 (Telebras) provenientes de dotações previstas na Lei Orçamentária Anual do respectivo exercício financeiro. </w:t>
      </w:r>
    </w:p>
    <w:p w14:paraId="259C4D50" w14:textId="77777777" w:rsidR="006E6DE7" w:rsidRPr="008A30E7" w:rsidRDefault="006E6DE7" w:rsidP="006E6DE7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8A30E7">
        <w:rPr>
          <w:rFonts w:ascii="Arial" w:hAnsi="Arial" w:cs="Arial"/>
          <w:sz w:val="22"/>
          <w:szCs w:val="22"/>
        </w:rPr>
        <w:lastRenderedPageBreak/>
        <w:t xml:space="preserve">O acompanhamento da execução do PSEF será realizado mediante monitoramento periódico, prestação de contas e elaboração de relatórios ao Ministério das Comunicações e ao Ministério da Gestão e da Inovação em Serviços Públicos, em conformidade com a legislação aplicável. A avaliação de desempenho será aferida com base em objetivos, indicadores e metas de desempenho pactuados no Contrato de Gestão, com foco na mensuração da eficiência, eficácia e efetividade da atuação empresarial. </w:t>
      </w:r>
    </w:p>
    <w:p w14:paraId="784ECD80" w14:textId="77777777" w:rsidR="006E6DE7" w:rsidRPr="00557AF1" w:rsidRDefault="006E6DE7" w:rsidP="006E6D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7AF1">
        <w:rPr>
          <w:rFonts w:ascii="Arial" w:hAnsi="Arial" w:cs="Arial"/>
          <w:sz w:val="22"/>
          <w:szCs w:val="22"/>
        </w:rPr>
        <w:t>A aprovação do Plano de Sustentabilidade Econômico-Financeira e a assinatura do Contrato de Gestão foram divulgadas como fato relevante, assegurando transparência aos acionistas, investidores e ao mercado em geral, por meio do site institucional da Companhia, em observância aos princípios da publicidade e da governança corporativa.</w:t>
      </w:r>
    </w:p>
    <w:p w14:paraId="7347E141" w14:textId="77777777" w:rsidR="006E6DE7" w:rsidRDefault="006E6DE7" w:rsidP="00075664">
      <w:pPr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4D5A7059" w14:textId="171BE07E" w:rsidR="00830744" w:rsidRDefault="00830744" w:rsidP="00830744">
      <w:pPr>
        <w:pStyle w:val="Ttulo2"/>
        <w:keepLines w:val="0"/>
        <w:spacing w:before="0" w:line="276" w:lineRule="auto"/>
        <w:jc w:val="both"/>
        <w:rPr>
          <w:rFonts w:ascii="Arial" w:hAnsi="Arial" w:cs="Arial"/>
        </w:rPr>
      </w:pPr>
      <w:r w:rsidRPr="00830744">
        <w:rPr>
          <w:rStyle w:val="RefernciaIntensa"/>
          <w:rFonts w:ascii="Arial" w:eastAsia="Times New Roman" w:hAnsi="Arial" w:cs="Arial"/>
          <w:color w:val="auto"/>
          <w:sz w:val="24"/>
          <w:szCs w:val="24"/>
        </w:rPr>
        <w:t>Homologação do</w:t>
      </w:r>
      <w:r w:rsidR="006E6DE7">
        <w:rPr>
          <w:rStyle w:val="RefernciaIntensa"/>
          <w:rFonts w:ascii="Arial" w:eastAsia="Times New Roman" w:hAnsi="Arial" w:cs="Arial"/>
          <w:color w:val="auto"/>
          <w:sz w:val="24"/>
          <w:szCs w:val="24"/>
        </w:rPr>
        <w:t>s</w:t>
      </w:r>
      <w:r w:rsidRPr="00830744">
        <w:rPr>
          <w:rStyle w:val="RefernciaIntensa"/>
          <w:rFonts w:ascii="Arial" w:eastAsia="Times New Roman" w:hAnsi="Arial" w:cs="Arial"/>
          <w:color w:val="auto"/>
          <w:sz w:val="24"/>
          <w:szCs w:val="24"/>
        </w:rPr>
        <w:t xml:space="preserve"> Aumento</w:t>
      </w:r>
      <w:r w:rsidR="006E6DE7">
        <w:rPr>
          <w:rStyle w:val="RefernciaIntensa"/>
          <w:rFonts w:ascii="Arial" w:eastAsia="Times New Roman" w:hAnsi="Arial" w:cs="Arial"/>
          <w:color w:val="auto"/>
          <w:sz w:val="24"/>
          <w:szCs w:val="24"/>
        </w:rPr>
        <w:t>s</w:t>
      </w:r>
      <w:r w:rsidRPr="00830744">
        <w:rPr>
          <w:rStyle w:val="RefernciaIntensa"/>
          <w:rFonts w:ascii="Arial" w:eastAsia="Times New Roman" w:hAnsi="Arial" w:cs="Arial"/>
          <w:color w:val="auto"/>
          <w:sz w:val="24"/>
          <w:szCs w:val="24"/>
        </w:rPr>
        <w:t xml:space="preserve"> de Capital</w:t>
      </w:r>
    </w:p>
    <w:p w14:paraId="2194D9BB" w14:textId="77777777" w:rsidR="00830744" w:rsidRDefault="00830744" w:rsidP="00830744">
      <w:pPr>
        <w:jc w:val="both"/>
        <w:rPr>
          <w:rFonts w:ascii="Arial" w:hAnsi="Arial" w:cs="Arial"/>
          <w:sz w:val="22"/>
          <w:szCs w:val="22"/>
        </w:rPr>
      </w:pPr>
    </w:p>
    <w:p w14:paraId="20DEDB33" w14:textId="1AC63765" w:rsidR="0019032F" w:rsidRPr="0019032F" w:rsidRDefault="0019032F" w:rsidP="0019032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32F">
        <w:rPr>
          <w:rFonts w:ascii="Arial" w:hAnsi="Arial" w:cs="Arial"/>
          <w:sz w:val="22"/>
          <w:szCs w:val="22"/>
        </w:rPr>
        <w:t>Durante o exercício de 2025, a Companhia realizou dois aumentos de capital social devidamente homologados em Assembleias Gerais Extraordinárias.</w:t>
      </w:r>
    </w:p>
    <w:p w14:paraId="7B2790AD" w14:textId="77777777" w:rsidR="0019032F" w:rsidRPr="0019032F" w:rsidRDefault="0019032F" w:rsidP="0019032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8C092C" w14:textId="77777777" w:rsidR="0019032F" w:rsidRPr="0019032F" w:rsidRDefault="0019032F" w:rsidP="0019032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32F">
        <w:rPr>
          <w:rFonts w:ascii="Arial" w:hAnsi="Arial" w:cs="Arial"/>
          <w:sz w:val="22"/>
          <w:szCs w:val="22"/>
        </w:rPr>
        <w:t>Em 8 de maio de 2025, a 118ª Assembleia Geral Extraordinária (AGE) homologou o aumento de capital previamente aprovado na 117ª AGE, no valor de R$ 112.256, mediante a emissão de 7.214.422 ações ordinárias, ao preço de emissão de R$ 15,56 por ação. Após essa operação, o capital social integralmente subscrito passou de R$ 3.474.498 para R$ 3.586.754, passando a ser representado por 93.597.512 ações, sendo 75.190.021 ações ordinárias e 18.407.491 ações preferenciais, todas nominativas, escriturais e sem valor nominal.</w:t>
      </w:r>
    </w:p>
    <w:p w14:paraId="1889F8FC" w14:textId="77777777" w:rsidR="0019032F" w:rsidRPr="0019032F" w:rsidRDefault="0019032F" w:rsidP="0019032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48A810" w14:textId="77777777" w:rsidR="0019032F" w:rsidRPr="0019032F" w:rsidRDefault="0019032F" w:rsidP="0019032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32F">
        <w:rPr>
          <w:rFonts w:ascii="Arial" w:hAnsi="Arial" w:cs="Arial"/>
          <w:sz w:val="22"/>
          <w:szCs w:val="22"/>
        </w:rPr>
        <w:t>Posteriormente, em 25 de setembro de 2025, a 120ª AGE homologou o segundo aumento de capital do exercício, no montante de R$ 132.781, decorrente da emissão de 8.385.891 ações ordinárias, ao preço de emissão de R$ 15,83388257 por ação. Com essa homologação, o capital social integralmente subscrito passou de R$ 3.586.754 para R$ 3.719.535, totalizando 101.983.403 ações, sendo 83.575.912 ações ordinárias e 18.407.491 ações preferenciais, todas nominativas, escriturais e sem valor nominal.</w:t>
      </w:r>
    </w:p>
    <w:p w14:paraId="53522DF2" w14:textId="77777777" w:rsidR="006E6DE7" w:rsidRDefault="006E6DE7" w:rsidP="0019032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35D9F9" w14:textId="77777777" w:rsidR="006E6DE7" w:rsidRDefault="006E6DE7" w:rsidP="00844338">
      <w:pPr>
        <w:jc w:val="both"/>
        <w:rPr>
          <w:rFonts w:ascii="Arial" w:hAnsi="Arial" w:cs="Arial"/>
          <w:sz w:val="22"/>
          <w:szCs w:val="22"/>
        </w:rPr>
      </w:pPr>
    </w:p>
    <w:p w14:paraId="33D2B849" w14:textId="77777777" w:rsidR="006E6DE7" w:rsidRDefault="006E6DE7" w:rsidP="00844338">
      <w:pPr>
        <w:jc w:val="both"/>
        <w:rPr>
          <w:rFonts w:ascii="Arial" w:hAnsi="Arial" w:cs="Arial"/>
          <w:sz w:val="22"/>
          <w:szCs w:val="22"/>
        </w:rPr>
      </w:pPr>
    </w:p>
    <w:p w14:paraId="0250B444" w14:textId="77777777" w:rsidR="006E6DE7" w:rsidRDefault="006E6DE7" w:rsidP="00844338">
      <w:pPr>
        <w:jc w:val="both"/>
        <w:rPr>
          <w:rFonts w:ascii="Arial" w:hAnsi="Arial" w:cs="Arial"/>
          <w:sz w:val="22"/>
          <w:szCs w:val="22"/>
        </w:rPr>
      </w:pPr>
    </w:p>
    <w:p w14:paraId="09C8C689" w14:textId="77777777" w:rsidR="006E6DE7" w:rsidRDefault="006E6DE7" w:rsidP="00844338">
      <w:pPr>
        <w:jc w:val="both"/>
        <w:rPr>
          <w:rFonts w:ascii="Arial" w:hAnsi="Arial" w:cs="Arial"/>
          <w:sz w:val="22"/>
          <w:szCs w:val="22"/>
        </w:rPr>
      </w:pPr>
    </w:p>
    <w:p w14:paraId="09C75006" w14:textId="77777777" w:rsidR="006E6DE7" w:rsidRDefault="006E6DE7" w:rsidP="00844338">
      <w:pPr>
        <w:jc w:val="both"/>
        <w:rPr>
          <w:rFonts w:ascii="Arial" w:hAnsi="Arial" w:cs="Arial"/>
          <w:sz w:val="22"/>
          <w:szCs w:val="22"/>
        </w:rPr>
      </w:pPr>
    </w:p>
    <w:p w14:paraId="79DE46BB" w14:textId="77777777" w:rsidR="006E6DE7" w:rsidRDefault="006E6DE7" w:rsidP="00844338">
      <w:pPr>
        <w:jc w:val="both"/>
        <w:rPr>
          <w:rFonts w:ascii="Arial" w:hAnsi="Arial" w:cs="Arial"/>
          <w:sz w:val="22"/>
          <w:szCs w:val="22"/>
        </w:rPr>
      </w:pPr>
    </w:p>
    <w:p w14:paraId="6A3C12A3" w14:textId="77777777" w:rsidR="00CD310A" w:rsidRDefault="00CD310A" w:rsidP="00844338">
      <w:pPr>
        <w:jc w:val="both"/>
        <w:rPr>
          <w:rFonts w:ascii="Arial" w:hAnsi="Arial" w:cs="Arial"/>
          <w:sz w:val="22"/>
          <w:szCs w:val="22"/>
        </w:rPr>
      </w:pPr>
    </w:p>
    <w:p w14:paraId="34ED65D7" w14:textId="77777777" w:rsidR="00CD310A" w:rsidRDefault="00CD310A" w:rsidP="00844338">
      <w:pPr>
        <w:jc w:val="both"/>
        <w:rPr>
          <w:rFonts w:ascii="Arial" w:hAnsi="Arial" w:cs="Arial"/>
          <w:sz w:val="22"/>
          <w:szCs w:val="22"/>
        </w:rPr>
      </w:pPr>
    </w:p>
    <w:p w14:paraId="554E2F24" w14:textId="77777777" w:rsidR="00CD310A" w:rsidRDefault="00CD310A" w:rsidP="00844338">
      <w:pPr>
        <w:jc w:val="both"/>
        <w:rPr>
          <w:rFonts w:ascii="Arial" w:hAnsi="Arial" w:cs="Arial"/>
          <w:sz w:val="22"/>
          <w:szCs w:val="22"/>
        </w:rPr>
      </w:pPr>
    </w:p>
    <w:p w14:paraId="6B3FA8D9" w14:textId="77777777" w:rsidR="00CD310A" w:rsidRDefault="00CD310A" w:rsidP="00844338">
      <w:pPr>
        <w:jc w:val="both"/>
        <w:rPr>
          <w:rFonts w:ascii="Arial" w:hAnsi="Arial" w:cs="Arial"/>
          <w:sz w:val="22"/>
          <w:szCs w:val="22"/>
        </w:rPr>
      </w:pPr>
    </w:p>
    <w:p w14:paraId="12A2F961" w14:textId="77777777" w:rsidR="006E6DE7" w:rsidRDefault="006E6DE7" w:rsidP="00844338">
      <w:pPr>
        <w:jc w:val="both"/>
        <w:rPr>
          <w:rFonts w:ascii="Arial" w:hAnsi="Arial" w:cs="Arial"/>
          <w:sz w:val="22"/>
          <w:szCs w:val="22"/>
        </w:rPr>
      </w:pPr>
    </w:p>
    <w:p w14:paraId="3B325A78" w14:textId="77777777" w:rsidR="006E6DE7" w:rsidRDefault="006E6DE7" w:rsidP="00844338">
      <w:pPr>
        <w:jc w:val="both"/>
        <w:rPr>
          <w:rFonts w:ascii="Arial" w:hAnsi="Arial" w:cs="Arial"/>
          <w:sz w:val="22"/>
          <w:szCs w:val="22"/>
        </w:rPr>
      </w:pPr>
    </w:p>
    <w:p w14:paraId="56AA1655" w14:textId="77777777" w:rsidR="006E6DE7" w:rsidRDefault="006E6DE7" w:rsidP="00844338">
      <w:pPr>
        <w:jc w:val="both"/>
        <w:rPr>
          <w:rFonts w:ascii="Arial" w:hAnsi="Arial" w:cs="Arial"/>
          <w:sz w:val="22"/>
          <w:szCs w:val="22"/>
        </w:rPr>
      </w:pPr>
    </w:p>
    <w:p w14:paraId="464D965A" w14:textId="77777777" w:rsidR="006E6DE7" w:rsidRDefault="006E6DE7" w:rsidP="00844338">
      <w:pPr>
        <w:jc w:val="both"/>
        <w:rPr>
          <w:rFonts w:ascii="Arial" w:hAnsi="Arial" w:cs="Arial"/>
          <w:sz w:val="22"/>
          <w:szCs w:val="22"/>
        </w:rPr>
      </w:pPr>
    </w:p>
    <w:p w14:paraId="43E55D7F" w14:textId="77777777" w:rsidR="006E6DE7" w:rsidRDefault="006E6DE7" w:rsidP="00844338">
      <w:pPr>
        <w:jc w:val="both"/>
        <w:rPr>
          <w:rFonts w:ascii="Arial" w:hAnsi="Arial" w:cs="Arial"/>
          <w:sz w:val="22"/>
          <w:szCs w:val="22"/>
        </w:rPr>
      </w:pPr>
    </w:p>
    <w:p w14:paraId="3B89CC5C" w14:textId="77777777" w:rsidR="006E6DE7" w:rsidRDefault="006E6DE7" w:rsidP="00844338">
      <w:pPr>
        <w:jc w:val="both"/>
        <w:rPr>
          <w:rFonts w:ascii="Arial" w:hAnsi="Arial" w:cs="Arial"/>
          <w:sz w:val="22"/>
          <w:szCs w:val="22"/>
        </w:rPr>
      </w:pPr>
    </w:p>
    <w:p w14:paraId="1686E1BB" w14:textId="77777777" w:rsidR="006E6DE7" w:rsidRDefault="006E6DE7" w:rsidP="00844338">
      <w:pPr>
        <w:jc w:val="both"/>
        <w:rPr>
          <w:rFonts w:ascii="Arial" w:hAnsi="Arial" w:cs="Arial"/>
          <w:sz w:val="22"/>
          <w:szCs w:val="22"/>
        </w:rPr>
      </w:pPr>
    </w:p>
    <w:p w14:paraId="176B5C88" w14:textId="18189FA4" w:rsidR="00CB31DE" w:rsidRDefault="00CB31DE" w:rsidP="00844338">
      <w:pPr>
        <w:jc w:val="both"/>
        <w:rPr>
          <w:rFonts w:ascii="Arial" w:hAnsi="Arial" w:cs="Arial"/>
          <w:sz w:val="22"/>
          <w:szCs w:val="22"/>
        </w:rPr>
      </w:pPr>
    </w:p>
    <w:p w14:paraId="411CD701" w14:textId="508B228E" w:rsidR="00782AC5" w:rsidRPr="001D5F28" w:rsidRDefault="00782AC5" w:rsidP="001432E6">
      <w:pPr>
        <w:jc w:val="both"/>
        <w:rPr>
          <w:rStyle w:val="RefernciaIntensa"/>
          <w:rFonts w:ascii="Arial" w:hAnsi="Arial" w:cs="Arial"/>
          <w:color w:val="auto"/>
          <w:sz w:val="28"/>
          <w:szCs w:val="28"/>
        </w:rPr>
      </w:pPr>
      <w:r w:rsidRPr="001D5F28">
        <w:rPr>
          <w:rStyle w:val="RefernciaIntensa"/>
          <w:rFonts w:ascii="Arial" w:hAnsi="Arial" w:cs="Arial"/>
          <w:color w:val="auto"/>
          <w:sz w:val="28"/>
          <w:szCs w:val="28"/>
        </w:rPr>
        <w:t>Desempenho Econômico-Financeiro</w:t>
      </w:r>
    </w:p>
    <w:p w14:paraId="51B85D64" w14:textId="77777777" w:rsidR="00FD46F4" w:rsidRDefault="00FD46F4" w:rsidP="00C145E7">
      <w:pPr>
        <w:rPr>
          <w:rStyle w:val="RefernciaIntensa"/>
          <w:rFonts w:ascii="Arial" w:hAnsi="Arial" w:cs="Arial"/>
          <w:color w:val="auto"/>
        </w:rPr>
      </w:pPr>
    </w:p>
    <w:p w14:paraId="1BDDBABF" w14:textId="7534AC98" w:rsidR="00D4612B" w:rsidRDefault="00C2561C" w:rsidP="00C145E7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 xml:space="preserve">Receita Operacional </w:t>
      </w:r>
      <w:r w:rsidR="00A60FBF" w:rsidRPr="00EF72EC">
        <w:rPr>
          <w:rStyle w:val="RefernciaIntensa"/>
          <w:rFonts w:ascii="Arial" w:hAnsi="Arial" w:cs="Arial"/>
          <w:color w:val="auto"/>
        </w:rPr>
        <w:t>Líquida</w:t>
      </w:r>
    </w:p>
    <w:p w14:paraId="434E499A" w14:textId="77777777" w:rsidR="00544B13" w:rsidRDefault="00544B13" w:rsidP="00C145E7">
      <w:pPr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5"/>
        <w:gridCol w:w="922"/>
        <w:gridCol w:w="923"/>
        <w:gridCol w:w="923"/>
        <w:gridCol w:w="172"/>
        <w:gridCol w:w="701"/>
        <w:gridCol w:w="789"/>
        <w:gridCol w:w="172"/>
        <w:gridCol w:w="917"/>
        <w:gridCol w:w="917"/>
        <w:gridCol w:w="172"/>
        <w:gridCol w:w="705"/>
      </w:tblGrid>
      <w:tr w:rsidR="00544B13" w14:paraId="428A9B52" w14:textId="77777777" w:rsidTr="00544B13">
        <w:trPr>
          <w:trHeight w:val="232"/>
        </w:trPr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9405" w14:textId="77777777" w:rsidR="00544B13" w:rsidRDefault="00544B13">
            <w:pPr>
              <w:rPr>
                <w:sz w:val="20"/>
                <w:szCs w:val="20"/>
              </w:rPr>
            </w:pPr>
          </w:p>
        </w:tc>
        <w:tc>
          <w:tcPr>
            <w:tcW w:w="2111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6454E4" w14:textId="77777777" w:rsidR="00544B13" w:rsidRDefault="00544B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76D6" w14:textId="77777777" w:rsidR="00544B13" w:rsidRDefault="00544B1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B892" w14:textId="77777777" w:rsidR="00544B13" w:rsidRDefault="00544B13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A828" w14:textId="77777777" w:rsidR="00544B13" w:rsidRDefault="00544B13">
            <w:pPr>
              <w:rPr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EEAF" w14:textId="77777777" w:rsidR="00544B13" w:rsidRDefault="00544B13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75A2" w14:textId="77777777" w:rsidR="00544B13" w:rsidRDefault="00544B13">
            <w:pPr>
              <w:rPr>
                <w:sz w:val="20"/>
                <w:szCs w:val="20"/>
              </w:rPr>
            </w:pPr>
          </w:p>
        </w:tc>
      </w:tr>
      <w:tr w:rsidR="00544B13" w14:paraId="4E3981B6" w14:textId="77777777" w:rsidTr="00544B13">
        <w:trPr>
          <w:trHeight w:val="107"/>
        </w:trPr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7FF7" w14:textId="77777777" w:rsidR="00544B13" w:rsidRDefault="00544B13">
            <w:pPr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0523" w14:textId="77777777" w:rsidR="00544B13" w:rsidRDefault="00544B13">
            <w:pPr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0AD2" w14:textId="77777777" w:rsidR="00544B13" w:rsidRDefault="00544B13">
            <w:pPr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04D7" w14:textId="77777777" w:rsidR="00544B13" w:rsidRDefault="00544B13">
            <w:pPr>
              <w:rPr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B6AD3" w14:textId="77777777" w:rsidR="00544B13" w:rsidRDefault="00544B13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D566" w14:textId="77777777" w:rsidR="00544B13" w:rsidRDefault="00544B13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A576" w14:textId="77777777" w:rsidR="00544B13" w:rsidRDefault="00544B13">
            <w:pPr>
              <w:rPr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8000" w14:textId="77777777" w:rsidR="00544B13" w:rsidRDefault="00544B13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5B90" w14:textId="77777777" w:rsidR="00544B13" w:rsidRDefault="00544B13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7BCE" w14:textId="77777777" w:rsidR="00544B13" w:rsidRDefault="00544B13">
            <w:pPr>
              <w:rPr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552B" w14:textId="77777777" w:rsidR="00544B13" w:rsidRDefault="00544B13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2976" w14:textId="77777777" w:rsidR="00544B13" w:rsidRDefault="00544B13">
            <w:pPr>
              <w:rPr>
                <w:sz w:val="20"/>
                <w:szCs w:val="20"/>
              </w:rPr>
            </w:pPr>
          </w:p>
        </w:tc>
      </w:tr>
      <w:tr w:rsidR="00544B13" w14:paraId="55C25951" w14:textId="77777777" w:rsidTr="00544B13">
        <w:trPr>
          <w:trHeight w:val="232"/>
        </w:trPr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3207E6" w14:textId="77777777" w:rsidR="00544B13" w:rsidRDefault="00544B13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R$ mil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D65C1CC" w14:textId="77777777" w:rsidR="00544B13" w:rsidRDefault="00544B1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4T25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3C86E47" w14:textId="77777777" w:rsidR="00544B13" w:rsidRDefault="00544B1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4T24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B3B51FE" w14:textId="77777777" w:rsidR="00544B13" w:rsidRDefault="00544B1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3T25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3996" w14:textId="77777777" w:rsidR="00544B13" w:rsidRDefault="00544B1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123F382A" w14:textId="77777777" w:rsidR="00544B13" w:rsidRDefault="00544B1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E5A62B9" w14:textId="77777777" w:rsidR="00544B13" w:rsidRDefault="00544B1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Trim.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A2748" w14:textId="77777777" w:rsidR="00544B13" w:rsidRDefault="00544B1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B11A0FE" w14:textId="77777777" w:rsidR="00544B13" w:rsidRDefault="00544B1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E59EDB7" w14:textId="77777777" w:rsidR="00544B13" w:rsidRDefault="00544B1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15D39" w14:textId="77777777" w:rsidR="00544B13" w:rsidRDefault="00544B1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E622215" w14:textId="77777777" w:rsidR="00544B13" w:rsidRDefault="00544B1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</w:tr>
      <w:tr w:rsidR="00544B13" w14:paraId="648E26A4" w14:textId="77777777" w:rsidTr="00544B13">
        <w:trPr>
          <w:trHeight w:val="232"/>
        </w:trPr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6287" w14:textId="77777777" w:rsidR="00544B13" w:rsidRDefault="00544B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Serviços de Comunicação Multimídia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375904F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146.109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E1A8A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114.886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F2ED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90.704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6349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DC4A8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27,2%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E3267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61,1%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7D4C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593AB51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432.484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330C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355.951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070F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2B107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21,5%</w:t>
            </w:r>
          </w:p>
        </w:tc>
      </w:tr>
      <w:tr w:rsidR="00544B13" w14:paraId="2A21460F" w14:textId="77777777" w:rsidTr="00544B13">
        <w:trPr>
          <w:trHeight w:val="232"/>
        </w:trPr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5E42" w14:textId="77777777" w:rsidR="00544B13" w:rsidRDefault="00544B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Locação de Capacidade Satelital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AC5ED68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9.120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8A0C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9.120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AAFA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9.120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10A4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81290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CCD85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0,0%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2B6D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6CFD2B4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36.480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48FD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36.481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3E6A7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47F38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0,0%</w:t>
            </w:r>
          </w:p>
        </w:tc>
      </w:tr>
      <w:tr w:rsidR="00544B13" w14:paraId="5552A7FC" w14:textId="77777777" w:rsidTr="00544B13">
        <w:trPr>
          <w:trHeight w:val="232"/>
        </w:trPr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8890" w14:textId="2E9330D3" w:rsidR="00544B13" w:rsidRDefault="00544B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Aluguéis e Locações - Outras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C48D15C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7.734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701D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6.831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037E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7.184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D562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EFDEC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13,2%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0212D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7,7%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780B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2DAF66B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28.382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3818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26.918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C6A8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22859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5,4%</w:t>
            </w:r>
          </w:p>
        </w:tc>
      </w:tr>
      <w:tr w:rsidR="00544B13" w14:paraId="09F7532C" w14:textId="77777777" w:rsidTr="00544B13">
        <w:trPr>
          <w:trHeight w:val="232"/>
        </w:trPr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5D97" w14:textId="77777777" w:rsidR="00544B13" w:rsidRDefault="00544B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Serviços de Valor Adicionado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F2A4B0A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8.732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88AA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5.226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A6EB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6.931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51F2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4A32F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67,1%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4F5A0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26,0%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D3C4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A4BDB7A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26.411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F7F8F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20.029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592F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31772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31,9%</w:t>
            </w:r>
          </w:p>
        </w:tc>
      </w:tr>
      <w:tr w:rsidR="00544B13" w14:paraId="72E3E594" w14:textId="77777777" w:rsidTr="00544B13">
        <w:trPr>
          <w:trHeight w:val="232"/>
        </w:trPr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81E5" w14:textId="77777777" w:rsidR="00544B13" w:rsidRDefault="00544B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Compartilhamento de Receita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90A0FE6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2.832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BF01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3.126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31AC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1.923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890C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881FA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-9,4%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F2DE2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47,3%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1DAE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A2F6950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10.421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F861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13.633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84AB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E6F62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-23,6%</w:t>
            </w:r>
          </w:p>
        </w:tc>
      </w:tr>
      <w:tr w:rsidR="00544B13" w14:paraId="2C9D2991" w14:textId="77777777" w:rsidTr="00544B13">
        <w:trPr>
          <w:trHeight w:val="232"/>
        </w:trPr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5CF2" w14:textId="77777777" w:rsidR="00544B13" w:rsidRDefault="00544B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Outras Receitas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F598541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1.744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0A8C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5.708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611F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1.131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A7F3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4C5E8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-69,4%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92AB3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54,2%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F190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06B07AA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6.730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E365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9.379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5CFA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4C102" w14:textId="77777777" w:rsidR="00544B13" w:rsidRDefault="00544B13" w:rsidP="00544B1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-28,2%</w:t>
            </w:r>
          </w:p>
        </w:tc>
      </w:tr>
      <w:tr w:rsidR="00544B13" w14:paraId="2251116B" w14:textId="77777777" w:rsidTr="00544B13">
        <w:trPr>
          <w:trHeight w:val="232"/>
        </w:trPr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50703A" w14:textId="77777777" w:rsidR="00544B13" w:rsidRDefault="00544B13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Receita Operacional Bruta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EE1EA9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176.271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1B1F13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144.897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83E209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116.993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4DB5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1F48FBD0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21,7%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DF112FC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50,7%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1EC5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134183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540.908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C4FF2E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462.391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5138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AFE8C16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17,0%</w:t>
            </w:r>
          </w:p>
        </w:tc>
      </w:tr>
      <w:tr w:rsidR="00544B13" w14:paraId="0393B8B3" w14:textId="77777777" w:rsidTr="00544B13">
        <w:trPr>
          <w:trHeight w:val="232"/>
        </w:trPr>
        <w:tc>
          <w:tcPr>
            <w:tcW w:w="1514" w:type="pct"/>
            <w:tcBorders>
              <w:top w:val="single" w:sz="8" w:space="0" w:color="F2CEEF"/>
              <w:left w:val="nil"/>
              <w:bottom w:val="single" w:sz="8" w:space="0" w:color="F2CEEF"/>
              <w:right w:val="nil"/>
            </w:tcBorders>
            <w:shd w:val="clear" w:color="000000" w:fill="0000FF"/>
            <w:noWrap/>
            <w:vAlign w:val="bottom"/>
            <w:hideMark/>
          </w:tcPr>
          <w:p w14:paraId="1B15FF27" w14:textId="77777777" w:rsidR="00544B13" w:rsidRDefault="00544B13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Deduções da Receita </w:t>
            </w:r>
          </w:p>
        </w:tc>
        <w:tc>
          <w:tcPr>
            <w:tcW w:w="440" w:type="pct"/>
            <w:tcBorders>
              <w:top w:val="single" w:sz="8" w:space="0" w:color="F2CEEF"/>
              <w:left w:val="nil"/>
              <w:bottom w:val="single" w:sz="8" w:space="0" w:color="F2CEEF"/>
              <w:right w:val="nil"/>
            </w:tcBorders>
            <w:shd w:val="clear" w:color="000000" w:fill="0000FF"/>
            <w:noWrap/>
            <w:vAlign w:val="bottom"/>
            <w:hideMark/>
          </w:tcPr>
          <w:p w14:paraId="35EA475F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(15.716)</w:t>
            </w:r>
          </w:p>
        </w:tc>
        <w:tc>
          <w:tcPr>
            <w:tcW w:w="440" w:type="pct"/>
            <w:tcBorders>
              <w:top w:val="single" w:sz="8" w:space="0" w:color="F2CEEF"/>
              <w:left w:val="nil"/>
              <w:bottom w:val="single" w:sz="8" w:space="0" w:color="F2CEEF"/>
              <w:right w:val="nil"/>
            </w:tcBorders>
            <w:shd w:val="clear" w:color="000000" w:fill="0000FF"/>
            <w:noWrap/>
            <w:vAlign w:val="bottom"/>
            <w:hideMark/>
          </w:tcPr>
          <w:p w14:paraId="77C0D6EF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(13.347)</w:t>
            </w:r>
          </w:p>
        </w:tc>
        <w:tc>
          <w:tcPr>
            <w:tcW w:w="440" w:type="pct"/>
            <w:tcBorders>
              <w:top w:val="single" w:sz="8" w:space="0" w:color="F2CEEF"/>
              <w:left w:val="nil"/>
              <w:bottom w:val="single" w:sz="8" w:space="0" w:color="F2CEEF"/>
              <w:right w:val="nil"/>
            </w:tcBorders>
            <w:shd w:val="clear" w:color="000000" w:fill="0000FF"/>
            <w:noWrap/>
            <w:vAlign w:val="bottom"/>
            <w:hideMark/>
          </w:tcPr>
          <w:p w14:paraId="3C027D58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(10.853)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6FD0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8" w:space="0" w:color="F2CEEF"/>
              <w:left w:val="nil"/>
              <w:bottom w:val="single" w:sz="8" w:space="0" w:color="F2CEEF"/>
              <w:right w:val="nil"/>
            </w:tcBorders>
            <w:shd w:val="clear" w:color="000000" w:fill="0000FF"/>
            <w:vAlign w:val="center"/>
            <w:hideMark/>
          </w:tcPr>
          <w:p w14:paraId="07C1460C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17,8%</w:t>
            </w:r>
          </w:p>
        </w:tc>
        <w:tc>
          <w:tcPr>
            <w:tcW w:w="376" w:type="pct"/>
            <w:tcBorders>
              <w:top w:val="single" w:sz="8" w:space="0" w:color="F2CEEF"/>
              <w:left w:val="nil"/>
              <w:bottom w:val="single" w:sz="8" w:space="0" w:color="F2CEEF"/>
              <w:right w:val="nil"/>
            </w:tcBorders>
            <w:shd w:val="clear" w:color="000000" w:fill="0000FF"/>
            <w:vAlign w:val="center"/>
            <w:hideMark/>
          </w:tcPr>
          <w:p w14:paraId="1CA8F8C7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44,8%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A989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8" w:space="0" w:color="F2CEEF"/>
              <w:left w:val="nil"/>
              <w:bottom w:val="single" w:sz="8" w:space="0" w:color="F2CEEF"/>
              <w:right w:val="nil"/>
            </w:tcBorders>
            <w:shd w:val="clear" w:color="000000" w:fill="0000FF"/>
            <w:noWrap/>
            <w:vAlign w:val="bottom"/>
            <w:hideMark/>
          </w:tcPr>
          <w:p w14:paraId="12E0ABF0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(49.899)</w:t>
            </w:r>
          </w:p>
        </w:tc>
        <w:tc>
          <w:tcPr>
            <w:tcW w:w="437" w:type="pct"/>
            <w:tcBorders>
              <w:top w:val="single" w:sz="8" w:space="0" w:color="F2CEEF"/>
              <w:left w:val="nil"/>
              <w:bottom w:val="single" w:sz="8" w:space="0" w:color="F2CEEF"/>
              <w:right w:val="nil"/>
            </w:tcBorders>
            <w:shd w:val="clear" w:color="000000" w:fill="0000FF"/>
            <w:noWrap/>
            <w:vAlign w:val="bottom"/>
            <w:hideMark/>
          </w:tcPr>
          <w:p w14:paraId="5030CE62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(48.076)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6847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8" w:space="0" w:color="F2CEEF"/>
              <w:left w:val="nil"/>
              <w:bottom w:val="single" w:sz="8" w:space="0" w:color="F2CEEF"/>
              <w:right w:val="nil"/>
            </w:tcBorders>
            <w:shd w:val="clear" w:color="000000" w:fill="0000FF"/>
            <w:vAlign w:val="center"/>
            <w:hideMark/>
          </w:tcPr>
          <w:p w14:paraId="3C2F7476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3,8%</w:t>
            </w:r>
          </w:p>
        </w:tc>
      </w:tr>
      <w:tr w:rsidR="00544B13" w14:paraId="04E3F871" w14:textId="77777777" w:rsidTr="00544B13">
        <w:trPr>
          <w:trHeight w:val="232"/>
        </w:trPr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52158BC" w14:textId="77777777" w:rsidR="00544B13" w:rsidRDefault="00544B13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Receita Operacional Líquida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55F67D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160.555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DE2394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131.550 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07BC83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106.140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959A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64930EA2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22,0%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8A546F2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51,3%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B9E8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ABED32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491.009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FB77100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414.315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0508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F2CEEF"/>
              <w:right w:val="nil"/>
            </w:tcBorders>
            <w:shd w:val="clear" w:color="000000" w:fill="0000FF"/>
            <w:vAlign w:val="center"/>
            <w:hideMark/>
          </w:tcPr>
          <w:p w14:paraId="500903CF" w14:textId="77777777" w:rsidR="00544B13" w:rsidRDefault="00544B13" w:rsidP="00544B1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18,5%</w:t>
            </w:r>
          </w:p>
        </w:tc>
      </w:tr>
    </w:tbl>
    <w:p w14:paraId="6AA9529F" w14:textId="77777777" w:rsidR="00544B13" w:rsidRDefault="00544B13" w:rsidP="00C145E7">
      <w:pPr>
        <w:rPr>
          <w:rStyle w:val="RefernciaIntensa"/>
          <w:rFonts w:ascii="Arial" w:hAnsi="Arial" w:cs="Arial"/>
          <w:color w:val="auto"/>
        </w:rPr>
      </w:pPr>
    </w:p>
    <w:p w14:paraId="563D0038" w14:textId="1B409BBA" w:rsidR="003B15EF" w:rsidRPr="00C76B7C" w:rsidRDefault="003B15EF" w:rsidP="003B15EF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C76B7C">
        <w:rPr>
          <w:rFonts w:ascii="Arial" w:hAnsi="Arial" w:cs="Arial"/>
          <w:sz w:val="22"/>
          <w:szCs w:val="22"/>
        </w:rPr>
        <w:t>No 4T25, a Receita Operacional Líquida alcançou R$ 160,6 milhões, representando um aumento de 22,0%, ou R$ 29,0 milhões, em relação ao 4T24, quando totalizou R$ 131,6 milhões. Na comparação com o 3T25, o crescimento foi de 51,3%.</w:t>
      </w:r>
    </w:p>
    <w:p w14:paraId="7D3E41DA" w14:textId="77777777" w:rsidR="003B15EF" w:rsidRPr="00C76B7C" w:rsidRDefault="003B15EF" w:rsidP="003B15EF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C76B7C">
        <w:rPr>
          <w:rFonts w:ascii="Arial" w:hAnsi="Arial" w:cs="Arial"/>
          <w:sz w:val="22"/>
          <w:szCs w:val="22"/>
        </w:rPr>
        <w:t>A evolução trimestral reflete, principalmente, o reconhecimento dos reajustes de preços dos contratos vigentes no período, o registro da receita referente ao serviço de instalação de equipamentos de meios de conexão no contrato de swap firmado com a operadora TIM, além do ingresso de novos clientes.</w:t>
      </w:r>
    </w:p>
    <w:p w14:paraId="58713C68" w14:textId="77777777" w:rsidR="003B15EF" w:rsidRPr="00C76B7C" w:rsidRDefault="003B15EF" w:rsidP="003B15EF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C76B7C">
        <w:rPr>
          <w:rFonts w:ascii="Arial" w:hAnsi="Arial" w:cs="Arial"/>
          <w:sz w:val="22"/>
          <w:szCs w:val="22"/>
        </w:rPr>
        <w:t>No acumulado de 2025, a receita somou R$ 491,0 milhões, ante R$ 414,3 milhões registrados em 2024, o que representa um crescimento de 18,5% na comparação anual. Esse desempenho foi impulsionado, sobretudo, pelos reajustes aplicados aos contratos e pelo início da prestação de serviços a novos clientes.</w:t>
      </w:r>
    </w:p>
    <w:p w14:paraId="7C5D9FB8" w14:textId="77777777" w:rsidR="00601C85" w:rsidRPr="00601C85" w:rsidRDefault="00601C85" w:rsidP="00601C85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601C85">
        <w:rPr>
          <w:rFonts w:ascii="Arial" w:hAnsi="Arial" w:cs="Arial"/>
          <w:sz w:val="22"/>
          <w:szCs w:val="22"/>
        </w:rPr>
        <w:t>O comportamento da receita bruta por serviço no exercício de 2025, em comparação ao exercício de 2024, foi o seguinte:</w:t>
      </w:r>
    </w:p>
    <w:p w14:paraId="4CD604F4" w14:textId="77777777" w:rsidR="0042065E" w:rsidRDefault="00C11328" w:rsidP="0042065E">
      <w:pPr>
        <w:spacing w:before="240" w:line="276" w:lineRule="auto"/>
        <w:jc w:val="both"/>
        <w:rPr>
          <w:rFonts w:ascii="Arial" w:hAnsi="Arial" w:cs="Arial"/>
          <w:spacing w:val="5"/>
          <w:sz w:val="22"/>
          <w:szCs w:val="22"/>
        </w:rPr>
      </w:pPr>
      <w:r w:rsidRPr="00BB21AC">
        <w:rPr>
          <w:rStyle w:val="RefernciaIntensa"/>
          <w:rFonts w:ascii="Arial" w:hAnsi="Arial" w:cs="Arial"/>
          <w:bCs w:val="0"/>
          <w:smallCaps w:val="0"/>
          <w:color w:val="auto"/>
          <w:sz w:val="22"/>
          <w:szCs w:val="22"/>
          <w:u w:val="none"/>
        </w:rPr>
        <w:t>Serviço de Comunicação Multimídia (SCM):</w:t>
      </w:r>
      <w:r w:rsidRPr="00BB21AC"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  <w:t xml:space="preserve"> </w:t>
      </w:r>
      <w:r w:rsidR="0042065E" w:rsidRPr="0014004E">
        <w:rPr>
          <w:rFonts w:ascii="Arial" w:hAnsi="Arial" w:cs="Arial"/>
          <w:spacing w:val="5"/>
          <w:sz w:val="22"/>
          <w:szCs w:val="22"/>
        </w:rPr>
        <w:t>A receita de SCM em 2025 totalizou R$ 432</w:t>
      </w:r>
      <w:r w:rsidR="0042065E">
        <w:rPr>
          <w:rFonts w:ascii="Arial" w:hAnsi="Arial" w:cs="Arial"/>
          <w:spacing w:val="5"/>
          <w:sz w:val="22"/>
          <w:szCs w:val="22"/>
        </w:rPr>
        <w:t>,5 milhões</w:t>
      </w:r>
      <w:r w:rsidR="0042065E" w:rsidRPr="0014004E">
        <w:rPr>
          <w:rFonts w:ascii="Arial" w:hAnsi="Arial" w:cs="Arial"/>
          <w:spacing w:val="5"/>
          <w:sz w:val="22"/>
          <w:szCs w:val="22"/>
        </w:rPr>
        <w:t xml:space="preserve">, ante R$ </w:t>
      </w:r>
      <w:r w:rsidR="0042065E">
        <w:rPr>
          <w:rFonts w:ascii="Arial" w:hAnsi="Arial" w:cs="Arial"/>
          <w:spacing w:val="5"/>
          <w:sz w:val="22"/>
          <w:szCs w:val="22"/>
        </w:rPr>
        <w:t>356,0 milhões</w:t>
      </w:r>
      <w:r w:rsidR="0042065E" w:rsidRPr="0014004E">
        <w:rPr>
          <w:rFonts w:ascii="Arial" w:hAnsi="Arial" w:cs="Arial"/>
          <w:spacing w:val="5"/>
          <w:sz w:val="22"/>
          <w:szCs w:val="22"/>
        </w:rPr>
        <w:t xml:space="preserve"> registrados em 2024, representando um crescimento de 21,5% em relação ao mesmo período do ano anterior. </w:t>
      </w:r>
      <w:r w:rsidR="0042065E" w:rsidRPr="00F60A42">
        <w:rPr>
          <w:rFonts w:ascii="Arial" w:hAnsi="Arial" w:cs="Arial"/>
          <w:spacing w:val="5"/>
          <w:sz w:val="22"/>
          <w:szCs w:val="22"/>
        </w:rPr>
        <w:t xml:space="preserve">Esse aumento decorre principalmente de: </w:t>
      </w:r>
      <w:r w:rsidR="0042065E" w:rsidRPr="005E7EB7">
        <w:rPr>
          <w:rFonts w:ascii="Arial" w:hAnsi="Arial" w:cs="Arial"/>
          <w:spacing w:val="5"/>
          <w:sz w:val="22"/>
          <w:szCs w:val="22"/>
        </w:rPr>
        <w:t>(i) início da prestação de serviços a novos clientes; e (</w:t>
      </w:r>
      <w:proofErr w:type="spellStart"/>
      <w:r w:rsidR="0042065E" w:rsidRPr="005E7EB7">
        <w:rPr>
          <w:rFonts w:ascii="Arial" w:hAnsi="Arial" w:cs="Arial"/>
          <w:spacing w:val="5"/>
          <w:sz w:val="22"/>
          <w:szCs w:val="22"/>
        </w:rPr>
        <w:t>ii</w:t>
      </w:r>
      <w:proofErr w:type="spellEnd"/>
      <w:r w:rsidR="0042065E" w:rsidRPr="005E7EB7">
        <w:rPr>
          <w:rFonts w:ascii="Arial" w:hAnsi="Arial" w:cs="Arial"/>
          <w:spacing w:val="5"/>
          <w:sz w:val="22"/>
          <w:szCs w:val="22"/>
        </w:rPr>
        <w:t>) reajustes anuais nos preços dos contratos, especialmente no âmbito do programa GESAC.</w:t>
      </w:r>
    </w:p>
    <w:p w14:paraId="4988DB42" w14:textId="77777777" w:rsidR="0042065E" w:rsidRPr="00301174" w:rsidRDefault="0042065E" w:rsidP="0042065E">
      <w:pPr>
        <w:spacing w:before="240" w:line="276" w:lineRule="auto"/>
        <w:jc w:val="both"/>
        <w:rPr>
          <w:rFonts w:ascii="Arial" w:hAnsi="Arial" w:cs="Arial"/>
          <w:spacing w:val="5"/>
          <w:sz w:val="22"/>
          <w:szCs w:val="22"/>
        </w:rPr>
      </w:pPr>
      <w:r w:rsidRPr="00301174">
        <w:rPr>
          <w:rFonts w:ascii="Arial" w:hAnsi="Arial" w:cs="Arial"/>
          <w:spacing w:val="5"/>
          <w:sz w:val="22"/>
          <w:szCs w:val="22"/>
        </w:rPr>
        <w:t>No quarto trimestre de 2025, a Telebras celebrou um contrato de operações de swap com a operadora TIM e, em consequência desse acordo, reconheceu em seu resultado receita de serviço de instalação no montante de R$ 12</w:t>
      </w:r>
      <w:r>
        <w:rPr>
          <w:rFonts w:ascii="Arial" w:hAnsi="Arial" w:cs="Arial"/>
          <w:spacing w:val="5"/>
          <w:sz w:val="22"/>
          <w:szCs w:val="22"/>
        </w:rPr>
        <w:t>,8 milhões</w:t>
      </w:r>
      <w:r w:rsidRPr="00301174">
        <w:rPr>
          <w:rFonts w:ascii="Arial" w:hAnsi="Arial" w:cs="Arial"/>
          <w:spacing w:val="5"/>
          <w:sz w:val="22"/>
          <w:szCs w:val="22"/>
        </w:rPr>
        <w:t>.</w:t>
      </w:r>
    </w:p>
    <w:p w14:paraId="57C203C3" w14:textId="77777777" w:rsidR="00C76B7C" w:rsidRDefault="00C76B7C" w:rsidP="00334343">
      <w:pPr>
        <w:jc w:val="both"/>
        <w:rPr>
          <w:rFonts w:ascii="Arial" w:hAnsi="Arial" w:cs="Arial"/>
        </w:rPr>
      </w:pPr>
    </w:p>
    <w:p w14:paraId="5AB0857E" w14:textId="77777777" w:rsidR="0042065E" w:rsidRPr="0042065E" w:rsidRDefault="00C11328" w:rsidP="0042065E">
      <w:pPr>
        <w:jc w:val="both"/>
        <w:rPr>
          <w:rFonts w:ascii="Arial" w:hAnsi="Arial" w:cs="Arial"/>
          <w:sz w:val="22"/>
          <w:szCs w:val="22"/>
        </w:rPr>
      </w:pPr>
      <w:r w:rsidRPr="00BB21AC">
        <w:rPr>
          <w:rFonts w:ascii="Arial" w:hAnsi="Arial" w:cs="Arial"/>
          <w:b/>
          <w:bCs/>
          <w:sz w:val="22"/>
          <w:szCs w:val="22"/>
        </w:rPr>
        <w:t>Locação de Capacidade Satelital:</w:t>
      </w:r>
      <w:r w:rsidRPr="00BB21AC">
        <w:rPr>
          <w:rFonts w:ascii="Arial" w:hAnsi="Arial" w:cs="Arial"/>
          <w:sz w:val="22"/>
          <w:szCs w:val="22"/>
        </w:rPr>
        <w:t xml:space="preserve"> </w:t>
      </w:r>
      <w:r w:rsidR="0042065E" w:rsidRPr="0042065E">
        <w:rPr>
          <w:rFonts w:ascii="Arial" w:hAnsi="Arial" w:cs="Arial"/>
          <w:sz w:val="22"/>
          <w:szCs w:val="22"/>
        </w:rPr>
        <w:t>Esse produto permaneceu estável na comparação entre os exercícios de 2025 e 2024, registrando receita de R$ 36,5 milhões. Esse valor corresponde ao reconhecimento da receita pela cessão de capacidade satelital ao Ministério da Defesa.</w:t>
      </w:r>
    </w:p>
    <w:p w14:paraId="66FC6990" w14:textId="40FE25A4" w:rsidR="00C11328" w:rsidRPr="00BB21AC" w:rsidRDefault="00C11328" w:rsidP="00334343">
      <w:pPr>
        <w:jc w:val="both"/>
        <w:rPr>
          <w:rFonts w:ascii="Arial" w:hAnsi="Arial" w:cs="Arial"/>
          <w:sz w:val="22"/>
          <w:szCs w:val="22"/>
        </w:rPr>
      </w:pPr>
    </w:p>
    <w:p w14:paraId="6E7661BB" w14:textId="77777777" w:rsidR="00615619" w:rsidRPr="00615619" w:rsidRDefault="00F204D4" w:rsidP="00615619">
      <w:pPr>
        <w:jc w:val="both"/>
        <w:rPr>
          <w:rFonts w:ascii="Arial" w:hAnsi="Arial" w:cs="Arial"/>
          <w:sz w:val="22"/>
          <w:szCs w:val="22"/>
        </w:rPr>
      </w:pPr>
      <w:r w:rsidRPr="00BB21AC">
        <w:rPr>
          <w:rFonts w:ascii="Arial" w:hAnsi="Arial" w:cs="Arial"/>
          <w:b/>
          <w:bCs/>
          <w:sz w:val="22"/>
          <w:szCs w:val="22"/>
        </w:rPr>
        <w:t>Alugu</w:t>
      </w:r>
      <w:r w:rsidR="00F73C76" w:rsidRPr="00BB21AC">
        <w:rPr>
          <w:rFonts w:ascii="Arial" w:hAnsi="Arial" w:cs="Arial"/>
          <w:b/>
          <w:bCs/>
          <w:sz w:val="22"/>
          <w:szCs w:val="22"/>
        </w:rPr>
        <w:t>é</w:t>
      </w:r>
      <w:r w:rsidRPr="00BB21AC">
        <w:rPr>
          <w:rFonts w:ascii="Arial" w:hAnsi="Arial" w:cs="Arial"/>
          <w:b/>
          <w:bCs/>
          <w:sz w:val="22"/>
          <w:szCs w:val="22"/>
        </w:rPr>
        <w:t>is e Locações – Outras:</w:t>
      </w:r>
      <w:r w:rsidRPr="00BB21AC">
        <w:rPr>
          <w:rFonts w:ascii="Arial" w:hAnsi="Arial" w:cs="Arial"/>
          <w:sz w:val="22"/>
          <w:szCs w:val="22"/>
        </w:rPr>
        <w:t xml:space="preserve"> </w:t>
      </w:r>
      <w:r w:rsidR="001A3B29" w:rsidRPr="00BB21AC">
        <w:rPr>
          <w:rFonts w:ascii="Arial" w:hAnsi="Arial" w:cs="Arial"/>
          <w:sz w:val="22"/>
          <w:szCs w:val="22"/>
        </w:rPr>
        <w:t xml:space="preserve"> </w:t>
      </w:r>
      <w:r w:rsidR="00615619" w:rsidRPr="00615619">
        <w:rPr>
          <w:rFonts w:ascii="Arial" w:hAnsi="Arial" w:cs="Arial"/>
          <w:sz w:val="22"/>
          <w:szCs w:val="22"/>
        </w:rPr>
        <w:t>A rubrica compreende o aluguel de cabos ópticos, a locação de roteadores e o aluguel de infraestrutura do segmento satelital, decorrente do contrato de parceria com a Viasat. Em 2025, a receita reconhecida nessa rubrica totalizou R$ 28,4 milhões, ante R$ 26,9 milhões registrados em 2024, o que representa um aumento de 5,4%.</w:t>
      </w:r>
    </w:p>
    <w:p w14:paraId="692354D3" w14:textId="4E902DDB" w:rsidR="00615619" w:rsidRPr="00615619" w:rsidRDefault="00615619" w:rsidP="00615619">
      <w:pPr>
        <w:jc w:val="both"/>
        <w:rPr>
          <w:rFonts w:ascii="Arial" w:hAnsi="Arial" w:cs="Arial"/>
          <w:sz w:val="22"/>
          <w:szCs w:val="22"/>
        </w:rPr>
      </w:pPr>
    </w:p>
    <w:p w14:paraId="097575BC" w14:textId="77777777" w:rsidR="00615619" w:rsidRPr="00615619" w:rsidRDefault="001C13BC" w:rsidP="00615619">
      <w:pPr>
        <w:jc w:val="both"/>
        <w:rPr>
          <w:rFonts w:ascii="Arial" w:hAnsi="Arial" w:cs="Arial"/>
          <w:sz w:val="22"/>
          <w:szCs w:val="22"/>
        </w:rPr>
      </w:pPr>
      <w:r w:rsidRPr="00BB21AC">
        <w:rPr>
          <w:rFonts w:ascii="Arial" w:hAnsi="Arial" w:cs="Arial"/>
          <w:b/>
          <w:bCs/>
          <w:sz w:val="22"/>
          <w:szCs w:val="22"/>
        </w:rPr>
        <w:t>Compartilhamento de Receita</w:t>
      </w:r>
      <w:r w:rsidR="00E632CD">
        <w:rPr>
          <w:rFonts w:ascii="Arial" w:hAnsi="Arial" w:cs="Arial"/>
          <w:b/>
          <w:bCs/>
          <w:sz w:val="22"/>
          <w:szCs w:val="22"/>
        </w:rPr>
        <w:t>s</w:t>
      </w:r>
      <w:r w:rsidRPr="00BB21AC">
        <w:rPr>
          <w:rFonts w:ascii="Arial" w:hAnsi="Arial" w:cs="Arial"/>
          <w:b/>
          <w:bCs/>
          <w:sz w:val="22"/>
          <w:szCs w:val="22"/>
        </w:rPr>
        <w:t>:</w:t>
      </w:r>
      <w:r w:rsidRPr="00BB21AC">
        <w:rPr>
          <w:rFonts w:ascii="Arial" w:hAnsi="Arial" w:cs="Arial"/>
          <w:sz w:val="22"/>
          <w:szCs w:val="22"/>
        </w:rPr>
        <w:t xml:space="preserve"> </w:t>
      </w:r>
      <w:r w:rsidR="00615619" w:rsidRPr="00615619">
        <w:rPr>
          <w:rFonts w:ascii="Arial" w:hAnsi="Arial" w:cs="Arial"/>
          <w:sz w:val="22"/>
          <w:szCs w:val="22"/>
        </w:rPr>
        <w:t>No acumulado de 2025, a Telebras reconheceu o montante de R$ 10,4 milhões, ante R$ 13,6 milhões registrados em 2024, o que representa uma redução de 23,6%. Essa diminuição é explicada pelo menor volume de recursos recebidos da Viasat ao longo do período.</w:t>
      </w:r>
    </w:p>
    <w:p w14:paraId="22433019" w14:textId="2683A26B" w:rsidR="003B3C9C" w:rsidRDefault="003B3C9C" w:rsidP="003278EC">
      <w:pPr>
        <w:jc w:val="both"/>
        <w:rPr>
          <w:rFonts w:ascii="Arial" w:hAnsi="Arial" w:cs="Arial"/>
          <w:sz w:val="22"/>
          <w:szCs w:val="22"/>
        </w:rPr>
      </w:pPr>
    </w:p>
    <w:p w14:paraId="5A87848E" w14:textId="4F971221" w:rsidR="00615619" w:rsidRPr="00615619" w:rsidRDefault="003B3C9C" w:rsidP="00615619">
      <w:pPr>
        <w:jc w:val="both"/>
        <w:rPr>
          <w:rFonts w:ascii="Arial" w:hAnsi="Arial" w:cs="Arial"/>
          <w:sz w:val="22"/>
          <w:szCs w:val="22"/>
        </w:rPr>
      </w:pPr>
      <w:r w:rsidRPr="00CA00E0">
        <w:rPr>
          <w:rFonts w:ascii="Arial" w:hAnsi="Arial" w:cs="Arial"/>
          <w:b/>
          <w:sz w:val="22"/>
          <w:szCs w:val="22"/>
        </w:rPr>
        <w:t>Serviço de Valor Adicionado:</w:t>
      </w:r>
      <w:r w:rsidR="00661D96">
        <w:rPr>
          <w:rFonts w:ascii="Arial" w:hAnsi="Arial" w:cs="Arial"/>
          <w:b/>
          <w:sz w:val="22"/>
          <w:szCs w:val="22"/>
        </w:rPr>
        <w:t xml:space="preserve"> </w:t>
      </w:r>
      <w:r w:rsidR="00615619" w:rsidRPr="00615619">
        <w:rPr>
          <w:rFonts w:ascii="Arial" w:hAnsi="Arial" w:cs="Arial"/>
          <w:sz w:val="22"/>
          <w:szCs w:val="22"/>
        </w:rPr>
        <w:t>Em 2025, a receita de SVA totalizou R$ 26</w:t>
      </w:r>
      <w:r w:rsidR="00615619">
        <w:rPr>
          <w:rFonts w:ascii="Arial" w:hAnsi="Arial" w:cs="Arial"/>
          <w:sz w:val="22"/>
          <w:szCs w:val="22"/>
        </w:rPr>
        <w:t>,4 milhões</w:t>
      </w:r>
      <w:r w:rsidR="00615619" w:rsidRPr="00615619">
        <w:rPr>
          <w:rFonts w:ascii="Arial" w:hAnsi="Arial" w:cs="Arial"/>
          <w:sz w:val="22"/>
          <w:szCs w:val="22"/>
        </w:rPr>
        <w:t>, ante R$ 20</w:t>
      </w:r>
      <w:r w:rsidR="00615619">
        <w:rPr>
          <w:rFonts w:ascii="Arial" w:hAnsi="Arial" w:cs="Arial"/>
          <w:sz w:val="22"/>
          <w:szCs w:val="22"/>
        </w:rPr>
        <w:t>,0</w:t>
      </w:r>
      <w:r w:rsidR="00615619" w:rsidRPr="00615619">
        <w:rPr>
          <w:rFonts w:ascii="Arial" w:hAnsi="Arial" w:cs="Arial"/>
          <w:sz w:val="22"/>
          <w:szCs w:val="22"/>
        </w:rPr>
        <w:t xml:space="preserve"> </w:t>
      </w:r>
      <w:r w:rsidR="008B7514">
        <w:rPr>
          <w:rFonts w:ascii="Arial" w:hAnsi="Arial" w:cs="Arial"/>
          <w:sz w:val="22"/>
          <w:szCs w:val="22"/>
        </w:rPr>
        <w:t>milhões</w:t>
      </w:r>
      <w:r w:rsidR="00615619" w:rsidRPr="00615619">
        <w:rPr>
          <w:rFonts w:ascii="Arial" w:hAnsi="Arial" w:cs="Arial"/>
          <w:sz w:val="22"/>
          <w:szCs w:val="22"/>
        </w:rPr>
        <w:t xml:space="preserve"> em 2024, o que representa um crescimento de 31,9% na comparação anual. Esse aumento decorre da expansão do portfólio de serviços de valor adicionado, que impulsionou a demanda e ampliou a participação dessa linha no resultado operacional da companhia.</w:t>
      </w:r>
    </w:p>
    <w:p w14:paraId="52503878" w14:textId="77777777" w:rsidR="00BB21AC" w:rsidRDefault="00BB21AC" w:rsidP="003278EC">
      <w:pPr>
        <w:jc w:val="both"/>
        <w:rPr>
          <w:rFonts w:ascii="Arial" w:hAnsi="Arial" w:cs="Arial"/>
        </w:rPr>
      </w:pPr>
    </w:p>
    <w:p w14:paraId="2B463640" w14:textId="488661F2" w:rsidR="00223B14" w:rsidRPr="00CD310A" w:rsidRDefault="00D50198" w:rsidP="00223B14">
      <w:pPr>
        <w:jc w:val="both"/>
        <w:rPr>
          <w:rFonts w:ascii="Arial" w:hAnsi="Arial" w:cs="Arial"/>
          <w:sz w:val="22"/>
          <w:szCs w:val="22"/>
        </w:rPr>
      </w:pPr>
      <w:r w:rsidRPr="00BB21AC">
        <w:rPr>
          <w:rFonts w:ascii="Arial" w:hAnsi="Arial" w:cs="Arial"/>
          <w:b/>
          <w:bCs/>
          <w:sz w:val="22"/>
          <w:szCs w:val="22"/>
        </w:rPr>
        <w:t>Outras Receitas:</w:t>
      </w:r>
      <w:r w:rsidRPr="00BB21AC">
        <w:rPr>
          <w:rFonts w:ascii="Arial" w:hAnsi="Arial" w:cs="Arial"/>
          <w:sz w:val="22"/>
          <w:szCs w:val="22"/>
        </w:rPr>
        <w:t xml:space="preserve"> </w:t>
      </w:r>
      <w:r w:rsidR="008B7514" w:rsidRPr="008B7514">
        <w:rPr>
          <w:rFonts w:ascii="Arial" w:hAnsi="Arial" w:cs="Arial"/>
          <w:sz w:val="22"/>
          <w:szCs w:val="22"/>
        </w:rPr>
        <w:t>As Outras Receitas totalizaram R$ 6</w:t>
      </w:r>
      <w:r w:rsidR="008B7514">
        <w:rPr>
          <w:rFonts w:ascii="Arial" w:hAnsi="Arial" w:cs="Arial"/>
          <w:sz w:val="22"/>
          <w:szCs w:val="22"/>
        </w:rPr>
        <w:t>,7 milhões</w:t>
      </w:r>
      <w:r w:rsidR="008B7514" w:rsidRPr="008B7514">
        <w:rPr>
          <w:rFonts w:ascii="Arial" w:hAnsi="Arial" w:cs="Arial"/>
          <w:sz w:val="22"/>
          <w:szCs w:val="22"/>
        </w:rPr>
        <w:t xml:space="preserve"> em 2025, ante R$ 9</w:t>
      </w:r>
      <w:r w:rsidR="008B7514">
        <w:rPr>
          <w:rFonts w:ascii="Arial" w:hAnsi="Arial" w:cs="Arial"/>
          <w:sz w:val="22"/>
          <w:szCs w:val="22"/>
        </w:rPr>
        <w:t>,4</w:t>
      </w:r>
      <w:r w:rsidR="00601C85">
        <w:rPr>
          <w:rFonts w:ascii="Arial" w:hAnsi="Arial" w:cs="Arial"/>
          <w:sz w:val="22"/>
          <w:szCs w:val="22"/>
        </w:rPr>
        <w:t xml:space="preserve"> milhões</w:t>
      </w:r>
      <w:r w:rsidR="008B7514" w:rsidRPr="008B7514">
        <w:rPr>
          <w:rFonts w:ascii="Arial" w:hAnsi="Arial" w:cs="Arial"/>
          <w:sz w:val="22"/>
          <w:szCs w:val="22"/>
        </w:rPr>
        <w:t xml:space="preserve"> registrados em 2024, e correspondem aos valores reconhecidos pela prestação de serviços de Wi</w:t>
      </w:r>
      <w:r w:rsidR="008B7514" w:rsidRPr="008B7514">
        <w:rPr>
          <w:rFonts w:ascii="Arial" w:hAnsi="Arial" w:cs="Arial"/>
          <w:sz w:val="22"/>
          <w:szCs w:val="22"/>
        </w:rPr>
        <w:noBreakHyphen/>
        <w:t>Fi, abrangendo os programas Wi</w:t>
      </w:r>
      <w:r w:rsidR="008B7514" w:rsidRPr="008B7514">
        <w:rPr>
          <w:rFonts w:ascii="Arial" w:hAnsi="Arial" w:cs="Arial"/>
          <w:sz w:val="22"/>
          <w:szCs w:val="22"/>
        </w:rPr>
        <w:noBreakHyphen/>
        <w:t>Fi Brasil, Wi</w:t>
      </w:r>
      <w:r w:rsidR="008B7514" w:rsidRPr="008B7514">
        <w:rPr>
          <w:rFonts w:ascii="Arial" w:hAnsi="Arial" w:cs="Arial"/>
          <w:sz w:val="22"/>
          <w:szCs w:val="22"/>
        </w:rPr>
        <w:noBreakHyphen/>
        <w:t>Fi Telebras e Wi</w:t>
      </w:r>
      <w:r w:rsidR="008B7514" w:rsidRPr="008B7514">
        <w:rPr>
          <w:rFonts w:ascii="Arial" w:hAnsi="Arial" w:cs="Arial"/>
          <w:sz w:val="22"/>
          <w:szCs w:val="22"/>
        </w:rPr>
        <w:noBreakHyphen/>
        <w:t>Fi Externo. Em 2025, esse conjunto de serviços apresentou uma redução de 28,2% em relação ao montante registrado no ano anterior.</w:t>
      </w:r>
      <w:r w:rsidR="00672038">
        <w:rPr>
          <w:rFonts w:ascii="Arial" w:hAnsi="Arial" w:cs="Arial"/>
          <w:sz w:val="22"/>
          <w:szCs w:val="22"/>
        </w:rPr>
        <w:t xml:space="preserve"> </w:t>
      </w:r>
      <w:r w:rsidR="00223B14" w:rsidRPr="00CD310A">
        <w:rPr>
          <w:rFonts w:ascii="Arial" w:hAnsi="Arial" w:cs="Arial"/>
          <w:sz w:val="22"/>
          <w:szCs w:val="22"/>
        </w:rPr>
        <w:t>Apesar do aumento no número de clientes atendidos em comparação ao ano anterior, o resultado apresentou retração devido à redução dos pontos ativos do Programa GESAC, o que ocasionou diminuição da receita no período.</w:t>
      </w:r>
    </w:p>
    <w:p w14:paraId="44BA6A75" w14:textId="2763605B" w:rsidR="003F7984" w:rsidRPr="008B7514" w:rsidRDefault="003F7984" w:rsidP="008B7514">
      <w:pPr>
        <w:jc w:val="both"/>
        <w:rPr>
          <w:rFonts w:ascii="Arial" w:hAnsi="Arial" w:cs="Arial"/>
          <w:sz w:val="22"/>
          <w:szCs w:val="22"/>
        </w:rPr>
      </w:pPr>
    </w:p>
    <w:p w14:paraId="6A702943" w14:textId="331D9A8E" w:rsidR="004E2A7D" w:rsidRDefault="004E2A7D" w:rsidP="004E2A7D">
      <w:pPr>
        <w:rPr>
          <w:noProof/>
        </w:rPr>
      </w:pPr>
      <w:r w:rsidRPr="00EF72EC">
        <w:rPr>
          <w:rStyle w:val="RefernciaIntensa"/>
          <w:rFonts w:ascii="Arial" w:hAnsi="Arial" w:cs="Arial"/>
          <w:color w:val="auto"/>
        </w:rPr>
        <w:t>Deduções da Receita Operacional Bruta</w:t>
      </w:r>
      <w:r w:rsidRPr="00EF72EC">
        <w:rPr>
          <w:noProof/>
        </w:rPr>
        <w:t xml:space="preserve"> </w:t>
      </w:r>
    </w:p>
    <w:p w14:paraId="7419D354" w14:textId="18F903AC" w:rsidR="00BB21AC" w:rsidRPr="00EF72EC" w:rsidRDefault="00BB21AC" w:rsidP="004E2A7D">
      <w:pPr>
        <w:rPr>
          <w:rStyle w:val="RefernciaIntensa"/>
          <w:rFonts w:ascii="Arial" w:hAnsi="Arial" w:cs="Arial"/>
          <w:color w:val="auto"/>
        </w:rPr>
      </w:pPr>
    </w:p>
    <w:p w14:paraId="70CE6CEF" w14:textId="35996743" w:rsidR="00601C85" w:rsidRPr="00601C85" w:rsidRDefault="00601C85" w:rsidP="00601C85">
      <w:pPr>
        <w:jc w:val="both"/>
        <w:rPr>
          <w:rFonts w:ascii="Arial" w:hAnsi="Arial" w:cs="Arial"/>
          <w:bCs/>
          <w:spacing w:val="5"/>
          <w:sz w:val="22"/>
          <w:szCs w:val="22"/>
        </w:rPr>
      </w:pPr>
      <w:r w:rsidRPr="00601C85">
        <w:rPr>
          <w:rFonts w:ascii="Arial" w:hAnsi="Arial" w:cs="Arial"/>
          <w:bCs/>
          <w:spacing w:val="5"/>
          <w:sz w:val="22"/>
          <w:szCs w:val="22"/>
        </w:rPr>
        <w:t>Em 2025, as Deduções da Receita Operacional Bruta</w:t>
      </w:r>
      <w:r w:rsidR="00B33CDF">
        <w:rPr>
          <w:rFonts w:ascii="Arial" w:hAnsi="Arial" w:cs="Arial"/>
          <w:bCs/>
          <w:spacing w:val="5"/>
          <w:sz w:val="22"/>
          <w:szCs w:val="22"/>
        </w:rPr>
        <w:t>,</w:t>
      </w:r>
      <w:r w:rsidRPr="00601C85">
        <w:rPr>
          <w:rFonts w:ascii="Arial" w:hAnsi="Arial" w:cs="Arial"/>
          <w:bCs/>
          <w:spacing w:val="5"/>
          <w:sz w:val="22"/>
          <w:szCs w:val="22"/>
        </w:rPr>
        <w:t xml:space="preserve"> que incluem tributos, descontos e cancelamentos incidentes sobre a Receita Operacional Bruta</w:t>
      </w:r>
      <w:r w:rsidR="00B33CDF">
        <w:rPr>
          <w:rFonts w:ascii="Arial" w:hAnsi="Arial" w:cs="Arial"/>
          <w:bCs/>
          <w:spacing w:val="5"/>
          <w:sz w:val="22"/>
          <w:szCs w:val="22"/>
        </w:rPr>
        <w:t>,</w:t>
      </w:r>
      <w:r w:rsidRPr="00601C85">
        <w:rPr>
          <w:rFonts w:ascii="Arial" w:hAnsi="Arial" w:cs="Arial"/>
          <w:bCs/>
          <w:spacing w:val="5"/>
          <w:sz w:val="22"/>
          <w:szCs w:val="22"/>
        </w:rPr>
        <w:t xml:space="preserve"> apresentaram crescimento de 3,8% em relação a 2024.</w:t>
      </w:r>
    </w:p>
    <w:p w14:paraId="521644B1" w14:textId="51B1C094" w:rsidR="00601C85" w:rsidRDefault="00601C85" w:rsidP="004E2A7D">
      <w:pPr>
        <w:jc w:val="both"/>
        <w:rPr>
          <w:rStyle w:val="RefernciaIntensa"/>
          <w:rFonts w:ascii="Arial" w:hAnsi="Arial" w:cs="Arial"/>
          <w:b w:val="0"/>
          <w:smallCaps w:val="0"/>
          <w:color w:val="auto"/>
          <w:sz w:val="22"/>
          <w:szCs w:val="22"/>
          <w:u w:val="none"/>
        </w:rPr>
      </w:pPr>
    </w:p>
    <w:p w14:paraId="5793DB8B" w14:textId="3FBC1440" w:rsidR="005A709C" w:rsidRDefault="009517E9" w:rsidP="00A00AD7">
      <w:pPr>
        <w:spacing w:before="240"/>
        <w:jc w:val="both"/>
        <w:rPr>
          <w:rStyle w:val="RefernciaIntensa"/>
          <w:rFonts w:ascii="Arial" w:hAnsi="Arial" w:cs="Arial"/>
          <w:color w:val="auto"/>
        </w:rPr>
      </w:pPr>
      <w:r w:rsidRPr="00794D0D">
        <w:rPr>
          <w:rStyle w:val="RefernciaIntensa"/>
          <w:rFonts w:ascii="Arial" w:hAnsi="Arial" w:cs="Arial"/>
          <w:color w:val="auto"/>
        </w:rPr>
        <w:t>Comportamento da</w:t>
      </w:r>
      <w:r w:rsidR="00E512BF" w:rsidRPr="00794D0D">
        <w:rPr>
          <w:rStyle w:val="RefernciaIntensa"/>
          <w:rFonts w:ascii="Arial" w:hAnsi="Arial" w:cs="Arial"/>
          <w:color w:val="auto"/>
        </w:rPr>
        <w:t xml:space="preserve"> Receita Líquida Operacional</w:t>
      </w:r>
      <w:r w:rsidR="005A709C" w:rsidRPr="00794D0D">
        <w:rPr>
          <w:rStyle w:val="RefernciaIntensa"/>
          <w:rFonts w:ascii="Arial" w:hAnsi="Arial" w:cs="Arial"/>
          <w:color w:val="auto"/>
        </w:rPr>
        <w:t xml:space="preserve"> – R</w:t>
      </w:r>
      <w:r w:rsidR="00C556EF" w:rsidRPr="00794D0D">
        <w:rPr>
          <w:rStyle w:val="RefernciaIntensa"/>
          <w:rFonts w:ascii="Arial" w:hAnsi="Arial" w:cs="Arial"/>
          <w:color w:val="auto"/>
        </w:rPr>
        <w:t>$</w:t>
      </w:r>
      <w:r w:rsidR="005A709C" w:rsidRPr="00794D0D">
        <w:rPr>
          <w:rStyle w:val="RefernciaIntensa"/>
          <w:rFonts w:ascii="Arial" w:hAnsi="Arial" w:cs="Arial"/>
          <w:color w:val="auto"/>
        </w:rPr>
        <w:t xml:space="preserve"> mil</w:t>
      </w:r>
    </w:p>
    <w:p w14:paraId="07E9C918" w14:textId="2D61B7F0" w:rsidR="00CF033F" w:rsidRDefault="00577CA8" w:rsidP="00A00AD7">
      <w:pPr>
        <w:spacing w:before="240"/>
        <w:jc w:val="both"/>
        <w:rPr>
          <w:rStyle w:val="RefernciaIntensa"/>
          <w:rFonts w:ascii="Arial" w:hAnsi="Arial" w:cs="Arial"/>
          <w:color w:val="auto"/>
        </w:rPr>
      </w:pPr>
      <w:r w:rsidRPr="00794D0D">
        <w:rPr>
          <w:rFonts w:ascii="Arial" w:hAnsi="Arial" w:cs="Arial"/>
          <w:b/>
          <w:bCs/>
          <w:smallCaps/>
          <w:noProof/>
          <w:spacing w:val="5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94557D6" wp14:editId="5E18484A">
                <wp:simplePos x="0" y="0"/>
                <wp:positionH relativeFrom="margin">
                  <wp:posOffset>5866765</wp:posOffset>
                </wp:positionH>
                <wp:positionV relativeFrom="paragraph">
                  <wp:posOffset>216535</wp:posOffset>
                </wp:positionV>
                <wp:extent cx="558800" cy="219075"/>
                <wp:effectExtent l="19050" t="19050" r="12700" b="28575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F"/>
                          </a:solidFill>
                        </a:ln>
                      </wps:spPr>
                      <wps:txbx>
                        <w:txbxContent>
                          <w:p w14:paraId="43430C56" w14:textId="42342C9B" w:rsidR="00B96302" w:rsidRPr="002418C7" w:rsidRDefault="00B96302" w:rsidP="000637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+</w:t>
                            </w:r>
                            <w:r w:rsidR="00577CA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18,5</w:t>
                            </w:r>
                            <w:r w:rsidRPr="002418C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557D6" id="Caixa de Texto 19" o:spid="_x0000_s1027" type="#_x0000_t202" style="position:absolute;left:0;text-align:left;margin-left:461.95pt;margin-top:17.05pt;width:44pt;height:17.2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" fillcolor="white [3201]" strokecolor="#00b0ff" strokeweight="2.25pt">
                <v:textbox>
                  <w:txbxContent>
                    <w:p w14:paraId="43430C56" w14:textId="42342C9B" w:rsidR="00B96302" w:rsidRPr="002418C7" w:rsidRDefault="00B96302" w:rsidP="000637EF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+</w:t>
                      </w:r>
                      <w:r w:rsidR="00577CA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18,5</w:t>
                      </w:r>
                      <w:r w:rsidRPr="002418C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smallCaps/>
          <w:noProof/>
          <w:spacing w:val="5"/>
          <w:u w:val="single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26F715D" wp14:editId="36FBC057">
                <wp:simplePos x="0" y="0"/>
                <wp:positionH relativeFrom="column">
                  <wp:posOffset>5187315</wp:posOffset>
                </wp:positionH>
                <wp:positionV relativeFrom="paragraph">
                  <wp:posOffset>374015</wp:posOffset>
                </wp:positionV>
                <wp:extent cx="0" cy="1714500"/>
                <wp:effectExtent l="0" t="0" r="38100" b="19050"/>
                <wp:wrapNone/>
                <wp:docPr id="1081769841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87F885" id="Conector reto 13" o:spid="_x0000_s1026" style="position:absolute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8.45pt,29.45pt" to="408.45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" strokecolor="#4bacc6 [3208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0FCE65A" wp14:editId="403655D4">
                <wp:simplePos x="0" y="0"/>
                <wp:positionH relativeFrom="column">
                  <wp:posOffset>3472815</wp:posOffset>
                </wp:positionH>
                <wp:positionV relativeFrom="paragraph">
                  <wp:posOffset>729615</wp:posOffset>
                </wp:positionV>
                <wp:extent cx="565150" cy="241300"/>
                <wp:effectExtent l="0" t="0" r="25400" b="25400"/>
                <wp:wrapNone/>
                <wp:docPr id="563099121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1005EB"/>
                          </a:solidFill>
                        </a:ln>
                      </wps:spPr>
                      <wps:txbx>
                        <w:txbxContent>
                          <w:p w14:paraId="672D9B8A" w14:textId="7F63F78E" w:rsidR="00CF033F" w:rsidRPr="00AE6924" w:rsidRDefault="00CF033F" w:rsidP="00CF03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E692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+</w:t>
                            </w:r>
                            <w:r w:rsidR="00577CA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22,0</w:t>
                            </w:r>
                            <w:r w:rsidRPr="00AE692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E65A" id="Caixa de Texto 18" o:spid="_x0000_s1028" type="#_x0000_t202" style="position:absolute;left:0;text-align:left;margin-left:273.45pt;margin-top:57.45pt;width:44.5pt;height:19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" fillcolor="white [3201]" strokecolor="#1005eb" strokeweight="1.5pt">
                <v:textbox>
                  <w:txbxContent>
                    <w:p w14:paraId="672D9B8A" w14:textId="7F63F78E" w:rsidR="00CF033F" w:rsidRPr="00AE6924" w:rsidRDefault="00CF033F" w:rsidP="00CF033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AE692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+</w:t>
                      </w:r>
                      <w:r w:rsidR="00577CA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22,0</w:t>
                      </w:r>
                      <w:r w:rsidRPr="00AE692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B996088" wp14:editId="1E98D662">
                <wp:simplePos x="0" y="0"/>
                <wp:positionH relativeFrom="column">
                  <wp:posOffset>4869815</wp:posOffset>
                </wp:positionH>
                <wp:positionV relativeFrom="paragraph">
                  <wp:posOffset>850265</wp:posOffset>
                </wp:positionV>
                <wp:extent cx="6350" cy="463550"/>
                <wp:effectExtent l="0" t="0" r="31750" b="31750"/>
                <wp:wrapNone/>
                <wp:docPr id="2015444885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635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C1BBB" id="Conector reto 16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45pt,66.95pt" to="383.95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" strokecolor="#4bacc6 [3208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46CA78F" wp14:editId="12BDC809">
                <wp:simplePos x="0" y="0"/>
                <wp:positionH relativeFrom="column">
                  <wp:posOffset>2406015</wp:posOffset>
                </wp:positionH>
                <wp:positionV relativeFrom="paragraph">
                  <wp:posOffset>850265</wp:posOffset>
                </wp:positionV>
                <wp:extent cx="2470150" cy="0"/>
                <wp:effectExtent l="0" t="0" r="0" b="0"/>
                <wp:wrapNone/>
                <wp:docPr id="1616122068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15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576E0E" id="Conector reto 14" o:spid="_x0000_s1026" style="position:absolute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45pt,66.95pt" to="383.9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" strokecolor="#4bacc6 [3208]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207A46C" wp14:editId="472B3C2C">
                <wp:simplePos x="0" y="0"/>
                <wp:positionH relativeFrom="column">
                  <wp:posOffset>2406015</wp:posOffset>
                </wp:positionH>
                <wp:positionV relativeFrom="paragraph">
                  <wp:posOffset>882015</wp:posOffset>
                </wp:positionV>
                <wp:extent cx="0" cy="469900"/>
                <wp:effectExtent l="0" t="0" r="38100" b="25400"/>
                <wp:wrapNone/>
                <wp:docPr id="716111953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99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2D790" id="Conector reto 15" o:spid="_x0000_s1026" style="position:absolute;z-index:251916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45pt,69.45pt" to="189.45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" strokecolor="#4bacc6 [3208]" strokeweight="1.5pt">
                <v:stroke dashstyle="dash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31B3C194" wp14:editId="07DA6EC8">
            <wp:extent cx="6616700" cy="2006600"/>
            <wp:effectExtent l="0" t="0" r="0" b="0"/>
            <wp:docPr id="46512298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2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064520C" w14:textId="3B09079E" w:rsidR="00CF033F" w:rsidRDefault="00CF033F" w:rsidP="00A00AD7">
      <w:pPr>
        <w:spacing w:before="240"/>
        <w:jc w:val="both"/>
        <w:rPr>
          <w:noProof/>
        </w:rPr>
      </w:pPr>
    </w:p>
    <w:p w14:paraId="7E6E334F" w14:textId="7E5EE2B8" w:rsidR="00043496" w:rsidRDefault="00043496" w:rsidP="00A00AD7">
      <w:pPr>
        <w:spacing w:before="240"/>
        <w:jc w:val="both"/>
        <w:rPr>
          <w:noProof/>
        </w:rPr>
      </w:pPr>
    </w:p>
    <w:p w14:paraId="3588E032" w14:textId="77777777" w:rsidR="00043496" w:rsidRDefault="00043496" w:rsidP="00A00AD7">
      <w:pPr>
        <w:spacing w:before="240"/>
        <w:jc w:val="both"/>
        <w:rPr>
          <w:noProof/>
        </w:rPr>
      </w:pPr>
    </w:p>
    <w:p w14:paraId="2D6FA37E" w14:textId="77777777" w:rsidR="00043496" w:rsidRDefault="00043496" w:rsidP="00A00AD7">
      <w:pPr>
        <w:spacing w:before="240"/>
        <w:jc w:val="both"/>
        <w:rPr>
          <w:noProof/>
        </w:rPr>
      </w:pPr>
    </w:p>
    <w:p w14:paraId="4F0671E9" w14:textId="77777777" w:rsidR="00CD310A" w:rsidRDefault="00CD310A" w:rsidP="00A00AD7">
      <w:pPr>
        <w:spacing w:before="240"/>
        <w:jc w:val="both"/>
        <w:rPr>
          <w:noProof/>
        </w:rPr>
      </w:pPr>
    </w:p>
    <w:p w14:paraId="65812CB1" w14:textId="245B4158" w:rsidR="00F55BE3" w:rsidRDefault="00F55BE3" w:rsidP="005A709C">
      <w:pPr>
        <w:jc w:val="both"/>
        <w:rPr>
          <w:rStyle w:val="RefernciaIntensa"/>
          <w:rFonts w:ascii="Arial" w:hAnsi="Arial" w:cs="Arial"/>
          <w:color w:val="auto"/>
          <w:u w:val="none"/>
        </w:rPr>
      </w:pPr>
    </w:p>
    <w:p w14:paraId="7750ADC8" w14:textId="2754B759" w:rsidR="00E32556" w:rsidRDefault="00E32556" w:rsidP="00E32556">
      <w:pPr>
        <w:jc w:val="both"/>
        <w:rPr>
          <w:rStyle w:val="RefernciaIntensa"/>
          <w:rFonts w:ascii="Arial" w:hAnsi="Arial" w:cs="Arial"/>
          <w:color w:val="auto"/>
        </w:rPr>
      </w:pPr>
      <w:r w:rsidRPr="00794D0D">
        <w:rPr>
          <w:rStyle w:val="RefernciaIntensa"/>
          <w:rFonts w:ascii="Arial" w:hAnsi="Arial" w:cs="Arial"/>
          <w:color w:val="auto"/>
        </w:rPr>
        <w:t xml:space="preserve">Evolução da Receita </w:t>
      </w:r>
      <w:r w:rsidR="00EF2F50" w:rsidRPr="00794D0D">
        <w:rPr>
          <w:rStyle w:val="RefernciaIntensa"/>
          <w:rFonts w:ascii="Arial" w:hAnsi="Arial" w:cs="Arial"/>
          <w:color w:val="auto"/>
        </w:rPr>
        <w:t>Operacional</w:t>
      </w:r>
      <w:r w:rsidRPr="00794D0D">
        <w:rPr>
          <w:rStyle w:val="RefernciaIntensa"/>
          <w:rFonts w:ascii="Arial" w:hAnsi="Arial" w:cs="Arial"/>
          <w:color w:val="auto"/>
        </w:rPr>
        <w:t xml:space="preserve"> Bruta </w:t>
      </w:r>
      <w:r w:rsidR="002B4A6F">
        <w:rPr>
          <w:rStyle w:val="RefernciaIntensa"/>
          <w:rFonts w:ascii="Arial" w:hAnsi="Arial" w:cs="Arial"/>
          <w:color w:val="auto"/>
        </w:rPr>
        <w:t>20</w:t>
      </w:r>
      <w:r w:rsidR="00D454D3">
        <w:rPr>
          <w:rStyle w:val="RefernciaIntensa"/>
          <w:rFonts w:ascii="Arial" w:hAnsi="Arial" w:cs="Arial"/>
          <w:color w:val="auto"/>
        </w:rPr>
        <w:t>24</w:t>
      </w:r>
      <w:r w:rsidRPr="00794D0D">
        <w:rPr>
          <w:rStyle w:val="RefernciaIntensa"/>
          <w:rFonts w:ascii="Arial" w:hAnsi="Arial" w:cs="Arial"/>
          <w:color w:val="auto"/>
        </w:rPr>
        <w:t xml:space="preserve"> </w:t>
      </w:r>
      <w:r w:rsidR="00077197" w:rsidRPr="00794D0D">
        <w:rPr>
          <w:rStyle w:val="RefernciaIntensa"/>
          <w:rFonts w:ascii="Arial" w:hAnsi="Arial" w:cs="Arial"/>
          <w:color w:val="auto"/>
        </w:rPr>
        <w:t>–</w:t>
      </w:r>
      <w:r w:rsidRPr="00794D0D">
        <w:rPr>
          <w:rStyle w:val="RefernciaIntensa"/>
          <w:rFonts w:ascii="Arial" w:hAnsi="Arial" w:cs="Arial"/>
          <w:color w:val="auto"/>
        </w:rPr>
        <w:t xml:space="preserve"> </w:t>
      </w:r>
      <w:r w:rsidR="002B4A6F">
        <w:rPr>
          <w:rStyle w:val="RefernciaIntensa"/>
          <w:rFonts w:ascii="Arial" w:hAnsi="Arial" w:cs="Arial"/>
          <w:color w:val="auto"/>
        </w:rPr>
        <w:t>20</w:t>
      </w:r>
      <w:r w:rsidR="00D454D3">
        <w:rPr>
          <w:rStyle w:val="RefernciaIntensa"/>
          <w:rFonts w:ascii="Arial" w:hAnsi="Arial" w:cs="Arial"/>
          <w:color w:val="auto"/>
        </w:rPr>
        <w:t>25</w:t>
      </w:r>
      <w:r w:rsidRPr="00794D0D">
        <w:rPr>
          <w:rStyle w:val="RefernciaIntensa"/>
          <w:rFonts w:ascii="Arial" w:hAnsi="Arial" w:cs="Arial"/>
          <w:color w:val="auto"/>
        </w:rPr>
        <w:t xml:space="preserve"> – R$ mil</w:t>
      </w:r>
      <w:r w:rsidR="00250E6D">
        <w:rPr>
          <w:rStyle w:val="Refdenotaderodap"/>
          <w:rFonts w:ascii="Arial" w:hAnsi="Arial" w:cs="Arial"/>
          <w:b/>
          <w:bCs/>
          <w:smallCaps/>
          <w:spacing w:val="5"/>
          <w:u w:val="single"/>
        </w:rPr>
        <w:footnoteReference w:id="1"/>
      </w:r>
    </w:p>
    <w:p w14:paraId="3F0E276F" w14:textId="59DD2A09" w:rsidR="003571B3" w:rsidRDefault="003571B3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4C914743" w14:textId="3A55007B" w:rsidR="001427A2" w:rsidRDefault="001427A2" w:rsidP="00E32556">
      <w:pPr>
        <w:jc w:val="both"/>
        <w:rPr>
          <w:rStyle w:val="RefernciaIntensa"/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6A002F45" wp14:editId="78003671">
            <wp:extent cx="6388100" cy="2286000"/>
            <wp:effectExtent l="0" t="0" r="0" b="0"/>
            <wp:docPr id="89192195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3752A51" w14:textId="77777777" w:rsidR="00DE74EF" w:rsidRDefault="00DE74EF" w:rsidP="00E32556">
      <w:pPr>
        <w:jc w:val="both"/>
        <w:rPr>
          <w:rStyle w:val="RefernciaIntensa"/>
          <w:rFonts w:ascii="Arial" w:hAnsi="Arial" w:cs="Arial"/>
          <w:color w:val="auto"/>
        </w:rPr>
      </w:pPr>
    </w:p>
    <w:p w14:paraId="40D87270" w14:textId="46480B16" w:rsidR="00164B1A" w:rsidRDefault="00312A58" w:rsidP="00110433">
      <w:pPr>
        <w:jc w:val="both"/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Custos</w:t>
      </w:r>
      <w:r w:rsidR="00085CFF" w:rsidRPr="00EF72EC">
        <w:rPr>
          <w:rStyle w:val="RefernciaIntensa"/>
          <w:rFonts w:ascii="Arial" w:hAnsi="Arial" w:cs="Arial"/>
          <w:color w:val="auto"/>
        </w:rPr>
        <w:t xml:space="preserve"> e </w:t>
      </w:r>
      <w:r w:rsidR="001F1E30" w:rsidRPr="00EF72EC">
        <w:rPr>
          <w:rStyle w:val="RefernciaIntensa"/>
          <w:rFonts w:ascii="Arial" w:hAnsi="Arial" w:cs="Arial"/>
          <w:color w:val="auto"/>
        </w:rPr>
        <w:t>D</w:t>
      </w:r>
      <w:r w:rsidRPr="00EF72EC">
        <w:rPr>
          <w:rStyle w:val="RefernciaIntensa"/>
          <w:rFonts w:ascii="Arial" w:hAnsi="Arial" w:cs="Arial"/>
          <w:color w:val="auto"/>
        </w:rPr>
        <w:t xml:space="preserve">espesas </w:t>
      </w:r>
      <w:r w:rsidR="001F1E30" w:rsidRPr="00EF72EC">
        <w:rPr>
          <w:rStyle w:val="RefernciaIntensa"/>
          <w:rFonts w:ascii="Arial" w:hAnsi="Arial" w:cs="Arial"/>
          <w:color w:val="auto"/>
        </w:rPr>
        <w:t>O</w:t>
      </w:r>
      <w:r w:rsidRPr="00EF72EC">
        <w:rPr>
          <w:rStyle w:val="RefernciaIntensa"/>
          <w:rFonts w:ascii="Arial" w:hAnsi="Arial" w:cs="Arial"/>
          <w:color w:val="auto"/>
        </w:rPr>
        <w:t>peracionais</w:t>
      </w:r>
      <w:r w:rsidR="001A3096" w:rsidRPr="00EF72EC">
        <w:rPr>
          <w:rStyle w:val="RefernciaIntensa"/>
          <w:rFonts w:ascii="Arial" w:hAnsi="Arial" w:cs="Arial"/>
          <w:color w:val="auto"/>
        </w:rPr>
        <w:t xml:space="preserve"> </w:t>
      </w:r>
      <w:r w:rsidR="00CB3490">
        <w:rPr>
          <w:rStyle w:val="RefernciaIntensa"/>
          <w:rFonts w:ascii="Arial" w:hAnsi="Arial" w:cs="Arial"/>
          <w:color w:val="auto"/>
        </w:rPr>
        <w:t>Vinculadas às Funções: Custo dos Serviços Prestados, Comercialização dos Serviços e Despesas Gera</w:t>
      </w:r>
      <w:r w:rsidR="00D77609">
        <w:rPr>
          <w:rStyle w:val="RefernciaIntensa"/>
          <w:rFonts w:ascii="Arial" w:hAnsi="Arial" w:cs="Arial"/>
          <w:color w:val="auto"/>
        </w:rPr>
        <w:t>i</w:t>
      </w:r>
      <w:r w:rsidR="00CB3490">
        <w:rPr>
          <w:rStyle w:val="RefernciaIntensa"/>
          <w:rFonts w:ascii="Arial" w:hAnsi="Arial" w:cs="Arial"/>
          <w:color w:val="auto"/>
        </w:rPr>
        <w:t xml:space="preserve">s e Administrativa </w:t>
      </w:r>
      <w:r w:rsidR="001A3096" w:rsidRPr="00EF72EC">
        <w:rPr>
          <w:rStyle w:val="RefernciaIntensa"/>
          <w:rFonts w:ascii="Arial" w:hAnsi="Arial" w:cs="Arial"/>
          <w:color w:val="auto"/>
        </w:rPr>
        <w:t>(</w:t>
      </w:r>
      <w:r w:rsidR="001F1E30" w:rsidRPr="00EF72EC">
        <w:rPr>
          <w:rStyle w:val="RefernciaIntensa"/>
          <w:rFonts w:ascii="Arial" w:hAnsi="Arial" w:cs="Arial"/>
          <w:color w:val="auto"/>
        </w:rPr>
        <w:t>E</w:t>
      </w:r>
      <w:r w:rsidR="001A3096" w:rsidRPr="00EF72EC">
        <w:rPr>
          <w:rStyle w:val="RefernciaIntensa"/>
          <w:rFonts w:ascii="Arial" w:hAnsi="Arial" w:cs="Arial"/>
          <w:color w:val="auto"/>
        </w:rPr>
        <w:t xml:space="preserve">xceto </w:t>
      </w:r>
      <w:r w:rsidR="001F1E30" w:rsidRPr="00EF72EC">
        <w:rPr>
          <w:rStyle w:val="RefernciaIntensa"/>
          <w:rFonts w:ascii="Arial" w:hAnsi="Arial" w:cs="Arial"/>
          <w:color w:val="auto"/>
        </w:rPr>
        <w:t>D</w:t>
      </w:r>
      <w:r w:rsidR="001A3096" w:rsidRPr="00EF72EC">
        <w:rPr>
          <w:rStyle w:val="RefernciaIntensa"/>
          <w:rFonts w:ascii="Arial" w:hAnsi="Arial" w:cs="Arial"/>
          <w:color w:val="auto"/>
        </w:rPr>
        <w:t xml:space="preserve">epreciação e </w:t>
      </w:r>
      <w:r w:rsidR="001F1E30" w:rsidRPr="00EF72EC">
        <w:rPr>
          <w:rStyle w:val="RefernciaIntensa"/>
          <w:rFonts w:ascii="Arial" w:hAnsi="Arial" w:cs="Arial"/>
          <w:color w:val="auto"/>
        </w:rPr>
        <w:t>A</w:t>
      </w:r>
      <w:r w:rsidR="001A3096" w:rsidRPr="00EF72EC">
        <w:rPr>
          <w:rStyle w:val="RefernciaIntensa"/>
          <w:rFonts w:ascii="Arial" w:hAnsi="Arial" w:cs="Arial"/>
          <w:color w:val="auto"/>
        </w:rPr>
        <w:t>mortização)</w:t>
      </w:r>
      <w:r w:rsidR="00C928E8" w:rsidRPr="00EF72EC">
        <w:rPr>
          <w:rStyle w:val="Refdenotaderodap"/>
          <w:rFonts w:ascii="Arial" w:hAnsi="Arial" w:cs="Arial"/>
          <w:b/>
          <w:bCs/>
          <w:smallCaps/>
          <w:spacing w:val="5"/>
          <w:u w:val="single"/>
        </w:rPr>
        <w:footnoteReference w:id="2"/>
      </w:r>
    </w:p>
    <w:p w14:paraId="773D8E1A" w14:textId="77777777" w:rsidR="00132087" w:rsidRDefault="00132087" w:rsidP="00110433">
      <w:pPr>
        <w:jc w:val="both"/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5"/>
        <w:gridCol w:w="907"/>
        <w:gridCol w:w="939"/>
        <w:gridCol w:w="866"/>
        <w:gridCol w:w="164"/>
        <w:gridCol w:w="816"/>
        <w:gridCol w:w="726"/>
        <w:gridCol w:w="147"/>
        <w:gridCol w:w="866"/>
        <w:gridCol w:w="866"/>
        <w:gridCol w:w="147"/>
        <w:gridCol w:w="649"/>
      </w:tblGrid>
      <w:tr w:rsidR="007471BD" w:rsidRPr="007471BD" w14:paraId="15BCFF45" w14:textId="77777777" w:rsidTr="007471BD">
        <w:trPr>
          <w:trHeight w:val="2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DBA9" w14:textId="77777777" w:rsidR="007471BD" w:rsidRPr="007471BD" w:rsidRDefault="007471BD">
            <w:pPr>
              <w:rPr>
                <w:sz w:val="15"/>
                <w:szCs w:val="15"/>
              </w:rPr>
            </w:pPr>
          </w:p>
        </w:tc>
        <w:tc>
          <w:tcPr>
            <w:tcW w:w="2106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A0C681" w14:textId="77777777" w:rsidR="007471BD" w:rsidRPr="007471BD" w:rsidRDefault="007471B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Trimestres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E9C1" w14:textId="77777777" w:rsidR="007471BD" w:rsidRPr="007471BD" w:rsidRDefault="007471B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34F01" w14:textId="77777777" w:rsidR="007471BD" w:rsidRPr="007471BD" w:rsidRDefault="007471BD">
            <w:pPr>
              <w:rPr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B48D" w14:textId="77777777" w:rsidR="007471BD" w:rsidRPr="007471BD" w:rsidRDefault="007471BD">
            <w:pPr>
              <w:rPr>
                <w:sz w:val="15"/>
                <w:szCs w:val="15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613D" w14:textId="77777777" w:rsidR="007471BD" w:rsidRPr="007471BD" w:rsidRDefault="007471BD">
            <w:pPr>
              <w:rPr>
                <w:sz w:val="15"/>
                <w:szCs w:val="15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16BC" w14:textId="77777777" w:rsidR="007471BD" w:rsidRPr="007471BD" w:rsidRDefault="007471BD">
            <w:pPr>
              <w:rPr>
                <w:sz w:val="15"/>
                <w:szCs w:val="15"/>
              </w:rPr>
            </w:pPr>
          </w:p>
        </w:tc>
      </w:tr>
      <w:tr w:rsidR="007471BD" w:rsidRPr="007471BD" w14:paraId="2C8A0C46" w14:textId="77777777" w:rsidTr="00132087">
        <w:trPr>
          <w:trHeight w:val="6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ACCC" w14:textId="77777777" w:rsidR="007471BD" w:rsidRPr="007471BD" w:rsidRDefault="007471BD">
            <w:pPr>
              <w:rPr>
                <w:sz w:val="15"/>
                <w:szCs w:val="15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C076" w14:textId="77777777" w:rsidR="007471BD" w:rsidRPr="007471BD" w:rsidRDefault="007471BD">
            <w:pPr>
              <w:rPr>
                <w:sz w:val="15"/>
                <w:szCs w:val="15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4B1B" w14:textId="77777777" w:rsidR="007471BD" w:rsidRPr="007471BD" w:rsidRDefault="007471BD">
            <w:pPr>
              <w:rPr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154A" w14:textId="77777777" w:rsidR="007471BD" w:rsidRPr="007471BD" w:rsidRDefault="007471BD">
            <w:pPr>
              <w:rPr>
                <w:sz w:val="15"/>
                <w:szCs w:val="15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807E" w14:textId="77777777" w:rsidR="007471BD" w:rsidRPr="007471BD" w:rsidRDefault="007471BD">
            <w:pPr>
              <w:rPr>
                <w:sz w:val="15"/>
                <w:szCs w:val="15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F15A0" w14:textId="77777777" w:rsidR="007471BD" w:rsidRPr="007471BD" w:rsidRDefault="007471BD">
            <w:pPr>
              <w:rPr>
                <w:sz w:val="15"/>
                <w:szCs w:val="15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6947" w14:textId="77777777" w:rsidR="007471BD" w:rsidRPr="007471BD" w:rsidRDefault="007471BD">
            <w:pPr>
              <w:rPr>
                <w:sz w:val="15"/>
                <w:szCs w:val="15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8D95" w14:textId="77777777" w:rsidR="007471BD" w:rsidRPr="007471BD" w:rsidRDefault="007471BD">
            <w:pPr>
              <w:rPr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36DC" w14:textId="77777777" w:rsidR="007471BD" w:rsidRPr="007471BD" w:rsidRDefault="007471BD">
            <w:pPr>
              <w:rPr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59CCB" w14:textId="77777777" w:rsidR="007471BD" w:rsidRPr="007471BD" w:rsidRDefault="007471BD">
            <w:pPr>
              <w:rPr>
                <w:sz w:val="15"/>
                <w:szCs w:val="15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EFCA" w14:textId="77777777" w:rsidR="007471BD" w:rsidRPr="007471BD" w:rsidRDefault="007471BD">
            <w:pPr>
              <w:rPr>
                <w:sz w:val="15"/>
                <w:szCs w:val="15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DC44" w14:textId="77777777" w:rsidR="007471BD" w:rsidRPr="007471BD" w:rsidRDefault="007471BD">
            <w:pPr>
              <w:rPr>
                <w:sz w:val="15"/>
                <w:szCs w:val="15"/>
              </w:rPr>
            </w:pPr>
          </w:p>
        </w:tc>
      </w:tr>
      <w:tr w:rsidR="007471BD" w:rsidRPr="007471BD" w14:paraId="4EDD5BC6" w14:textId="77777777" w:rsidTr="00132087">
        <w:trPr>
          <w:trHeight w:val="21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059EAA" w14:textId="77777777" w:rsidR="007471BD" w:rsidRPr="007471BD" w:rsidRDefault="007471BD">
            <w:pP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7471BD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R$ mil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DA4B34E" w14:textId="77777777" w:rsidR="007471BD" w:rsidRPr="007471BD" w:rsidRDefault="007471BD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7471BD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4T25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27F7F1D" w14:textId="77777777" w:rsidR="007471BD" w:rsidRPr="007471BD" w:rsidRDefault="007471BD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7471BD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4T24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03C7C30" w14:textId="77777777" w:rsidR="007471BD" w:rsidRPr="007471BD" w:rsidRDefault="007471BD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7471BD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3T25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12A1" w14:textId="77777777" w:rsidR="007471BD" w:rsidRPr="007471BD" w:rsidRDefault="007471BD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6558987B" w14:textId="77777777" w:rsidR="007471BD" w:rsidRPr="007471BD" w:rsidRDefault="007471BD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7471BD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Δ Ano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2DE9967" w14:textId="77777777" w:rsidR="007471BD" w:rsidRPr="007471BD" w:rsidRDefault="007471BD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7471BD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Δ Trim.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BB6B" w14:textId="77777777" w:rsidR="007471BD" w:rsidRPr="007471BD" w:rsidRDefault="007471BD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0B5B7C8" w14:textId="77777777" w:rsidR="007471BD" w:rsidRPr="007471BD" w:rsidRDefault="007471BD" w:rsidP="0031552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7471BD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2025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658718A" w14:textId="77777777" w:rsidR="007471BD" w:rsidRPr="007471BD" w:rsidRDefault="007471BD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7471BD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2024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88025" w14:textId="77777777" w:rsidR="007471BD" w:rsidRPr="007471BD" w:rsidRDefault="007471BD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328CA16" w14:textId="77777777" w:rsidR="007471BD" w:rsidRPr="007471BD" w:rsidRDefault="007471BD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7471BD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Δ Ano</w:t>
            </w:r>
          </w:p>
        </w:tc>
      </w:tr>
      <w:tr w:rsidR="007471BD" w:rsidRPr="007471BD" w14:paraId="30EA6678" w14:textId="77777777" w:rsidTr="00132087">
        <w:trPr>
          <w:trHeight w:val="20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69419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>Meios de Conexão e Transmissão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63C5369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(57.454)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8BD4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(32.074)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360F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(39.414)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A276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44781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7471BD">
              <w:rPr>
                <w:rFonts w:ascii="Arial" w:hAnsi="Arial" w:cs="Arial"/>
                <w:sz w:val="15"/>
                <w:szCs w:val="15"/>
              </w:rPr>
              <w:t>79,1%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81A60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7471BD">
              <w:rPr>
                <w:rFonts w:ascii="Arial" w:hAnsi="Arial" w:cs="Arial"/>
                <w:sz w:val="15"/>
                <w:szCs w:val="15"/>
              </w:rPr>
              <w:t>45,8%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87AE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2C9D789" w14:textId="77777777" w:rsidR="007471BD" w:rsidRPr="007471BD" w:rsidRDefault="007471BD" w:rsidP="0031552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(170.423)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5486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(135.121)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638A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05ADC" w14:textId="77777777" w:rsidR="007471BD" w:rsidRPr="007471BD" w:rsidRDefault="007471BD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>26,1%</w:t>
            </w:r>
          </w:p>
        </w:tc>
      </w:tr>
      <w:tr w:rsidR="007471BD" w:rsidRPr="007471BD" w14:paraId="7FB12283" w14:textId="77777777" w:rsidTr="00132087">
        <w:trPr>
          <w:trHeight w:val="20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CB15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>Serviços de Terceiros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4A0B508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(36.583)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A38F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(44.153)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892DE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(40.050)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3A78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AF60C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7471BD">
              <w:rPr>
                <w:rFonts w:ascii="Arial" w:hAnsi="Arial" w:cs="Arial"/>
                <w:sz w:val="15"/>
                <w:szCs w:val="15"/>
              </w:rPr>
              <w:t>-17,1%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DE5C7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7471BD">
              <w:rPr>
                <w:rFonts w:ascii="Arial" w:hAnsi="Arial" w:cs="Arial"/>
                <w:sz w:val="15"/>
                <w:szCs w:val="15"/>
              </w:rPr>
              <w:t>-8,7%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DEB4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ED0904F" w14:textId="77777777" w:rsidR="007471BD" w:rsidRPr="007471BD" w:rsidRDefault="007471BD" w:rsidP="0031552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(153.128)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F647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(173.875)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0B186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73034" w14:textId="77777777" w:rsidR="007471BD" w:rsidRPr="007471BD" w:rsidRDefault="007471BD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>-11,9%</w:t>
            </w:r>
          </w:p>
        </w:tc>
      </w:tr>
      <w:tr w:rsidR="007471BD" w:rsidRPr="007471BD" w14:paraId="3DD659AD" w14:textId="77777777" w:rsidTr="00132087">
        <w:trPr>
          <w:trHeight w:val="20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03CF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>Pessoal (exclui PISP)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54CFEBB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(32.547)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204D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(28.530)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180B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(29.536)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3151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8C9AA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7471BD">
              <w:rPr>
                <w:rFonts w:ascii="Arial" w:hAnsi="Arial" w:cs="Arial"/>
                <w:sz w:val="15"/>
                <w:szCs w:val="15"/>
              </w:rPr>
              <w:t>14,1%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D6569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7471BD">
              <w:rPr>
                <w:rFonts w:ascii="Arial" w:hAnsi="Arial" w:cs="Arial"/>
                <w:sz w:val="15"/>
                <w:szCs w:val="15"/>
              </w:rPr>
              <w:t>10,2%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4123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B47CD4F" w14:textId="77777777" w:rsidR="007471BD" w:rsidRPr="007471BD" w:rsidRDefault="007471BD" w:rsidP="0031552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(119.390)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1143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(111.058)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0EB4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407A7" w14:textId="77777777" w:rsidR="007471BD" w:rsidRPr="007471BD" w:rsidRDefault="007471BD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>7,5%</w:t>
            </w:r>
          </w:p>
        </w:tc>
      </w:tr>
      <w:tr w:rsidR="007471BD" w:rsidRPr="007471BD" w14:paraId="71B1D3D7" w14:textId="77777777" w:rsidTr="00132087">
        <w:trPr>
          <w:trHeight w:val="20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0AAD" w14:textId="2CF4C61B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>Aluguéis, Locações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,</w:t>
            </w: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Seguros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e Outros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B157DF7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(21.764)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54E2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(16.119)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282A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(11.751)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805D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956F6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7471BD">
              <w:rPr>
                <w:rFonts w:ascii="Arial" w:hAnsi="Arial" w:cs="Arial"/>
                <w:sz w:val="15"/>
                <w:szCs w:val="15"/>
              </w:rPr>
              <w:t>35,0%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9F9C6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7471BD">
              <w:rPr>
                <w:rFonts w:ascii="Arial" w:hAnsi="Arial" w:cs="Arial"/>
                <w:sz w:val="15"/>
                <w:szCs w:val="15"/>
              </w:rPr>
              <w:t>85,2%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1C09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C306FD2" w14:textId="77777777" w:rsidR="007471BD" w:rsidRPr="007471BD" w:rsidRDefault="007471BD" w:rsidP="0031552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(62.049)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8A02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(50.467)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237A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AD45D" w14:textId="77777777" w:rsidR="007471BD" w:rsidRPr="007471BD" w:rsidRDefault="007471BD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>22,9%</w:t>
            </w:r>
          </w:p>
        </w:tc>
      </w:tr>
      <w:tr w:rsidR="007471BD" w:rsidRPr="007471BD" w14:paraId="525BC79E" w14:textId="77777777" w:rsidTr="00132087">
        <w:trPr>
          <w:trHeight w:val="20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DA10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>Tributos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2A727480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(1.845)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206E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(1.592)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CBD8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(1.270)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D392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D410E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7471BD">
              <w:rPr>
                <w:rFonts w:ascii="Arial" w:hAnsi="Arial" w:cs="Arial"/>
                <w:sz w:val="15"/>
                <w:szCs w:val="15"/>
              </w:rPr>
              <w:t>15,9%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5BF0F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7471BD">
              <w:rPr>
                <w:rFonts w:ascii="Arial" w:hAnsi="Arial" w:cs="Arial"/>
                <w:sz w:val="15"/>
                <w:szCs w:val="15"/>
              </w:rPr>
              <w:t>45,3%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576D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D39B42E" w14:textId="77777777" w:rsidR="007471BD" w:rsidRPr="007471BD" w:rsidRDefault="007471BD" w:rsidP="0031552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(6.256)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42C6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(5.372)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5548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CA392" w14:textId="77777777" w:rsidR="007471BD" w:rsidRPr="007471BD" w:rsidRDefault="007471BD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>16,5%</w:t>
            </w:r>
          </w:p>
        </w:tc>
      </w:tr>
      <w:tr w:rsidR="007471BD" w:rsidRPr="007471BD" w14:paraId="1F3FD5FD" w14:textId="77777777" w:rsidTr="00132087">
        <w:trPr>
          <w:trHeight w:val="20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DF5A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>Compartilhamento de Instalações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4A564933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(952)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0AA2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(504)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D248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(951)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B726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4FFFA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7471BD">
              <w:rPr>
                <w:rFonts w:ascii="Arial" w:hAnsi="Arial" w:cs="Arial"/>
                <w:sz w:val="15"/>
                <w:szCs w:val="15"/>
              </w:rPr>
              <w:t>88,9%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CE521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7471BD">
              <w:rPr>
                <w:rFonts w:ascii="Arial" w:hAnsi="Arial" w:cs="Arial"/>
                <w:sz w:val="15"/>
                <w:szCs w:val="15"/>
              </w:rPr>
              <w:t>0,1%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C527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96E62C6" w14:textId="77777777" w:rsidR="007471BD" w:rsidRPr="007471BD" w:rsidRDefault="007471BD" w:rsidP="0031552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(3.877)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3EA4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(3.803)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E4F5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F5A81" w14:textId="77777777" w:rsidR="007471BD" w:rsidRPr="007471BD" w:rsidRDefault="007471BD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>1,9%</w:t>
            </w:r>
          </w:p>
        </w:tc>
      </w:tr>
      <w:tr w:rsidR="007471BD" w:rsidRPr="007471BD" w14:paraId="1A738E34" w14:textId="77777777" w:rsidTr="00132087">
        <w:trPr>
          <w:trHeight w:val="20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1D8E" w14:textId="60F4B532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>PECLD</w:t>
            </w:r>
            <w:r w:rsidR="00132087">
              <w:rPr>
                <w:rStyle w:val="Refdenotaderodap"/>
                <w:rFonts w:ascii="Arial" w:hAnsi="Arial" w:cs="Arial"/>
                <w:color w:val="000000"/>
                <w:sz w:val="15"/>
                <w:szCs w:val="15"/>
              </w:rPr>
              <w:footnoteReference w:id="3"/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8D7B7D7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(1.415)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7246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(931)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9FA0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(831)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9FCF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78438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7471BD">
              <w:rPr>
                <w:rFonts w:ascii="Arial" w:hAnsi="Arial" w:cs="Arial"/>
                <w:sz w:val="15"/>
                <w:szCs w:val="15"/>
              </w:rPr>
              <w:t>52,0%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81EC6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7471BD">
              <w:rPr>
                <w:rFonts w:ascii="Arial" w:hAnsi="Arial" w:cs="Arial"/>
                <w:sz w:val="15"/>
                <w:szCs w:val="15"/>
              </w:rPr>
              <w:t>70,3%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883E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224852C" w14:textId="77777777" w:rsidR="007471BD" w:rsidRPr="007471BD" w:rsidRDefault="007471BD" w:rsidP="0031552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(2.807)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A9E0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(2.752)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B564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58DF4" w14:textId="77777777" w:rsidR="007471BD" w:rsidRPr="007471BD" w:rsidRDefault="007471BD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>2,0%</w:t>
            </w:r>
          </w:p>
        </w:tc>
      </w:tr>
      <w:tr w:rsidR="007471BD" w:rsidRPr="007471BD" w14:paraId="198FFC0B" w14:textId="77777777" w:rsidTr="00132087">
        <w:trPr>
          <w:trHeight w:val="20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1C15" w14:textId="458AC56F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>PISP</w:t>
            </w:r>
            <w:r w:rsidR="00132087">
              <w:rPr>
                <w:rStyle w:val="Refdenotaderodap"/>
                <w:rFonts w:ascii="Arial" w:hAnsi="Arial" w:cs="Arial"/>
                <w:color w:val="000000"/>
                <w:sz w:val="15"/>
                <w:szCs w:val="15"/>
              </w:rPr>
              <w:footnoteReference w:id="4"/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3F93E81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(848)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8B6C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(191)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5653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324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6872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3C365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7471BD">
              <w:rPr>
                <w:rFonts w:ascii="Arial" w:hAnsi="Arial" w:cs="Arial"/>
                <w:sz w:val="15"/>
                <w:szCs w:val="15"/>
              </w:rPr>
              <w:t>344,0%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BB555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7471BD">
              <w:rPr>
                <w:rFonts w:ascii="Arial" w:hAnsi="Arial" w:cs="Arial"/>
                <w:sz w:val="15"/>
                <w:szCs w:val="15"/>
              </w:rPr>
              <w:t>-361,7%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6E32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F5858B7" w14:textId="77777777" w:rsidR="007471BD" w:rsidRPr="007471BD" w:rsidRDefault="007471BD" w:rsidP="0031552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(1.733)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5B8A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(411)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AF19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E368F" w14:textId="77777777" w:rsidR="007471BD" w:rsidRPr="007471BD" w:rsidRDefault="007471BD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>321,7%</w:t>
            </w:r>
          </w:p>
        </w:tc>
      </w:tr>
      <w:tr w:rsidR="007471BD" w:rsidRPr="007471BD" w14:paraId="59BC132C" w14:textId="77777777" w:rsidTr="00132087">
        <w:trPr>
          <w:trHeight w:val="20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01A5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Materiais 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7DCF400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   (7)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94C4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   (5)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0B48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(52)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882C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2D09C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7471BD">
              <w:rPr>
                <w:rFonts w:ascii="Arial" w:hAnsi="Arial" w:cs="Arial"/>
                <w:sz w:val="15"/>
                <w:szCs w:val="15"/>
              </w:rPr>
              <w:t>40,0%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9B53C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7471BD">
              <w:rPr>
                <w:rFonts w:ascii="Arial" w:hAnsi="Arial" w:cs="Arial"/>
                <w:sz w:val="15"/>
                <w:szCs w:val="15"/>
              </w:rPr>
              <w:t>-86,5%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79FE" w14:textId="77777777" w:rsidR="007471BD" w:rsidRPr="007471BD" w:rsidRDefault="007471BD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406CBC8" w14:textId="77777777" w:rsidR="007471BD" w:rsidRPr="007471BD" w:rsidRDefault="007471BD" w:rsidP="0031552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(76)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8E94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(809)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6BDB" w14:textId="77777777" w:rsidR="007471BD" w:rsidRPr="007471BD" w:rsidRDefault="007471B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C6ADB" w14:textId="77777777" w:rsidR="007471BD" w:rsidRPr="007471BD" w:rsidRDefault="007471BD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471BD">
              <w:rPr>
                <w:rFonts w:ascii="Arial" w:hAnsi="Arial" w:cs="Arial"/>
                <w:color w:val="000000"/>
                <w:sz w:val="15"/>
                <w:szCs w:val="15"/>
              </w:rPr>
              <w:t>-90,6%</w:t>
            </w:r>
          </w:p>
        </w:tc>
      </w:tr>
      <w:tr w:rsidR="007471BD" w:rsidRPr="007471BD" w14:paraId="414FEF51" w14:textId="77777777" w:rsidTr="00132087">
        <w:trPr>
          <w:trHeight w:val="21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3860FE" w14:textId="77777777" w:rsidR="007471BD" w:rsidRPr="007471BD" w:rsidRDefault="007471BD">
            <w:pP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7471BD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Total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0EDBA3A" w14:textId="77777777" w:rsidR="007471BD" w:rsidRPr="007471BD" w:rsidRDefault="007471BD">
            <w:pP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7471BD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(153.415)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0E27A0" w14:textId="77777777" w:rsidR="007471BD" w:rsidRPr="007471BD" w:rsidRDefault="007471BD">
            <w:pP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7471BD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(124.099)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912F5D2" w14:textId="77777777" w:rsidR="007471BD" w:rsidRPr="007471BD" w:rsidRDefault="007471BD">
            <w:pP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7471BD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(123.531)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6B2E" w14:textId="77777777" w:rsidR="007471BD" w:rsidRPr="007471BD" w:rsidRDefault="007471BD">
            <w:pP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6BB5A125" w14:textId="77777777" w:rsidR="007471BD" w:rsidRPr="007471BD" w:rsidRDefault="007471BD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7471BD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23,6%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31F3F5B0" w14:textId="77777777" w:rsidR="007471BD" w:rsidRPr="007471BD" w:rsidRDefault="007471BD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7471BD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24,2%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347B" w14:textId="77777777" w:rsidR="007471BD" w:rsidRPr="007471BD" w:rsidRDefault="007471BD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5B40D3" w14:textId="77777777" w:rsidR="007471BD" w:rsidRPr="007471BD" w:rsidRDefault="007471BD" w:rsidP="0031552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7471BD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(519.739)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CD2DF74" w14:textId="77777777" w:rsidR="007471BD" w:rsidRPr="007471BD" w:rsidRDefault="007471BD">
            <w:pP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7471BD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(483.668)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4831" w14:textId="77777777" w:rsidR="007471BD" w:rsidRPr="007471BD" w:rsidRDefault="007471BD">
            <w:pP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74858518" w14:textId="77777777" w:rsidR="007471BD" w:rsidRPr="007471BD" w:rsidRDefault="007471BD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7471BD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7,5%</w:t>
            </w:r>
          </w:p>
        </w:tc>
      </w:tr>
    </w:tbl>
    <w:p w14:paraId="3597A1CD" w14:textId="284ABEB1" w:rsidR="00BA3AA6" w:rsidRDefault="00BA3AA6" w:rsidP="00110433">
      <w:pPr>
        <w:jc w:val="both"/>
        <w:rPr>
          <w:rStyle w:val="RefernciaIntensa"/>
          <w:rFonts w:ascii="Arial" w:hAnsi="Arial" w:cs="Arial"/>
          <w:color w:val="auto"/>
        </w:rPr>
      </w:pPr>
    </w:p>
    <w:p w14:paraId="618B2AB7" w14:textId="1BAC84FB" w:rsidR="0009368F" w:rsidRDefault="0009368F" w:rsidP="0009368F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 xml:space="preserve">Evolução </w:t>
      </w:r>
      <w:r w:rsidR="002B4A6F">
        <w:rPr>
          <w:rStyle w:val="RefernciaIntensa"/>
          <w:rFonts w:ascii="Arial" w:hAnsi="Arial" w:cs="Arial"/>
          <w:color w:val="auto"/>
        </w:rPr>
        <w:t>20</w:t>
      </w:r>
      <w:r w:rsidR="00B14C2D">
        <w:rPr>
          <w:rStyle w:val="RefernciaIntensa"/>
          <w:rFonts w:ascii="Arial" w:hAnsi="Arial" w:cs="Arial"/>
          <w:color w:val="auto"/>
        </w:rPr>
        <w:t>24</w:t>
      </w:r>
      <w:r w:rsidRPr="00EF72EC">
        <w:rPr>
          <w:rStyle w:val="RefernciaIntensa"/>
          <w:rFonts w:ascii="Arial" w:hAnsi="Arial" w:cs="Arial"/>
          <w:color w:val="auto"/>
        </w:rPr>
        <w:t xml:space="preserve"> – </w:t>
      </w:r>
      <w:r w:rsidR="002B4A6F">
        <w:rPr>
          <w:rStyle w:val="RefernciaIntensa"/>
          <w:rFonts w:ascii="Arial" w:hAnsi="Arial" w:cs="Arial"/>
          <w:color w:val="auto"/>
        </w:rPr>
        <w:t>20</w:t>
      </w:r>
      <w:r w:rsidR="00B14C2D">
        <w:rPr>
          <w:rStyle w:val="RefernciaIntensa"/>
          <w:rFonts w:ascii="Arial" w:hAnsi="Arial" w:cs="Arial"/>
          <w:color w:val="auto"/>
        </w:rPr>
        <w:t>25</w:t>
      </w:r>
      <w:r w:rsidR="008D22C9" w:rsidRPr="00EF72EC">
        <w:rPr>
          <w:rStyle w:val="RefernciaIntensa"/>
          <w:rFonts w:ascii="Arial" w:hAnsi="Arial" w:cs="Arial"/>
          <w:color w:val="auto"/>
        </w:rPr>
        <w:t xml:space="preserve"> - R$ mil</w:t>
      </w:r>
      <w:r w:rsidR="0005053E">
        <w:rPr>
          <w:rStyle w:val="Refdenotaderodap"/>
          <w:rFonts w:ascii="Arial" w:hAnsi="Arial" w:cs="Arial"/>
          <w:b/>
          <w:bCs/>
          <w:smallCaps/>
          <w:spacing w:val="5"/>
          <w:u w:val="single"/>
        </w:rPr>
        <w:footnoteReference w:id="5"/>
      </w:r>
    </w:p>
    <w:p w14:paraId="483C4411" w14:textId="57614D22" w:rsidR="003B6398" w:rsidRDefault="003B6398" w:rsidP="0009368F">
      <w:pPr>
        <w:rPr>
          <w:rStyle w:val="RefernciaIntensa"/>
          <w:rFonts w:ascii="Arial" w:hAnsi="Arial" w:cs="Arial"/>
          <w:color w:val="auto"/>
        </w:rPr>
      </w:pPr>
    </w:p>
    <w:p w14:paraId="00B2FEE7" w14:textId="47D10314" w:rsidR="009C7E9F" w:rsidRDefault="009C7E9F" w:rsidP="0009368F">
      <w:pPr>
        <w:rPr>
          <w:rStyle w:val="RefernciaIntensa"/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386FE876" wp14:editId="62C9B2BE">
            <wp:extent cx="6477000" cy="1758950"/>
            <wp:effectExtent l="0" t="0" r="0" b="0"/>
            <wp:docPr id="150268052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1C8062C" w14:textId="77777777" w:rsidR="00A57947" w:rsidRDefault="00A57947" w:rsidP="008C66F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F1C3FB8" w14:textId="6AD6E97B" w:rsidR="008C66F1" w:rsidRDefault="008C66F1" w:rsidP="008C66F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66F1">
        <w:rPr>
          <w:rFonts w:ascii="Arial" w:hAnsi="Arial" w:cs="Arial"/>
          <w:color w:val="000000"/>
          <w:sz w:val="22"/>
          <w:szCs w:val="22"/>
        </w:rPr>
        <w:t>Os Custos e Despesas Operacionais (exceto Depreciação e Amortização) totalizaram R$ 153,4 milhões no 4T25, representando um crescimento de 23,6% em comparação ao 4T24 (R$ 124,1 milhões). Em relação ao 3T25, houve aumento de 24,2%. Esse incremento entre os trimestres é explicado, principalmente, pelo reconhecimento da taxa de instalação de meios de conexão, no montante de R$ 12,8 milhões, conforme previsto no contrato de swap celebrado com a operadora TIM.</w:t>
      </w:r>
    </w:p>
    <w:p w14:paraId="1711FE52" w14:textId="77777777" w:rsidR="008C66F1" w:rsidRPr="008C66F1" w:rsidRDefault="008C66F1" w:rsidP="008C66F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9C56257" w14:textId="77777777" w:rsidR="008C66F1" w:rsidRPr="008C66F1" w:rsidRDefault="008C66F1" w:rsidP="008C66F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66F1">
        <w:rPr>
          <w:rFonts w:ascii="Arial" w:hAnsi="Arial" w:cs="Arial"/>
          <w:color w:val="000000"/>
          <w:sz w:val="22"/>
          <w:szCs w:val="22"/>
        </w:rPr>
        <w:t>No acumulado de 2025, esses custos e despesas somaram R$ 519,7 milhões, ante R$ 483,7 milhões registrados em 2024, o que corresponde a um aumento de 7,5% na comparação anual.</w:t>
      </w:r>
    </w:p>
    <w:p w14:paraId="747AB9E4" w14:textId="77777777" w:rsidR="00BB21AC" w:rsidRPr="00EB623F" w:rsidRDefault="00BB21AC" w:rsidP="004314D2">
      <w:pPr>
        <w:jc w:val="both"/>
        <w:rPr>
          <w:rFonts w:ascii="Arial" w:hAnsi="Arial" w:cs="Arial"/>
          <w:sz w:val="22"/>
          <w:szCs w:val="22"/>
        </w:rPr>
      </w:pPr>
    </w:p>
    <w:p w14:paraId="46018B40" w14:textId="1C2E6B65" w:rsidR="00F73A36" w:rsidRDefault="00F73A36" w:rsidP="00F73A3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B623F">
        <w:rPr>
          <w:rFonts w:ascii="Arial" w:hAnsi="Arial" w:cs="Arial"/>
          <w:color w:val="000000"/>
          <w:sz w:val="22"/>
          <w:szCs w:val="22"/>
        </w:rPr>
        <w:t>As principais ocorrências no período referente</w:t>
      </w:r>
      <w:r w:rsidR="00E455E5" w:rsidRPr="00EB623F">
        <w:rPr>
          <w:rFonts w:ascii="Arial" w:hAnsi="Arial" w:cs="Arial"/>
          <w:color w:val="000000"/>
          <w:sz w:val="22"/>
          <w:szCs w:val="22"/>
        </w:rPr>
        <w:t>s</w:t>
      </w:r>
      <w:r w:rsidRPr="00EB623F">
        <w:rPr>
          <w:rFonts w:ascii="Arial" w:hAnsi="Arial" w:cs="Arial"/>
          <w:color w:val="000000"/>
          <w:sz w:val="22"/>
          <w:szCs w:val="22"/>
        </w:rPr>
        <w:t xml:space="preserve"> aos itens de Custos e Despesas Operacionais foram as seguintes:</w:t>
      </w:r>
    </w:p>
    <w:p w14:paraId="3BDACFD8" w14:textId="77777777" w:rsidR="00566FB7" w:rsidRPr="00EB623F" w:rsidRDefault="00566FB7" w:rsidP="00F73A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0116BAC" w14:textId="0B40E4E0" w:rsidR="005607BC" w:rsidRDefault="00861AF0" w:rsidP="00560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623F">
        <w:rPr>
          <w:rStyle w:val="RefernciaIntensa"/>
          <w:rFonts w:ascii="Arial" w:hAnsi="Arial" w:cs="Arial"/>
          <w:color w:val="auto"/>
          <w:sz w:val="22"/>
          <w:szCs w:val="22"/>
          <w:u w:val="none"/>
        </w:rPr>
        <w:t xml:space="preserve">Meios de Conexão e Transmissão: </w:t>
      </w:r>
      <w:r w:rsidR="005607BC" w:rsidRPr="005607BC">
        <w:rPr>
          <w:rFonts w:ascii="Arial" w:hAnsi="Arial" w:cs="Arial"/>
          <w:sz w:val="22"/>
          <w:szCs w:val="22"/>
        </w:rPr>
        <w:t xml:space="preserve">Em 2025, os custos de conexão e transmissão apresentaram aumento de 26,1%, totalizando R$ 170,4 milhões, ante R$ 135,1 milhões registrados em 2024. Os principais componentes dessa linha são os custos com Exploração Industrial de Linha Dedicada (EILD – última milha) e com Backbone, que registraram elevações de 35,8% e 0,5%, respectivamente, na comparação anual. O aumento de 35,8% nos custos de EILD reflete a contratação de </w:t>
      </w:r>
      <w:r w:rsidR="0040636C">
        <w:rPr>
          <w:rFonts w:ascii="Arial" w:hAnsi="Arial" w:cs="Arial"/>
          <w:sz w:val="22"/>
          <w:szCs w:val="22"/>
        </w:rPr>
        <w:t>serviços conexão</w:t>
      </w:r>
      <w:r w:rsidR="005607BC" w:rsidRPr="005607BC">
        <w:rPr>
          <w:rFonts w:ascii="Arial" w:hAnsi="Arial" w:cs="Arial"/>
          <w:sz w:val="22"/>
          <w:szCs w:val="22"/>
        </w:rPr>
        <w:t xml:space="preserve"> satelital para atender às demandas de serviços da Telebras.</w:t>
      </w:r>
    </w:p>
    <w:p w14:paraId="0C965B60" w14:textId="77777777" w:rsidR="005607BC" w:rsidRPr="005607BC" w:rsidRDefault="005607BC" w:rsidP="00560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5C47BA" w14:textId="77777777" w:rsidR="005607BC" w:rsidRDefault="005607BC" w:rsidP="00560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07BC">
        <w:rPr>
          <w:rFonts w:ascii="Arial" w:hAnsi="Arial" w:cs="Arial"/>
          <w:sz w:val="22"/>
          <w:szCs w:val="22"/>
        </w:rPr>
        <w:t>Adicionalmente, contribuiu para o crescimento desses custos o reconhecimento da taxa de instalação de meios de conexão, no valor de R$ 12,8 milhões, relacionada ao contrato de swap firmado com a operadora TIM.</w:t>
      </w:r>
    </w:p>
    <w:p w14:paraId="433ACACE" w14:textId="77777777" w:rsidR="005607BC" w:rsidRPr="005607BC" w:rsidRDefault="005607BC" w:rsidP="00560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3884C8" w14:textId="77777777" w:rsidR="005607BC" w:rsidRPr="005607BC" w:rsidRDefault="005607BC" w:rsidP="005607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07BC">
        <w:rPr>
          <w:rFonts w:ascii="Arial" w:hAnsi="Arial" w:cs="Arial"/>
          <w:sz w:val="22"/>
          <w:szCs w:val="22"/>
        </w:rPr>
        <w:t>De modo geral, o comportamento dessa linha evidencia sobretudo o aumento dos gastos associados ao acesso de última milha — que representa parcela significativa dos custos operacionais da companhia — enquanto os custos de Backbone permaneceram relativamente estáveis ao longo do período.</w:t>
      </w:r>
    </w:p>
    <w:p w14:paraId="3D316E23" w14:textId="77777777" w:rsidR="000C2F0D" w:rsidRPr="008D0113" w:rsidRDefault="000C2F0D" w:rsidP="00407AE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09AF6B" w14:textId="471F870D" w:rsidR="00C10725" w:rsidRPr="00C10725" w:rsidRDefault="006F2615" w:rsidP="00C107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623F">
        <w:rPr>
          <w:rStyle w:val="RefernciaIntensa"/>
          <w:rFonts w:ascii="Arial" w:hAnsi="Arial" w:cs="Arial"/>
          <w:color w:val="auto"/>
          <w:sz w:val="22"/>
          <w:szCs w:val="22"/>
          <w:u w:val="none"/>
        </w:rPr>
        <w:t xml:space="preserve">Pessoal: </w:t>
      </w:r>
      <w:r w:rsidR="00C10725" w:rsidRPr="002770A5">
        <w:rPr>
          <w:rStyle w:val="RefernciaIntensa"/>
          <w:rFonts w:ascii="Arial" w:hAnsi="Arial" w:cs="Arial"/>
          <w:b w:val="0"/>
          <w:bCs w:val="0"/>
          <w:color w:val="auto"/>
          <w:sz w:val="22"/>
          <w:szCs w:val="22"/>
          <w:u w:val="none"/>
        </w:rPr>
        <w:t>Em 2025, o</w:t>
      </w:r>
      <w:r w:rsidR="00C10725" w:rsidRPr="002770A5">
        <w:rPr>
          <w:rFonts w:ascii="Arial" w:hAnsi="Arial" w:cs="Arial"/>
          <w:sz w:val="22"/>
          <w:szCs w:val="22"/>
        </w:rPr>
        <w:t>s custos e despesas com Pessoal apresentaram um aumento de 7,5% em 2025, em relação ao mesmo período do ano anterior</w:t>
      </w:r>
      <w:r w:rsidR="00C10725" w:rsidRPr="00C10725">
        <w:rPr>
          <w:rFonts w:ascii="Arial" w:hAnsi="Arial" w:cs="Arial"/>
          <w:sz w:val="22"/>
          <w:szCs w:val="22"/>
        </w:rPr>
        <w:t>. Esse acréscimo resulta, principalmente, dos seguintes fatores:</w:t>
      </w:r>
      <w:r w:rsidR="00C10725" w:rsidRPr="00C10725">
        <w:rPr>
          <w:rFonts w:ascii="Arial" w:hAnsi="Arial" w:cs="Arial"/>
          <w:sz w:val="22"/>
          <w:szCs w:val="22"/>
        </w:rPr>
        <w:br/>
        <w:t>i) concessão de promoções decorrentes do processo anual de avaliação de desempenho dos colaboradores;</w:t>
      </w:r>
      <w:r w:rsidR="00C10725" w:rsidRPr="00C10725">
        <w:rPr>
          <w:rFonts w:ascii="Arial" w:hAnsi="Arial" w:cs="Arial"/>
          <w:sz w:val="22"/>
          <w:szCs w:val="22"/>
        </w:rPr>
        <w:br/>
      </w:r>
      <w:proofErr w:type="spellStart"/>
      <w:r w:rsidR="00C10725" w:rsidRPr="00C10725">
        <w:rPr>
          <w:rFonts w:ascii="Arial" w:hAnsi="Arial" w:cs="Arial"/>
          <w:sz w:val="22"/>
          <w:szCs w:val="22"/>
        </w:rPr>
        <w:t>ii</w:t>
      </w:r>
      <w:proofErr w:type="spellEnd"/>
      <w:r w:rsidR="00C10725" w:rsidRPr="00C10725">
        <w:rPr>
          <w:rFonts w:ascii="Arial" w:hAnsi="Arial" w:cs="Arial"/>
          <w:sz w:val="22"/>
          <w:szCs w:val="22"/>
        </w:rPr>
        <w:t>) reposição das perdas salariais estabelecida pelo acordo coletivo vigente;</w:t>
      </w:r>
      <w:r w:rsidR="00C10725">
        <w:rPr>
          <w:rFonts w:ascii="Arial" w:hAnsi="Arial" w:cs="Arial"/>
          <w:sz w:val="22"/>
          <w:szCs w:val="22"/>
        </w:rPr>
        <w:t xml:space="preserve"> </w:t>
      </w:r>
      <w:r w:rsidR="00C10725" w:rsidRPr="00C10725">
        <w:rPr>
          <w:rFonts w:ascii="Arial" w:hAnsi="Arial" w:cs="Arial"/>
          <w:sz w:val="22"/>
          <w:szCs w:val="22"/>
        </w:rPr>
        <w:t>e</w:t>
      </w:r>
      <w:r w:rsidR="00803A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0725" w:rsidRPr="00C10725">
        <w:rPr>
          <w:rFonts w:ascii="Arial" w:hAnsi="Arial" w:cs="Arial"/>
          <w:sz w:val="22"/>
          <w:szCs w:val="22"/>
        </w:rPr>
        <w:t>iii</w:t>
      </w:r>
      <w:proofErr w:type="spellEnd"/>
      <w:r w:rsidR="00C10725" w:rsidRPr="00C10725">
        <w:rPr>
          <w:rFonts w:ascii="Arial" w:hAnsi="Arial" w:cs="Arial"/>
          <w:sz w:val="22"/>
          <w:szCs w:val="22"/>
        </w:rPr>
        <w:t>) aumento do quadro de colaboradores.</w:t>
      </w:r>
    </w:p>
    <w:p w14:paraId="79EB3193" w14:textId="77777777" w:rsidR="00B42347" w:rsidRPr="00FE62D9" w:rsidRDefault="00B42347" w:rsidP="008D2126">
      <w:pPr>
        <w:jc w:val="both"/>
        <w:rPr>
          <w:rFonts w:ascii="Arial" w:hAnsi="Arial" w:cs="Arial"/>
          <w:sz w:val="22"/>
          <w:szCs w:val="22"/>
        </w:rPr>
      </w:pPr>
    </w:p>
    <w:p w14:paraId="1092DE6D" w14:textId="04501F4B" w:rsidR="002770A5" w:rsidRPr="00040B27" w:rsidRDefault="005E7E88" w:rsidP="002770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623F">
        <w:rPr>
          <w:rStyle w:val="RefernciaIntensa"/>
          <w:rFonts w:ascii="Arial" w:hAnsi="Arial" w:cs="Arial"/>
          <w:color w:val="auto"/>
          <w:sz w:val="22"/>
          <w:szCs w:val="22"/>
          <w:u w:val="none"/>
        </w:rPr>
        <w:t>Serviços de Terceiros:</w:t>
      </w:r>
      <w:r w:rsidR="009361A4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Hlk78376653"/>
      <w:r w:rsidR="002770A5" w:rsidRPr="00040B27">
        <w:rPr>
          <w:rFonts w:ascii="Arial" w:hAnsi="Arial" w:cs="Arial"/>
          <w:sz w:val="22"/>
          <w:szCs w:val="22"/>
        </w:rPr>
        <w:t>Os custos e despesas com Serviços de Terceiros apresentaram redução de 11,9% em 2025, quando comparados ao mesmo período de 2024. Essa diminuição decorre, principalmente, da redução dos gastos relacionados à manutenção da planta terrestre e satelital, bem como da queda nos custos e despesas com manutenção de hardware e softwares vinculados às áreas de operação e administração. Tal movimento reflete, sobretudo, os efeitos do reconhecimento</w:t>
      </w:r>
      <w:r w:rsidR="002770A5">
        <w:rPr>
          <w:rFonts w:ascii="Arial" w:hAnsi="Arial" w:cs="Arial"/>
          <w:sz w:val="22"/>
          <w:szCs w:val="22"/>
        </w:rPr>
        <w:t>/reversão</w:t>
      </w:r>
      <w:r w:rsidR="002770A5" w:rsidRPr="00040B27">
        <w:rPr>
          <w:rFonts w:ascii="Arial" w:hAnsi="Arial" w:cs="Arial"/>
          <w:sz w:val="22"/>
          <w:szCs w:val="22"/>
        </w:rPr>
        <w:t xml:space="preserve"> de provisões e do encerramento de contratos ao longo do exercício.</w:t>
      </w:r>
    </w:p>
    <w:p w14:paraId="4A78CE8C" w14:textId="6D6BACD3" w:rsidR="00B503AA" w:rsidRDefault="00B503AA" w:rsidP="002770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End w:id="0"/>
    <w:p w14:paraId="40BEDC2B" w14:textId="0C4A2328" w:rsidR="002770A5" w:rsidRPr="006F6D11" w:rsidRDefault="00326AA6" w:rsidP="002770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623F">
        <w:rPr>
          <w:rFonts w:ascii="Arial" w:hAnsi="Arial" w:cs="Arial"/>
          <w:b/>
          <w:smallCaps/>
          <w:color w:val="000000"/>
          <w:sz w:val="22"/>
          <w:szCs w:val="22"/>
        </w:rPr>
        <w:t>Alugu</w:t>
      </w:r>
      <w:r w:rsidR="00F73C76" w:rsidRPr="00EB623F">
        <w:rPr>
          <w:rFonts w:ascii="Arial" w:hAnsi="Arial" w:cs="Arial"/>
          <w:b/>
          <w:smallCaps/>
          <w:color w:val="000000"/>
          <w:sz w:val="22"/>
          <w:szCs w:val="22"/>
        </w:rPr>
        <w:t>é</w:t>
      </w:r>
      <w:r w:rsidRPr="00EB623F">
        <w:rPr>
          <w:rFonts w:ascii="Arial" w:hAnsi="Arial" w:cs="Arial"/>
          <w:b/>
          <w:smallCaps/>
          <w:color w:val="000000"/>
          <w:sz w:val="22"/>
          <w:szCs w:val="22"/>
        </w:rPr>
        <w:t xml:space="preserve">is, Locações e Seguros: </w:t>
      </w:r>
      <w:r w:rsidR="002770A5" w:rsidRPr="00CC63D2">
        <w:rPr>
          <w:rFonts w:ascii="Arial" w:hAnsi="Arial" w:cs="Arial"/>
          <w:sz w:val="22"/>
          <w:szCs w:val="22"/>
        </w:rPr>
        <w:t xml:space="preserve">A rubrica apresentou um aumento de 22,9% na comparação com o </w:t>
      </w:r>
      <w:r w:rsidR="002770A5">
        <w:rPr>
          <w:rFonts w:ascii="Arial" w:hAnsi="Arial" w:cs="Arial"/>
          <w:sz w:val="22"/>
          <w:szCs w:val="22"/>
        </w:rPr>
        <w:t>exercício de 2024</w:t>
      </w:r>
      <w:r w:rsidR="002770A5" w:rsidRPr="00CC63D2">
        <w:rPr>
          <w:rFonts w:ascii="Arial" w:hAnsi="Arial" w:cs="Arial"/>
          <w:sz w:val="22"/>
          <w:szCs w:val="22"/>
        </w:rPr>
        <w:t>. Esse crescimento decorre, principalmente</w:t>
      </w:r>
      <w:r w:rsidR="002770A5">
        <w:rPr>
          <w:rFonts w:ascii="Arial" w:hAnsi="Arial" w:cs="Arial"/>
          <w:sz w:val="22"/>
          <w:szCs w:val="22"/>
        </w:rPr>
        <w:t xml:space="preserve"> da </w:t>
      </w:r>
      <w:r w:rsidR="002770A5" w:rsidRPr="00CC63D2">
        <w:rPr>
          <w:rFonts w:ascii="Arial" w:hAnsi="Arial" w:cs="Arial"/>
          <w:sz w:val="22"/>
          <w:szCs w:val="22"/>
        </w:rPr>
        <w:t xml:space="preserve">elevação dos custos de locação dos equipamentos </w:t>
      </w:r>
      <w:r w:rsidR="002770A5">
        <w:rPr>
          <w:rFonts w:ascii="Arial" w:hAnsi="Arial" w:cs="Arial"/>
          <w:sz w:val="22"/>
          <w:szCs w:val="22"/>
        </w:rPr>
        <w:t xml:space="preserve">para conexão e operação satelital </w:t>
      </w:r>
      <w:r w:rsidR="002770A5" w:rsidRPr="00CC63D2">
        <w:rPr>
          <w:rFonts w:ascii="Arial" w:hAnsi="Arial" w:cs="Arial"/>
          <w:sz w:val="22"/>
          <w:szCs w:val="22"/>
        </w:rPr>
        <w:t>registrados no período</w:t>
      </w:r>
      <w:r w:rsidR="002770A5">
        <w:rPr>
          <w:rFonts w:ascii="Arial" w:hAnsi="Arial" w:cs="Arial"/>
          <w:sz w:val="22"/>
          <w:szCs w:val="22"/>
        </w:rPr>
        <w:t xml:space="preserve">, </w:t>
      </w:r>
      <w:r w:rsidR="002770A5" w:rsidRPr="006F6D11">
        <w:rPr>
          <w:rFonts w:ascii="Arial" w:hAnsi="Arial" w:cs="Arial"/>
          <w:sz w:val="22"/>
          <w:szCs w:val="22"/>
        </w:rPr>
        <w:t>em razão da contratação de outras operadoras de satélite para atendimento à</w:t>
      </w:r>
      <w:r w:rsidR="00BE6B37">
        <w:rPr>
          <w:rFonts w:ascii="Arial" w:hAnsi="Arial" w:cs="Arial"/>
          <w:sz w:val="22"/>
          <w:szCs w:val="22"/>
        </w:rPr>
        <w:t>s</w:t>
      </w:r>
      <w:r w:rsidR="002770A5" w:rsidRPr="006F6D11">
        <w:rPr>
          <w:rFonts w:ascii="Arial" w:hAnsi="Arial" w:cs="Arial"/>
          <w:sz w:val="22"/>
          <w:szCs w:val="22"/>
        </w:rPr>
        <w:t xml:space="preserve"> demanda</w:t>
      </w:r>
      <w:r w:rsidR="00BE6B37">
        <w:rPr>
          <w:rFonts w:ascii="Arial" w:hAnsi="Arial" w:cs="Arial"/>
          <w:sz w:val="22"/>
          <w:szCs w:val="22"/>
        </w:rPr>
        <w:t>s</w:t>
      </w:r>
      <w:r w:rsidR="002770A5" w:rsidRPr="006F6D11">
        <w:rPr>
          <w:rFonts w:ascii="Arial" w:hAnsi="Arial" w:cs="Arial"/>
          <w:sz w:val="22"/>
          <w:szCs w:val="22"/>
        </w:rPr>
        <w:t xml:space="preserve"> de serviços, além da Viasat.</w:t>
      </w:r>
    </w:p>
    <w:p w14:paraId="3F6C3440" w14:textId="7511239A" w:rsidR="00F4512A" w:rsidRDefault="00F4512A" w:rsidP="002770A5">
      <w:pPr>
        <w:jc w:val="both"/>
        <w:rPr>
          <w:rFonts w:ascii="Arial" w:hAnsi="Arial" w:cs="Arial"/>
          <w:sz w:val="22"/>
          <w:szCs w:val="22"/>
        </w:rPr>
      </w:pPr>
    </w:p>
    <w:p w14:paraId="79D779BD" w14:textId="77777777" w:rsidR="00803A45" w:rsidRDefault="00803A45" w:rsidP="002770A5">
      <w:pPr>
        <w:jc w:val="both"/>
        <w:rPr>
          <w:rFonts w:ascii="Arial" w:hAnsi="Arial" w:cs="Arial"/>
          <w:sz w:val="22"/>
          <w:szCs w:val="22"/>
        </w:rPr>
      </w:pPr>
    </w:p>
    <w:p w14:paraId="3D34354E" w14:textId="6FF02C0D" w:rsidR="00833923" w:rsidRDefault="001F1E30" w:rsidP="0082262A">
      <w:pPr>
        <w:jc w:val="both"/>
        <w:rPr>
          <w:rStyle w:val="RefernciaIntensa"/>
          <w:rFonts w:ascii="Arial" w:hAnsi="Arial" w:cs="Arial"/>
          <w:iCs/>
          <w:color w:val="auto"/>
        </w:rPr>
      </w:pPr>
      <w:r w:rsidRPr="006340E3">
        <w:rPr>
          <w:rStyle w:val="RefernciaIntensa"/>
          <w:rFonts w:ascii="Arial" w:hAnsi="Arial" w:cs="Arial"/>
          <w:iCs/>
          <w:color w:val="auto"/>
        </w:rPr>
        <w:t>D</w:t>
      </w:r>
      <w:r w:rsidR="00833923" w:rsidRPr="006340E3">
        <w:rPr>
          <w:rStyle w:val="RefernciaIntensa"/>
          <w:rFonts w:ascii="Arial" w:hAnsi="Arial" w:cs="Arial"/>
          <w:iCs/>
          <w:color w:val="auto"/>
        </w:rPr>
        <w:t xml:space="preserve">epreciação e </w:t>
      </w:r>
      <w:r w:rsidRPr="006340E3">
        <w:rPr>
          <w:rStyle w:val="RefernciaIntensa"/>
          <w:rFonts w:ascii="Arial" w:hAnsi="Arial" w:cs="Arial"/>
          <w:iCs/>
          <w:color w:val="auto"/>
        </w:rPr>
        <w:t>A</w:t>
      </w:r>
      <w:r w:rsidR="00833923" w:rsidRPr="006340E3">
        <w:rPr>
          <w:rStyle w:val="RefernciaIntensa"/>
          <w:rFonts w:ascii="Arial" w:hAnsi="Arial" w:cs="Arial"/>
          <w:iCs/>
          <w:color w:val="auto"/>
        </w:rPr>
        <w:t>mortização</w:t>
      </w:r>
    </w:p>
    <w:p w14:paraId="6BD6D419" w14:textId="470D6270" w:rsidR="00B83F7C" w:rsidRDefault="00B83F7C" w:rsidP="0082262A">
      <w:pPr>
        <w:jc w:val="both"/>
        <w:rPr>
          <w:rStyle w:val="RefernciaIntensa"/>
          <w:rFonts w:ascii="Arial" w:hAnsi="Arial" w:cs="Arial"/>
          <w:iCs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3"/>
        <w:gridCol w:w="975"/>
        <w:gridCol w:w="975"/>
        <w:gridCol w:w="975"/>
        <w:gridCol w:w="166"/>
        <w:gridCol w:w="627"/>
        <w:gridCol w:w="766"/>
        <w:gridCol w:w="166"/>
        <w:gridCol w:w="950"/>
        <w:gridCol w:w="950"/>
        <w:gridCol w:w="166"/>
        <w:gridCol w:w="719"/>
      </w:tblGrid>
      <w:tr w:rsidR="00164596" w14:paraId="52E67F85" w14:textId="77777777" w:rsidTr="00164596">
        <w:trPr>
          <w:trHeight w:val="220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D117" w14:textId="77777777" w:rsidR="00164596" w:rsidRDefault="00164596">
            <w:pPr>
              <w:rPr>
                <w:sz w:val="20"/>
                <w:szCs w:val="20"/>
              </w:rPr>
            </w:pPr>
          </w:p>
        </w:tc>
        <w:tc>
          <w:tcPr>
            <w:tcW w:w="2138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6F27F7" w14:textId="77777777" w:rsidR="00164596" w:rsidRDefault="001645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E294" w14:textId="77777777" w:rsidR="00164596" w:rsidRDefault="0016459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3C48" w14:textId="77777777" w:rsidR="00164596" w:rsidRDefault="00164596">
            <w:pPr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5B05" w14:textId="77777777" w:rsidR="00164596" w:rsidRDefault="00164596">
            <w:pPr>
              <w:rPr>
                <w:sz w:val="20"/>
                <w:szCs w:val="20"/>
              </w:rPr>
            </w:pPr>
          </w:p>
        </w:tc>
      </w:tr>
      <w:tr w:rsidR="00164596" w14:paraId="2008FBA7" w14:textId="77777777" w:rsidTr="00164596">
        <w:trPr>
          <w:trHeight w:val="40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EDB3" w14:textId="77777777" w:rsidR="00164596" w:rsidRDefault="0016459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EACE" w14:textId="77777777" w:rsidR="00164596" w:rsidRDefault="0016459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C78F" w14:textId="77777777" w:rsidR="00164596" w:rsidRDefault="0016459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BA47" w14:textId="77777777" w:rsidR="00164596" w:rsidRDefault="00164596">
            <w:pPr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FD0E" w14:textId="77777777" w:rsidR="00164596" w:rsidRDefault="00164596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AB99" w14:textId="77777777" w:rsidR="00164596" w:rsidRDefault="00164596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6D82F" w14:textId="77777777" w:rsidR="00164596" w:rsidRDefault="00164596">
            <w:pPr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677A" w14:textId="77777777" w:rsidR="00164596" w:rsidRDefault="00164596">
            <w:pPr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9C71" w14:textId="77777777" w:rsidR="00164596" w:rsidRDefault="00164596">
            <w:pPr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9543" w14:textId="77777777" w:rsidR="00164596" w:rsidRDefault="00164596">
            <w:pPr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E8A2" w14:textId="77777777" w:rsidR="00164596" w:rsidRDefault="00164596">
            <w:pPr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58A9" w14:textId="77777777" w:rsidR="00164596" w:rsidRDefault="00164596">
            <w:pPr>
              <w:rPr>
                <w:sz w:val="20"/>
                <w:szCs w:val="20"/>
              </w:rPr>
            </w:pPr>
          </w:p>
        </w:tc>
      </w:tr>
      <w:tr w:rsidR="00164596" w14:paraId="4440CA76" w14:textId="77777777" w:rsidTr="00164596">
        <w:trPr>
          <w:trHeight w:val="210"/>
        </w:trPr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AAE83F" w14:textId="77777777" w:rsidR="00164596" w:rsidRDefault="0016459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R$ mil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E9C83AB" w14:textId="77777777" w:rsidR="00164596" w:rsidRDefault="001645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4T25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573F53C" w14:textId="77777777" w:rsidR="00164596" w:rsidRDefault="001645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4T24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C93EEE3" w14:textId="77777777" w:rsidR="00164596" w:rsidRDefault="001645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3T25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707A" w14:textId="77777777" w:rsidR="00164596" w:rsidRDefault="001645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0D27D576" w14:textId="77777777" w:rsidR="00164596" w:rsidRDefault="001645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C34BAE0" w14:textId="77777777" w:rsidR="00164596" w:rsidRDefault="001645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Trim.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0742" w14:textId="77777777" w:rsidR="00164596" w:rsidRDefault="001645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90D2752" w14:textId="77777777" w:rsidR="00164596" w:rsidRDefault="001645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8AA6568" w14:textId="77777777" w:rsidR="00164596" w:rsidRDefault="001645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120D7" w14:textId="77777777" w:rsidR="00164596" w:rsidRDefault="001645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255E50B" w14:textId="77777777" w:rsidR="00164596" w:rsidRDefault="001645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</w:tr>
      <w:tr w:rsidR="00164596" w14:paraId="6D0D46C7" w14:textId="77777777" w:rsidTr="00164596">
        <w:trPr>
          <w:trHeight w:val="210"/>
        </w:trPr>
        <w:tc>
          <w:tcPr>
            <w:tcW w:w="1455" w:type="pct"/>
            <w:tcBorders>
              <w:top w:val="nil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04A3E730" w14:textId="77777777" w:rsidR="00164596" w:rsidRDefault="0016459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Depreciação e Amortização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66FFFF"/>
            <w:noWrap/>
            <w:vAlign w:val="bottom"/>
            <w:hideMark/>
          </w:tcPr>
          <w:p w14:paraId="1EE8D982" w14:textId="77777777" w:rsidR="00164596" w:rsidRDefault="00164596" w:rsidP="000F53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(64.696)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65ED0520" w14:textId="05516434" w:rsidR="00164596" w:rsidRDefault="00164596" w:rsidP="000F53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(69.45</w:t>
            </w:r>
            <w:r w:rsidR="00CC3D1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50EA7F9B" w14:textId="77777777" w:rsidR="00164596" w:rsidRDefault="00164596" w:rsidP="000F53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(69.063)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E3520" w14:textId="77777777" w:rsidR="00164596" w:rsidRDefault="00164596" w:rsidP="000F53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00FF"/>
              <w:right w:val="nil"/>
            </w:tcBorders>
            <w:vAlign w:val="center"/>
            <w:hideMark/>
          </w:tcPr>
          <w:p w14:paraId="3AB8E1F8" w14:textId="5CB4298B" w:rsidR="00164596" w:rsidRDefault="00164596" w:rsidP="000F53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-6,</w:t>
            </w:r>
            <w:r w:rsidR="00CC3D1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FF"/>
              <w:right w:val="nil"/>
            </w:tcBorders>
            <w:vAlign w:val="center"/>
            <w:hideMark/>
          </w:tcPr>
          <w:p w14:paraId="61C1BCA9" w14:textId="77777777" w:rsidR="00164596" w:rsidRDefault="00164596" w:rsidP="000F53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-6,3%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89DE" w14:textId="77777777" w:rsidR="00164596" w:rsidRDefault="00164596" w:rsidP="000F53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66FFFF"/>
            <w:noWrap/>
            <w:vAlign w:val="bottom"/>
            <w:hideMark/>
          </w:tcPr>
          <w:p w14:paraId="3208E7C2" w14:textId="77777777" w:rsidR="00164596" w:rsidRDefault="00164596" w:rsidP="000F53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(274.104)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1AAFDCB7" w14:textId="77777777" w:rsidR="00164596" w:rsidRDefault="00164596" w:rsidP="000F53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(270.044)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06C9" w14:textId="77777777" w:rsidR="00164596" w:rsidRDefault="00164596" w:rsidP="000F53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0000FF"/>
              <w:right w:val="nil"/>
            </w:tcBorders>
            <w:noWrap/>
            <w:vAlign w:val="bottom"/>
            <w:hideMark/>
          </w:tcPr>
          <w:p w14:paraId="5A183099" w14:textId="77777777" w:rsidR="00164596" w:rsidRDefault="00164596" w:rsidP="000F53C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1,5%</w:t>
            </w:r>
          </w:p>
        </w:tc>
      </w:tr>
    </w:tbl>
    <w:p w14:paraId="26FC74AC" w14:textId="77777777" w:rsidR="00164596" w:rsidRDefault="00164596" w:rsidP="0082262A">
      <w:pPr>
        <w:jc w:val="both"/>
        <w:rPr>
          <w:rStyle w:val="RefernciaIntensa"/>
          <w:iCs/>
          <w:color w:val="auto"/>
        </w:rPr>
      </w:pPr>
    </w:p>
    <w:p w14:paraId="3A789BBE" w14:textId="77777777" w:rsidR="00164596" w:rsidRPr="00551C50" w:rsidRDefault="00164596" w:rsidP="00164596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51C50">
        <w:rPr>
          <w:rFonts w:ascii="Arial" w:hAnsi="Arial" w:cs="Arial"/>
          <w:sz w:val="22"/>
          <w:szCs w:val="22"/>
        </w:rPr>
        <w:t xml:space="preserve">A rubrica de Depreciação e Amortização apresentou um aumento de </w:t>
      </w:r>
      <w:r>
        <w:rPr>
          <w:rFonts w:ascii="Arial" w:hAnsi="Arial" w:cs="Arial"/>
          <w:sz w:val="22"/>
          <w:szCs w:val="22"/>
        </w:rPr>
        <w:t>1,5</w:t>
      </w:r>
      <w:r w:rsidRPr="00551C50">
        <w:rPr>
          <w:rFonts w:ascii="Arial" w:hAnsi="Arial" w:cs="Arial"/>
          <w:sz w:val="22"/>
          <w:szCs w:val="22"/>
        </w:rPr>
        <w:t xml:space="preserve">% na comparação entre os exercícios de 2025 e 2024. Esse crescimento decorre, principalmente, das transferências de bens que estavam classificados na condição de “em andamento” e passaram para a condição de “em Serviço” ao longo desses períodos, passando assim a compor a base depreciável. </w:t>
      </w:r>
      <w:r w:rsidRPr="00551C50">
        <w:rPr>
          <w:rFonts w:ascii="Arial" w:hAnsi="Arial" w:cs="Arial"/>
          <w:color w:val="000000"/>
          <w:sz w:val="22"/>
          <w:szCs w:val="22"/>
        </w:rPr>
        <w:t>Esse efeito foi parcialmente compensado pelo incremento do número de ativos que atingiram a condição de totalmente depreciados, reduzindo o impacto líquido da despesa no exercício.</w:t>
      </w:r>
    </w:p>
    <w:p w14:paraId="0F4D1737" w14:textId="77777777" w:rsidR="00B47CDA" w:rsidRDefault="00B47CDA" w:rsidP="00AF691F">
      <w:pPr>
        <w:jc w:val="both"/>
        <w:rPr>
          <w:rStyle w:val="RefernciaIntensa"/>
          <w:rFonts w:ascii="Arial" w:hAnsi="Arial" w:cs="Arial"/>
          <w:color w:val="auto"/>
        </w:rPr>
      </w:pPr>
    </w:p>
    <w:p w14:paraId="0D5C8784" w14:textId="02BBF904" w:rsidR="00146A7D" w:rsidRDefault="00146A7D" w:rsidP="00AF691F">
      <w:pPr>
        <w:jc w:val="both"/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Resultado de Equivalência Patrimonial</w:t>
      </w:r>
    </w:p>
    <w:p w14:paraId="5F1DAADE" w14:textId="77777777" w:rsidR="00164596" w:rsidRDefault="00164596" w:rsidP="00AF691F">
      <w:pPr>
        <w:jc w:val="both"/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7"/>
        <w:gridCol w:w="923"/>
        <w:gridCol w:w="921"/>
        <w:gridCol w:w="921"/>
        <w:gridCol w:w="159"/>
        <w:gridCol w:w="747"/>
        <w:gridCol w:w="843"/>
        <w:gridCol w:w="159"/>
        <w:gridCol w:w="929"/>
        <w:gridCol w:w="950"/>
        <w:gridCol w:w="162"/>
        <w:gridCol w:w="747"/>
      </w:tblGrid>
      <w:tr w:rsidR="00CB2357" w14:paraId="4F22EB88" w14:textId="77777777" w:rsidTr="00CB2357">
        <w:trPr>
          <w:trHeight w:val="22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84C8" w14:textId="77777777" w:rsidR="00CB2357" w:rsidRDefault="00CB2357">
            <w:pPr>
              <w:rPr>
                <w:sz w:val="20"/>
                <w:szCs w:val="20"/>
              </w:rPr>
            </w:pPr>
          </w:p>
        </w:tc>
        <w:tc>
          <w:tcPr>
            <w:tcW w:w="2152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BDCC6A" w14:textId="77777777" w:rsidR="00CB2357" w:rsidRDefault="00CB235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DD97" w14:textId="77777777" w:rsidR="00CB2357" w:rsidRDefault="00CB235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D6F4" w14:textId="77777777" w:rsidR="00CB2357" w:rsidRDefault="00CB2357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1419" w14:textId="77777777" w:rsidR="00CB2357" w:rsidRDefault="00CB2357">
            <w:pPr>
              <w:rPr>
                <w:sz w:val="20"/>
                <w:szCs w:val="20"/>
              </w:rPr>
            </w:pPr>
          </w:p>
        </w:tc>
      </w:tr>
      <w:tr w:rsidR="00CB2357" w14:paraId="5061E6D9" w14:textId="77777777" w:rsidTr="00CB2357">
        <w:trPr>
          <w:trHeight w:val="9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2A231" w14:textId="77777777" w:rsidR="00CB2357" w:rsidRDefault="00CB2357">
            <w:pPr>
              <w:rPr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E6DA" w14:textId="77777777" w:rsidR="00CB2357" w:rsidRDefault="00CB2357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03C0" w14:textId="77777777" w:rsidR="00CB2357" w:rsidRDefault="00CB2357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AC54" w14:textId="77777777" w:rsidR="00CB2357" w:rsidRDefault="00CB2357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C23E" w14:textId="77777777" w:rsidR="00CB2357" w:rsidRDefault="00CB2357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B96A" w14:textId="77777777" w:rsidR="00CB2357" w:rsidRDefault="00CB2357">
            <w:pPr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EFDA" w14:textId="77777777" w:rsidR="00CB2357" w:rsidRDefault="00CB2357">
            <w:pPr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3798" w14:textId="77777777" w:rsidR="00CB2357" w:rsidRDefault="00CB2357">
            <w:pPr>
              <w:rPr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7AF1" w14:textId="77777777" w:rsidR="00CB2357" w:rsidRDefault="00CB2357">
            <w:pPr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3649" w14:textId="77777777" w:rsidR="00CB2357" w:rsidRDefault="00CB2357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53FB" w14:textId="77777777" w:rsidR="00CB2357" w:rsidRDefault="00CB2357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8645" w14:textId="77777777" w:rsidR="00CB2357" w:rsidRDefault="00CB2357">
            <w:pPr>
              <w:rPr>
                <w:sz w:val="20"/>
                <w:szCs w:val="20"/>
              </w:rPr>
            </w:pPr>
          </w:p>
        </w:tc>
      </w:tr>
      <w:tr w:rsidR="00CB2357" w14:paraId="2BAE0F83" w14:textId="77777777" w:rsidTr="00CB2357">
        <w:trPr>
          <w:trHeight w:val="210"/>
        </w:trPr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E1EE3E" w14:textId="77777777" w:rsidR="00CB2357" w:rsidRDefault="00CB235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R$ mil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47DB171" w14:textId="77777777" w:rsidR="00CB2357" w:rsidRDefault="00CB235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4T25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50D0BA0" w14:textId="77777777" w:rsidR="00CB2357" w:rsidRDefault="00CB235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4T24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083CF37" w14:textId="77777777" w:rsidR="00CB2357" w:rsidRDefault="00CB235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3T25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65DF" w14:textId="77777777" w:rsidR="00CB2357" w:rsidRDefault="00CB235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2F9DDD47" w14:textId="77777777" w:rsidR="00CB2357" w:rsidRDefault="00CB235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63EA849" w14:textId="77777777" w:rsidR="00CB2357" w:rsidRDefault="00CB235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Trim.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DAE7" w14:textId="77777777" w:rsidR="00CB2357" w:rsidRDefault="00CB235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D3C965A" w14:textId="77777777" w:rsidR="00CB2357" w:rsidRDefault="00CB235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860CAA5" w14:textId="77777777" w:rsidR="00CB2357" w:rsidRDefault="00CB235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AEE84" w14:textId="77777777" w:rsidR="00CB2357" w:rsidRDefault="00CB235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9ACF7DF" w14:textId="77777777" w:rsidR="00CB2357" w:rsidRDefault="00CB235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</w:tr>
      <w:tr w:rsidR="00CB2357" w14:paraId="69F2C0D4" w14:textId="77777777" w:rsidTr="00CB2357">
        <w:trPr>
          <w:trHeight w:val="210"/>
        </w:trPr>
        <w:tc>
          <w:tcPr>
            <w:tcW w:w="1443" w:type="pct"/>
            <w:tcBorders>
              <w:top w:val="nil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4F95E4D6" w14:textId="77777777" w:rsidR="00CB2357" w:rsidRDefault="00CB23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Resultado de Equivalência Patrimonial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66FFFF"/>
            <w:noWrap/>
            <w:vAlign w:val="bottom"/>
            <w:hideMark/>
          </w:tcPr>
          <w:p w14:paraId="4478D430" w14:textId="77777777" w:rsidR="00CB2357" w:rsidRDefault="00CB23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1.404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6A71053C" w14:textId="77777777" w:rsidR="00CB2357" w:rsidRDefault="00CB23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409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0CE2B9CC" w14:textId="77777777" w:rsidR="00CB2357" w:rsidRDefault="00CB23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23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E8945" w14:textId="77777777" w:rsidR="00CB2357" w:rsidRDefault="00CB23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0000FF"/>
              <w:right w:val="nil"/>
            </w:tcBorders>
            <w:vAlign w:val="center"/>
            <w:hideMark/>
          </w:tcPr>
          <w:p w14:paraId="6FE504D0" w14:textId="77777777" w:rsidR="00CB2357" w:rsidRDefault="00CB23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243,3%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0000FF"/>
              <w:right w:val="nil"/>
            </w:tcBorders>
            <w:vAlign w:val="center"/>
            <w:hideMark/>
          </w:tcPr>
          <w:p w14:paraId="3FF69D5E" w14:textId="77777777" w:rsidR="00CB2357" w:rsidRDefault="00CB23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6004,3%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F816" w14:textId="77777777" w:rsidR="00CB2357" w:rsidRDefault="00CB23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66FFFF"/>
            <w:noWrap/>
            <w:vAlign w:val="bottom"/>
            <w:hideMark/>
          </w:tcPr>
          <w:p w14:paraId="60DD5522" w14:textId="77777777" w:rsidR="00CB2357" w:rsidRDefault="00CB23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369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2617DDFB" w14:textId="77777777" w:rsidR="00CB2357" w:rsidRDefault="00CB23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(1.013)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BDD9" w14:textId="77777777" w:rsidR="00CB2357" w:rsidRDefault="00CB23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0000FF"/>
              <w:right w:val="nil"/>
            </w:tcBorders>
            <w:noWrap/>
            <w:vAlign w:val="bottom"/>
            <w:hideMark/>
          </w:tcPr>
          <w:p w14:paraId="639F1B9A" w14:textId="4EB22F4F" w:rsidR="00CB2357" w:rsidRDefault="00CB23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136,4%</w:t>
            </w:r>
          </w:p>
        </w:tc>
      </w:tr>
    </w:tbl>
    <w:p w14:paraId="63058EE7" w14:textId="47722A22" w:rsidR="00CB2357" w:rsidRPr="00CB2357" w:rsidRDefault="00CB2357" w:rsidP="00CB2357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CB2357">
        <w:rPr>
          <w:rFonts w:ascii="Arial" w:hAnsi="Arial" w:cs="Arial"/>
          <w:sz w:val="22"/>
          <w:szCs w:val="22"/>
        </w:rPr>
        <w:t xml:space="preserve">O Resultado de Equivalência Patrimonial reflete a participação da Telebras (49%) no resultado da </w:t>
      </w:r>
      <w:proofErr w:type="gramStart"/>
      <w:r w:rsidRPr="00CB2357">
        <w:rPr>
          <w:rFonts w:ascii="Arial" w:hAnsi="Arial" w:cs="Arial"/>
          <w:sz w:val="22"/>
          <w:szCs w:val="22"/>
        </w:rPr>
        <w:t>coligada Visiona</w:t>
      </w:r>
      <w:proofErr w:type="gramEnd"/>
      <w:r w:rsidRPr="00CB2357">
        <w:rPr>
          <w:rFonts w:ascii="Arial" w:hAnsi="Arial" w:cs="Arial"/>
          <w:sz w:val="22"/>
          <w:szCs w:val="22"/>
        </w:rPr>
        <w:t xml:space="preserve"> ao longo do </w:t>
      </w:r>
      <w:r>
        <w:rPr>
          <w:rFonts w:ascii="Arial" w:hAnsi="Arial" w:cs="Arial"/>
          <w:sz w:val="22"/>
          <w:szCs w:val="22"/>
        </w:rPr>
        <w:t>período</w:t>
      </w:r>
      <w:r w:rsidRPr="00CB2357">
        <w:rPr>
          <w:rFonts w:ascii="Arial" w:hAnsi="Arial" w:cs="Arial"/>
          <w:sz w:val="22"/>
          <w:szCs w:val="22"/>
        </w:rPr>
        <w:t>. Em 2025, a coligada registrou Lucro Líquido de R$ 0,8 milhão, ante um Prejuízo de R$ 2,1 milhões em 2024, o que resultou em um efeito positivo de equivalência patrimonial para a Telebras no valor de R$ 0,4 milhão (comparado a R$ 1,0 milhão negativo em 2024).</w:t>
      </w:r>
    </w:p>
    <w:p w14:paraId="1023837B" w14:textId="07EEC107" w:rsidR="00671A47" w:rsidRDefault="000101AD" w:rsidP="0056272F">
      <w:pPr>
        <w:spacing w:before="240"/>
        <w:rPr>
          <w:rStyle w:val="RefernciaIntensa"/>
          <w:rFonts w:ascii="Arial" w:hAnsi="Arial" w:cs="Arial"/>
          <w:color w:val="auto"/>
        </w:rPr>
      </w:pPr>
      <w:r w:rsidRPr="00CA2E16">
        <w:rPr>
          <w:rStyle w:val="RefernciaIntensa"/>
          <w:rFonts w:ascii="Arial" w:hAnsi="Arial" w:cs="Arial"/>
          <w:color w:val="auto"/>
        </w:rPr>
        <w:t xml:space="preserve">Outras </w:t>
      </w:r>
      <w:r w:rsidR="00C73A31" w:rsidRPr="00CA2E16">
        <w:rPr>
          <w:rStyle w:val="RefernciaIntensa"/>
          <w:rFonts w:ascii="Arial" w:hAnsi="Arial" w:cs="Arial"/>
          <w:color w:val="auto"/>
        </w:rPr>
        <w:t>R</w:t>
      </w:r>
      <w:r w:rsidRPr="00CA2E16">
        <w:rPr>
          <w:rStyle w:val="RefernciaIntensa"/>
          <w:rFonts w:ascii="Arial" w:hAnsi="Arial" w:cs="Arial"/>
          <w:color w:val="auto"/>
        </w:rPr>
        <w:t>eceitas</w:t>
      </w:r>
      <w:r w:rsidR="00DE4255" w:rsidRPr="00CA2E16">
        <w:rPr>
          <w:rStyle w:val="RefernciaIntensa"/>
          <w:rFonts w:ascii="Arial" w:hAnsi="Arial" w:cs="Arial"/>
          <w:color w:val="auto"/>
        </w:rPr>
        <w:t xml:space="preserve"> </w:t>
      </w:r>
      <w:r w:rsidR="00602608" w:rsidRPr="00CA2E16">
        <w:rPr>
          <w:rStyle w:val="RefernciaIntensa"/>
          <w:rFonts w:ascii="Arial" w:hAnsi="Arial" w:cs="Arial"/>
          <w:color w:val="auto"/>
        </w:rPr>
        <w:t>/ (</w:t>
      </w:r>
      <w:r w:rsidR="00C73A31" w:rsidRPr="00CA2E16">
        <w:rPr>
          <w:rStyle w:val="RefernciaIntensa"/>
          <w:rFonts w:ascii="Arial" w:hAnsi="Arial" w:cs="Arial"/>
          <w:color w:val="auto"/>
        </w:rPr>
        <w:t>D</w:t>
      </w:r>
      <w:r w:rsidRPr="00CA2E16">
        <w:rPr>
          <w:rStyle w:val="RefernciaIntensa"/>
          <w:rFonts w:ascii="Arial" w:hAnsi="Arial" w:cs="Arial"/>
          <w:color w:val="auto"/>
        </w:rPr>
        <w:t>espesas</w:t>
      </w:r>
      <w:r w:rsidRPr="00EF72EC">
        <w:rPr>
          <w:rStyle w:val="RefernciaIntensa"/>
          <w:rFonts w:ascii="Arial" w:hAnsi="Arial" w:cs="Arial"/>
          <w:color w:val="auto"/>
        </w:rPr>
        <w:t>) Operacionais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8"/>
        <w:gridCol w:w="856"/>
        <w:gridCol w:w="856"/>
        <w:gridCol w:w="856"/>
        <w:gridCol w:w="146"/>
        <w:gridCol w:w="706"/>
        <w:gridCol w:w="810"/>
        <w:gridCol w:w="147"/>
        <w:gridCol w:w="848"/>
        <w:gridCol w:w="856"/>
        <w:gridCol w:w="147"/>
        <w:gridCol w:w="662"/>
      </w:tblGrid>
      <w:tr w:rsidR="00ED34FC" w:rsidRPr="00ED34FC" w14:paraId="7AC7A7B0" w14:textId="77777777" w:rsidTr="00A57947">
        <w:trPr>
          <w:trHeight w:val="30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17EA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  <w:tc>
          <w:tcPr>
            <w:tcW w:w="2017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2F3032" w14:textId="77777777" w:rsidR="00ED34FC" w:rsidRPr="00ED34FC" w:rsidRDefault="00ED34F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Trimestres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ACE2" w14:textId="77777777" w:rsidR="00ED34FC" w:rsidRPr="00ED34FC" w:rsidRDefault="00ED34F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0ED9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963D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824C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52D0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</w:tr>
      <w:tr w:rsidR="00ED34FC" w:rsidRPr="00ED34FC" w14:paraId="6392904A" w14:textId="77777777" w:rsidTr="00A57947">
        <w:trPr>
          <w:trHeight w:val="6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0649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162E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BF9F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1998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A619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EAAC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76F0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C6B5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C86C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B9B1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88B3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B2D38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</w:tr>
      <w:tr w:rsidR="00ED34FC" w:rsidRPr="00ED34FC" w14:paraId="09CB891E" w14:textId="77777777" w:rsidTr="00A57947">
        <w:trPr>
          <w:trHeight w:val="21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8B643A6" w14:textId="77777777" w:rsidR="00ED34FC" w:rsidRPr="00ED34FC" w:rsidRDefault="00ED34FC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R$ mil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34DE5D6" w14:textId="77777777" w:rsidR="00ED34FC" w:rsidRPr="00ED34FC" w:rsidRDefault="00ED34F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4T25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E7714DC" w14:textId="77777777" w:rsidR="00ED34FC" w:rsidRPr="00ED34FC" w:rsidRDefault="00ED34F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4T24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9683F1E" w14:textId="77777777" w:rsidR="00ED34FC" w:rsidRPr="00ED34FC" w:rsidRDefault="00ED34F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3T25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6432" w14:textId="77777777" w:rsidR="00ED34FC" w:rsidRPr="00ED34FC" w:rsidRDefault="00ED34F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3F2CD7F" w14:textId="77777777" w:rsidR="00ED34FC" w:rsidRPr="00ED34FC" w:rsidRDefault="00ED34F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Δ Ano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4C25A3A" w14:textId="77777777" w:rsidR="00ED34FC" w:rsidRPr="00ED34FC" w:rsidRDefault="00ED34F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Δ Trim.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3BC9" w14:textId="77777777" w:rsidR="00ED34FC" w:rsidRPr="00ED34FC" w:rsidRDefault="00ED34F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35E6A41" w14:textId="77777777" w:rsidR="00ED34FC" w:rsidRPr="00ED34FC" w:rsidRDefault="00ED34F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81F3074" w14:textId="77777777" w:rsidR="00ED34FC" w:rsidRPr="00ED34FC" w:rsidRDefault="00ED34F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2C11D" w14:textId="77777777" w:rsidR="00ED34FC" w:rsidRPr="00ED34FC" w:rsidRDefault="00ED34F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C072964" w14:textId="77777777" w:rsidR="00ED34FC" w:rsidRPr="00ED34FC" w:rsidRDefault="00ED34FC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Δ Ano</w:t>
            </w:r>
          </w:p>
        </w:tc>
      </w:tr>
      <w:tr w:rsidR="00ED34FC" w:rsidRPr="00ED34FC" w14:paraId="40769C6D" w14:textId="77777777" w:rsidTr="00A57947">
        <w:trPr>
          <w:trHeight w:val="21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808AE" w14:textId="77777777" w:rsidR="00ED34FC" w:rsidRPr="00ED34FC" w:rsidRDefault="00ED34F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Outras Receitas Operacionais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2C51F1AD" w14:textId="77777777" w:rsidR="00ED34FC" w:rsidRPr="00ED34FC" w:rsidRDefault="00ED34F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133FE" w14:textId="77777777" w:rsidR="00ED34FC" w:rsidRPr="00ED34FC" w:rsidRDefault="00ED34F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46F50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3A50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CD844" w14:textId="77777777" w:rsidR="00ED34FC" w:rsidRPr="00ED34FC" w:rsidRDefault="00ED34F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1944D" w14:textId="77777777" w:rsidR="00ED34FC" w:rsidRPr="00ED34FC" w:rsidRDefault="00ED34F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2185" w14:textId="77777777" w:rsidR="00ED34FC" w:rsidRPr="00ED34FC" w:rsidRDefault="00ED34F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5A49B319" w14:textId="77777777" w:rsidR="00ED34FC" w:rsidRPr="00ED34FC" w:rsidRDefault="00ED34F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A05F" w14:textId="77777777" w:rsidR="00ED34FC" w:rsidRPr="00ED34FC" w:rsidRDefault="00ED34F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31A1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5D485" w14:textId="77777777" w:rsidR="00ED34FC" w:rsidRPr="00ED34FC" w:rsidRDefault="00ED34F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</w:tr>
      <w:tr w:rsidR="00ED34FC" w:rsidRPr="00ED34FC" w14:paraId="3EF1C0CC" w14:textId="77777777" w:rsidTr="00A57947">
        <w:trPr>
          <w:trHeight w:val="20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BDE96" w14:textId="7F2391A1" w:rsidR="00ED34FC" w:rsidRPr="00ED34FC" w:rsidRDefault="00ED34F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Subvenções Orçamentárias Recebidas (i)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5C76EF64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234.446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AB36E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28.357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27693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43.710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C9A9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40D39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726,8%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BF95B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436,4%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F3FE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F82529C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406.942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7DD8C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158.402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2A82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AB796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156,9%</w:t>
            </w:r>
          </w:p>
        </w:tc>
      </w:tr>
      <w:tr w:rsidR="00ED34FC" w:rsidRPr="00ED34FC" w14:paraId="60EA911D" w14:textId="77777777" w:rsidTr="00A57947">
        <w:trPr>
          <w:trHeight w:val="20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E1AA3" w14:textId="10FC1A8F" w:rsidR="00ED34FC" w:rsidRPr="00ED34FC" w:rsidRDefault="00ED34F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Superávit </w:t>
            </w:r>
            <w:r w:rsidR="000743EB">
              <w:rPr>
                <w:rFonts w:ascii="Arial" w:hAnsi="Arial" w:cs="Arial"/>
                <w:color w:val="000000"/>
                <w:sz w:val="14"/>
                <w:szCs w:val="14"/>
              </w:rPr>
              <w:t>de</w:t>
            </w: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Previdência Privada (</w:t>
            </w:r>
            <w:proofErr w:type="spellStart"/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  <w:r w:rsidR="00EE5018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  <w:proofErr w:type="spellEnd"/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0FD0D8D4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102.225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AE8EC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212.038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69082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32.502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9ED8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4B994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-51,8%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05F4D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214,5%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BC40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2626D4B1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134.727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A6471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212.038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0A3C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168B4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-36,5%</w:t>
            </w:r>
          </w:p>
        </w:tc>
      </w:tr>
      <w:tr w:rsidR="00ED34FC" w:rsidRPr="00ED34FC" w14:paraId="1F55E6B2" w14:textId="77777777" w:rsidTr="00A57947">
        <w:trPr>
          <w:trHeight w:val="20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DE991" w14:textId="2C1C6255" w:rsidR="00ED34FC" w:rsidRPr="00ED34FC" w:rsidRDefault="00DE05A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Recuperação de Tributos - </w:t>
            </w:r>
            <w:r w:rsidR="00EE5018">
              <w:rPr>
                <w:rFonts w:ascii="Arial" w:hAnsi="Arial" w:cs="Arial"/>
                <w:color w:val="000000"/>
                <w:sz w:val="14"/>
                <w:szCs w:val="14"/>
              </w:rPr>
              <w:t>Créditos sobre insumos (</w:t>
            </w:r>
            <w:proofErr w:type="spellStart"/>
            <w:r w:rsidR="00EE5018">
              <w:rPr>
                <w:rFonts w:ascii="Arial" w:hAnsi="Arial" w:cs="Arial"/>
                <w:color w:val="000000"/>
                <w:sz w:val="14"/>
                <w:szCs w:val="14"/>
              </w:rPr>
              <w:t>iii</w:t>
            </w:r>
            <w:proofErr w:type="spellEnd"/>
            <w:r w:rsidR="00EE5018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38625F5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4.981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B1060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9.073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03421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4.988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9634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B15EA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-45,1%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4A7B9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-0,1%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2579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DC14E73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17.575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B7429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20.538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0F68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FB956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-14,4%</w:t>
            </w:r>
          </w:p>
        </w:tc>
      </w:tr>
      <w:tr w:rsidR="00ED34FC" w:rsidRPr="00ED34FC" w14:paraId="30157AE7" w14:textId="77777777" w:rsidTr="00A57947">
        <w:trPr>
          <w:trHeight w:val="20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00BF6" w14:textId="594B7D08" w:rsidR="00ED34FC" w:rsidRPr="00ED34FC" w:rsidRDefault="00ED34F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Ativos Contingentes</w:t>
            </w:r>
            <w:r w:rsidR="008D6862"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proofErr w:type="spellStart"/>
            <w:r w:rsidR="008D6862">
              <w:rPr>
                <w:rFonts w:ascii="Arial" w:hAnsi="Arial" w:cs="Arial"/>
                <w:color w:val="000000"/>
                <w:sz w:val="14"/>
                <w:szCs w:val="14"/>
              </w:rPr>
              <w:t>iv</w:t>
            </w:r>
            <w:proofErr w:type="spellEnd"/>
            <w:r w:rsidR="008D6862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457B947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14.922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BBB9F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-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9B315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-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EAD2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84AFD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19770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811F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5BC56F81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14.960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3A1C6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-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F0B6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C5068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100,0%</w:t>
            </w:r>
          </w:p>
        </w:tc>
      </w:tr>
      <w:tr w:rsidR="00ED34FC" w:rsidRPr="00ED34FC" w14:paraId="5A15EC1F" w14:textId="77777777" w:rsidTr="00A57947">
        <w:trPr>
          <w:trHeight w:val="20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8B095" w14:textId="77777777" w:rsidR="00ED34FC" w:rsidRPr="00ED34FC" w:rsidRDefault="00ED34F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Outras Receitas Operacionais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253B149B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743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234EE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1.945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57843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312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36818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D650C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-61,8%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A2872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138,1%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E61E5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0FEE8F25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2.717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64925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5.568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0EDF3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5777E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-51,2%</w:t>
            </w:r>
          </w:p>
        </w:tc>
      </w:tr>
      <w:tr w:rsidR="00ED34FC" w:rsidRPr="00ED34FC" w14:paraId="7204620C" w14:textId="77777777" w:rsidTr="00A57947">
        <w:trPr>
          <w:trHeight w:val="20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048D1" w14:textId="6FE802D6" w:rsidR="00ED34FC" w:rsidRPr="00ED34FC" w:rsidRDefault="00ED34F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Tributos sobre Outras Receitas Operacionais (</w:t>
            </w:r>
            <w:r w:rsidR="008D6862">
              <w:rPr>
                <w:rFonts w:ascii="Arial" w:hAnsi="Arial" w:cs="Arial"/>
                <w:color w:val="000000"/>
                <w:sz w:val="14"/>
                <w:szCs w:val="14"/>
              </w:rPr>
              <w:t>v</w:t>
            </w: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09C62E74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(10.855)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0D848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(22.806)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60837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(3.008)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F973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F97F4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-52,4%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54A0C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260,9%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A978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C9024DB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(13.870)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2AB3D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(22.848)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4083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7DD5F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-39,3%</w:t>
            </w:r>
          </w:p>
        </w:tc>
      </w:tr>
      <w:tr w:rsidR="00ED34FC" w:rsidRPr="00ED34FC" w14:paraId="147D8A2D" w14:textId="77777777" w:rsidTr="00A57947">
        <w:trPr>
          <w:trHeight w:val="21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D324CB7" w14:textId="77777777" w:rsidR="00ED34FC" w:rsidRPr="00ED34FC" w:rsidRDefault="00ED34FC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Total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DB5C0C0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346.462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0B06F66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228.607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BAE7A64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  78.504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1C1A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5635001D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51,6%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A523D50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341,3%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0BAA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9575E49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563.051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7C8F514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373.698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EE2F3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0054038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50,7%</w:t>
            </w:r>
          </w:p>
        </w:tc>
      </w:tr>
      <w:tr w:rsidR="00ED34FC" w:rsidRPr="00ED34FC" w14:paraId="1DDCD772" w14:textId="77777777" w:rsidTr="00A57947">
        <w:trPr>
          <w:trHeight w:val="21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A8E21" w14:textId="77777777" w:rsidR="00ED34FC" w:rsidRPr="00ED34FC" w:rsidRDefault="00ED34F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Outras Despesas Operacionais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0E9B6128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AF4D9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02750" w14:textId="77777777" w:rsidR="00ED34FC" w:rsidRPr="00ED34FC" w:rsidRDefault="00ED34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F2EA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3E674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CDC43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D44D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6DF5F46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B6FB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77A7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0B8D" w14:textId="77777777" w:rsidR="00ED34FC" w:rsidRPr="00ED34FC" w:rsidRDefault="00ED34FC">
            <w:pPr>
              <w:rPr>
                <w:sz w:val="14"/>
                <w:szCs w:val="14"/>
              </w:rPr>
            </w:pPr>
          </w:p>
        </w:tc>
      </w:tr>
      <w:tr w:rsidR="00ED34FC" w:rsidRPr="00ED34FC" w14:paraId="1587BF87" w14:textId="77777777" w:rsidTr="00A57947">
        <w:trPr>
          <w:trHeight w:val="20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2053C" w14:textId="77777777" w:rsidR="00ED34FC" w:rsidRPr="00ED34FC" w:rsidRDefault="00ED34F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Tributos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4BCF99F3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(1.952)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1E03B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(749)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43949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(2.065)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771E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48C52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160,6%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7F823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-5,5%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2219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2223C238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(7.912)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EAD78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(6.116)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A73E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9B668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29,4%</w:t>
            </w:r>
          </w:p>
        </w:tc>
      </w:tr>
      <w:tr w:rsidR="00ED34FC" w:rsidRPr="00ED34FC" w14:paraId="0018BB57" w14:textId="77777777" w:rsidTr="00A57947">
        <w:trPr>
          <w:trHeight w:val="20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B4861" w14:textId="77777777" w:rsidR="00ED34FC" w:rsidRPr="00ED34FC" w:rsidRDefault="00ED34F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Provisão p/ Riscos Trabalhistas, Cíveis, </w:t>
            </w:r>
            <w:proofErr w:type="gramStart"/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Fiscais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8A47CC3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(3.029)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348A3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(33)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68288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(797)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9C22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4A097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9078,8%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18B55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280,1%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2AD9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2A7A120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(5.196)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CF761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(498)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2B45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7A02D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943,4%</w:t>
            </w:r>
          </w:p>
        </w:tc>
      </w:tr>
      <w:tr w:rsidR="00ED34FC" w:rsidRPr="00ED34FC" w14:paraId="7CEC2851" w14:textId="77777777" w:rsidTr="00A57947">
        <w:trPr>
          <w:trHeight w:val="20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795AD" w14:textId="74CCB854" w:rsidR="00ED34FC" w:rsidRPr="00ED34FC" w:rsidRDefault="00ED34F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Multas sobre Contas a Receber – Contratos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C95F9F9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(1.500)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38AB1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(679)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C7BD8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(1.952)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FB9D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C9053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120,9%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99545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-23,2%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5F18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086CEC32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(4.874)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DF0C9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(3.568)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B38D2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F960D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36,6%</w:t>
            </w:r>
          </w:p>
        </w:tc>
      </w:tr>
      <w:tr w:rsidR="00ED34FC" w:rsidRPr="00ED34FC" w14:paraId="4A8CFE5A" w14:textId="77777777" w:rsidTr="00A57947">
        <w:trPr>
          <w:trHeight w:val="20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3A317" w14:textId="77777777" w:rsidR="00ED34FC" w:rsidRPr="00ED34FC" w:rsidRDefault="00ED34F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Multas sobre Obrigações com Fornecedores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4245FFA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(2.988)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2E39F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(939)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31085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(18)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9C48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12118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218,2%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F4C45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16500,0%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AF89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1A3E4A5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(3.029)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791E4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(1.215)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ACB8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30754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149,3%</w:t>
            </w:r>
          </w:p>
        </w:tc>
      </w:tr>
      <w:tr w:rsidR="00ED34FC" w:rsidRPr="00ED34FC" w14:paraId="4D1630E1" w14:textId="77777777" w:rsidTr="00A57947">
        <w:trPr>
          <w:trHeight w:val="20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69E8F" w14:textId="44F8D392" w:rsidR="00ED34FC" w:rsidRPr="00ED34FC" w:rsidRDefault="00ED34F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Baixa de Bens do Ativo Imobilizado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EFDA1F2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-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AC47C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1.366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0C7C0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-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F083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68A4F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-100,0%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4E5CB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8891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8B40B33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-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E8C5A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(2.666)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3707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AFBAF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-100,0%</w:t>
            </w:r>
          </w:p>
        </w:tc>
      </w:tr>
      <w:tr w:rsidR="00ED34FC" w:rsidRPr="00ED34FC" w14:paraId="56880E68" w14:textId="77777777" w:rsidTr="00A57947">
        <w:trPr>
          <w:trHeight w:val="20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E0C71" w14:textId="77777777" w:rsidR="00ED34FC" w:rsidRPr="00ED34FC" w:rsidRDefault="00ED34F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Outras Despesas Operacionais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E1029B0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(615)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C0838" w14:textId="79A6FA3C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(88</w:t>
            </w:r>
            <w:r w:rsidR="00EE1FC7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450E4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968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211A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2E053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-30,4%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4AFFD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263,9%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3C99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0D31A28F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(2.875)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60DC8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(729)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9695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CC5AA" w14:textId="77777777" w:rsidR="00ED34FC" w:rsidRPr="00ED34FC" w:rsidRDefault="00ED34F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D34FC">
              <w:rPr>
                <w:rFonts w:ascii="Arial" w:hAnsi="Arial" w:cs="Arial"/>
                <w:color w:val="000000"/>
                <w:sz w:val="14"/>
                <w:szCs w:val="14"/>
              </w:rPr>
              <w:t>294,4%</w:t>
            </w:r>
          </w:p>
        </w:tc>
      </w:tr>
      <w:tr w:rsidR="00ED34FC" w:rsidRPr="00ED34FC" w14:paraId="763BD404" w14:textId="77777777" w:rsidTr="00A57947">
        <w:trPr>
          <w:trHeight w:val="21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C9D8B2A" w14:textId="77777777" w:rsidR="00ED34FC" w:rsidRPr="00ED34FC" w:rsidRDefault="00ED34FC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Total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2F0ACDE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(10.084)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624759F" w14:textId="03008911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  (1.91</w:t>
            </w:r>
            <w:r w:rsidR="00EE1F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7</w:t>
            </w: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FC13EB7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  (5.001)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B6D0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B653C94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426,0%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05D1CCA4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101,6%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5F02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8DDA8BE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(23.886)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A9F52C5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(14.792)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72FED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9366134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61,5%</w:t>
            </w:r>
          </w:p>
        </w:tc>
      </w:tr>
      <w:tr w:rsidR="00ED34FC" w:rsidRPr="00ED34FC" w14:paraId="640BE5F5" w14:textId="77777777" w:rsidTr="00A57947">
        <w:trPr>
          <w:trHeight w:val="210"/>
        </w:trPr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0418C45" w14:textId="77777777" w:rsidR="00ED34FC" w:rsidRPr="00ED34FC" w:rsidRDefault="00ED34FC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Outras Receitas/Despesas Operacionais, </w:t>
            </w:r>
            <w:proofErr w:type="gramStart"/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Líquida</w:t>
            </w:r>
            <w:proofErr w:type="gramEnd"/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DAF25C9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336.378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3494717" w14:textId="299A77DB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226.69</w:t>
            </w:r>
            <w:r w:rsidR="00EE1F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0</w:t>
            </w: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D392A9B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  73.503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2957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3752CED0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48,4%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7ED4E417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357,6%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4116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DB0D736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539.165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43D13E0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358.906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0495F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57BA8EA" w14:textId="77777777" w:rsidR="00ED34FC" w:rsidRPr="00ED34FC" w:rsidRDefault="00ED34FC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D34FC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50,2%</w:t>
            </w:r>
          </w:p>
        </w:tc>
      </w:tr>
    </w:tbl>
    <w:p w14:paraId="5370B1FE" w14:textId="77777777" w:rsidR="006227C8" w:rsidRDefault="006227C8" w:rsidP="00F60D06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534CCDBF" w14:textId="77777777" w:rsidR="00A5153B" w:rsidRPr="00CC136C" w:rsidRDefault="00A5153B" w:rsidP="00A5153B">
      <w:pPr>
        <w:pStyle w:val="Corpodetexto"/>
        <w:tabs>
          <w:tab w:val="left" w:pos="0"/>
        </w:tabs>
        <w:spacing w:before="0" w:after="0" w:line="276" w:lineRule="auto"/>
        <w:rPr>
          <w:rFonts w:ascii="Arial" w:hAnsi="Arial" w:cs="Arial"/>
          <w:color w:val="000000"/>
          <w:sz w:val="22"/>
          <w:szCs w:val="22"/>
        </w:rPr>
      </w:pPr>
      <w:r w:rsidRPr="00CC136C">
        <w:rPr>
          <w:rFonts w:ascii="Arial" w:hAnsi="Arial" w:cs="Arial"/>
          <w:color w:val="000000"/>
          <w:sz w:val="22"/>
          <w:szCs w:val="22"/>
        </w:rPr>
        <w:t>No 4T25, o resultado da linha de Outras Receitas Operacionais deduzidas de Outras Despesas Operacionais foi positivo em R$ 336,4 milhões, frente aos R$ 226,7 milhões registrados no 4T24, o que representa um crescimento de 48,4%. Em comparação ao 3T25, observou</w:t>
      </w:r>
      <w:r w:rsidRPr="00CC136C">
        <w:rPr>
          <w:rFonts w:ascii="Arial" w:hAnsi="Arial" w:cs="Arial"/>
          <w:color w:val="000000"/>
          <w:sz w:val="22"/>
          <w:szCs w:val="22"/>
        </w:rPr>
        <w:noBreakHyphen/>
        <w:t>se um aumento expressivo de 357,6%. Esse desempenho reflete, principalmente, o maior volume de recursos oriundos de subvenções orçamentárias, bem como o reconhecimento de ativo contingente no período.</w:t>
      </w:r>
    </w:p>
    <w:p w14:paraId="732F134B" w14:textId="77777777" w:rsidR="00A5153B" w:rsidRPr="00CC136C" w:rsidRDefault="00A5153B" w:rsidP="00A5153B">
      <w:pPr>
        <w:pStyle w:val="Corpodetexto"/>
        <w:tabs>
          <w:tab w:val="left" w:pos="0"/>
        </w:tabs>
        <w:spacing w:before="0" w:after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2A6E00CB" w14:textId="77777777" w:rsidR="00803A45" w:rsidRDefault="00803A45" w:rsidP="00A5153B">
      <w:pPr>
        <w:pStyle w:val="Corpodetexto"/>
        <w:tabs>
          <w:tab w:val="left" w:pos="0"/>
        </w:tabs>
        <w:spacing w:before="0" w:after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447DEA49" w14:textId="0B147235" w:rsidR="00A5153B" w:rsidRPr="00A5153B" w:rsidRDefault="00A5153B" w:rsidP="00A5153B">
      <w:pPr>
        <w:pStyle w:val="Corpodetexto"/>
        <w:tabs>
          <w:tab w:val="left" w:pos="0"/>
        </w:tabs>
        <w:spacing w:before="0" w:after="0" w:line="276" w:lineRule="auto"/>
        <w:rPr>
          <w:rFonts w:ascii="Arial" w:hAnsi="Arial" w:cs="Arial"/>
          <w:color w:val="000000"/>
          <w:sz w:val="22"/>
          <w:szCs w:val="22"/>
        </w:rPr>
      </w:pPr>
      <w:r w:rsidRPr="00CC136C">
        <w:rPr>
          <w:rFonts w:ascii="Arial" w:hAnsi="Arial" w:cs="Arial"/>
          <w:color w:val="000000"/>
          <w:sz w:val="22"/>
          <w:szCs w:val="22"/>
        </w:rPr>
        <w:t>No acumulado de 2025, o resultado dessa linha totalizou R$ 539,2 milhões, ante R$ 358,9 milhões registrados em 2024. As principais variações que explicam essa evolução no comparativo anual são apresentadas a seguir:</w:t>
      </w:r>
    </w:p>
    <w:p w14:paraId="491EE14D" w14:textId="77777777" w:rsidR="006F3A17" w:rsidRDefault="006F3A17" w:rsidP="00F60D06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09932752" w14:textId="77777777" w:rsidR="00BB1785" w:rsidRPr="00BB1785" w:rsidRDefault="00FA05EA" w:rsidP="00BB1785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427630" w:rsidRPr="001E0A2C">
        <w:rPr>
          <w:rFonts w:ascii="Arial" w:hAnsi="Arial" w:cs="Arial"/>
          <w:b/>
          <w:sz w:val="22"/>
          <w:szCs w:val="22"/>
        </w:rPr>
        <w:t xml:space="preserve">) </w:t>
      </w:r>
      <w:r w:rsidR="00522FC2" w:rsidRPr="00564808">
        <w:rPr>
          <w:rFonts w:ascii="Arial" w:hAnsi="Arial" w:cs="Arial"/>
          <w:b/>
          <w:smallCaps/>
          <w:sz w:val="22"/>
          <w:szCs w:val="22"/>
        </w:rPr>
        <w:t xml:space="preserve">Subvenções </w:t>
      </w:r>
      <w:r w:rsidR="00C05C4E">
        <w:rPr>
          <w:rFonts w:ascii="Arial" w:hAnsi="Arial" w:cs="Arial"/>
          <w:b/>
          <w:smallCaps/>
          <w:sz w:val="22"/>
          <w:szCs w:val="22"/>
        </w:rPr>
        <w:t xml:space="preserve">Orçamentárias </w:t>
      </w:r>
      <w:r w:rsidR="00522FC2" w:rsidRPr="00564808">
        <w:rPr>
          <w:rFonts w:ascii="Arial" w:hAnsi="Arial" w:cs="Arial"/>
          <w:b/>
          <w:smallCaps/>
          <w:sz w:val="22"/>
          <w:szCs w:val="22"/>
        </w:rPr>
        <w:t>Recebidas</w:t>
      </w:r>
      <w:r w:rsidR="00522FC2" w:rsidRPr="001E0A2C">
        <w:rPr>
          <w:rFonts w:ascii="Arial" w:hAnsi="Arial" w:cs="Arial"/>
          <w:b/>
          <w:sz w:val="22"/>
          <w:szCs w:val="22"/>
        </w:rPr>
        <w:t>:</w:t>
      </w:r>
      <w:r w:rsidR="00522FC2" w:rsidRPr="00EB623F">
        <w:rPr>
          <w:rFonts w:ascii="Arial" w:hAnsi="Arial" w:cs="Arial"/>
          <w:sz w:val="22"/>
          <w:szCs w:val="22"/>
        </w:rPr>
        <w:t xml:space="preserve"> </w:t>
      </w:r>
      <w:r w:rsidR="00522FC2" w:rsidRPr="00EB623F">
        <w:rPr>
          <w:rFonts w:ascii="Arial" w:hAnsi="Arial" w:cs="Arial"/>
          <w:color w:val="000000"/>
          <w:sz w:val="22"/>
          <w:szCs w:val="22"/>
        </w:rPr>
        <w:t xml:space="preserve"> </w:t>
      </w:r>
      <w:r w:rsidR="00BB1785" w:rsidRPr="00BB1785">
        <w:rPr>
          <w:rFonts w:ascii="Arial" w:hAnsi="Arial" w:cs="Arial"/>
          <w:sz w:val="22"/>
          <w:szCs w:val="22"/>
        </w:rPr>
        <w:t>A partir de 1º de janeiro de 2020, a Telebras passou a ser classificada como Empresa Estatal Dependente e, com isso, passou a receber recursos orçamentários para o pagamento de despesas de pessoal, custeio e investimentos. Os recursos destinados a pessoal e demais custeios são reconhecidos no resultado da Companhia à medida que são realizados, conforme o CPC 07 – Subvenções e Assistência Governamentais. Já os recursos voltados a investimentos são registrados no passivo não circulante como Adiantamento para Futuro Aumento de Capital (AFAC).</w:t>
      </w:r>
    </w:p>
    <w:p w14:paraId="6D581FB8" w14:textId="40502488" w:rsidR="00BB1785" w:rsidRPr="00BB1785" w:rsidRDefault="00BB1785" w:rsidP="00BB1785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BB1785">
        <w:rPr>
          <w:rFonts w:ascii="Arial" w:hAnsi="Arial" w:cs="Arial"/>
          <w:sz w:val="22"/>
          <w:szCs w:val="22"/>
        </w:rPr>
        <w:t xml:space="preserve">Em 2025, a Telebras reconheceu R$ 406,9 milhões no resultado (ante R$ 158,2 milhões em 2024), representando um aumento de 156,9%. Esse crescimento decorre, principalmente, dos recursos recebidos para quitação do financiamento junto à FINEP e dos valores vinculados ao contrato de gestão, destinados </w:t>
      </w:r>
      <w:r w:rsidR="00B0047D">
        <w:rPr>
          <w:rFonts w:ascii="Arial" w:hAnsi="Arial" w:cs="Arial"/>
          <w:sz w:val="22"/>
          <w:szCs w:val="22"/>
        </w:rPr>
        <w:t>ao pagamento</w:t>
      </w:r>
      <w:r w:rsidRPr="00BB1785">
        <w:rPr>
          <w:rFonts w:ascii="Arial" w:hAnsi="Arial" w:cs="Arial"/>
          <w:sz w:val="22"/>
          <w:szCs w:val="22"/>
        </w:rPr>
        <w:t xml:space="preserve"> de obrigações da Companhia.</w:t>
      </w:r>
    </w:p>
    <w:p w14:paraId="68C5D91E" w14:textId="77777777" w:rsidR="00BB1785" w:rsidRDefault="00BB1785" w:rsidP="00BB1785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BB1785">
        <w:rPr>
          <w:rFonts w:ascii="Arial" w:hAnsi="Arial" w:cs="Arial"/>
          <w:sz w:val="22"/>
          <w:szCs w:val="22"/>
        </w:rPr>
        <w:t>Os valores recebidos foram aplicados da seguinte forma: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1009"/>
        <w:gridCol w:w="881"/>
        <w:gridCol w:w="881"/>
        <w:gridCol w:w="191"/>
        <w:gridCol w:w="906"/>
        <w:gridCol w:w="915"/>
        <w:gridCol w:w="191"/>
        <w:gridCol w:w="1252"/>
        <w:gridCol w:w="1252"/>
        <w:gridCol w:w="191"/>
        <w:gridCol w:w="889"/>
      </w:tblGrid>
      <w:tr w:rsidR="00B608CD" w14:paraId="0CD373E2" w14:textId="77777777" w:rsidTr="00EE5018">
        <w:trPr>
          <w:trHeight w:val="232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1504" w14:textId="77777777" w:rsidR="00B608CD" w:rsidRDefault="00B608CD">
            <w:pPr>
              <w:rPr>
                <w:sz w:val="20"/>
                <w:szCs w:val="20"/>
              </w:rPr>
            </w:pPr>
          </w:p>
        </w:tc>
        <w:tc>
          <w:tcPr>
            <w:tcW w:w="2280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891471" w14:textId="77777777" w:rsidR="00B608CD" w:rsidRDefault="00B608C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12A9" w14:textId="77777777" w:rsidR="00B608CD" w:rsidRDefault="00B608C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AE8B" w14:textId="77777777" w:rsidR="00B608CD" w:rsidRDefault="00B608CD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D979" w14:textId="77777777" w:rsidR="00B608CD" w:rsidRDefault="00B608CD">
            <w:pPr>
              <w:rPr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BBAB" w14:textId="77777777" w:rsidR="00B608CD" w:rsidRDefault="00B608CD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5840" w14:textId="77777777" w:rsidR="00B608CD" w:rsidRDefault="00B608CD">
            <w:pPr>
              <w:rPr>
                <w:sz w:val="20"/>
                <w:szCs w:val="20"/>
              </w:rPr>
            </w:pPr>
          </w:p>
        </w:tc>
      </w:tr>
      <w:tr w:rsidR="00B608CD" w14:paraId="0F4F3975" w14:textId="77777777" w:rsidTr="00EE5018">
        <w:trPr>
          <w:trHeight w:val="40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567B" w14:textId="77777777" w:rsidR="00B608CD" w:rsidRDefault="00B608CD">
            <w:pPr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7B0F" w14:textId="77777777" w:rsidR="00B608CD" w:rsidRDefault="00B608CD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C824" w14:textId="77777777" w:rsidR="00B608CD" w:rsidRDefault="00B608CD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D0D0" w14:textId="77777777" w:rsidR="00B608CD" w:rsidRDefault="00B608CD">
            <w:pPr>
              <w:rPr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9D33" w14:textId="77777777" w:rsidR="00B608CD" w:rsidRDefault="00B608CD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54A4" w14:textId="77777777" w:rsidR="00B608CD" w:rsidRDefault="00B608CD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EA61" w14:textId="77777777" w:rsidR="00B608CD" w:rsidRDefault="00B608CD">
            <w:pPr>
              <w:rPr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4AB4" w14:textId="77777777" w:rsidR="00B608CD" w:rsidRDefault="00B608CD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AF76" w14:textId="77777777" w:rsidR="00B608CD" w:rsidRDefault="00B608CD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1411" w14:textId="77777777" w:rsidR="00B608CD" w:rsidRDefault="00B608CD">
            <w:pPr>
              <w:rPr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8D9D" w14:textId="77777777" w:rsidR="00B608CD" w:rsidRDefault="00B608CD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BE24" w14:textId="77777777" w:rsidR="00B608CD" w:rsidRDefault="00B608CD">
            <w:pPr>
              <w:rPr>
                <w:sz w:val="20"/>
                <w:szCs w:val="20"/>
              </w:rPr>
            </w:pPr>
          </w:p>
        </w:tc>
      </w:tr>
      <w:tr w:rsidR="00B608CD" w14:paraId="2FD2D844" w14:textId="77777777" w:rsidTr="00EE5018">
        <w:trPr>
          <w:trHeight w:val="232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5BF0D4" w14:textId="77777777" w:rsidR="00B608CD" w:rsidRDefault="00B608C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R$ mil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B32DF1C" w14:textId="77777777" w:rsidR="00B608CD" w:rsidRDefault="00B608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4T25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9A63D2A" w14:textId="77777777" w:rsidR="00B608CD" w:rsidRDefault="00B608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4T24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985682C" w14:textId="77777777" w:rsidR="00B608CD" w:rsidRDefault="00B608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3T25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39BF" w14:textId="77777777" w:rsidR="00B608CD" w:rsidRDefault="00B608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03864575" w14:textId="77777777" w:rsidR="00B608CD" w:rsidRDefault="00B608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12350BA" w14:textId="77777777" w:rsidR="00B608CD" w:rsidRDefault="00B608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Trim.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C463" w14:textId="77777777" w:rsidR="00B608CD" w:rsidRDefault="00B608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A66FB7A" w14:textId="77777777" w:rsidR="00B608CD" w:rsidRDefault="00B608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BCA7EA4" w14:textId="77777777" w:rsidR="00B608CD" w:rsidRDefault="00B608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93538" w14:textId="77777777" w:rsidR="00B608CD" w:rsidRDefault="00B608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92B5E71" w14:textId="77777777" w:rsidR="00B608CD" w:rsidRDefault="00B608C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</w:tr>
      <w:tr w:rsidR="00B608CD" w14:paraId="2D8BE531" w14:textId="77777777" w:rsidTr="00EE5018">
        <w:trPr>
          <w:trHeight w:val="232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F708F" w14:textId="77777777" w:rsidR="00B608CD" w:rsidRDefault="00B608C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Pessoal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394DFF35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-     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46541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5.772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D2FA6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25.821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9E69F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3888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-100,0%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279EB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-100,0%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1546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5C18DD4B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88.963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E6F4C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82.110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836A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E33F3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8,3%</w:t>
            </w:r>
          </w:p>
        </w:tc>
      </w:tr>
      <w:tr w:rsidR="00B608CD" w14:paraId="10980A42" w14:textId="77777777" w:rsidTr="00EE5018">
        <w:trPr>
          <w:trHeight w:val="232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46290" w14:textId="77777777" w:rsidR="00B608CD" w:rsidRDefault="00B608C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Outros Custeios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56A61F61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-     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EA9D3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22.585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5D878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17.889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E651C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9C420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-100,0%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6017A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-100,0%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76EB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4A5E7CA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83.533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A2918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76.292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4919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C1394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9,5%</w:t>
            </w:r>
          </w:p>
        </w:tc>
      </w:tr>
      <w:tr w:rsidR="00B608CD" w14:paraId="5BE46359" w14:textId="77777777" w:rsidTr="00EE5018">
        <w:trPr>
          <w:trHeight w:val="232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E3243" w14:textId="77777777" w:rsidR="00B608CD" w:rsidRDefault="00B608C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Contrato de Gestão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086AF53B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234.446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E9774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4E767" w14:textId="77777777" w:rsidR="00B608CD" w:rsidRDefault="00B608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E1EFB" w14:textId="77777777" w:rsidR="00B608CD" w:rsidRDefault="00B608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73E61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0D5BE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D74D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5B499C9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234.446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C94AD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    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96D4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6FEA9" w14:textId="77777777" w:rsidR="00B608CD" w:rsidRDefault="00B608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100,0%</w:t>
            </w:r>
          </w:p>
        </w:tc>
      </w:tr>
      <w:tr w:rsidR="00B608CD" w14:paraId="17BD164A" w14:textId="77777777" w:rsidTr="00EE5018">
        <w:trPr>
          <w:trHeight w:val="232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3C431E2" w14:textId="77777777" w:rsidR="00B608CD" w:rsidRDefault="00B608CD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8BAA229" w14:textId="77777777" w:rsidR="00B608CD" w:rsidRDefault="00B608C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234.446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AEBF0CA" w14:textId="77777777" w:rsidR="00B608CD" w:rsidRDefault="00B608C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28.357 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8812C75" w14:textId="77777777" w:rsidR="00B608CD" w:rsidRDefault="00B608C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43.710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4B63" w14:textId="77777777" w:rsidR="00B608CD" w:rsidRDefault="00B608C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03BFE85D" w14:textId="77777777" w:rsidR="00B608CD" w:rsidRDefault="00B608C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726,8%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7441F1A0" w14:textId="77777777" w:rsidR="00B608CD" w:rsidRDefault="00B608C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436,4%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9005" w14:textId="77777777" w:rsidR="00B608CD" w:rsidRDefault="00B608C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BA4E443" w14:textId="77777777" w:rsidR="00B608CD" w:rsidRDefault="00B608C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406.942 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FD5AD04" w14:textId="77777777" w:rsidR="00B608CD" w:rsidRDefault="00B608C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158.402 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41A8" w14:textId="77777777" w:rsidR="00B608CD" w:rsidRDefault="00B608C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5EF27D48" w14:textId="77777777" w:rsidR="00B608CD" w:rsidRDefault="00B608CD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156,9%</w:t>
            </w:r>
          </w:p>
        </w:tc>
      </w:tr>
    </w:tbl>
    <w:p w14:paraId="7565A1EC" w14:textId="77777777" w:rsidR="00547B21" w:rsidRDefault="00547B21" w:rsidP="00427630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14:paraId="573BAF68" w14:textId="77777777" w:rsidR="005C44AF" w:rsidRPr="005C44AF" w:rsidRDefault="00EE5018" w:rsidP="005C44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C136C">
        <w:rPr>
          <w:rFonts w:ascii="Arial" w:hAnsi="Arial" w:cs="Arial"/>
          <w:b/>
          <w:bCs/>
          <w:sz w:val="22"/>
          <w:szCs w:val="22"/>
        </w:rPr>
        <w:t>ii</w:t>
      </w:r>
      <w:proofErr w:type="spellEnd"/>
      <w:r w:rsidRPr="00CC136C">
        <w:rPr>
          <w:rFonts w:ascii="Arial" w:hAnsi="Arial" w:cs="Arial"/>
          <w:b/>
          <w:bCs/>
          <w:sz w:val="22"/>
          <w:szCs w:val="22"/>
        </w:rPr>
        <w:t xml:space="preserve">) </w:t>
      </w:r>
      <w:r w:rsidR="00CC676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136C">
        <w:rPr>
          <w:rFonts w:ascii="Arial" w:hAnsi="Arial" w:cs="Arial"/>
          <w:b/>
          <w:bCs/>
          <w:color w:val="000000"/>
          <w:sz w:val="22"/>
          <w:szCs w:val="22"/>
        </w:rPr>
        <w:t>Superávit - Previdência Privada: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C44AF" w:rsidRPr="005C44AF">
        <w:rPr>
          <w:rFonts w:ascii="Arial" w:hAnsi="Arial" w:cs="Arial"/>
          <w:sz w:val="22"/>
          <w:szCs w:val="22"/>
        </w:rPr>
        <w:t xml:space="preserve">Nos exercícios de 2025 e 2024, a Telebras reconheceu os montantes de R$ 134.727 e R$ 212.038, respectivamente, referentes aos superávits apurados nos planos PBS-A (anos-base 2022 e 2023) e </w:t>
      </w:r>
      <w:proofErr w:type="spellStart"/>
      <w:r w:rsidR="005C44AF" w:rsidRPr="005C44AF">
        <w:rPr>
          <w:rFonts w:ascii="Arial" w:hAnsi="Arial" w:cs="Arial"/>
          <w:sz w:val="22"/>
          <w:szCs w:val="22"/>
        </w:rPr>
        <w:t>Telebrasprev</w:t>
      </w:r>
      <w:proofErr w:type="spellEnd"/>
      <w:r w:rsidR="005C44AF" w:rsidRPr="005C44AF">
        <w:rPr>
          <w:rFonts w:ascii="Arial" w:hAnsi="Arial" w:cs="Arial"/>
          <w:sz w:val="22"/>
          <w:szCs w:val="22"/>
        </w:rPr>
        <w:t xml:space="preserve"> (anos-base 2016, 2017, 2023 e 2024).</w:t>
      </w:r>
    </w:p>
    <w:p w14:paraId="6CAB05D9" w14:textId="77777777" w:rsidR="005C44AF" w:rsidRPr="005C44AF" w:rsidRDefault="005C44AF" w:rsidP="005C44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C51DE5" w14:textId="1E6D52C9" w:rsidR="005C44AF" w:rsidRPr="005C44AF" w:rsidRDefault="005C44AF" w:rsidP="005C44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44AF">
        <w:rPr>
          <w:rFonts w:ascii="Arial" w:hAnsi="Arial" w:cs="Arial"/>
          <w:sz w:val="22"/>
          <w:szCs w:val="22"/>
        </w:rPr>
        <w:t>Os valores a receber serão repassados à Companhia em 36 parcelas mensais. Com exceção do superávit referente ao ano-base de 2016, cujas parcelas serão atualizadas pela rentabilidade do respectivo plano, os demais valores serão recebidos em parcelas fixas, sem atualização monetária</w:t>
      </w:r>
      <w:r>
        <w:rPr>
          <w:rFonts w:ascii="Arial" w:hAnsi="Arial" w:cs="Arial"/>
          <w:sz w:val="22"/>
          <w:szCs w:val="22"/>
        </w:rPr>
        <w:t>.</w:t>
      </w:r>
    </w:p>
    <w:p w14:paraId="0CF14193" w14:textId="77777777" w:rsidR="005C44AF" w:rsidRPr="005C44AF" w:rsidRDefault="005C44AF" w:rsidP="005C44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EAFFA7" w14:textId="10F0B142" w:rsidR="00CC136C" w:rsidRDefault="00CC136C" w:rsidP="005C44AF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iii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) </w:t>
      </w:r>
      <w:r w:rsidR="00DD44B1">
        <w:rPr>
          <w:rFonts w:ascii="Arial" w:hAnsi="Arial" w:cs="Arial"/>
          <w:b/>
          <w:sz w:val="22"/>
          <w:szCs w:val="22"/>
        </w:rPr>
        <w:t xml:space="preserve">Recuperação de Tributos - </w:t>
      </w:r>
      <w:r w:rsidRPr="00CC136C">
        <w:rPr>
          <w:rFonts w:ascii="Arial" w:hAnsi="Arial" w:cs="Arial"/>
          <w:b/>
          <w:bCs/>
          <w:color w:val="000000"/>
          <w:sz w:val="22"/>
          <w:szCs w:val="22"/>
        </w:rPr>
        <w:t>Créditos sobre insumos:</w:t>
      </w:r>
      <w:r w:rsidRPr="00CC136C">
        <w:rPr>
          <w:rFonts w:ascii="Arial" w:hAnsi="Arial" w:cs="Arial"/>
          <w:color w:val="000000"/>
          <w:sz w:val="22"/>
          <w:szCs w:val="22"/>
        </w:rPr>
        <w:t xml:space="preserve"> Representam os créditos obtidos sobre a compra de insumos vinculados à prestação de serviços, os quais são compensados no pagamento das contribuições de PIS e </w:t>
      </w:r>
      <w:proofErr w:type="spellStart"/>
      <w:r w:rsidRPr="00CC136C">
        <w:rPr>
          <w:rFonts w:ascii="Arial" w:hAnsi="Arial" w:cs="Arial"/>
          <w:color w:val="000000"/>
          <w:sz w:val="22"/>
          <w:szCs w:val="22"/>
        </w:rPr>
        <w:t>Cofins</w:t>
      </w:r>
      <w:proofErr w:type="spellEnd"/>
      <w:r w:rsidRPr="00CC136C">
        <w:rPr>
          <w:rFonts w:ascii="Arial" w:hAnsi="Arial" w:cs="Arial"/>
          <w:color w:val="000000"/>
          <w:sz w:val="22"/>
          <w:szCs w:val="22"/>
        </w:rPr>
        <w:t>. Em 2025, registrou</w:t>
      </w:r>
      <w:r w:rsidRPr="00CC136C">
        <w:rPr>
          <w:rFonts w:ascii="Arial" w:hAnsi="Arial" w:cs="Arial"/>
          <w:color w:val="000000"/>
          <w:sz w:val="22"/>
          <w:szCs w:val="22"/>
        </w:rPr>
        <w:noBreakHyphen/>
        <w:t>se um</w:t>
      </w:r>
      <w:r w:rsidR="00654142">
        <w:rPr>
          <w:rFonts w:ascii="Arial" w:hAnsi="Arial" w:cs="Arial"/>
          <w:color w:val="000000"/>
          <w:sz w:val="22"/>
          <w:szCs w:val="22"/>
        </w:rPr>
        <w:t>a</w:t>
      </w:r>
      <w:r w:rsidRPr="00CC136C">
        <w:rPr>
          <w:rFonts w:ascii="Arial" w:hAnsi="Arial" w:cs="Arial"/>
          <w:color w:val="000000"/>
          <w:sz w:val="22"/>
          <w:szCs w:val="22"/>
        </w:rPr>
        <w:t xml:space="preserve"> </w:t>
      </w:r>
      <w:r w:rsidR="00654142">
        <w:rPr>
          <w:rFonts w:ascii="Arial" w:hAnsi="Arial" w:cs="Arial"/>
          <w:color w:val="000000"/>
          <w:sz w:val="22"/>
          <w:szCs w:val="22"/>
        </w:rPr>
        <w:t>redução</w:t>
      </w:r>
      <w:r w:rsidRPr="00CC136C">
        <w:rPr>
          <w:rFonts w:ascii="Arial" w:hAnsi="Arial" w:cs="Arial"/>
          <w:color w:val="000000"/>
          <w:sz w:val="22"/>
          <w:szCs w:val="22"/>
        </w:rPr>
        <w:t xml:space="preserve"> de 14,4% em relação ao ano de 2024.</w:t>
      </w:r>
    </w:p>
    <w:p w14:paraId="41099ECE" w14:textId="77777777" w:rsidR="00DE05A7" w:rsidRDefault="00DE05A7" w:rsidP="005C44AF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202FE0B" w14:textId="127274FC" w:rsidR="008D6862" w:rsidRPr="00E149A4" w:rsidRDefault="008D6862" w:rsidP="008D686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D6862">
        <w:rPr>
          <w:rFonts w:ascii="Arial" w:hAnsi="Arial" w:cs="Arial"/>
          <w:b/>
          <w:bCs/>
          <w:color w:val="000000"/>
          <w:sz w:val="22"/>
          <w:szCs w:val="22"/>
        </w:rPr>
        <w:t>iv</w:t>
      </w:r>
      <w:proofErr w:type="spellEnd"/>
      <w:r w:rsidRPr="008D6862">
        <w:rPr>
          <w:rFonts w:ascii="Arial" w:hAnsi="Arial" w:cs="Arial"/>
          <w:b/>
          <w:bCs/>
          <w:color w:val="000000"/>
          <w:sz w:val="22"/>
          <w:szCs w:val="22"/>
        </w:rPr>
        <w:t xml:space="preserve">) Ativos </w:t>
      </w:r>
      <w:r w:rsidR="00EC7AA0" w:rsidRPr="008D6862">
        <w:rPr>
          <w:rFonts w:ascii="Arial" w:hAnsi="Arial" w:cs="Arial"/>
          <w:b/>
          <w:bCs/>
          <w:color w:val="000000"/>
          <w:sz w:val="22"/>
          <w:szCs w:val="22"/>
        </w:rPr>
        <w:t>Contingentes</w:t>
      </w:r>
      <w:r w:rsidRPr="008D6862">
        <w:rPr>
          <w:rFonts w:ascii="Arial" w:hAnsi="Arial" w:cs="Arial"/>
          <w:b/>
          <w:bCs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149A4">
        <w:rPr>
          <w:rFonts w:ascii="Arial" w:hAnsi="Arial" w:cs="Arial"/>
          <w:sz w:val="22"/>
          <w:szCs w:val="22"/>
        </w:rPr>
        <w:t>O saldo refere-se ao ganho decorrente de decisões judiciais favoráveis à Telebras. No exercício de 2025, a Companhia obteve êxito em ação movida contra a Federação Internacional de Futebol (FIFA), relativa a pendências contratuais originadas durante a realização da Copa do Mundo de 2014.</w:t>
      </w:r>
    </w:p>
    <w:p w14:paraId="57D8CE13" w14:textId="77777777" w:rsidR="008D6862" w:rsidRPr="00E149A4" w:rsidRDefault="008D6862" w:rsidP="008D68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66A630" w14:textId="77777777" w:rsidR="008D6862" w:rsidRPr="00E149A4" w:rsidRDefault="008D6862" w:rsidP="008D686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149A4">
        <w:rPr>
          <w:rFonts w:ascii="Arial" w:hAnsi="Arial" w:cs="Arial"/>
          <w:color w:val="000000"/>
          <w:sz w:val="22"/>
          <w:szCs w:val="22"/>
        </w:rPr>
        <w:t>Após a sentença favorável, as partes formalizaram acordo no qual a FIFA renunciou aos recursos que ainda poderia interpor e reconheceu a obrigação de quitar o valor devido, acrescido de atualização monetária. Em decorrência desse acordo, a Telebras recebeu o montante de R$ 14.922, valor que foi contabilizado como ingresso extraordinário decorrente de decisão judicial transitada em julgado.</w:t>
      </w:r>
    </w:p>
    <w:p w14:paraId="2AEBD969" w14:textId="32C1C055" w:rsidR="00895B19" w:rsidRPr="00895B19" w:rsidRDefault="00A55CAC" w:rsidP="00895B19">
      <w:pPr>
        <w:pStyle w:val="Corpodetexto"/>
        <w:tabs>
          <w:tab w:val="left" w:pos="0"/>
        </w:tabs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v)</w:t>
      </w:r>
      <w:r w:rsidR="00CC676E">
        <w:rPr>
          <w:rFonts w:ascii="Arial" w:hAnsi="Arial" w:cs="Arial"/>
          <w:b/>
          <w:sz w:val="22"/>
          <w:szCs w:val="22"/>
        </w:rPr>
        <w:t xml:space="preserve"> </w:t>
      </w:r>
      <w:r w:rsidR="00CC676E" w:rsidRPr="00CC676E">
        <w:rPr>
          <w:rFonts w:ascii="Arial" w:hAnsi="Arial" w:cs="Arial"/>
          <w:b/>
          <w:bCs/>
          <w:color w:val="000000"/>
          <w:sz w:val="22"/>
          <w:szCs w:val="22"/>
        </w:rPr>
        <w:t>Tributos sobre Outras Receitas Operacionais:</w:t>
      </w:r>
      <w:r w:rsidR="00CC676E" w:rsidRPr="00CC676E">
        <w:rPr>
          <w:rFonts w:ascii="Arial" w:hAnsi="Arial" w:cs="Arial"/>
          <w:color w:val="000000"/>
          <w:sz w:val="22"/>
          <w:szCs w:val="22"/>
        </w:rPr>
        <w:t xml:space="preserve"> </w:t>
      </w:r>
      <w:r w:rsidR="00895B19" w:rsidRPr="00895B19">
        <w:rPr>
          <w:rFonts w:ascii="Arial" w:hAnsi="Arial" w:cs="Arial"/>
          <w:bCs/>
          <w:sz w:val="22"/>
          <w:szCs w:val="22"/>
        </w:rPr>
        <w:t xml:space="preserve">A redução de 39,3% em relação ao exercício de 2024 decorre, principalmente, da diminuição dos eventos reconhecidos no resultado do período classificados como outras receitas operacionais e que são sujeitos à incidência de PIS e </w:t>
      </w:r>
      <w:proofErr w:type="spellStart"/>
      <w:r w:rsidR="00895B19" w:rsidRPr="00895B19">
        <w:rPr>
          <w:rFonts w:ascii="Arial" w:hAnsi="Arial" w:cs="Arial"/>
          <w:bCs/>
          <w:sz w:val="22"/>
          <w:szCs w:val="22"/>
        </w:rPr>
        <w:t>Cofins</w:t>
      </w:r>
      <w:proofErr w:type="spellEnd"/>
      <w:r w:rsidR="00895B19" w:rsidRPr="00895B19">
        <w:rPr>
          <w:rFonts w:ascii="Arial" w:hAnsi="Arial" w:cs="Arial"/>
          <w:bCs/>
          <w:sz w:val="22"/>
          <w:szCs w:val="22"/>
        </w:rPr>
        <w:t>. A menor geração desses eventos no exercício reduziu a base tributável e, consequentemente, o montante registrado nessa rubrica.</w:t>
      </w:r>
    </w:p>
    <w:p w14:paraId="3264A5EC" w14:textId="3516B363" w:rsidR="000C7445" w:rsidRDefault="000C7445" w:rsidP="000C7445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Resultado Financeiro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881"/>
        <w:gridCol w:w="673"/>
        <w:gridCol w:w="673"/>
        <w:gridCol w:w="157"/>
        <w:gridCol w:w="625"/>
        <w:gridCol w:w="699"/>
        <w:gridCol w:w="157"/>
        <w:gridCol w:w="950"/>
        <w:gridCol w:w="751"/>
        <w:gridCol w:w="157"/>
        <w:gridCol w:w="623"/>
      </w:tblGrid>
      <w:tr w:rsidR="00FA12BE" w:rsidRPr="00A90852" w14:paraId="4076C8EB" w14:textId="77777777" w:rsidTr="00803A45">
        <w:trPr>
          <w:trHeight w:val="215"/>
        </w:trPr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1709" w14:textId="77777777" w:rsidR="00FA12BE" w:rsidRDefault="00FA12BE">
            <w:pPr>
              <w:rPr>
                <w:sz w:val="20"/>
                <w:szCs w:val="20"/>
              </w:rPr>
            </w:pPr>
          </w:p>
        </w:tc>
        <w:tc>
          <w:tcPr>
            <w:tcW w:w="1768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4DB9CB" w14:textId="77777777" w:rsidR="00FA12BE" w:rsidRPr="00A90852" w:rsidRDefault="00FA12BE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Trimestres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6E98" w14:textId="77777777" w:rsidR="00FA12BE" w:rsidRPr="00A90852" w:rsidRDefault="00FA12BE">
            <w:pPr>
              <w:jc w:val="cent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B2DC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5C25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B016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221E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</w:tr>
      <w:tr w:rsidR="00FA12BE" w:rsidRPr="00A90852" w14:paraId="6F35DD41" w14:textId="77777777" w:rsidTr="00803A45">
        <w:trPr>
          <w:trHeight w:val="89"/>
        </w:trPr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A80E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DBE8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1D4F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4B39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9648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3A6C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1B26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5972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3FAE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EB2E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E595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3C81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</w:tr>
      <w:tr w:rsidR="00FA12BE" w:rsidRPr="00A90852" w14:paraId="5BA42B38" w14:textId="77777777" w:rsidTr="00803A45">
        <w:trPr>
          <w:trHeight w:val="215"/>
        </w:trPr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075EFE4" w14:textId="77777777" w:rsidR="00FA12BE" w:rsidRPr="00A90852" w:rsidRDefault="00FA12BE">
            <w:pPr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R$ mil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780B93F" w14:textId="77777777" w:rsidR="00FA12BE" w:rsidRPr="00A90852" w:rsidRDefault="00FA12B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4T25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04F814D" w14:textId="77777777" w:rsidR="00FA12BE" w:rsidRPr="00A90852" w:rsidRDefault="00FA12B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4T24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5203CFD" w14:textId="77777777" w:rsidR="00FA12BE" w:rsidRPr="00A90852" w:rsidRDefault="00FA12B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3T25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A3D4" w14:textId="77777777" w:rsidR="00FA12BE" w:rsidRPr="00A90852" w:rsidRDefault="00FA12B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0F29E7D7" w14:textId="77777777" w:rsidR="00FA12BE" w:rsidRPr="00A90852" w:rsidRDefault="00FA12B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5AFE544" w14:textId="77777777" w:rsidR="00FA12BE" w:rsidRPr="00A90852" w:rsidRDefault="00FA12B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Trim.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4A74" w14:textId="77777777" w:rsidR="00FA12BE" w:rsidRPr="00A90852" w:rsidRDefault="00FA12B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E641B6E" w14:textId="77777777" w:rsidR="00FA12BE" w:rsidRPr="00A90852" w:rsidRDefault="00FA12B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17D3C41" w14:textId="77777777" w:rsidR="00FA12BE" w:rsidRPr="00A90852" w:rsidRDefault="00FA12B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D55AA" w14:textId="77777777" w:rsidR="00FA12BE" w:rsidRPr="00A90852" w:rsidRDefault="00FA12B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F4C429B" w14:textId="77777777" w:rsidR="00FA12BE" w:rsidRPr="00A90852" w:rsidRDefault="00FA12BE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Δ Ano</w:t>
            </w:r>
          </w:p>
        </w:tc>
      </w:tr>
      <w:tr w:rsidR="00FA12BE" w:rsidRPr="00A90852" w14:paraId="501461C6" w14:textId="77777777" w:rsidTr="00803A45">
        <w:trPr>
          <w:trHeight w:val="215"/>
        </w:trPr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AE760" w14:textId="77777777" w:rsidR="00FA12BE" w:rsidRPr="00A90852" w:rsidRDefault="00FA12BE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Receitas Financeiras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572B1428" w14:textId="77777777" w:rsidR="00FA12BE" w:rsidRPr="00A90852" w:rsidRDefault="00FA12BE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12AE8" w14:textId="77777777" w:rsidR="00FA12BE" w:rsidRPr="00A90852" w:rsidRDefault="00FA12BE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E118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3541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EC8CA" w14:textId="77777777" w:rsidR="00FA12BE" w:rsidRPr="00A90852" w:rsidRDefault="00FA12BE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9E6D7" w14:textId="77777777" w:rsidR="00FA12BE" w:rsidRPr="00A90852" w:rsidRDefault="00FA12BE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B0CE" w14:textId="77777777" w:rsidR="00FA12BE" w:rsidRPr="00A90852" w:rsidRDefault="00FA12BE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5409B7C" w14:textId="77777777" w:rsidR="00FA12BE" w:rsidRPr="00A90852" w:rsidRDefault="00FA12BE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DD48" w14:textId="77777777" w:rsidR="00FA12BE" w:rsidRPr="00A90852" w:rsidRDefault="00FA12BE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E91A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4B0A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</w:tr>
      <w:tr w:rsidR="00FA12BE" w:rsidRPr="00A90852" w14:paraId="45454531" w14:textId="77777777" w:rsidTr="00803A45">
        <w:trPr>
          <w:trHeight w:val="215"/>
        </w:trPr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7CA0A" w14:textId="77777777" w:rsidR="00FA12BE" w:rsidRPr="00A90852" w:rsidRDefault="00FA12BE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Juros sobre Aplicações Financeiras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50EBBB3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55.844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3823D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27.813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8518D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50.070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5D91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B9197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100,8%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D28E5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11,5%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A744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B3BBFE1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194.343 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D1565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116.459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AADE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9E50F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66,9%</w:t>
            </w:r>
          </w:p>
        </w:tc>
      </w:tr>
      <w:tr w:rsidR="00FA12BE" w:rsidRPr="00A90852" w14:paraId="2747AA3D" w14:textId="77777777" w:rsidTr="00803A45">
        <w:trPr>
          <w:trHeight w:val="215"/>
        </w:trPr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C535A" w14:textId="77777777" w:rsidR="00FA12BE" w:rsidRPr="00A90852" w:rsidRDefault="00FA12BE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Juros sobre Superavit Previdência Privada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5966268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 3.838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A3142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615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08606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4.205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4DDF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25EF9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524,1%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22CC7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-8,7%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C295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FA1A45E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 18.867 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BACFA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2.610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ABFD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DF974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622,9%</w:t>
            </w:r>
          </w:p>
        </w:tc>
      </w:tr>
      <w:tr w:rsidR="00FA12BE" w:rsidRPr="00A90852" w14:paraId="5884212B" w14:textId="77777777" w:rsidTr="00803A45">
        <w:trPr>
          <w:trHeight w:val="215"/>
        </w:trPr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AAA80" w14:textId="77777777" w:rsidR="00FA12BE" w:rsidRPr="00A90852" w:rsidRDefault="00FA12BE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Juros sobre Tributos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484B96CA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 2.962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49642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2.228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51168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5.747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9BCB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AB2DA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32,9%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C5BFD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-48,5%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F06B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A412E48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 12.724 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97246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10.871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B37B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F5D89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17,0%</w:t>
            </w:r>
          </w:p>
        </w:tc>
      </w:tr>
      <w:tr w:rsidR="00FA12BE" w:rsidRPr="00A90852" w14:paraId="792A005A" w14:textId="77777777" w:rsidTr="00803A45">
        <w:trPr>
          <w:trHeight w:val="215"/>
        </w:trPr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944A3" w14:textId="77777777" w:rsidR="00FA12BE" w:rsidRPr="00A90852" w:rsidRDefault="00FA12BE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Juros sobre Depósitos Judiciais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8CB0F22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 1.176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0771A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955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5DBB8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1.174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C8F5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C31CC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23,1%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F544C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0,2%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C4BE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5045A4C2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   4.534 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E8A5C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3.644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A3C6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D86D2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24,4%</w:t>
            </w:r>
          </w:p>
        </w:tc>
      </w:tr>
      <w:tr w:rsidR="00FA12BE" w:rsidRPr="00A90852" w14:paraId="277BA449" w14:textId="77777777" w:rsidTr="00803A45">
        <w:trPr>
          <w:trHeight w:val="215"/>
        </w:trPr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C6EBC" w14:textId="77777777" w:rsidR="00FA12BE" w:rsidRPr="00A90852" w:rsidRDefault="00FA12BE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Descontos Financeiros sobre Passivos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04110DD3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 2.808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BFDDE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-     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6F98E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-     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7023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AC75B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100,0%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EC354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100,0%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3C1E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4C171321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   2.808 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5B6BA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-     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B9F7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DFBA5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100,0%</w:t>
            </w:r>
          </w:p>
        </w:tc>
      </w:tr>
      <w:tr w:rsidR="00FA12BE" w:rsidRPr="00A90852" w14:paraId="69147FF9" w14:textId="77777777" w:rsidTr="00803A45">
        <w:trPr>
          <w:trHeight w:val="215"/>
        </w:trPr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A58F7" w14:textId="77777777" w:rsidR="00FA12BE" w:rsidRPr="00A90852" w:rsidRDefault="00FA12BE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Outras Receitas Financeiras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E13CA68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      17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8C6FA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35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664CD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49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C93D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60EE9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-51,4%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6F41C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-65,3%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AC90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B5BFAB5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      254 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DEF42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867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9A69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0630B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-70,7%</w:t>
            </w:r>
          </w:p>
        </w:tc>
      </w:tr>
      <w:tr w:rsidR="00FA12BE" w:rsidRPr="00A90852" w14:paraId="63963D0A" w14:textId="77777777" w:rsidTr="00803A45">
        <w:trPr>
          <w:trHeight w:val="215"/>
        </w:trPr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E71A3" w14:textId="77777777" w:rsidR="00FA12BE" w:rsidRPr="00A90852" w:rsidRDefault="00FA12BE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Tributos sobre Receitas Financeiras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57DA4F8F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(3.045)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AF684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(1.427)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0106E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(2.793)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03C8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4F5DB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113,4%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8C979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9,0%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E4A0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22C09469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(10.649)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A4228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(6.107)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D359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0B681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74,4%</w:t>
            </w:r>
          </w:p>
        </w:tc>
      </w:tr>
      <w:tr w:rsidR="00FA12BE" w:rsidRPr="00A90852" w14:paraId="0002F72B" w14:textId="77777777" w:rsidTr="00803A45">
        <w:trPr>
          <w:trHeight w:val="215"/>
        </w:trPr>
        <w:tc>
          <w:tcPr>
            <w:tcW w:w="1974" w:type="pct"/>
            <w:tcBorders>
              <w:top w:val="nil"/>
              <w:left w:val="nil"/>
              <w:bottom w:val="single" w:sz="8" w:space="0" w:color="D9E1F2"/>
              <w:right w:val="nil"/>
            </w:tcBorders>
            <w:shd w:val="clear" w:color="000000" w:fill="0000FF"/>
            <w:noWrap/>
            <w:vAlign w:val="center"/>
            <w:hideMark/>
          </w:tcPr>
          <w:p w14:paraId="15B0A218" w14:textId="77777777" w:rsidR="00FA12BE" w:rsidRPr="00A90852" w:rsidRDefault="00FA12BE">
            <w:pPr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Total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447370E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 xml:space="preserve">        63.600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B17E0BD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 xml:space="preserve">  30.219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E158588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 xml:space="preserve">  58.452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8833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165E58B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110,5%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D23D73E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8,8%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45E1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C56B935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 xml:space="preserve">        222.881 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60BF275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 xml:space="preserve">  128.344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41ED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52B0F9E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73,7%</w:t>
            </w:r>
          </w:p>
        </w:tc>
      </w:tr>
      <w:tr w:rsidR="00FA12BE" w:rsidRPr="00A90852" w14:paraId="3E11B467" w14:textId="77777777" w:rsidTr="00803A45">
        <w:trPr>
          <w:trHeight w:val="215"/>
        </w:trPr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0ED23" w14:textId="77777777" w:rsidR="00FA12BE" w:rsidRPr="00A90852" w:rsidRDefault="00FA12BE">
            <w:pP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Despesas Financeiras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46261A41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FC50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5B7B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7665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DCC11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A9E09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B4C1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41C4920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1184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B3F8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01B8" w14:textId="77777777" w:rsidR="00FA12BE" w:rsidRPr="00A90852" w:rsidRDefault="00FA12BE">
            <w:pPr>
              <w:rPr>
                <w:sz w:val="20"/>
                <w:szCs w:val="20"/>
              </w:rPr>
            </w:pPr>
          </w:p>
        </w:tc>
      </w:tr>
      <w:tr w:rsidR="00FA12BE" w:rsidRPr="00A90852" w14:paraId="5C4176EB" w14:textId="77777777" w:rsidTr="00803A45">
        <w:trPr>
          <w:trHeight w:val="215"/>
        </w:trPr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2B4F9" w14:textId="77777777" w:rsidR="00FA12BE" w:rsidRPr="00A90852" w:rsidRDefault="00FA12BE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Juros sobre Adiantamento para Futuro Aumento de Capital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4225A154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(67.622)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AEA6F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(49.785)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072C7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(67.316)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F697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3BE78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35,8%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EE39B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0,5%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54E6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297BE01C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(249.981)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162DF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(189.369)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D08B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F1B91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32,0%</w:t>
            </w:r>
          </w:p>
        </w:tc>
      </w:tr>
      <w:tr w:rsidR="00FA12BE" w:rsidRPr="00A90852" w14:paraId="7C2747CD" w14:textId="77777777" w:rsidTr="00803A45">
        <w:trPr>
          <w:trHeight w:val="215"/>
        </w:trPr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C0F21" w14:textId="77777777" w:rsidR="00FA12BE" w:rsidRPr="00A90852" w:rsidRDefault="00FA12BE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Juros e Variação Monetária de Acordos Judiciais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05D4532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(3.969)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471B2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(3.552)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A8E1D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(2.442)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96D9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9D208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11,7%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B5685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62,5%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0F72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A946E3D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(14.247)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61497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(12.998)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0DD6B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B0F4F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9,6%</w:t>
            </w:r>
          </w:p>
        </w:tc>
      </w:tr>
      <w:tr w:rsidR="00FA12BE" w:rsidRPr="00A90852" w14:paraId="446157E9" w14:textId="77777777" w:rsidTr="00803A45">
        <w:trPr>
          <w:trHeight w:val="215"/>
        </w:trPr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A784A" w14:textId="77777777" w:rsidR="00FA12BE" w:rsidRPr="00A90852" w:rsidRDefault="00FA12BE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Juros/VM sobre Prov. para Riscos Trabalhistas, Cíveis e Fiscais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8E56940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(1.427)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3A932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(1.734)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EC10C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(1.208)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DA0E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A05C2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-17,7%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B9F92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18,1%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7170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21BDC7E1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  (6.484)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9D5B0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(6.298)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7755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9F322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3,0%</w:t>
            </w:r>
          </w:p>
        </w:tc>
      </w:tr>
      <w:tr w:rsidR="00FA12BE" w:rsidRPr="00A90852" w14:paraId="30B48B11" w14:textId="77777777" w:rsidTr="00803A45">
        <w:trPr>
          <w:trHeight w:val="215"/>
        </w:trPr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66972" w14:textId="77777777" w:rsidR="00FA12BE" w:rsidRPr="00A90852" w:rsidRDefault="00FA12BE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Juros sobre Obrigações com Fornecedores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0AB83886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(2.568)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D14B1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-     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FA3FE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-     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0B02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A2D5C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100,0%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AEFE6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100,0%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1D5A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C6CD484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  (2.568)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1CF73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-     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06697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C736B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100,0%</w:t>
            </w:r>
          </w:p>
        </w:tc>
      </w:tr>
      <w:tr w:rsidR="00FA12BE" w:rsidRPr="00A90852" w14:paraId="781EC9C5" w14:textId="77777777" w:rsidTr="00803A45">
        <w:trPr>
          <w:trHeight w:val="215"/>
        </w:trPr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7D1B0" w14:textId="77777777" w:rsidR="00FA12BE" w:rsidRPr="00A90852" w:rsidRDefault="00FA12BE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Variação Cambial sobre Obrigações com Fornecedores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343FD7D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(2.511)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0993A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-     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30071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-     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B5A3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8E5BD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100,0%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24DFE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100,0%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C3F2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52A7D701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  (2.511)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03522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-     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FED2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66ADF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100,0%</w:t>
            </w:r>
          </w:p>
        </w:tc>
      </w:tr>
      <w:tr w:rsidR="00FA12BE" w:rsidRPr="00A90852" w14:paraId="0EC98634" w14:textId="77777777" w:rsidTr="00803A45">
        <w:trPr>
          <w:trHeight w:val="215"/>
        </w:trPr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F85D3" w14:textId="77777777" w:rsidR="00FA12BE" w:rsidRPr="00A90852" w:rsidRDefault="00FA12BE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Outras Despesas Financeiras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4A2DC1D9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   (336)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285A3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(1.119)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D95F5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(168)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A661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1B0EE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-70,0%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D5E32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100,0%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85CC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5A0B097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     (1.354)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33D4A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 xml:space="preserve">     (4.747)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0EB6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812E4" w14:textId="77777777" w:rsidR="00FA12BE" w:rsidRPr="00A90852" w:rsidRDefault="00FA12BE">
            <w:pPr>
              <w:jc w:val="right"/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A90852">
              <w:rPr>
                <w:rFonts w:ascii="Arial" w:hAnsi="Arial" w:cs="Arial"/>
                <w:color w:val="000000"/>
                <w:sz w:val="13"/>
                <w:szCs w:val="13"/>
              </w:rPr>
              <w:t>-71,5%</w:t>
            </w:r>
          </w:p>
        </w:tc>
      </w:tr>
      <w:tr w:rsidR="00FA12BE" w:rsidRPr="00A90852" w14:paraId="31787A58" w14:textId="77777777" w:rsidTr="00803A45">
        <w:trPr>
          <w:trHeight w:val="215"/>
        </w:trPr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42E3668" w14:textId="77777777" w:rsidR="00FA12BE" w:rsidRPr="00A90852" w:rsidRDefault="00FA12BE">
            <w:pPr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Total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BEA127D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 xml:space="preserve">       (78.433)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DD43607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 xml:space="preserve"> (56.190)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129849C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 xml:space="preserve"> (71.134)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14E4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01B157D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39,6%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A14521F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10,3%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626D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58FD067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 xml:space="preserve">       (277.145)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93AF355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 xml:space="preserve"> (213.412)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5DDB8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167AD83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29,9%</w:t>
            </w:r>
          </w:p>
        </w:tc>
      </w:tr>
      <w:tr w:rsidR="00FA12BE" w14:paraId="440F6F63" w14:textId="77777777" w:rsidTr="00803A45">
        <w:trPr>
          <w:trHeight w:val="215"/>
        </w:trPr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5FA5044" w14:textId="39E1F540" w:rsidR="00FA12BE" w:rsidRPr="00A90852" w:rsidRDefault="00FA12BE">
            <w:pPr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 xml:space="preserve">Resultado Financeiro </w:t>
            </w:r>
            <w:r w:rsidR="008D6862"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Líquido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EE639CA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 xml:space="preserve">       (14.833)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143C23E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 xml:space="preserve"> (25.971)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F7F7F6B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 xml:space="preserve"> (12.682)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FCDE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9BCC38D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-42,9%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9A6D3DC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17,0%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7E61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36F38D0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 xml:space="preserve">        (54.264)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CE35AC7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 xml:space="preserve">   (85.068)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6E9E" w14:textId="77777777" w:rsidR="00FA12BE" w:rsidRPr="00A90852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F8673A5" w14:textId="77777777" w:rsidR="00FA12BE" w:rsidRDefault="00FA12BE">
            <w:pPr>
              <w:jc w:val="right"/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</w:pPr>
            <w:r w:rsidRPr="00A90852"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-36,2%</w:t>
            </w:r>
          </w:p>
        </w:tc>
      </w:tr>
    </w:tbl>
    <w:p w14:paraId="0F7F29D9" w14:textId="77777777" w:rsidR="00FA12BE" w:rsidRDefault="00FA12BE" w:rsidP="000C7445">
      <w:pPr>
        <w:pStyle w:val="Corpodetexto"/>
        <w:tabs>
          <w:tab w:val="clear" w:pos="851"/>
          <w:tab w:val="left" w:pos="0"/>
        </w:tabs>
        <w:spacing w:before="0" w:after="0" w:line="276" w:lineRule="auto"/>
        <w:rPr>
          <w:rStyle w:val="RefernciaIntensa"/>
          <w:rFonts w:ascii="Arial" w:hAnsi="Arial" w:cs="Arial"/>
          <w:color w:val="auto"/>
        </w:rPr>
      </w:pPr>
    </w:p>
    <w:p w14:paraId="75AB297B" w14:textId="265B6BF8" w:rsidR="00A90852" w:rsidRDefault="00A90852" w:rsidP="00A9085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90852">
        <w:rPr>
          <w:rFonts w:ascii="Arial" w:hAnsi="Arial" w:cs="Arial"/>
          <w:color w:val="000000"/>
          <w:sz w:val="22"/>
          <w:szCs w:val="22"/>
        </w:rPr>
        <w:t>Em 2025, o resultado financeiro apresentou saldo negativo de R$ 54,3 milhões, frente aos R$ 85,1 milhões negativos registrados em 2024, o que representa uma melhora de 36,2% no desempenho.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90852">
        <w:rPr>
          <w:rFonts w:ascii="Arial" w:hAnsi="Arial" w:cs="Arial"/>
          <w:color w:val="000000"/>
          <w:sz w:val="22"/>
          <w:szCs w:val="22"/>
        </w:rPr>
        <w:t>Essa evolução é explicada, principalmente, pelos seguintes fatores: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90852">
        <w:rPr>
          <w:rFonts w:ascii="Arial" w:hAnsi="Arial" w:cs="Arial"/>
          <w:color w:val="000000"/>
          <w:sz w:val="22"/>
          <w:szCs w:val="22"/>
        </w:rPr>
        <w:t>i) o crescimento de 66,9% dos rendimentos de aplicações financeiras, reflexo do aumento da rentabilidade média dos fundos no comparativo entre os períodos; e</w:t>
      </w:r>
      <w:r w:rsidRPr="00A90852">
        <w:rPr>
          <w:rFonts w:ascii="Arial" w:hAnsi="Arial" w:cs="Arial"/>
          <w:color w:val="000000"/>
          <w:sz w:val="22"/>
          <w:szCs w:val="22"/>
        </w:rPr>
        <w:br/>
      </w:r>
      <w:proofErr w:type="spellStart"/>
      <w:r w:rsidRPr="00A90852">
        <w:rPr>
          <w:rFonts w:ascii="Arial" w:hAnsi="Arial" w:cs="Arial"/>
          <w:color w:val="000000"/>
          <w:sz w:val="22"/>
          <w:szCs w:val="22"/>
        </w:rPr>
        <w:t>ii</w:t>
      </w:r>
      <w:proofErr w:type="spellEnd"/>
      <w:r w:rsidRPr="00A90852">
        <w:rPr>
          <w:rFonts w:ascii="Arial" w:hAnsi="Arial" w:cs="Arial"/>
          <w:color w:val="000000"/>
          <w:sz w:val="22"/>
          <w:szCs w:val="22"/>
        </w:rPr>
        <w:t>) a atualização monetária dos valores a receber referentes ao Superávit de Previdência Privada, reconhecidos em 2024, que contribuiu positivamente para o resultado.</w:t>
      </w:r>
    </w:p>
    <w:p w14:paraId="594BDFBA" w14:textId="77777777" w:rsidR="00A90852" w:rsidRPr="00A90852" w:rsidRDefault="00A90852" w:rsidP="00A9085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2633996" w14:textId="59C01FFC" w:rsidR="00A90852" w:rsidRPr="00A90852" w:rsidRDefault="00A90852" w:rsidP="00A9085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90852">
        <w:rPr>
          <w:rFonts w:ascii="Arial" w:hAnsi="Arial" w:cs="Arial"/>
          <w:color w:val="000000"/>
          <w:sz w:val="22"/>
          <w:szCs w:val="22"/>
        </w:rPr>
        <w:t xml:space="preserve">Esses efeitos favoráveis, contudo, foram parcialmente </w:t>
      </w:r>
      <w:r>
        <w:rPr>
          <w:rFonts w:ascii="Arial" w:hAnsi="Arial" w:cs="Arial"/>
          <w:color w:val="000000"/>
          <w:sz w:val="22"/>
          <w:szCs w:val="22"/>
        </w:rPr>
        <w:t>compensados</w:t>
      </w:r>
      <w:r w:rsidRPr="00A90852">
        <w:rPr>
          <w:rFonts w:ascii="Arial" w:hAnsi="Arial" w:cs="Arial"/>
          <w:color w:val="000000"/>
          <w:sz w:val="22"/>
          <w:szCs w:val="22"/>
        </w:rPr>
        <w:t xml:space="preserve"> pelo aumento de 32,0% nos encargos financeiros do AFAC, decorrente da elevação da taxa Selic — indexador utilizado para a atualização desses valores.</w:t>
      </w:r>
    </w:p>
    <w:p w14:paraId="5145BCFF" w14:textId="77777777" w:rsidR="006E6DE7" w:rsidRDefault="006E6DE7" w:rsidP="00E65922">
      <w:pPr>
        <w:jc w:val="both"/>
        <w:rPr>
          <w:rStyle w:val="RefernciaIntensa"/>
          <w:rFonts w:ascii="Arial" w:hAnsi="Arial" w:cs="Arial"/>
          <w:color w:val="auto"/>
          <w:sz w:val="22"/>
          <w:szCs w:val="22"/>
        </w:rPr>
      </w:pPr>
    </w:p>
    <w:p w14:paraId="0018A181" w14:textId="77777777" w:rsidR="00A06DC5" w:rsidRDefault="00A06DC5" w:rsidP="00E65922">
      <w:pPr>
        <w:jc w:val="both"/>
        <w:rPr>
          <w:rStyle w:val="RefernciaIntensa"/>
          <w:rFonts w:ascii="Arial" w:hAnsi="Arial" w:cs="Arial"/>
          <w:color w:val="auto"/>
          <w:sz w:val="22"/>
          <w:szCs w:val="22"/>
        </w:rPr>
      </w:pPr>
    </w:p>
    <w:p w14:paraId="18794846" w14:textId="77777777" w:rsidR="00A06DC5" w:rsidRDefault="00A06DC5" w:rsidP="00E65922">
      <w:pPr>
        <w:jc w:val="both"/>
        <w:rPr>
          <w:rStyle w:val="RefernciaIntensa"/>
          <w:rFonts w:ascii="Arial" w:hAnsi="Arial" w:cs="Arial"/>
          <w:color w:val="auto"/>
          <w:sz w:val="22"/>
          <w:szCs w:val="22"/>
        </w:rPr>
      </w:pPr>
    </w:p>
    <w:p w14:paraId="5D31AD0C" w14:textId="77777777" w:rsidR="00A06DC5" w:rsidRDefault="00A06DC5" w:rsidP="00E65922">
      <w:pPr>
        <w:jc w:val="both"/>
        <w:rPr>
          <w:rStyle w:val="RefernciaIntensa"/>
          <w:rFonts w:ascii="Arial" w:hAnsi="Arial" w:cs="Arial"/>
          <w:color w:val="auto"/>
          <w:sz w:val="22"/>
          <w:szCs w:val="22"/>
        </w:rPr>
      </w:pPr>
    </w:p>
    <w:p w14:paraId="0923496D" w14:textId="77777777" w:rsidR="00A06DC5" w:rsidRDefault="00A06DC5" w:rsidP="00E65922">
      <w:pPr>
        <w:jc w:val="both"/>
        <w:rPr>
          <w:rStyle w:val="RefernciaIntensa"/>
          <w:rFonts w:ascii="Arial" w:hAnsi="Arial" w:cs="Arial"/>
          <w:color w:val="auto"/>
          <w:sz w:val="22"/>
          <w:szCs w:val="22"/>
        </w:rPr>
      </w:pPr>
    </w:p>
    <w:p w14:paraId="73DEC855" w14:textId="77777777" w:rsidR="00A06DC5" w:rsidRDefault="00A06DC5" w:rsidP="00E65922">
      <w:pPr>
        <w:jc w:val="both"/>
        <w:rPr>
          <w:rStyle w:val="RefernciaIntensa"/>
          <w:rFonts w:ascii="Arial" w:hAnsi="Arial" w:cs="Arial"/>
          <w:color w:val="auto"/>
          <w:sz w:val="22"/>
          <w:szCs w:val="22"/>
        </w:rPr>
      </w:pPr>
    </w:p>
    <w:p w14:paraId="6DC90DE1" w14:textId="77777777" w:rsidR="00A06DC5" w:rsidRDefault="00A06DC5" w:rsidP="00E65922">
      <w:pPr>
        <w:jc w:val="both"/>
        <w:rPr>
          <w:rStyle w:val="RefernciaIntensa"/>
          <w:rFonts w:ascii="Arial" w:hAnsi="Arial" w:cs="Arial"/>
          <w:color w:val="auto"/>
          <w:sz w:val="22"/>
          <w:szCs w:val="22"/>
        </w:rPr>
      </w:pPr>
    </w:p>
    <w:p w14:paraId="3AE22C19" w14:textId="77777777" w:rsidR="00A06DC5" w:rsidRDefault="00A06DC5" w:rsidP="00E65922">
      <w:pPr>
        <w:jc w:val="both"/>
        <w:rPr>
          <w:rStyle w:val="RefernciaIntensa"/>
          <w:rFonts w:ascii="Arial" w:hAnsi="Arial" w:cs="Arial"/>
          <w:color w:val="auto"/>
          <w:sz w:val="22"/>
          <w:szCs w:val="22"/>
        </w:rPr>
      </w:pPr>
    </w:p>
    <w:p w14:paraId="725C01F2" w14:textId="77777777" w:rsidR="00A06DC5" w:rsidRDefault="00A06DC5" w:rsidP="00E65922">
      <w:pPr>
        <w:jc w:val="both"/>
        <w:rPr>
          <w:rStyle w:val="RefernciaIntensa"/>
          <w:rFonts w:ascii="Arial" w:hAnsi="Arial" w:cs="Arial"/>
          <w:color w:val="auto"/>
          <w:sz w:val="22"/>
          <w:szCs w:val="22"/>
        </w:rPr>
      </w:pPr>
    </w:p>
    <w:p w14:paraId="3F14CF95" w14:textId="77777777" w:rsidR="00A06DC5" w:rsidRDefault="00A06DC5" w:rsidP="00E65922">
      <w:pPr>
        <w:jc w:val="both"/>
        <w:rPr>
          <w:rStyle w:val="RefernciaIntensa"/>
          <w:rFonts w:ascii="Arial" w:hAnsi="Arial" w:cs="Arial"/>
          <w:color w:val="auto"/>
          <w:sz w:val="22"/>
          <w:szCs w:val="22"/>
        </w:rPr>
      </w:pPr>
    </w:p>
    <w:p w14:paraId="06326BDD" w14:textId="77777777" w:rsidR="00A06DC5" w:rsidRDefault="00A06DC5" w:rsidP="00E65922">
      <w:pPr>
        <w:jc w:val="both"/>
        <w:rPr>
          <w:rStyle w:val="RefernciaIntensa"/>
          <w:rFonts w:ascii="Arial" w:hAnsi="Arial" w:cs="Arial"/>
          <w:color w:val="auto"/>
          <w:sz w:val="22"/>
          <w:szCs w:val="22"/>
        </w:rPr>
      </w:pPr>
    </w:p>
    <w:p w14:paraId="321F6963" w14:textId="77777777" w:rsidR="00A06DC5" w:rsidRDefault="00A06DC5" w:rsidP="00E65922">
      <w:pPr>
        <w:jc w:val="both"/>
        <w:rPr>
          <w:rStyle w:val="RefernciaIntensa"/>
          <w:rFonts w:ascii="Arial" w:hAnsi="Arial" w:cs="Arial"/>
          <w:color w:val="auto"/>
          <w:sz w:val="22"/>
          <w:szCs w:val="22"/>
        </w:rPr>
      </w:pPr>
    </w:p>
    <w:p w14:paraId="6E9A0017" w14:textId="77777777" w:rsidR="00A06DC5" w:rsidRDefault="00A06DC5" w:rsidP="00E65922">
      <w:pPr>
        <w:jc w:val="both"/>
        <w:rPr>
          <w:rStyle w:val="RefernciaIntensa"/>
          <w:rFonts w:ascii="Arial" w:hAnsi="Arial" w:cs="Arial"/>
          <w:color w:val="auto"/>
          <w:sz w:val="22"/>
          <w:szCs w:val="22"/>
        </w:rPr>
      </w:pPr>
    </w:p>
    <w:p w14:paraId="654B9F3C" w14:textId="77777777" w:rsidR="00A06DC5" w:rsidRDefault="00A06DC5" w:rsidP="00E65922">
      <w:pPr>
        <w:jc w:val="both"/>
        <w:rPr>
          <w:rStyle w:val="RefernciaIntensa"/>
          <w:rFonts w:ascii="Arial" w:hAnsi="Arial" w:cs="Arial"/>
          <w:color w:val="auto"/>
          <w:sz w:val="22"/>
          <w:szCs w:val="22"/>
        </w:rPr>
      </w:pPr>
    </w:p>
    <w:p w14:paraId="3172E657" w14:textId="77777777" w:rsidR="00A06DC5" w:rsidRDefault="00A06DC5" w:rsidP="00E65922">
      <w:pPr>
        <w:jc w:val="both"/>
        <w:rPr>
          <w:rStyle w:val="RefernciaIntensa"/>
          <w:rFonts w:ascii="Arial" w:hAnsi="Arial" w:cs="Arial"/>
          <w:color w:val="auto"/>
          <w:sz w:val="22"/>
          <w:szCs w:val="22"/>
        </w:rPr>
      </w:pPr>
    </w:p>
    <w:p w14:paraId="2965DBD9" w14:textId="708CC91B" w:rsidR="00FB1FB8" w:rsidRDefault="00C16E22" w:rsidP="00E65922">
      <w:pPr>
        <w:jc w:val="both"/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EBITDA (LAJIDA)</w:t>
      </w:r>
    </w:p>
    <w:tbl>
      <w:tblPr>
        <w:tblW w:w="50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6"/>
        <w:gridCol w:w="864"/>
        <w:gridCol w:w="885"/>
        <w:gridCol w:w="708"/>
        <w:gridCol w:w="160"/>
        <w:gridCol w:w="832"/>
        <w:gridCol w:w="834"/>
        <w:gridCol w:w="160"/>
        <w:gridCol w:w="853"/>
        <w:gridCol w:w="830"/>
        <w:gridCol w:w="164"/>
        <w:gridCol w:w="719"/>
      </w:tblGrid>
      <w:tr w:rsidR="00F54DD9" w:rsidRPr="00F54DD9" w14:paraId="3F11504A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A035" w14:textId="77777777" w:rsidR="00F54DD9" w:rsidRPr="00F54DD9" w:rsidRDefault="00F54DD9">
            <w:pPr>
              <w:rPr>
                <w:sz w:val="15"/>
                <w:szCs w:val="15"/>
              </w:rPr>
            </w:pPr>
          </w:p>
        </w:tc>
        <w:tc>
          <w:tcPr>
            <w:tcW w:w="2038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80CF85" w14:textId="77777777" w:rsidR="00F54DD9" w:rsidRPr="00F54DD9" w:rsidRDefault="00F54DD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Trimestres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F8FB" w14:textId="77777777" w:rsidR="00F54DD9" w:rsidRPr="00F54DD9" w:rsidRDefault="00F54DD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DA2F5" w14:textId="77777777" w:rsidR="00F54DD9" w:rsidRPr="00F54DD9" w:rsidRDefault="00F54DD9">
            <w:pPr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4874" w14:textId="77777777" w:rsidR="00F54DD9" w:rsidRPr="00F54DD9" w:rsidRDefault="00F54DD9">
            <w:pPr>
              <w:rPr>
                <w:sz w:val="15"/>
                <w:szCs w:val="15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54D80" w14:textId="77777777" w:rsidR="00F54DD9" w:rsidRPr="00F54DD9" w:rsidRDefault="00F54DD9">
            <w:pPr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0CA7" w14:textId="77777777" w:rsidR="00F54DD9" w:rsidRPr="00F54DD9" w:rsidRDefault="00F54DD9">
            <w:pPr>
              <w:rPr>
                <w:sz w:val="15"/>
                <w:szCs w:val="15"/>
              </w:rPr>
            </w:pPr>
          </w:p>
        </w:tc>
      </w:tr>
      <w:tr w:rsidR="00F54DD9" w:rsidRPr="00F54DD9" w14:paraId="50F8A9DA" w14:textId="77777777" w:rsidTr="00544B13">
        <w:trPr>
          <w:trHeight w:val="40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F6C2" w14:textId="77777777" w:rsidR="00F54DD9" w:rsidRPr="00F54DD9" w:rsidRDefault="00F54DD9">
            <w:pPr>
              <w:rPr>
                <w:sz w:val="15"/>
                <w:szCs w:val="15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3C13" w14:textId="77777777" w:rsidR="00F54DD9" w:rsidRPr="00F54DD9" w:rsidRDefault="00F54DD9">
            <w:pPr>
              <w:rPr>
                <w:sz w:val="15"/>
                <w:szCs w:val="15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AFAB" w14:textId="77777777" w:rsidR="00F54DD9" w:rsidRPr="00F54DD9" w:rsidRDefault="00F54DD9">
            <w:pPr>
              <w:rPr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1C3E" w14:textId="77777777" w:rsidR="00F54DD9" w:rsidRPr="00F54DD9" w:rsidRDefault="00F54DD9">
            <w:pPr>
              <w:rPr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70A8" w14:textId="77777777" w:rsidR="00F54DD9" w:rsidRPr="00F54DD9" w:rsidRDefault="00F54DD9">
            <w:pPr>
              <w:rPr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B9B8" w14:textId="77777777" w:rsidR="00F54DD9" w:rsidRPr="00F54DD9" w:rsidRDefault="00F54DD9">
            <w:pPr>
              <w:rPr>
                <w:sz w:val="15"/>
                <w:szCs w:val="15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95C5" w14:textId="77777777" w:rsidR="00F54DD9" w:rsidRPr="00F54DD9" w:rsidRDefault="00F54DD9">
            <w:pPr>
              <w:rPr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7CD0" w14:textId="77777777" w:rsidR="00F54DD9" w:rsidRPr="00F54DD9" w:rsidRDefault="00F54DD9">
            <w:pPr>
              <w:rPr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EDAA" w14:textId="77777777" w:rsidR="00F54DD9" w:rsidRPr="00F54DD9" w:rsidRDefault="00F54DD9">
            <w:pPr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4BC7" w14:textId="77777777" w:rsidR="00F54DD9" w:rsidRPr="00F54DD9" w:rsidRDefault="00F54DD9">
            <w:pPr>
              <w:rPr>
                <w:sz w:val="15"/>
                <w:szCs w:val="15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F3E5" w14:textId="77777777" w:rsidR="00F54DD9" w:rsidRPr="00F54DD9" w:rsidRDefault="00F54DD9">
            <w:pPr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99E4" w14:textId="77777777" w:rsidR="00F54DD9" w:rsidRPr="00F54DD9" w:rsidRDefault="00F54DD9">
            <w:pPr>
              <w:rPr>
                <w:sz w:val="15"/>
                <w:szCs w:val="15"/>
              </w:rPr>
            </w:pPr>
          </w:p>
        </w:tc>
      </w:tr>
      <w:tr w:rsidR="00F54DD9" w:rsidRPr="00F54DD9" w14:paraId="6CF5F7DC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98EAEE" w14:textId="77777777" w:rsidR="00F54DD9" w:rsidRPr="00F54DD9" w:rsidRDefault="00F54DD9">
            <w:pP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R$ mil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B79AB63" w14:textId="77777777" w:rsidR="00F54DD9" w:rsidRPr="00F54DD9" w:rsidRDefault="00F54DD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4T25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5B0E9C8" w14:textId="77777777" w:rsidR="00F54DD9" w:rsidRPr="00F54DD9" w:rsidRDefault="00F54DD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4T24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F055806" w14:textId="77777777" w:rsidR="00F54DD9" w:rsidRPr="00F54DD9" w:rsidRDefault="00F54DD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3T25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CB20" w14:textId="77777777" w:rsidR="00F54DD9" w:rsidRPr="00F54DD9" w:rsidRDefault="00F54DD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19368A9" w14:textId="77777777" w:rsidR="00F54DD9" w:rsidRPr="00F54DD9" w:rsidRDefault="00F54DD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Δ Ano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F22F3A9" w14:textId="77777777" w:rsidR="00F54DD9" w:rsidRPr="00F54DD9" w:rsidRDefault="00F54DD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Δ Trim.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7330" w14:textId="77777777" w:rsidR="00F54DD9" w:rsidRPr="00F54DD9" w:rsidRDefault="00F54DD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F51B547" w14:textId="77777777" w:rsidR="00F54DD9" w:rsidRPr="00F54DD9" w:rsidRDefault="00F54DD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2025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CA45183" w14:textId="77777777" w:rsidR="00F54DD9" w:rsidRPr="00F54DD9" w:rsidRDefault="00F54DD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2024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7FDEF" w14:textId="77777777" w:rsidR="00F54DD9" w:rsidRPr="00F54DD9" w:rsidRDefault="00F54DD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7359084" w14:textId="77777777" w:rsidR="00F54DD9" w:rsidRPr="00F54DD9" w:rsidRDefault="00F54DD9">
            <w:pPr>
              <w:jc w:val="center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Δ Ano</w:t>
            </w:r>
          </w:p>
        </w:tc>
      </w:tr>
      <w:tr w:rsidR="00F54DD9" w:rsidRPr="00F54DD9" w14:paraId="304093C3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29FF2" w14:textId="4E8D8831" w:rsidR="00F54DD9" w:rsidRPr="00F54DD9" w:rsidRDefault="00F54DD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Lucro/(Prejuízo) Líquido do Período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382EC57B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223.461 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ACCDB" w14:textId="5E89DB90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139.12</w:t>
            </w:r>
            <w:r w:rsidR="00EE1FC7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1F135" w14:textId="27DF166D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(25.610)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F5DA4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818D1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60,6%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D0BA1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972,6%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E326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2FE0379" w14:textId="346C18C2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140.504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E430" w14:textId="31FE970E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(66.572)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FE3A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ABA0E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311,1%</w:t>
            </w:r>
          </w:p>
        </w:tc>
      </w:tr>
      <w:tr w:rsidR="00F54DD9" w:rsidRPr="00F54DD9" w14:paraId="59BA5A2A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1702A" w14:textId="77777777" w:rsidR="00F54DD9" w:rsidRPr="00F54DD9" w:rsidRDefault="00F54DD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(+) Imposto de Renda e Contribuição Social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2E8CA4E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41.932 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60460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   -  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2C265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 -  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88FA1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B05C1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100,0%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8971A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100,0%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A00F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48E0A3B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41.932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6EC6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   -  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66CB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52A73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100,0%</w:t>
            </w:r>
          </w:p>
        </w:tc>
      </w:tr>
      <w:tr w:rsidR="00F54DD9" w:rsidRPr="00F54DD9" w14:paraId="6D8DD959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1D5AC" w14:textId="055D0FBE" w:rsidR="00F54DD9" w:rsidRPr="00F54DD9" w:rsidRDefault="00F54DD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(+) Resultado Financeiro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60F0E35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14.833 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10895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25.971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30363" w14:textId="04D326D4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12.682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5BCD7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A4FB4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-42,9%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0B728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17,0%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62A7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E689ACE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54.264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874F" w14:textId="0EF5BFFE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85.068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BD8F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B0B51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-36,2%</w:t>
            </w:r>
          </w:p>
        </w:tc>
      </w:tr>
      <w:tr w:rsidR="00F54DD9" w:rsidRPr="00F54DD9" w14:paraId="24E3734E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80AA3" w14:textId="2E1A61B2" w:rsidR="00F54DD9" w:rsidRPr="00F54DD9" w:rsidRDefault="00F54DD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(+) Depreciação e Amortização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C1D1136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64.696 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A4A85" w14:textId="152BBD4B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69.45</w:t>
            </w:r>
            <w:r w:rsidR="00EE1FC7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97435" w14:textId="3385454B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69.063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BEF51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8F401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-6,8%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5B4B0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-6,3%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941C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A0BDDA7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274.104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2FD39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270.044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5E55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4A891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1,5%</w:t>
            </w:r>
          </w:p>
        </w:tc>
      </w:tr>
      <w:tr w:rsidR="00F54DD9" w:rsidRPr="00F54DD9" w14:paraId="7E2EC1E5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CB4CC1" w14:textId="77777777" w:rsidR="00F54DD9" w:rsidRPr="00F54DD9" w:rsidRDefault="00F54DD9">
            <w:pP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EBITDA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64C7027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  344.922 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D7756D7" w14:textId="7068FCB3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  234.55</w:t>
            </w:r>
            <w:r w:rsidR="00EE1FC7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0</w:t>
            </w: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64B6BAA" w14:textId="7E63B2D5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 56.135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58CF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251E74D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47,1%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B23303E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514,5%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8801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2B451CC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  510.804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AB2EB3B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  288.540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71464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DD637FD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77,0%</w:t>
            </w:r>
          </w:p>
        </w:tc>
      </w:tr>
      <w:tr w:rsidR="00F54DD9" w:rsidRPr="00F54DD9" w14:paraId="38899047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157FD" w14:textId="77777777" w:rsidR="00F54DD9" w:rsidRPr="00F54DD9" w:rsidRDefault="00F54DD9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Ajustes: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4297109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21DDF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09EF2" w14:textId="77777777" w:rsidR="00F54DD9" w:rsidRPr="00F54DD9" w:rsidRDefault="00F54DD9" w:rsidP="00D66D3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E86D3" w14:textId="77777777" w:rsidR="00F54DD9" w:rsidRPr="00F54DD9" w:rsidRDefault="00F54DD9" w:rsidP="00D66D3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72F7C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571EE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6EAF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70830464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61D8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7C81" w14:textId="77777777" w:rsidR="00F54DD9" w:rsidRPr="00F54DD9" w:rsidRDefault="00F54DD9" w:rsidP="00D66D3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1D08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</w:tc>
      </w:tr>
      <w:tr w:rsidR="00F54DD9" w:rsidRPr="00F54DD9" w14:paraId="191B2459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0BB81" w14:textId="77777777" w:rsidR="00F54DD9" w:rsidRPr="00F54DD9" w:rsidRDefault="00F54DD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(+/-) Equivalência Patrimonial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4FD5F0D2" w14:textId="1AC02384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(1.404)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48187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(409)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9FEB2" w14:textId="43EF08D1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(23)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CC6A8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E0C9F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243,3%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717B1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6004,3%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924E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5FD8C3D" w14:textId="70A508F8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(369)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9AD31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1.013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1103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75C42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-136,4%</w:t>
            </w:r>
          </w:p>
        </w:tc>
      </w:tr>
      <w:tr w:rsidR="00F54DD9" w:rsidRPr="00F54DD9" w14:paraId="0773A8B7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E320A" w14:textId="77777777" w:rsidR="00F54DD9" w:rsidRPr="00F54DD9" w:rsidRDefault="00F54DD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(-) Superávit - Previdência Privada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FE27CF3" w14:textId="443217A9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(102.225)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075E1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(212.038)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71F77" w14:textId="50C29126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(32.502)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EF331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48C45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-51,8%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61B5E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214,5%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B8FF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1A9CBED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(134.727)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13343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(212.038)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8E53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8B8BB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-36,5%</w:t>
            </w:r>
          </w:p>
        </w:tc>
      </w:tr>
      <w:tr w:rsidR="00F54DD9" w:rsidRPr="00F54DD9" w14:paraId="2EBE3E27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C3298" w14:textId="77777777" w:rsidR="00F54DD9" w:rsidRPr="00F54DD9" w:rsidRDefault="00F54DD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(+) Tributos s/ Superávit de Previdência Privada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03CDE151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9.456 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989B7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19.614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4E82D" w14:textId="3CDFF48E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3.006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BF71E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3FB9D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-51,8%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874F9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214,5%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6479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2776500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12.462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A9255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19.614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9ED7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6A7BF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-36,5%</w:t>
            </w:r>
          </w:p>
        </w:tc>
      </w:tr>
      <w:tr w:rsidR="00F54DD9" w:rsidRPr="00F54DD9" w14:paraId="341022D2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329FF" w14:textId="77777777" w:rsidR="00F54DD9" w:rsidRPr="00F54DD9" w:rsidRDefault="00F54DD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(+) Depreciação - CPC 6(R2) / IFRS 16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E4EEE96" w14:textId="7F5411EA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(1.339)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3A6E4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(1.322)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64DB9" w14:textId="364139D3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(1.332)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08453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1675B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1,3%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6C3A2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0,5%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F2D2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6FCF3B60" w14:textId="57403C09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(5.307)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5D0F3" w14:textId="564C1330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(5.219)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FCE0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B0E4A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1,7%</w:t>
            </w:r>
          </w:p>
        </w:tc>
      </w:tr>
      <w:tr w:rsidR="00F54DD9" w:rsidRPr="00F54DD9" w14:paraId="31AB0396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4A861" w14:textId="77777777" w:rsidR="00F54DD9" w:rsidRPr="00F54DD9" w:rsidRDefault="00F54DD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(+) Despesas Financeiras - CPC 6(R2) / IFRS 16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358C8621" w14:textId="6FB18788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(283)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26140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(160)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9B61B" w14:textId="74AB6E40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(131)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C0C56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239F9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76,9%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6F3AD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115,4%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152E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146C5DAE" w14:textId="08A95708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(867)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29921" w14:textId="3F89042F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(741)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5451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46C48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17,0%</w:t>
            </w:r>
          </w:p>
        </w:tc>
      </w:tr>
      <w:tr w:rsidR="00F54DD9" w:rsidRPr="00F54DD9" w14:paraId="2A0217CC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56E08" w14:textId="77777777" w:rsidR="00F54DD9" w:rsidRPr="00F54DD9" w:rsidRDefault="00F54DD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(-) Ganho sobre Baixa de Passivos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334AE8E5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   -   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577AD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(598)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D0390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 -  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E6B61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A2754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-100,0%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3991C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879C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03504D9B" w14:textId="6CEF0D7C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(76)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DF64C" w14:textId="0672608F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(2.297)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83ED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7DC0F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-96,7%</w:t>
            </w:r>
          </w:p>
        </w:tc>
      </w:tr>
      <w:tr w:rsidR="00F54DD9" w:rsidRPr="00F54DD9" w14:paraId="6076B1E6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7B9C3" w14:textId="77777777" w:rsidR="00F54DD9" w:rsidRPr="00F54DD9" w:rsidRDefault="00F54DD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(+/-) Baixa de Bens do Ativo Imobilizado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97E40B7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   -   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55BEA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(1.366)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3D2A8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 -  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56F25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5986F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-100,0%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5CACB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99F2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59BBCEB3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   -  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5978D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2.666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ACA1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25D00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-100,0%</w:t>
            </w:r>
          </w:p>
        </w:tc>
      </w:tr>
      <w:tr w:rsidR="00F54DD9" w:rsidRPr="00F54DD9" w14:paraId="6A8383E1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3A9C8" w14:textId="6052AE21" w:rsidR="00F54DD9" w:rsidRPr="00F54DD9" w:rsidRDefault="00F54DD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(-) Ativo</w:t>
            </w:r>
            <w:r w:rsidR="00BD6CCF"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Contingente</w:t>
            </w:r>
            <w:r w:rsidR="00BD6CCF"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FE546B4" w14:textId="6C5EB70D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(14.922)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65A8E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   -  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CDA78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 -  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6021C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BE82D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100,0%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6F7CA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100,0%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DA85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28380DDD" w14:textId="29E54F73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(14.960)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8A058" w14:textId="6E952FFC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 -  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0743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F977E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100,0%</w:t>
            </w:r>
          </w:p>
        </w:tc>
      </w:tr>
      <w:tr w:rsidR="00F54DD9" w:rsidRPr="00F54DD9" w14:paraId="1138F042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7370A" w14:textId="16C35E8A" w:rsidR="00F54DD9" w:rsidRPr="00F54DD9" w:rsidRDefault="00F54DD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(+) Tributos s/ Ativo</w:t>
            </w:r>
            <w:r w:rsidR="00BD6CCF"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Contingente</w:t>
            </w:r>
            <w:r w:rsidR="00BD6CCF"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5CB74E7A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1.380 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A81F9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   -  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91D9F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 -  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259D2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C86D6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100,0%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D8666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100,0%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DBE9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bottom"/>
            <w:hideMark/>
          </w:tcPr>
          <w:p w14:paraId="37463FDA" w14:textId="5D25BCED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1.384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C6F9B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   -  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45E2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FA7E6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100,0%</w:t>
            </w:r>
          </w:p>
        </w:tc>
      </w:tr>
      <w:tr w:rsidR="00F54DD9" w:rsidRPr="00F54DD9" w14:paraId="55824384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5E0D1" w14:textId="77777777" w:rsidR="00F54DD9" w:rsidRPr="00F54DD9" w:rsidRDefault="00F54DD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(+) Multas Contratuais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F6E8308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1.500 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5CEFA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    679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23D70" w14:textId="08A16C21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1.952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BCBD4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74B33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120,9%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CAC6E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-23,2%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EE0C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3CAC2664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4.874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9909D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 xml:space="preserve">       3.568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990C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53C2C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color w:val="000000"/>
                <w:sz w:val="15"/>
                <w:szCs w:val="15"/>
              </w:rPr>
              <w:t>36,6%</w:t>
            </w:r>
          </w:p>
        </w:tc>
      </w:tr>
      <w:tr w:rsidR="00F54DD9" w:rsidRPr="00F54DD9" w14:paraId="4A883771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650F80" w14:textId="77777777" w:rsidR="00F54DD9" w:rsidRPr="00F54DD9" w:rsidRDefault="00F54DD9">
            <w:pP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EBITDA Ajustado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D104E3C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  237.085 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5961823" w14:textId="2905FB71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    38.95</w:t>
            </w:r>
            <w:r w:rsidR="00EE1FC7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0</w:t>
            </w: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A28A881" w14:textId="33BDF1F3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 27.105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53E62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3C70BC5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508,7%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61B5A0F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774,7%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D4F5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1A876E0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  373.218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6E527E0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     95.106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76E34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98B92B7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292,4%</w:t>
            </w:r>
          </w:p>
        </w:tc>
      </w:tr>
      <w:tr w:rsidR="00F54DD9" w:rsidRPr="00F54DD9" w14:paraId="1B648CE9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6C3D665" w14:textId="77777777" w:rsidR="00F54DD9" w:rsidRPr="00F54DD9" w:rsidRDefault="00F54DD9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Margem EBITDA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0204D390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214,8%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0E34D9E3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178,3%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C979124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52,9%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DAFB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2B88C546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20,5%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3904CC19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306,2%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6A15E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7395528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104,0%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D84E0B6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69,6%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5F4A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4F2D6410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49,4%</w:t>
            </w:r>
          </w:p>
        </w:tc>
      </w:tr>
      <w:tr w:rsidR="00F54DD9" w:rsidRPr="00F54DD9" w14:paraId="64657462" w14:textId="77777777" w:rsidTr="00803A45">
        <w:trPr>
          <w:trHeight w:val="198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7E8AFA" w14:textId="77777777" w:rsidR="00F54DD9" w:rsidRPr="00F54DD9" w:rsidRDefault="00F54DD9">
            <w:pPr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 xml:space="preserve">Margem EBITDA Ajustado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0A68BD6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147,7%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04F63B0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29,6%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0B033B4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25,5%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2EEC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1860E5DC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398,7%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85EDF65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478,2%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018E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A217296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76,0%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035C1B5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23,0%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4EEBB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A575BB1" w14:textId="77777777" w:rsidR="00F54DD9" w:rsidRPr="00F54DD9" w:rsidRDefault="00F54DD9" w:rsidP="00D66D37">
            <w:pPr>
              <w:jc w:val="right"/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</w:pPr>
            <w:r w:rsidRPr="00F54DD9">
              <w:rPr>
                <w:rFonts w:ascii="Arial" w:hAnsi="Arial" w:cs="Arial"/>
                <w:b/>
                <w:bCs/>
                <w:color w:val="FFFFFF"/>
                <w:sz w:val="15"/>
                <w:szCs w:val="15"/>
              </w:rPr>
              <w:t>231,1%</w:t>
            </w:r>
          </w:p>
        </w:tc>
      </w:tr>
    </w:tbl>
    <w:p w14:paraId="730E3AD7" w14:textId="50461990" w:rsidR="00822044" w:rsidRDefault="00822044" w:rsidP="00E65922">
      <w:pPr>
        <w:jc w:val="both"/>
        <w:rPr>
          <w:rStyle w:val="RefernciaIntensa"/>
          <w:rFonts w:ascii="Arial" w:hAnsi="Arial" w:cs="Arial"/>
          <w:color w:val="auto"/>
        </w:rPr>
      </w:pPr>
    </w:p>
    <w:p w14:paraId="2941D917" w14:textId="35CB3055" w:rsidR="00992FF1" w:rsidRDefault="00992FF1" w:rsidP="006E4429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Evolução do EBITDA Ajustado</w:t>
      </w:r>
      <w:r w:rsidR="007C0EA0" w:rsidRPr="00EF72EC">
        <w:rPr>
          <w:rStyle w:val="RefernciaIntensa"/>
          <w:rFonts w:ascii="Arial" w:hAnsi="Arial" w:cs="Arial"/>
          <w:color w:val="auto"/>
        </w:rPr>
        <w:t xml:space="preserve">: </w:t>
      </w:r>
      <w:r w:rsidR="00096CE0">
        <w:rPr>
          <w:rStyle w:val="RefernciaIntensa"/>
          <w:rFonts w:ascii="Arial" w:hAnsi="Arial" w:cs="Arial"/>
          <w:color w:val="auto"/>
        </w:rPr>
        <w:t>20</w:t>
      </w:r>
      <w:r w:rsidR="0067455D">
        <w:rPr>
          <w:rStyle w:val="RefernciaIntensa"/>
          <w:rFonts w:ascii="Arial" w:hAnsi="Arial" w:cs="Arial"/>
          <w:color w:val="auto"/>
        </w:rPr>
        <w:t>24</w:t>
      </w:r>
      <w:r w:rsidR="007C0EA0" w:rsidRPr="00EF72EC">
        <w:rPr>
          <w:rStyle w:val="RefernciaIntensa"/>
          <w:rFonts w:ascii="Arial" w:hAnsi="Arial" w:cs="Arial"/>
          <w:color w:val="auto"/>
        </w:rPr>
        <w:t xml:space="preserve"> – </w:t>
      </w:r>
      <w:r w:rsidR="00096CE0">
        <w:rPr>
          <w:rStyle w:val="RefernciaIntensa"/>
          <w:rFonts w:ascii="Arial" w:hAnsi="Arial" w:cs="Arial"/>
          <w:color w:val="auto"/>
        </w:rPr>
        <w:t>20</w:t>
      </w:r>
      <w:r w:rsidR="0067455D">
        <w:rPr>
          <w:rStyle w:val="RefernciaIntensa"/>
          <w:rFonts w:ascii="Arial" w:hAnsi="Arial" w:cs="Arial"/>
          <w:color w:val="auto"/>
        </w:rPr>
        <w:t>25</w:t>
      </w:r>
      <w:r w:rsidR="008D22C9" w:rsidRPr="00EF72EC">
        <w:rPr>
          <w:rStyle w:val="RefernciaIntensa"/>
          <w:rFonts w:ascii="Arial" w:hAnsi="Arial" w:cs="Arial"/>
          <w:color w:val="auto"/>
        </w:rPr>
        <w:t xml:space="preserve"> – R$ mil</w:t>
      </w:r>
      <w:r w:rsidR="009F55C4">
        <w:rPr>
          <w:rStyle w:val="Refdenotaderodap"/>
          <w:rFonts w:ascii="Arial" w:hAnsi="Arial" w:cs="Arial"/>
          <w:b/>
          <w:bCs/>
          <w:smallCaps/>
          <w:spacing w:val="5"/>
          <w:u w:val="single"/>
        </w:rPr>
        <w:footnoteReference w:id="6"/>
      </w:r>
    </w:p>
    <w:p w14:paraId="0D899C4D" w14:textId="751F15F5" w:rsidR="00822044" w:rsidRDefault="00822044" w:rsidP="006E4429">
      <w:pPr>
        <w:rPr>
          <w:rStyle w:val="RefernciaIntensa"/>
          <w:rFonts w:ascii="Arial" w:hAnsi="Arial" w:cs="Arial"/>
          <w:color w:val="auto"/>
        </w:rPr>
      </w:pPr>
    </w:p>
    <w:p w14:paraId="2B750A1F" w14:textId="1C7A2B25" w:rsidR="00A51614" w:rsidRDefault="00A51614" w:rsidP="006E4429">
      <w:pPr>
        <w:rPr>
          <w:rStyle w:val="RefernciaIntensa"/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15D5F958" wp14:editId="57E0DE22">
            <wp:extent cx="6659880" cy="2794000"/>
            <wp:effectExtent l="0" t="0" r="0" b="0"/>
            <wp:docPr id="146818079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00E1952" w14:textId="1633CCC7" w:rsidR="0072134A" w:rsidRDefault="0072134A" w:rsidP="006E4429">
      <w:pPr>
        <w:rPr>
          <w:rStyle w:val="RefernciaIntensa"/>
          <w:rFonts w:ascii="Arial" w:hAnsi="Arial" w:cs="Arial"/>
          <w:color w:val="auto"/>
        </w:rPr>
      </w:pPr>
    </w:p>
    <w:p w14:paraId="55887246" w14:textId="22F950EF" w:rsidR="00D33F12" w:rsidRDefault="00D33F12" w:rsidP="00D33F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1" w:name="_Hlk367177"/>
      <w:r w:rsidRPr="00EB623F">
        <w:rPr>
          <w:rFonts w:ascii="Arial" w:hAnsi="Arial" w:cs="Arial"/>
          <w:sz w:val="22"/>
          <w:szCs w:val="22"/>
        </w:rPr>
        <w:t xml:space="preserve">O EBITDA não </w:t>
      </w:r>
      <w:r w:rsidR="00E578CE" w:rsidRPr="00EB623F">
        <w:rPr>
          <w:rFonts w:ascii="Arial" w:hAnsi="Arial" w:cs="Arial"/>
          <w:sz w:val="22"/>
          <w:szCs w:val="22"/>
        </w:rPr>
        <w:t>é</w:t>
      </w:r>
      <w:r w:rsidRPr="00EB623F">
        <w:rPr>
          <w:rFonts w:ascii="Arial" w:hAnsi="Arial" w:cs="Arial"/>
          <w:sz w:val="22"/>
          <w:szCs w:val="22"/>
        </w:rPr>
        <w:t xml:space="preserve"> uma medida definida pelas práticas contábeis internacionais (IFRS) e representa o lucro </w:t>
      </w:r>
      <w:r w:rsidR="00013ECF" w:rsidRPr="00EB623F">
        <w:rPr>
          <w:rFonts w:ascii="Arial" w:hAnsi="Arial" w:cs="Arial"/>
          <w:sz w:val="22"/>
          <w:szCs w:val="22"/>
        </w:rPr>
        <w:t>/ (</w:t>
      </w:r>
      <w:r w:rsidRPr="00EB623F">
        <w:rPr>
          <w:rFonts w:ascii="Arial" w:hAnsi="Arial" w:cs="Arial"/>
          <w:sz w:val="22"/>
          <w:szCs w:val="22"/>
        </w:rPr>
        <w:t xml:space="preserve">prejuízo) antes do pagamento de juros, imposto de renda e contribuição social, depreciação e amortização. A Companhia divulga seu EBITDA Ajustado, conforme Instrução CVM N° </w:t>
      </w:r>
      <w:r w:rsidR="009A2194">
        <w:rPr>
          <w:rFonts w:ascii="Arial" w:hAnsi="Arial" w:cs="Arial"/>
          <w:sz w:val="22"/>
          <w:szCs w:val="22"/>
        </w:rPr>
        <w:t>156</w:t>
      </w:r>
      <w:r w:rsidRPr="00EB623F">
        <w:rPr>
          <w:rFonts w:ascii="Arial" w:hAnsi="Arial" w:cs="Arial"/>
          <w:sz w:val="22"/>
          <w:szCs w:val="22"/>
        </w:rPr>
        <w:t xml:space="preserve">, de </w:t>
      </w:r>
      <w:r w:rsidR="009A2194">
        <w:rPr>
          <w:rFonts w:ascii="Arial" w:hAnsi="Arial" w:cs="Arial"/>
          <w:sz w:val="22"/>
          <w:szCs w:val="22"/>
        </w:rPr>
        <w:t>23</w:t>
      </w:r>
      <w:r w:rsidRPr="00EB623F">
        <w:rPr>
          <w:rFonts w:ascii="Arial" w:hAnsi="Arial" w:cs="Arial"/>
          <w:sz w:val="22"/>
          <w:szCs w:val="22"/>
        </w:rPr>
        <w:t xml:space="preserve"> de </w:t>
      </w:r>
      <w:r w:rsidR="009A2194">
        <w:rPr>
          <w:rFonts w:ascii="Arial" w:hAnsi="Arial" w:cs="Arial"/>
          <w:sz w:val="22"/>
          <w:szCs w:val="22"/>
        </w:rPr>
        <w:t>junho</w:t>
      </w:r>
      <w:r w:rsidRPr="00EB623F">
        <w:rPr>
          <w:rFonts w:ascii="Arial" w:hAnsi="Arial" w:cs="Arial"/>
          <w:sz w:val="22"/>
          <w:szCs w:val="22"/>
        </w:rPr>
        <w:t xml:space="preserve"> de 20</w:t>
      </w:r>
      <w:r w:rsidR="009A2194">
        <w:rPr>
          <w:rFonts w:ascii="Arial" w:hAnsi="Arial" w:cs="Arial"/>
          <w:sz w:val="22"/>
          <w:szCs w:val="22"/>
        </w:rPr>
        <w:t>2</w:t>
      </w:r>
      <w:r w:rsidRPr="00EB623F">
        <w:rPr>
          <w:rFonts w:ascii="Arial" w:hAnsi="Arial" w:cs="Arial"/>
          <w:sz w:val="22"/>
          <w:szCs w:val="22"/>
        </w:rPr>
        <w:t>2,</w:t>
      </w:r>
      <w:r w:rsidR="00CC2E3E" w:rsidRPr="00EB623F">
        <w:rPr>
          <w:rFonts w:ascii="Arial" w:hAnsi="Arial" w:cs="Arial"/>
          <w:sz w:val="22"/>
          <w:szCs w:val="22"/>
        </w:rPr>
        <w:t xml:space="preserve"> e</w:t>
      </w:r>
      <w:r w:rsidRPr="00EB623F">
        <w:rPr>
          <w:rFonts w:ascii="Arial" w:hAnsi="Arial" w:cs="Arial"/>
          <w:sz w:val="22"/>
          <w:szCs w:val="22"/>
        </w:rPr>
        <w:t xml:space="preserve"> </w:t>
      </w:r>
      <w:r w:rsidR="00AC4BE6" w:rsidRPr="00EB623F">
        <w:rPr>
          <w:rFonts w:ascii="Arial" w:hAnsi="Arial" w:cs="Arial"/>
          <w:sz w:val="22"/>
          <w:szCs w:val="22"/>
        </w:rPr>
        <w:t xml:space="preserve">estes ajustes incluem </w:t>
      </w:r>
      <w:r w:rsidR="00404A5F" w:rsidRPr="00EB623F">
        <w:rPr>
          <w:rFonts w:ascii="Arial" w:hAnsi="Arial" w:cs="Arial"/>
          <w:sz w:val="22"/>
          <w:szCs w:val="22"/>
        </w:rPr>
        <w:t>a adição/</w:t>
      </w:r>
      <w:r w:rsidRPr="00EB623F">
        <w:rPr>
          <w:rFonts w:ascii="Arial" w:hAnsi="Arial" w:cs="Arial"/>
          <w:sz w:val="22"/>
          <w:szCs w:val="22"/>
        </w:rPr>
        <w:t>exclu</w:t>
      </w:r>
      <w:r w:rsidR="00404A5F" w:rsidRPr="00EB623F">
        <w:rPr>
          <w:rFonts w:ascii="Arial" w:hAnsi="Arial" w:cs="Arial"/>
          <w:sz w:val="22"/>
          <w:szCs w:val="22"/>
        </w:rPr>
        <w:t>são</w:t>
      </w:r>
      <w:r w:rsidRPr="00EB623F">
        <w:rPr>
          <w:rFonts w:ascii="Arial" w:hAnsi="Arial" w:cs="Arial"/>
          <w:sz w:val="22"/>
          <w:szCs w:val="22"/>
        </w:rPr>
        <w:t xml:space="preserve"> </w:t>
      </w:r>
      <w:r w:rsidR="00404A5F" w:rsidRPr="00EB623F">
        <w:rPr>
          <w:rFonts w:ascii="Arial" w:hAnsi="Arial" w:cs="Arial"/>
          <w:sz w:val="22"/>
          <w:szCs w:val="22"/>
        </w:rPr>
        <w:t>d</w:t>
      </w:r>
      <w:r w:rsidR="00430FBF" w:rsidRPr="00EB623F">
        <w:rPr>
          <w:rFonts w:ascii="Arial" w:hAnsi="Arial" w:cs="Arial"/>
          <w:sz w:val="22"/>
          <w:szCs w:val="22"/>
        </w:rPr>
        <w:t>o Resultado de Equivalência Patrimonial</w:t>
      </w:r>
      <w:r w:rsidR="00E55C1F" w:rsidRPr="00EB623F">
        <w:rPr>
          <w:rFonts w:ascii="Arial" w:hAnsi="Arial" w:cs="Arial"/>
          <w:sz w:val="22"/>
          <w:szCs w:val="22"/>
        </w:rPr>
        <w:t>, da Depreciação e da</w:t>
      </w:r>
      <w:r w:rsidR="00FC4148" w:rsidRPr="00EB623F">
        <w:rPr>
          <w:rFonts w:ascii="Arial" w:hAnsi="Arial" w:cs="Arial"/>
          <w:sz w:val="22"/>
          <w:szCs w:val="22"/>
        </w:rPr>
        <w:t>s</w:t>
      </w:r>
      <w:r w:rsidR="00E55C1F" w:rsidRPr="00EB623F">
        <w:rPr>
          <w:rFonts w:ascii="Arial" w:hAnsi="Arial" w:cs="Arial"/>
          <w:sz w:val="22"/>
          <w:szCs w:val="22"/>
        </w:rPr>
        <w:t xml:space="preserve"> Despesas Financeiras originadas das alterações do CPC 6(R2) / IFRS 16 – Operações de Arrendamento Mercantil</w:t>
      </w:r>
      <w:r w:rsidR="00430FBF" w:rsidRPr="00EB623F">
        <w:rPr>
          <w:rFonts w:ascii="Arial" w:hAnsi="Arial" w:cs="Arial"/>
          <w:sz w:val="22"/>
          <w:szCs w:val="22"/>
        </w:rPr>
        <w:t xml:space="preserve"> e Outros Eventos não Recorrentes</w:t>
      </w:r>
      <w:r w:rsidR="00E55C1F" w:rsidRPr="00EB623F">
        <w:rPr>
          <w:rFonts w:ascii="Arial" w:hAnsi="Arial" w:cs="Arial"/>
          <w:sz w:val="22"/>
          <w:szCs w:val="22"/>
        </w:rPr>
        <w:t xml:space="preserve"> que possam vir a ocorrer</w:t>
      </w:r>
      <w:r w:rsidR="00794038" w:rsidRPr="00EB623F">
        <w:rPr>
          <w:rFonts w:ascii="Arial" w:hAnsi="Arial" w:cs="Arial"/>
          <w:sz w:val="22"/>
          <w:szCs w:val="22"/>
        </w:rPr>
        <w:t xml:space="preserve"> no</w:t>
      </w:r>
      <w:r w:rsidR="007B4BF4" w:rsidRPr="00EB623F">
        <w:rPr>
          <w:rFonts w:ascii="Arial" w:hAnsi="Arial" w:cs="Arial"/>
          <w:sz w:val="22"/>
          <w:szCs w:val="22"/>
        </w:rPr>
        <w:t xml:space="preserve"> curso dos negócios da Companhia</w:t>
      </w:r>
      <w:r w:rsidR="00CC7097" w:rsidRPr="00EB623F">
        <w:rPr>
          <w:rFonts w:ascii="Arial" w:hAnsi="Arial" w:cs="Arial"/>
          <w:sz w:val="22"/>
          <w:szCs w:val="22"/>
        </w:rPr>
        <w:t>,</w:t>
      </w:r>
      <w:r w:rsidR="00430FBF" w:rsidRPr="00EB623F">
        <w:rPr>
          <w:rFonts w:ascii="Arial" w:hAnsi="Arial" w:cs="Arial"/>
          <w:sz w:val="22"/>
          <w:szCs w:val="22"/>
        </w:rPr>
        <w:t xml:space="preserve"> </w:t>
      </w:r>
      <w:r w:rsidRPr="00EB623F">
        <w:rPr>
          <w:rFonts w:ascii="Arial" w:hAnsi="Arial" w:cs="Arial"/>
          <w:sz w:val="22"/>
          <w:szCs w:val="22"/>
        </w:rPr>
        <w:t>para proporcionar melhores informações sobre sua capacidade de pagamento de dívidas, manutenção de seus investimentos e possibilidade de cobertura de suas necessidades de capital de giro. Ambas as medidas desse agregado (EBITDA e EBITDA Ajustado) não devem ser consideradas como alternativas ao Lucro Operacional e ao Fluxo de Caixa Operacional, quando utilizados como indicador</w:t>
      </w:r>
      <w:r w:rsidR="001759D2">
        <w:rPr>
          <w:rFonts w:ascii="Arial" w:hAnsi="Arial" w:cs="Arial"/>
          <w:sz w:val="22"/>
          <w:szCs w:val="22"/>
        </w:rPr>
        <w:t>es</w:t>
      </w:r>
      <w:r w:rsidRPr="00EB623F">
        <w:rPr>
          <w:rFonts w:ascii="Arial" w:hAnsi="Arial" w:cs="Arial"/>
          <w:sz w:val="22"/>
          <w:szCs w:val="22"/>
        </w:rPr>
        <w:t xml:space="preserve"> de liquidez. Destaca-se ainda que o EBITDA Ajustado pode não ser comparável com o mesmo indicador divulgado por outras empresas.</w:t>
      </w:r>
    </w:p>
    <w:p w14:paraId="4E9B792D" w14:textId="77777777" w:rsidR="00C3437B" w:rsidRDefault="00C3437B" w:rsidP="00516419">
      <w:pPr>
        <w:jc w:val="both"/>
        <w:rPr>
          <w:rFonts w:ascii="Arial" w:hAnsi="Arial" w:cs="Arial"/>
          <w:color w:val="000000"/>
          <w:sz w:val="22"/>
          <w:szCs w:val="22"/>
        </w:rPr>
      </w:pPr>
    </w:p>
    <w:bookmarkEnd w:id="1"/>
    <w:p w14:paraId="2237F5B8" w14:textId="128B6D13" w:rsidR="00EC6C29" w:rsidRPr="00EC6C29" w:rsidRDefault="00EC6C29" w:rsidP="00EC6C29">
      <w:pPr>
        <w:spacing w:after="4"/>
        <w:jc w:val="both"/>
        <w:rPr>
          <w:rFonts w:ascii="Arial" w:hAnsi="Arial" w:cs="Arial"/>
          <w:color w:val="000000"/>
          <w:sz w:val="22"/>
          <w:szCs w:val="22"/>
        </w:rPr>
      </w:pPr>
      <w:r w:rsidRPr="00EC6C29">
        <w:rPr>
          <w:rFonts w:ascii="Arial" w:hAnsi="Arial" w:cs="Arial"/>
          <w:color w:val="000000"/>
          <w:sz w:val="22"/>
          <w:szCs w:val="22"/>
        </w:rPr>
        <w:t>Em 2025, o EBITDA Ajustado totalizou R$ 373,2 milhões, ante R$ 95,1 milhões em 2024, o que representa um crescimento de 292,4% na comparação anual. Esse incremento decorre, essencialmente, de três fatores: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C6C29">
        <w:rPr>
          <w:rFonts w:ascii="Arial" w:hAnsi="Arial" w:cs="Arial"/>
          <w:color w:val="000000"/>
          <w:sz w:val="22"/>
          <w:szCs w:val="22"/>
        </w:rPr>
        <w:t>i) expansão da Receita Operacional Líquida;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C6C29">
        <w:rPr>
          <w:rFonts w:ascii="Arial" w:hAnsi="Arial" w:cs="Arial"/>
          <w:color w:val="000000"/>
          <w:sz w:val="22"/>
          <w:szCs w:val="22"/>
        </w:rPr>
        <w:t>ii</w:t>
      </w:r>
      <w:proofErr w:type="spellEnd"/>
      <w:r w:rsidRPr="00EC6C29">
        <w:rPr>
          <w:rFonts w:ascii="Arial" w:hAnsi="Arial" w:cs="Arial"/>
          <w:color w:val="000000"/>
          <w:sz w:val="22"/>
          <w:szCs w:val="22"/>
        </w:rPr>
        <w:t>) aumento das Subvenções Orçamentárias Recebidas, destinadas ao pagamento de pessoal, outros custeios e obrigações vinculadas ao contrato de gestão; e</w:t>
      </w:r>
      <w:r w:rsidRPr="00EC6C29">
        <w:rPr>
          <w:rFonts w:ascii="Arial" w:hAnsi="Arial" w:cs="Arial"/>
          <w:color w:val="000000"/>
          <w:sz w:val="22"/>
          <w:szCs w:val="22"/>
        </w:rPr>
        <w:br/>
      </w:r>
      <w:proofErr w:type="spellStart"/>
      <w:r w:rsidRPr="00EC6C29">
        <w:rPr>
          <w:rFonts w:ascii="Arial" w:hAnsi="Arial" w:cs="Arial"/>
          <w:color w:val="000000"/>
          <w:sz w:val="22"/>
          <w:szCs w:val="22"/>
        </w:rPr>
        <w:t>iii</w:t>
      </w:r>
      <w:proofErr w:type="spellEnd"/>
      <w:r w:rsidRPr="00EC6C29">
        <w:rPr>
          <w:rFonts w:ascii="Arial" w:hAnsi="Arial" w:cs="Arial"/>
          <w:color w:val="000000"/>
          <w:sz w:val="22"/>
          <w:szCs w:val="22"/>
        </w:rPr>
        <w:t>) crescimento dos custos e despesas operacionais em ritmo inferior ao das receitas.</w:t>
      </w:r>
    </w:p>
    <w:p w14:paraId="0EF3DD80" w14:textId="77777777" w:rsidR="00EC6C29" w:rsidRDefault="00EC6C29" w:rsidP="00EC6C29">
      <w:pPr>
        <w:spacing w:after="4"/>
        <w:jc w:val="both"/>
        <w:rPr>
          <w:rFonts w:ascii="Arial" w:hAnsi="Arial" w:cs="Arial"/>
          <w:color w:val="000000"/>
          <w:sz w:val="22"/>
          <w:szCs w:val="22"/>
        </w:rPr>
      </w:pPr>
    </w:p>
    <w:p w14:paraId="57DA5FE5" w14:textId="09E41B31" w:rsidR="00EC6C29" w:rsidRDefault="00EC6C29" w:rsidP="00EC6C29">
      <w:pPr>
        <w:spacing w:after="4"/>
        <w:jc w:val="both"/>
        <w:rPr>
          <w:rFonts w:ascii="Arial" w:hAnsi="Arial" w:cs="Arial"/>
          <w:color w:val="000000"/>
          <w:sz w:val="22"/>
          <w:szCs w:val="22"/>
        </w:rPr>
      </w:pPr>
      <w:r w:rsidRPr="00EC6C29">
        <w:rPr>
          <w:rFonts w:ascii="Arial" w:hAnsi="Arial" w:cs="Arial"/>
          <w:color w:val="000000"/>
          <w:sz w:val="22"/>
          <w:szCs w:val="22"/>
        </w:rPr>
        <w:t>A Margem EBITDA Ajustada atingiu 76,0% em 2025, comparada aos 23,0% registrados em 2024, refletindo um avanço de 231,1% no período.</w:t>
      </w:r>
    </w:p>
    <w:p w14:paraId="5F3E22EB" w14:textId="77777777" w:rsidR="00EC6C29" w:rsidRPr="00EC6C29" w:rsidRDefault="00EC6C29" w:rsidP="00EC6C29">
      <w:pPr>
        <w:spacing w:after="4"/>
        <w:jc w:val="both"/>
        <w:rPr>
          <w:rFonts w:ascii="Arial" w:hAnsi="Arial" w:cs="Arial"/>
          <w:color w:val="000000"/>
          <w:sz w:val="22"/>
          <w:szCs w:val="22"/>
        </w:rPr>
      </w:pPr>
    </w:p>
    <w:p w14:paraId="6F9DBC0A" w14:textId="4A6CA9EF" w:rsidR="00EC6C29" w:rsidRPr="00EC6C29" w:rsidRDefault="00EC6C29" w:rsidP="00EC6C29">
      <w:pPr>
        <w:spacing w:after="4"/>
        <w:jc w:val="both"/>
        <w:rPr>
          <w:rFonts w:ascii="Arial" w:hAnsi="Arial" w:cs="Arial"/>
          <w:color w:val="000000"/>
          <w:sz w:val="22"/>
          <w:szCs w:val="22"/>
        </w:rPr>
      </w:pPr>
      <w:r w:rsidRPr="00EC6C29">
        <w:rPr>
          <w:rFonts w:ascii="Arial" w:hAnsi="Arial" w:cs="Arial"/>
          <w:color w:val="000000"/>
          <w:sz w:val="22"/>
          <w:szCs w:val="22"/>
        </w:rPr>
        <w:t>Quando desconsideradas as Subvenções Orçamentárias — que somaram R$ 406,9 milhões em 2025, frente a R$ 158,4 milhões em 2024 — o EBITDA Ajustado seria negativo em R$ 33,7 milhões em 2025, ante R$ 63,3 milhões negativos em 2024, evidenciando uma melhora de 46,7%. Nesse cenário, a Margem EBITDA Ajustada corresponderia a -6,9% em 2025, comparada a -15,3% em 2024.</w:t>
      </w:r>
    </w:p>
    <w:p w14:paraId="70131B6E" w14:textId="191C01D3" w:rsidR="00547B21" w:rsidRDefault="00547B21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2D65CD09" w14:textId="01EBDB33" w:rsidR="00EB462F" w:rsidRDefault="00805464" w:rsidP="00125B83">
      <w:pPr>
        <w:spacing w:after="4"/>
        <w:jc w:val="both"/>
        <w:rPr>
          <w:rStyle w:val="RefernciaIntensa"/>
          <w:rFonts w:ascii="Arial" w:hAnsi="Arial" w:cs="Arial"/>
          <w:color w:val="auto"/>
        </w:rPr>
      </w:pPr>
      <w:r>
        <w:rPr>
          <w:rStyle w:val="RefernciaIntensa"/>
          <w:rFonts w:ascii="Arial" w:hAnsi="Arial" w:cs="Arial"/>
          <w:color w:val="auto"/>
        </w:rPr>
        <w:t>Resultado recorrente</w:t>
      </w:r>
      <w:r w:rsidR="00EB112E">
        <w:rPr>
          <w:rStyle w:val="Refdenotaderodap"/>
          <w:rFonts w:ascii="Arial" w:hAnsi="Arial" w:cs="Arial"/>
          <w:b/>
          <w:bCs/>
          <w:smallCaps/>
          <w:spacing w:val="5"/>
          <w:u w:val="single"/>
        </w:rPr>
        <w:footnoteReference w:id="7"/>
      </w:r>
    </w:p>
    <w:p w14:paraId="0E2E1F90" w14:textId="77777777" w:rsidR="00D51F46" w:rsidRDefault="00D51F46" w:rsidP="00125B83">
      <w:pPr>
        <w:spacing w:after="4"/>
        <w:jc w:val="both"/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9"/>
        <w:gridCol w:w="815"/>
        <w:gridCol w:w="893"/>
        <w:gridCol w:w="740"/>
        <w:gridCol w:w="164"/>
        <w:gridCol w:w="707"/>
        <w:gridCol w:w="644"/>
        <w:gridCol w:w="160"/>
        <w:gridCol w:w="854"/>
        <w:gridCol w:w="894"/>
        <w:gridCol w:w="160"/>
        <w:gridCol w:w="678"/>
      </w:tblGrid>
      <w:tr w:rsidR="00D51F46" w:rsidRPr="00D51F46" w14:paraId="7A0BC571" w14:textId="77777777" w:rsidTr="00D51F46">
        <w:trPr>
          <w:trHeight w:val="215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CC1F" w14:textId="77777777" w:rsidR="00D51F46" w:rsidRPr="00D51F46" w:rsidRDefault="00D51F46">
            <w:pPr>
              <w:rPr>
                <w:sz w:val="14"/>
                <w:szCs w:val="14"/>
              </w:rPr>
            </w:pPr>
          </w:p>
        </w:tc>
        <w:tc>
          <w:tcPr>
            <w:tcW w:w="1889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7B970E" w14:textId="77777777" w:rsidR="00D51F46" w:rsidRPr="00D51F46" w:rsidRDefault="00D51F4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Trimestres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CD1A" w14:textId="77777777" w:rsidR="00D51F46" w:rsidRPr="00D51F46" w:rsidRDefault="00D51F4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3032" w14:textId="77777777" w:rsidR="00D51F46" w:rsidRPr="00D51F46" w:rsidRDefault="00D51F46">
            <w:pPr>
              <w:rPr>
                <w:sz w:val="14"/>
                <w:szCs w:val="1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A829" w14:textId="77777777" w:rsidR="00D51F46" w:rsidRPr="00D51F46" w:rsidRDefault="00D51F46">
            <w:pPr>
              <w:rPr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F700" w14:textId="77777777" w:rsidR="00D51F46" w:rsidRPr="00D51F46" w:rsidRDefault="00D51F46">
            <w:pPr>
              <w:rPr>
                <w:sz w:val="14"/>
                <w:szCs w:val="1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8720" w14:textId="77777777" w:rsidR="00D51F46" w:rsidRPr="00D51F46" w:rsidRDefault="00D51F46">
            <w:pPr>
              <w:rPr>
                <w:sz w:val="14"/>
                <w:szCs w:val="14"/>
              </w:rPr>
            </w:pPr>
          </w:p>
        </w:tc>
      </w:tr>
      <w:tr w:rsidR="00D51F46" w:rsidRPr="00D51F46" w14:paraId="484F83E9" w14:textId="77777777" w:rsidTr="00D51F46">
        <w:trPr>
          <w:trHeight w:val="40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72C4" w14:textId="77777777" w:rsidR="00D51F46" w:rsidRPr="00D51F46" w:rsidRDefault="00D51F46">
            <w:pPr>
              <w:rPr>
                <w:sz w:val="14"/>
                <w:szCs w:val="14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9A6A3" w14:textId="77777777" w:rsidR="00D51F46" w:rsidRPr="00D51F46" w:rsidRDefault="00D51F46">
            <w:pPr>
              <w:rPr>
                <w:sz w:val="14"/>
                <w:szCs w:val="1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A875" w14:textId="77777777" w:rsidR="00D51F46" w:rsidRPr="00D51F46" w:rsidRDefault="00D51F46">
            <w:pPr>
              <w:rPr>
                <w:sz w:val="14"/>
                <w:szCs w:val="1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D8A44" w14:textId="77777777" w:rsidR="00D51F46" w:rsidRPr="00D51F46" w:rsidRDefault="00D51F46">
            <w:pPr>
              <w:rPr>
                <w:sz w:val="14"/>
                <w:szCs w:val="1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0C8C" w14:textId="77777777" w:rsidR="00D51F46" w:rsidRPr="00D51F46" w:rsidRDefault="00D51F46">
            <w:pPr>
              <w:rPr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3965" w14:textId="77777777" w:rsidR="00D51F46" w:rsidRPr="00D51F46" w:rsidRDefault="00D51F46">
            <w:pPr>
              <w:rPr>
                <w:sz w:val="14"/>
                <w:szCs w:val="1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85B3" w14:textId="77777777" w:rsidR="00D51F46" w:rsidRPr="00D51F46" w:rsidRDefault="00D51F46">
            <w:pPr>
              <w:rPr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EBBC" w14:textId="77777777" w:rsidR="00D51F46" w:rsidRPr="00D51F46" w:rsidRDefault="00D51F46">
            <w:pPr>
              <w:rPr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5E9E" w14:textId="77777777" w:rsidR="00D51F46" w:rsidRPr="00D51F46" w:rsidRDefault="00D51F46">
            <w:pPr>
              <w:rPr>
                <w:sz w:val="14"/>
                <w:szCs w:val="14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ACA3" w14:textId="77777777" w:rsidR="00D51F46" w:rsidRPr="00D51F46" w:rsidRDefault="00D51F46">
            <w:pPr>
              <w:rPr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CFDE" w14:textId="77777777" w:rsidR="00D51F46" w:rsidRPr="00D51F46" w:rsidRDefault="00D51F46">
            <w:pPr>
              <w:rPr>
                <w:sz w:val="14"/>
                <w:szCs w:val="1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4BCB" w14:textId="77777777" w:rsidR="00D51F46" w:rsidRPr="00D51F46" w:rsidRDefault="00D51F46">
            <w:pPr>
              <w:rPr>
                <w:sz w:val="14"/>
                <w:szCs w:val="14"/>
              </w:rPr>
            </w:pPr>
          </w:p>
        </w:tc>
      </w:tr>
      <w:tr w:rsidR="00D51F46" w:rsidRPr="00D51F46" w14:paraId="2A3BDDC3" w14:textId="77777777" w:rsidTr="00D51F46">
        <w:trPr>
          <w:trHeight w:val="215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846154" w14:textId="77777777" w:rsidR="00D51F46" w:rsidRPr="00D51F46" w:rsidRDefault="00D51F46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R$ Mil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A96ABA2" w14:textId="77777777" w:rsidR="00D51F46" w:rsidRPr="00D51F46" w:rsidRDefault="00D51F4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4T25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14330B5" w14:textId="77777777" w:rsidR="00D51F46" w:rsidRPr="00D51F46" w:rsidRDefault="00D51F4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4T24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9B054D6" w14:textId="77777777" w:rsidR="00D51F46" w:rsidRPr="00D51F46" w:rsidRDefault="00D51F4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3T25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81B6" w14:textId="77777777" w:rsidR="00D51F46" w:rsidRPr="00D51F46" w:rsidRDefault="00D51F4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6D841980" w14:textId="77777777" w:rsidR="00D51F46" w:rsidRPr="00D51F46" w:rsidRDefault="00D51F4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Δ Ano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FD34366" w14:textId="77777777" w:rsidR="00D51F46" w:rsidRPr="00D51F46" w:rsidRDefault="00D51F4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Δ Trim.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A2A7" w14:textId="77777777" w:rsidR="00D51F46" w:rsidRPr="00D51F46" w:rsidRDefault="00D51F4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9E5D195" w14:textId="77777777" w:rsidR="00D51F46" w:rsidRPr="00D51F46" w:rsidRDefault="00D51F4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0A63712" w14:textId="77777777" w:rsidR="00D51F46" w:rsidRPr="00D51F46" w:rsidRDefault="00D51F4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2024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B5D6C" w14:textId="77777777" w:rsidR="00D51F46" w:rsidRPr="00D51F46" w:rsidRDefault="00D51F4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A5BAE55" w14:textId="77777777" w:rsidR="00D51F46" w:rsidRPr="00D51F46" w:rsidRDefault="00D51F46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Δ Ano</w:t>
            </w:r>
          </w:p>
        </w:tc>
      </w:tr>
      <w:tr w:rsidR="00D51F46" w:rsidRPr="00D51F46" w14:paraId="6D30AF21" w14:textId="77777777" w:rsidTr="00D51F46">
        <w:trPr>
          <w:trHeight w:val="215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74533" w14:textId="77777777" w:rsidR="00D51F46" w:rsidRPr="00D51F46" w:rsidRDefault="00D51F46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Lucro/(Prejuízo) Líquido do Período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2E69AAE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223.461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8E74C" w14:textId="44CEA1B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139.12</w:t>
            </w:r>
            <w:r w:rsidR="00EE1FC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  <w:r w:rsidRPr="00D51F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DF93F" w14:textId="0CBFA23D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(25.610)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A6ED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39F0C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60,6%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97E1B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972,6%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9745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38C2F427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140.504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D5DF3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(66.572)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0EB1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266DA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311,1%</w:t>
            </w:r>
          </w:p>
        </w:tc>
      </w:tr>
      <w:tr w:rsidR="00D51F46" w:rsidRPr="00D51F46" w14:paraId="18828378" w14:textId="77777777" w:rsidTr="00D51F46">
        <w:trPr>
          <w:trHeight w:val="215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B8197" w14:textId="77777777" w:rsidR="00D51F46" w:rsidRPr="00D51F46" w:rsidRDefault="00D51F46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Ajuste de Eventos Não Recorrentes: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576780C1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3528B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25D96" w14:textId="77777777" w:rsidR="00D51F46" w:rsidRPr="00D51F46" w:rsidRDefault="00D51F4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1B15" w14:textId="77777777" w:rsidR="00D51F46" w:rsidRPr="00D51F46" w:rsidRDefault="00D51F4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4DB6E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2ECE4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D02D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D1D372B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A713F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44D9" w14:textId="77777777" w:rsidR="00D51F46" w:rsidRPr="00D51F46" w:rsidRDefault="00D51F4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8ECD5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D51F46" w:rsidRPr="00D51F46" w14:paraId="0EB4FC6C" w14:textId="77777777" w:rsidTr="00D51F46">
        <w:trPr>
          <w:trHeight w:val="215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A4F22" w14:textId="77777777" w:rsidR="00D51F46" w:rsidRPr="00D51F46" w:rsidRDefault="00D51F4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(-) Superávit - Previdência Privada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5ABAC290" w14:textId="4A293F9E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(102.225)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6E7C7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(212.038)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6927C" w14:textId="6F988B69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(32.502)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8D0A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5AB59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-51,8%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B52C6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214,5%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1674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34010D2D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(134.727)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34830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(212.038)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523A8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5A76E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-36,5%</w:t>
            </w:r>
          </w:p>
        </w:tc>
      </w:tr>
      <w:tr w:rsidR="00D51F46" w:rsidRPr="00D51F46" w14:paraId="3E00A106" w14:textId="77777777" w:rsidTr="00D51F46">
        <w:trPr>
          <w:trHeight w:val="215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461BF" w14:textId="77777777" w:rsidR="00D51F46" w:rsidRPr="00D51F46" w:rsidRDefault="00D51F4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(+) Tributos sobre Superávit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A66C429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9.456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048B1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-     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16213" w14:textId="51B1C7E5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3.006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6072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CE4D4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39D1C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214,5%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445E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2BDE941B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12.462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48E01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19.614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66B3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8AC8D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-36,5%</w:t>
            </w:r>
          </w:p>
        </w:tc>
      </w:tr>
      <w:tr w:rsidR="00D51F46" w:rsidRPr="00D51F46" w14:paraId="4E4B0D8E" w14:textId="77777777" w:rsidTr="00D51F46">
        <w:trPr>
          <w:trHeight w:val="215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E2A23" w14:textId="77777777" w:rsidR="00D51F46" w:rsidRPr="00D51F46" w:rsidRDefault="00D51F4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(-) Ganho sobre Baixa de Passivos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3B135B14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-     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9EA5A" w14:textId="2C4E8564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(598)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06199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-     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21CA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64236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-100,0%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6E6F6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40F0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A72FB4D" w14:textId="12EDECBE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(76)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F70B8" w14:textId="5B602811" w:rsidR="00D51F46" w:rsidRPr="00D51F46" w:rsidRDefault="00D51F46" w:rsidP="00D51F4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(2.297)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2213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C2DEF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-96,7%</w:t>
            </w:r>
          </w:p>
        </w:tc>
      </w:tr>
      <w:tr w:rsidR="00D51F46" w:rsidRPr="00D51F46" w14:paraId="0058951A" w14:textId="77777777" w:rsidTr="00D51F46">
        <w:trPr>
          <w:trHeight w:val="215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3D15C" w14:textId="5BC52005" w:rsidR="00D51F46" w:rsidRPr="00D51F46" w:rsidRDefault="00D51F4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(-) Ativo</w:t>
            </w:r>
            <w:r w:rsidR="002A5973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Contingente</w:t>
            </w:r>
            <w:r w:rsidR="002A5973">
              <w:rPr>
                <w:rFonts w:ascii="Arial" w:hAnsi="Arial" w:cs="Arial"/>
                <w:color w:val="000000"/>
                <w:sz w:val="14"/>
                <w:szCs w:val="14"/>
              </w:rPr>
              <w:t>s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A9388EC" w14:textId="4CA00353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(14.922)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878B0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-     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ABF31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-     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B109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5983D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E1A47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DF85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2055E755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(14.960)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85E94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-     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1E2B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F3FA0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100,0%</w:t>
            </w:r>
          </w:p>
        </w:tc>
      </w:tr>
      <w:tr w:rsidR="00D51F46" w:rsidRPr="00D51F46" w14:paraId="35A31152" w14:textId="77777777" w:rsidTr="00D51F46">
        <w:trPr>
          <w:trHeight w:val="215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CADDB" w14:textId="77777777" w:rsidR="00D51F46" w:rsidRPr="00D51F46" w:rsidRDefault="00D51F4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(+) Tributos s/ Ativo Contingente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3B86993B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1.384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13929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-     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AB3BB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-     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04F8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177A2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75E04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82F7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21030A76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1.384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50459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-     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475A5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1EDF7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100,0%</w:t>
            </w:r>
          </w:p>
        </w:tc>
      </w:tr>
      <w:tr w:rsidR="00D51F46" w:rsidRPr="00D51F46" w14:paraId="521205F5" w14:textId="77777777" w:rsidTr="00D51F46">
        <w:trPr>
          <w:trHeight w:val="215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C428B" w14:textId="77777777" w:rsidR="00D51F46" w:rsidRPr="00D51F46" w:rsidRDefault="00D51F4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(+/-) Baixa de Bens do Ativo Imobilizado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5BF19A79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-     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FF4D6" w14:textId="31AC59E0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(1.366)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0B0A1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-     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4BFC4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DB3A4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-100,0%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19AEE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7C13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2A618FB0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-     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221E9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2.666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D2B8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FA60D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-100,0%</w:t>
            </w:r>
          </w:p>
        </w:tc>
      </w:tr>
      <w:tr w:rsidR="00D51F46" w:rsidRPr="00D51F46" w14:paraId="40122A83" w14:textId="77777777" w:rsidTr="00D51F46">
        <w:trPr>
          <w:trHeight w:val="215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B5B8D" w14:textId="77777777" w:rsidR="00D51F46" w:rsidRPr="00D51F46" w:rsidRDefault="00D51F4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(+) Multas Contratuais 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4F73F801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1.500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E18A7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679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493C9" w14:textId="1A59CD4D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1.952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6D0B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235D5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120,9%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80983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-23,2%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DE53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85AFA07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4.874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6E39D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3.568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EEA7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E56BC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36,6%</w:t>
            </w:r>
          </w:p>
        </w:tc>
      </w:tr>
      <w:tr w:rsidR="00D51F46" w:rsidRPr="00D51F46" w14:paraId="0F694DC1" w14:textId="77777777" w:rsidTr="00D51F46">
        <w:trPr>
          <w:trHeight w:val="215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5B09F" w14:textId="3FE6A36B" w:rsidR="00D51F46" w:rsidRPr="00D51F46" w:rsidRDefault="00D51F4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="00163160">
              <w:rPr>
                <w:rFonts w:ascii="Arial" w:hAnsi="Arial" w:cs="Arial"/>
                <w:color w:val="000000"/>
                <w:sz w:val="14"/>
                <w:szCs w:val="14"/>
              </w:rPr>
              <w:t>+</w:t>
            </w: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) Ajuste de IRPJ/CSLL sobre Eventos Não recorrentes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53856CBF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24.944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9C2F0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-     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84C13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-     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B5B68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E6AD7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58D94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2795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3A9C372D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31.188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D8E18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-      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F2E7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36CFF" w14:textId="77777777" w:rsidR="00D51F46" w:rsidRPr="00D51F46" w:rsidRDefault="00D51F4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color w:val="000000"/>
                <w:sz w:val="14"/>
                <w:szCs w:val="14"/>
              </w:rPr>
              <w:t>100,0%</w:t>
            </w:r>
          </w:p>
        </w:tc>
      </w:tr>
      <w:tr w:rsidR="00D51F46" w:rsidRPr="00D51F46" w14:paraId="4C2970D7" w14:textId="77777777" w:rsidTr="00D51F46">
        <w:trPr>
          <w:trHeight w:val="215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5D893CB" w14:textId="574CCE38" w:rsidR="00D51F46" w:rsidRPr="00D51F46" w:rsidRDefault="00805464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Lucro/(Prejuízo) Líquido Recorrente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0AAB2CD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143.598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F9A5D6E" w14:textId="27F27309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 (74.19</w:t>
            </w:r>
            <w:r w:rsidR="00EE1FC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8</w:t>
            </w:r>
            <w:r w:rsidRPr="00D51F4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)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FFF21A6" w14:textId="3572CE8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(53.154)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AB3B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947CCAD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293,5%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6283E54F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370,2%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E714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2ADF33C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  40.649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6592022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 xml:space="preserve">   (255.059)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A24D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158937AC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-115,9%</w:t>
            </w:r>
          </w:p>
        </w:tc>
      </w:tr>
      <w:tr w:rsidR="00D51F46" w:rsidRPr="00D51F46" w14:paraId="222CF54E" w14:textId="77777777" w:rsidTr="00D51F46">
        <w:trPr>
          <w:trHeight w:val="215"/>
        </w:trPr>
        <w:tc>
          <w:tcPr>
            <w:tcW w:w="1802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CDABA26" w14:textId="77777777" w:rsidR="00D51F46" w:rsidRPr="00D51F46" w:rsidRDefault="00D51F4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Margem Líquida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E24400A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89,4%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FB97966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-56,4%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39733FFB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-50,1%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58D4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2BDE6BEC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258,6%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EDF0B56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278,6%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2AA7A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5012C1B1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8,3%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A9D860E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-61,6%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B05D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35769B34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113,4%</w:t>
            </w:r>
          </w:p>
        </w:tc>
      </w:tr>
      <w:tr w:rsidR="00D51F46" w:rsidRPr="00D51F46" w14:paraId="3D4F079A" w14:textId="77777777" w:rsidTr="00D51F46">
        <w:trPr>
          <w:trHeight w:val="215"/>
        </w:trPr>
        <w:tc>
          <w:tcPr>
            <w:tcW w:w="1802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noWrap/>
            <w:vAlign w:val="center"/>
            <w:hideMark/>
          </w:tcPr>
          <w:p w14:paraId="31CB7BE4" w14:textId="77777777" w:rsidR="00D51F46" w:rsidRPr="00D51F46" w:rsidRDefault="00D51F46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  <w:t>Prejuízo por Ação (R$)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noWrap/>
            <w:vAlign w:val="center"/>
            <w:hideMark/>
          </w:tcPr>
          <w:p w14:paraId="665CA966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  <w:t xml:space="preserve">   1,40805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noWrap/>
            <w:vAlign w:val="center"/>
            <w:hideMark/>
          </w:tcPr>
          <w:p w14:paraId="0BDBAA84" w14:textId="33653D7A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  <w:t xml:space="preserve">  (0,8589</w:t>
            </w:r>
            <w:r w:rsidR="00EE1FC7"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  <w:t>4</w:t>
            </w:r>
            <w:r w:rsidRPr="00D51F46"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  <w:t>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noWrap/>
            <w:vAlign w:val="center"/>
            <w:hideMark/>
          </w:tcPr>
          <w:p w14:paraId="0529321E" w14:textId="4AD7AC9A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  <w:t>(0,52120)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6A2A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vAlign w:val="center"/>
            <w:hideMark/>
          </w:tcPr>
          <w:p w14:paraId="451988C0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263,9%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vAlign w:val="center"/>
            <w:hideMark/>
          </w:tcPr>
          <w:p w14:paraId="7FA01021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370,2%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AEC9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noWrap/>
            <w:vAlign w:val="center"/>
            <w:hideMark/>
          </w:tcPr>
          <w:p w14:paraId="681924F7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  <w:t xml:space="preserve">     0,3986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noWrap/>
            <w:vAlign w:val="center"/>
            <w:hideMark/>
          </w:tcPr>
          <w:p w14:paraId="27AC10AB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  <w:t xml:space="preserve">  (2,95266)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2A0B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000000" w:fill="0000FF"/>
            <w:noWrap/>
            <w:vAlign w:val="center"/>
            <w:hideMark/>
          </w:tcPr>
          <w:p w14:paraId="4741AB22" w14:textId="77777777" w:rsidR="00D51F46" w:rsidRPr="00D51F46" w:rsidRDefault="00D51F4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</w:pPr>
            <w:r w:rsidRPr="00D51F46">
              <w:rPr>
                <w:rFonts w:ascii="Arial" w:hAnsi="Arial" w:cs="Arial"/>
                <w:b/>
                <w:bCs/>
                <w:i/>
                <w:iCs/>
                <w:color w:val="FFFFFF"/>
                <w:sz w:val="14"/>
                <w:szCs w:val="14"/>
              </w:rPr>
              <w:t>113,5%</w:t>
            </w:r>
          </w:p>
        </w:tc>
      </w:tr>
    </w:tbl>
    <w:p w14:paraId="5CFD3C28" w14:textId="77777777" w:rsidR="00D51F46" w:rsidRDefault="00D51F46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477797EE" w14:textId="2D39F375" w:rsidR="00190DFA" w:rsidRPr="00190DFA" w:rsidRDefault="00190DFA" w:rsidP="00190DFA">
      <w:pPr>
        <w:spacing w:after="4"/>
        <w:jc w:val="both"/>
        <w:rPr>
          <w:rFonts w:ascii="Arial" w:hAnsi="Arial" w:cs="Arial"/>
          <w:color w:val="000000"/>
          <w:sz w:val="22"/>
          <w:szCs w:val="22"/>
        </w:rPr>
      </w:pPr>
      <w:r w:rsidRPr="00190DFA">
        <w:rPr>
          <w:rFonts w:ascii="Arial" w:hAnsi="Arial" w:cs="Arial"/>
          <w:color w:val="000000"/>
          <w:sz w:val="22"/>
          <w:szCs w:val="22"/>
        </w:rPr>
        <w:t>Em 2025, a Telebras apresentou Lucro Líquido Recorrente de R$ 40,6 milhões, frente ao Prejuízo Recorrente de R$ 255,1 milhões registrado em 2024. O desempenho positivo no exercício de 2025 é explicado pelos seguintes fatores: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90DFA">
        <w:rPr>
          <w:rFonts w:ascii="Arial" w:hAnsi="Arial" w:cs="Arial"/>
          <w:color w:val="000000"/>
          <w:sz w:val="22"/>
          <w:szCs w:val="22"/>
        </w:rPr>
        <w:t>i) aumento das receitas de prestação de serviços;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90DFA">
        <w:rPr>
          <w:rFonts w:ascii="Arial" w:hAnsi="Arial" w:cs="Arial"/>
          <w:color w:val="000000"/>
          <w:sz w:val="22"/>
          <w:szCs w:val="22"/>
        </w:rPr>
        <w:t>ii</w:t>
      </w:r>
      <w:proofErr w:type="spellEnd"/>
      <w:r w:rsidRPr="00190DFA">
        <w:rPr>
          <w:rFonts w:ascii="Arial" w:hAnsi="Arial" w:cs="Arial"/>
          <w:color w:val="000000"/>
          <w:sz w:val="22"/>
          <w:szCs w:val="22"/>
        </w:rPr>
        <w:t>) crescimento das subvenções orçamentárias recebidas e realizadas;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90DFA">
        <w:rPr>
          <w:rFonts w:ascii="Arial" w:hAnsi="Arial" w:cs="Arial"/>
          <w:color w:val="000000"/>
          <w:sz w:val="22"/>
          <w:szCs w:val="22"/>
        </w:rPr>
        <w:t>iii</w:t>
      </w:r>
      <w:proofErr w:type="spellEnd"/>
      <w:r w:rsidRPr="00190DFA">
        <w:rPr>
          <w:rFonts w:ascii="Arial" w:hAnsi="Arial" w:cs="Arial"/>
          <w:color w:val="000000"/>
          <w:sz w:val="22"/>
          <w:szCs w:val="22"/>
        </w:rPr>
        <w:t>) melhora do resultado financeiro; 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90DFA">
        <w:rPr>
          <w:rFonts w:ascii="Arial" w:hAnsi="Arial" w:cs="Arial"/>
          <w:color w:val="000000"/>
          <w:sz w:val="22"/>
          <w:szCs w:val="22"/>
        </w:rPr>
        <w:t>iv</w:t>
      </w:r>
      <w:proofErr w:type="spellEnd"/>
      <w:r w:rsidRPr="00190DFA">
        <w:rPr>
          <w:rFonts w:ascii="Arial" w:hAnsi="Arial" w:cs="Arial"/>
          <w:color w:val="000000"/>
          <w:sz w:val="22"/>
          <w:szCs w:val="22"/>
        </w:rPr>
        <w:t>) crescimento dos custos e despesas operacionais em ritmo inferior ao das receitas.</w:t>
      </w:r>
    </w:p>
    <w:p w14:paraId="24119370" w14:textId="77777777" w:rsidR="000D117D" w:rsidRDefault="000D117D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0A33AB7F" w14:textId="77777777" w:rsidR="00A06DC5" w:rsidRDefault="00A06DC5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6AB8CE20" w14:textId="77777777" w:rsidR="00A06DC5" w:rsidRDefault="00A06DC5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7DA54558" w14:textId="77777777" w:rsidR="00A06DC5" w:rsidRDefault="00A06DC5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7DC9B6F3" w14:textId="77777777" w:rsidR="00A06DC5" w:rsidRDefault="00A06DC5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4AEB8416" w14:textId="77777777" w:rsidR="00A06DC5" w:rsidRDefault="00A06DC5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077354B3" w14:textId="77777777" w:rsidR="00A06DC5" w:rsidRDefault="00A06DC5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7EA942C9" w14:textId="77777777" w:rsidR="00A06DC5" w:rsidRDefault="00A06DC5" w:rsidP="00125B83">
      <w:pPr>
        <w:spacing w:after="4"/>
        <w:jc w:val="both"/>
        <w:rPr>
          <w:rFonts w:ascii="Arial" w:hAnsi="Arial" w:cs="Arial"/>
          <w:color w:val="000000"/>
        </w:rPr>
      </w:pPr>
    </w:p>
    <w:p w14:paraId="774A8AEC" w14:textId="4BC275B3" w:rsidR="00AA400E" w:rsidRPr="001D5F28" w:rsidRDefault="009735D2" w:rsidP="0020064A">
      <w:pPr>
        <w:rPr>
          <w:rStyle w:val="RefernciaIntensa"/>
          <w:rFonts w:ascii="Arial" w:hAnsi="Arial" w:cs="Arial"/>
          <w:color w:val="auto"/>
          <w:sz w:val="28"/>
          <w:szCs w:val="28"/>
        </w:rPr>
      </w:pPr>
      <w:r w:rsidRPr="001D5F28">
        <w:rPr>
          <w:rStyle w:val="RefernciaIntensa"/>
          <w:rFonts w:ascii="Arial" w:hAnsi="Arial" w:cs="Arial"/>
          <w:color w:val="auto"/>
          <w:sz w:val="28"/>
          <w:szCs w:val="28"/>
        </w:rPr>
        <w:t>O</w:t>
      </w:r>
      <w:r w:rsidR="001D5F28">
        <w:rPr>
          <w:rStyle w:val="RefernciaIntensa"/>
          <w:rFonts w:ascii="Arial" w:hAnsi="Arial" w:cs="Arial"/>
          <w:color w:val="auto"/>
          <w:sz w:val="28"/>
          <w:szCs w:val="28"/>
        </w:rPr>
        <w:t>utros Indicadores</w:t>
      </w:r>
    </w:p>
    <w:p w14:paraId="36F4F53C" w14:textId="77777777" w:rsidR="0020064A" w:rsidRPr="00EF72EC" w:rsidRDefault="0020064A" w:rsidP="0020064A">
      <w:pPr>
        <w:rPr>
          <w:rStyle w:val="RefernciaIntensa"/>
          <w:rFonts w:ascii="Arial" w:hAnsi="Arial" w:cs="Arial"/>
          <w:color w:val="auto"/>
        </w:rPr>
      </w:pPr>
    </w:p>
    <w:p w14:paraId="01C0741A" w14:textId="7F994B91" w:rsidR="00AA400E" w:rsidRPr="00EF72EC" w:rsidRDefault="00A11DCB" w:rsidP="0020064A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Endividamento</w:t>
      </w:r>
    </w:p>
    <w:p w14:paraId="3DA7EFF5" w14:textId="77777777" w:rsidR="0020064A" w:rsidRPr="00EF72EC" w:rsidRDefault="0020064A" w:rsidP="0020064A">
      <w:pPr>
        <w:rPr>
          <w:rStyle w:val="RefernciaIntensa"/>
          <w:rFonts w:ascii="Arial" w:hAnsi="Arial" w:cs="Arial"/>
          <w:color w:val="auto"/>
        </w:rPr>
      </w:pPr>
    </w:p>
    <w:p w14:paraId="4F32C05E" w14:textId="285BB17A" w:rsidR="00875869" w:rsidRDefault="00875869" w:rsidP="0020064A">
      <w:pPr>
        <w:rPr>
          <w:rStyle w:val="RefernciaIntensa"/>
          <w:rFonts w:ascii="Arial" w:hAnsi="Arial" w:cs="Arial"/>
          <w:color w:val="auto"/>
        </w:rPr>
      </w:pPr>
      <w:r w:rsidRPr="00EF72EC">
        <w:rPr>
          <w:rStyle w:val="RefernciaIntensa"/>
          <w:rFonts w:ascii="Arial" w:hAnsi="Arial" w:cs="Arial"/>
          <w:color w:val="auto"/>
        </w:rPr>
        <w:t>Dívida Líquida</w:t>
      </w:r>
      <w:r w:rsidR="00F87546" w:rsidRPr="00EF72EC">
        <w:rPr>
          <w:rStyle w:val="Refdenotaderodap"/>
          <w:rFonts w:ascii="Arial" w:hAnsi="Arial" w:cs="Arial"/>
          <w:b/>
          <w:bCs/>
          <w:smallCaps/>
          <w:spacing w:val="5"/>
          <w:u w:val="single"/>
        </w:rPr>
        <w:footnoteReference w:id="8"/>
      </w:r>
    </w:p>
    <w:p w14:paraId="60B45396" w14:textId="6B2BA6FA" w:rsidR="00243E29" w:rsidRDefault="00243E29" w:rsidP="0020064A">
      <w:pPr>
        <w:rPr>
          <w:rStyle w:val="RefernciaIntensa"/>
          <w:rFonts w:ascii="Arial" w:hAnsi="Arial" w:cs="Arial"/>
          <w:color w:val="aut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8"/>
        <w:gridCol w:w="1189"/>
        <w:gridCol w:w="1189"/>
        <w:gridCol w:w="1189"/>
        <w:gridCol w:w="185"/>
        <w:gridCol w:w="862"/>
        <w:gridCol w:w="936"/>
      </w:tblGrid>
      <w:tr w:rsidR="00A37988" w14:paraId="1093384D" w14:textId="77777777" w:rsidTr="00803A45">
        <w:trPr>
          <w:trHeight w:val="198"/>
        </w:trPr>
        <w:tc>
          <w:tcPr>
            <w:tcW w:w="235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9697991" w14:textId="77777777" w:rsidR="00A37988" w:rsidRDefault="00A3798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R$ Mil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698A90" w14:textId="77777777" w:rsidR="00A37988" w:rsidRDefault="00A3798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31/12/2025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F59CD0" w14:textId="77777777" w:rsidR="00A37988" w:rsidRDefault="00A3798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31/12/2024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8DC3FC" w14:textId="77777777" w:rsidR="00A37988" w:rsidRDefault="00A3798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31/12/2023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46E05" w14:textId="77777777" w:rsidR="00A37988" w:rsidRDefault="00A3798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A54EF44" w14:textId="77777777" w:rsidR="00DB6DB7" w:rsidRDefault="00A3798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Δ </w:t>
            </w:r>
            <w:r w:rsidR="00DB6DB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2025</w:t>
            </w:r>
          </w:p>
          <w:p w14:paraId="422A17A1" w14:textId="77777777" w:rsidR="00DB6DB7" w:rsidRDefault="00DB6DB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X </w:t>
            </w:r>
          </w:p>
          <w:p w14:paraId="6A1D76A1" w14:textId="376BEB2E" w:rsidR="00A37988" w:rsidRDefault="00DB6DB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3BC3716" w14:textId="77777777" w:rsidR="00DB6DB7" w:rsidRDefault="00A37988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Δ </w:t>
            </w:r>
            <w:r w:rsidR="00DB6DB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2025 </w:t>
            </w:r>
          </w:p>
          <w:p w14:paraId="24294330" w14:textId="77777777" w:rsidR="00DB6DB7" w:rsidRDefault="00DB6DB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X </w:t>
            </w:r>
          </w:p>
          <w:p w14:paraId="075CDCE7" w14:textId="469A2FD1" w:rsidR="00A37988" w:rsidRDefault="00DB6DB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2023</w:t>
            </w:r>
          </w:p>
        </w:tc>
      </w:tr>
      <w:tr w:rsidR="00A37988" w14:paraId="678E3B7D" w14:textId="77777777" w:rsidTr="00803A45">
        <w:trPr>
          <w:trHeight w:val="198"/>
        </w:trPr>
        <w:tc>
          <w:tcPr>
            <w:tcW w:w="2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3A627" w14:textId="77777777" w:rsidR="00A37988" w:rsidRDefault="00A3798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Empréstimos e Financiamentos - FINEP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0A6A319D" w14:textId="77777777" w:rsidR="00A37988" w:rsidRDefault="00A379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    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E08DD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46.210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6BBEE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90.602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49BC2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85CE3" w14:textId="77777777" w:rsidR="00A37988" w:rsidRDefault="00A379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-100,0%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02A2A" w14:textId="77777777" w:rsidR="00A37988" w:rsidRDefault="00A379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-100,0%</w:t>
            </w:r>
          </w:p>
        </w:tc>
      </w:tr>
      <w:tr w:rsidR="00A37988" w14:paraId="3E56F38D" w14:textId="77777777" w:rsidTr="00803A45">
        <w:trPr>
          <w:trHeight w:val="198"/>
        </w:trPr>
        <w:tc>
          <w:tcPr>
            <w:tcW w:w="2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D0705" w14:textId="77777777" w:rsidR="00A37988" w:rsidRDefault="00A3798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Curto Prazo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B533822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-     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D7114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46.210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7E881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45.710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F6758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C6394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-100,0%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4D89E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-100,0%</w:t>
            </w:r>
          </w:p>
        </w:tc>
      </w:tr>
      <w:tr w:rsidR="00A37988" w14:paraId="50B5B953" w14:textId="77777777" w:rsidTr="00803A45">
        <w:trPr>
          <w:trHeight w:val="198"/>
        </w:trPr>
        <w:tc>
          <w:tcPr>
            <w:tcW w:w="2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A2D02" w14:textId="77777777" w:rsidR="00A37988" w:rsidRDefault="00A3798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Longo Prazo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F2D75D3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-     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E0029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8FCF0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44.892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C4712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F6D1C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-100,0%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99067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-100,0%</w:t>
            </w:r>
          </w:p>
        </w:tc>
      </w:tr>
      <w:tr w:rsidR="00A37988" w14:paraId="35E77511" w14:textId="77777777" w:rsidTr="00803A45">
        <w:trPr>
          <w:trHeight w:val="198"/>
        </w:trPr>
        <w:tc>
          <w:tcPr>
            <w:tcW w:w="2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3935F" w14:textId="77777777" w:rsidR="00A37988" w:rsidRDefault="00A3798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Arrendamento Mercantil (Leasing)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468984C5" w14:textId="77777777" w:rsidR="00A37988" w:rsidRDefault="00A379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19.879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74A91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9.513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45DB7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14.121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C026E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624B4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109,0%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AF937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40,8%</w:t>
            </w:r>
          </w:p>
        </w:tc>
      </w:tr>
      <w:tr w:rsidR="00A37988" w14:paraId="6B74F695" w14:textId="77777777" w:rsidTr="00803A45">
        <w:trPr>
          <w:trHeight w:val="198"/>
        </w:trPr>
        <w:tc>
          <w:tcPr>
            <w:tcW w:w="2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2EEF6" w14:textId="77777777" w:rsidR="00A37988" w:rsidRDefault="00A3798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Curto Prazo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3916086B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5.093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DBB6D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5.374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C142C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5.324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EB214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277CB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-5,2%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A6802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-4,3%</w:t>
            </w:r>
          </w:p>
        </w:tc>
      </w:tr>
      <w:tr w:rsidR="00A37988" w14:paraId="51F560E8" w14:textId="77777777" w:rsidTr="00803A45">
        <w:trPr>
          <w:trHeight w:val="198"/>
        </w:trPr>
        <w:tc>
          <w:tcPr>
            <w:tcW w:w="2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49484" w14:textId="77777777" w:rsidR="00A37988" w:rsidRDefault="00A3798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Longo Prazo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3622C18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14.786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29201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4.139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7E3FD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8.797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24084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1FF76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257,2%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24747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68,1%</w:t>
            </w:r>
          </w:p>
        </w:tc>
      </w:tr>
      <w:tr w:rsidR="00A37988" w14:paraId="227B072C" w14:textId="77777777" w:rsidTr="00803A45">
        <w:trPr>
          <w:trHeight w:val="198"/>
        </w:trPr>
        <w:tc>
          <w:tcPr>
            <w:tcW w:w="2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3969F" w14:textId="77777777" w:rsidR="00A37988" w:rsidRDefault="00A3798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Credores por Acordos Judiciais - PREVI e FUNCEF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320632A5" w14:textId="77777777" w:rsidR="00A37988" w:rsidRDefault="00A379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    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1B876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118.882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E5C83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132.440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FD8AC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7F21D" w14:textId="77777777" w:rsidR="00A37988" w:rsidRDefault="00A379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-100,0%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FFBC9" w14:textId="77777777" w:rsidR="00A37988" w:rsidRDefault="00A379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-100,0%</w:t>
            </w:r>
          </w:p>
        </w:tc>
      </w:tr>
      <w:tr w:rsidR="00A37988" w14:paraId="4AE18F30" w14:textId="77777777" w:rsidTr="00803A45">
        <w:trPr>
          <w:trHeight w:val="198"/>
        </w:trPr>
        <w:tc>
          <w:tcPr>
            <w:tcW w:w="2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EF503" w14:textId="77777777" w:rsidR="00A37988" w:rsidRDefault="00A3798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Curto Prazo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729A51D3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-     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1EE69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16.635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3F534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16.436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2BB89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1431E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-100,0%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8D99F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-100,0%</w:t>
            </w:r>
          </w:p>
        </w:tc>
      </w:tr>
      <w:tr w:rsidR="00A37988" w14:paraId="3EA5EE95" w14:textId="77777777" w:rsidTr="00803A45">
        <w:trPr>
          <w:trHeight w:val="198"/>
        </w:trPr>
        <w:tc>
          <w:tcPr>
            <w:tcW w:w="2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F09E4" w14:textId="77777777" w:rsidR="00A37988" w:rsidRDefault="00A3798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Longo Prazo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F6B476B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-     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FBAAD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102.247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93A6A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116.004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2DDDC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60EB3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-100,0%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EB155" w14:textId="77777777" w:rsidR="00A37988" w:rsidRDefault="00A37988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-100,0%</w:t>
            </w:r>
          </w:p>
        </w:tc>
      </w:tr>
      <w:tr w:rsidR="00A37988" w14:paraId="2385C103" w14:textId="77777777" w:rsidTr="00803A45">
        <w:trPr>
          <w:trHeight w:val="198"/>
        </w:trPr>
        <w:tc>
          <w:tcPr>
            <w:tcW w:w="235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EBEA8C3" w14:textId="77777777" w:rsidR="00A37988" w:rsidRDefault="00A3798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Dívida Bruta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35D2A7C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 19.879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833DBBE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174.605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5881FC3C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237.163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67F70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D43A5E9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-88,6%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740944B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-91,6%</w:t>
            </w:r>
          </w:p>
        </w:tc>
      </w:tr>
      <w:tr w:rsidR="00A37988" w14:paraId="48FE8F8C" w14:textId="77777777" w:rsidTr="00803A45">
        <w:trPr>
          <w:trHeight w:val="198"/>
        </w:trPr>
        <w:tc>
          <w:tcPr>
            <w:tcW w:w="2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A59AB" w14:textId="77777777" w:rsidR="00A37988" w:rsidRDefault="00A379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(-) Aplicações Financeiras - (Garantias)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085EDD33" w14:textId="77777777" w:rsidR="00A37988" w:rsidRDefault="00A379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50.665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8AC78" w14:textId="77777777" w:rsidR="00A37988" w:rsidRDefault="00A379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84.313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D413F" w14:textId="77777777" w:rsidR="00A37988" w:rsidRDefault="00A379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77.976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CFCEF" w14:textId="77777777" w:rsidR="00A37988" w:rsidRDefault="00A379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017CA" w14:textId="77777777" w:rsidR="00A37988" w:rsidRDefault="00A379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-39,9%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D9EB7" w14:textId="77777777" w:rsidR="00A37988" w:rsidRDefault="00A379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-35,0%</w:t>
            </w:r>
          </w:p>
        </w:tc>
      </w:tr>
      <w:tr w:rsidR="00A37988" w14:paraId="02C3A1A2" w14:textId="77777777" w:rsidTr="00803A45">
        <w:trPr>
          <w:trHeight w:val="198"/>
        </w:trPr>
        <w:tc>
          <w:tcPr>
            <w:tcW w:w="23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5C91F" w14:textId="040E28B3" w:rsidR="00A37988" w:rsidRDefault="00A3798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(-) Caixa Disponível</w:t>
            </w:r>
            <w:r>
              <w:rPr>
                <w:rStyle w:val="Refdenotaderodap"/>
                <w:rFonts w:ascii="Arial" w:hAnsi="Arial" w:cs="Arial"/>
                <w:color w:val="000000"/>
                <w:sz w:val="16"/>
                <w:szCs w:val="16"/>
              </w:rPr>
              <w:footnoteReference w:id="9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6C918D3D" w14:textId="77777777" w:rsidR="00A37988" w:rsidRDefault="00A379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509.231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45B57" w14:textId="77777777" w:rsidR="00A37988" w:rsidRDefault="00A379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330.095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0EDF3" w14:textId="77777777" w:rsidR="00A37988" w:rsidRDefault="00A379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311.305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558D8" w14:textId="77777777" w:rsidR="00A37988" w:rsidRDefault="00A379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E40F0" w14:textId="77777777" w:rsidR="00A37988" w:rsidRDefault="00A379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54,3%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E3BAA" w14:textId="77777777" w:rsidR="00A37988" w:rsidRDefault="00A379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63,6%</w:t>
            </w:r>
          </w:p>
        </w:tc>
      </w:tr>
      <w:tr w:rsidR="00A37988" w14:paraId="788183F4" w14:textId="77777777" w:rsidTr="00803A45">
        <w:trPr>
          <w:trHeight w:val="198"/>
        </w:trPr>
        <w:tc>
          <w:tcPr>
            <w:tcW w:w="235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61C7229" w14:textId="77777777" w:rsidR="00A37988" w:rsidRDefault="00A3798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Dívida Líquida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C544C1D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(540.017)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8F8CE60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(239.803)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C120A8C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(152.118)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B7640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D644379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125,2%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A7D6B13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255,0%</w:t>
            </w:r>
          </w:p>
        </w:tc>
      </w:tr>
      <w:tr w:rsidR="00A37988" w14:paraId="2AF21294" w14:textId="77777777" w:rsidTr="00803A45">
        <w:trPr>
          <w:trHeight w:val="198"/>
        </w:trPr>
        <w:tc>
          <w:tcPr>
            <w:tcW w:w="235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BB00F7E" w14:textId="2E68225E" w:rsidR="00A37988" w:rsidRDefault="00A3798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EBITDA Anualizado</w:t>
            </w:r>
            <w:r>
              <w:rPr>
                <w:rStyle w:val="Refdenotaderodap"/>
                <w:rFonts w:ascii="Arial" w:hAnsi="Arial" w:cs="Arial"/>
                <w:b/>
                <w:bCs/>
                <w:color w:val="FFFFFF"/>
                <w:sz w:val="16"/>
                <w:szCs w:val="16"/>
              </w:rPr>
              <w:footnoteReference w:id="10"/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C4F2552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510.804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13579EBF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288.539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371C4B4" w14:textId="68D3C25E" w:rsidR="00A37988" w:rsidRDefault="00612CD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186.134</w:t>
            </w:r>
            <w:r w:rsidR="00A3798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3F386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6CF2361E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77,0%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312FFF5" w14:textId="643B1ACD" w:rsidR="00A37988" w:rsidRDefault="00612CD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174,4</w:t>
            </w:r>
            <w:r w:rsidR="00A37988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%</w:t>
            </w:r>
          </w:p>
        </w:tc>
      </w:tr>
      <w:tr w:rsidR="00A37988" w14:paraId="33D55903" w14:textId="77777777" w:rsidTr="00803A45">
        <w:trPr>
          <w:trHeight w:val="198"/>
        </w:trPr>
        <w:tc>
          <w:tcPr>
            <w:tcW w:w="235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3BF7090" w14:textId="77777777" w:rsidR="00A37988" w:rsidRDefault="00A3798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Dívida Líquida / EBITDA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24E1204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-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0815E4CB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- 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AF70236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-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CA083" w14:textId="77777777" w:rsidR="00A37988" w:rsidRDefault="00A37988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246700C" w14:textId="0FB3D5DE" w:rsidR="00704AA5" w:rsidRDefault="00704AA5" w:rsidP="00704AA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23454784" w14:textId="54C8071A" w:rsidR="00A37988" w:rsidRDefault="00704AA5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</w:t>
            </w:r>
          </w:p>
        </w:tc>
      </w:tr>
    </w:tbl>
    <w:p w14:paraId="2E718B4D" w14:textId="77777777" w:rsidR="00774735" w:rsidRDefault="00774735" w:rsidP="0020064A">
      <w:pPr>
        <w:rPr>
          <w:rStyle w:val="RefernciaIntensa"/>
          <w:color w:val="auto"/>
        </w:rPr>
      </w:pPr>
    </w:p>
    <w:p w14:paraId="61E98FEF" w14:textId="77777777" w:rsidR="003F01C3" w:rsidRDefault="003F01C3" w:rsidP="003F01C3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F01C3">
        <w:rPr>
          <w:rFonts w:ascii="Arial" w:hAnsi="Arial" w:cs="Arial"/>
          <w:bCs/>
          <w:color w:val="000000"/>
          <w:sz w:val="22"/>
          <w:szCs w:val="22"/>
        </w:rPr>
        <w:t>Em dezembro de 2025, a Telebras apresentou dívida líquida negativa, ou seja, o valor das disponibilidades e das aplicações financeiras superou o montante da dívida bruta. O saldo atingiu R$ 540,0 milhões, comparado a R$ 239,8 milhões em dezembro de 2024 e R$ 152,1 milhões em dezembro de 2023, o que representa acréscimos de 125,2% e 255,0%, respectivamente, em relação aos mesmos períodos.</w:t>
      </w:r>
    </w:p>
    <w:p w14:paraId="6504C702" w14:textId="77777777" w:rsidR="003F01C3" w:rsidRPr="003F01C3" w:rsidRDefault="003F01C3" w:rsidP="003F01C3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843C081" w14:textId="77777777" w:rsidR="003F01C3" w:rsidRDefault="003F01C3" w:rsidP="003F01C3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F01C3">
        <w:rPr>
          <w:rFonts w:ascii="Arial" w:hAnsi="Arial" w:cs="Arial"/>
          <w:bCs/>
          <w:color w:val="000000"/>
          <w:sz w:val="22"/>
          <w:szCs w:val="22"/>
        </w:rPr>
        <w:t>Esse comportamento é explicado pela redução da dívida bruta, decorrente das amortizações realizadas ao longo do exercício, aliada à manutenção de um elevado volume de disponibilidades financeiras da Companhia.</w:t>
      </w:r>
    </w:p>
    <w:p w14:paraId="35664042" w14:textId="77777777" w:rsidR="003F01C3" w:rsidRPr="003F01C3" w:rsidRDefault="003F01C3" w:rsidP="003F01C3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A3CF84B" w14:textId="77777777" w:rsidR="003F01C3" w:rsidRPr="003F01C3" w:rsidRDefault="003F01C3" w:rsidP="003F01C3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F01C3">
        <w:rPr>
          <w:rFonts w:ascii="Arial" w:hAnsi="Arial" w:cs="Arial"/>
          <w:bCs/>
          <w:color w:val="000000"/>
          <w:sz w:val="22"/>
          <w:szCs w:val="22"/>
        </w:rPr>
        <w:t>Devido à condição de dívida líquida negativa, o indicador Dívida Líquida / EBITDA não é apresentado nos períodos divulgados, uma vez que a métrica perde sentido econômico nessa situação.</w:t>
      </w:r>
    </w:p>
    <w:p w14:paraId="75B761AC" w14:textId="77777777" w:rsidR="006E6DE7" w:rsidRDefault="006E6DE7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70D51147" w14:textId="77777777" w:rsidR="003E6C2E" w:rsidRDefault="003E6C2E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076E286C" w14:textId="77777777" w:rsidR="003E6C2E" w:rsidRDefault="003E6C2E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42091954" w14:textId="77777777" w:rsidR="003E6C2E" w:rsidRDefault="003E6C2E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71B7240C" w14:textId="77777777" w:rsidR="003E6C2E" w:rsidRDefault="003E6C2E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79D3E0F5" w14:textId="77777777" w:rsidR="003E6C2E" w:rsidRDefault="003E6C2E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0E3D5E48" w14:textId="77777777" w:rsidR="003E6C2E" w:rsidRDefault="003E6C2E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0E62E8EE" w14:textId="77777777" w:rsidR="003E6C2E" w:rsidRDefault="003E6C2E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156EF81C" w14:textId="77777777" w:rsidR="003E6C2E" w:rsidRDefault="003E6C2E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3B37BE36" w14:textId="77777777" w:rsidR="003E6C2E" w:rsidRDefault="003E6C2E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73AA0AC5" w14:textId="77777777" w:rsidR="003E6C2E" w:rsidRDefault="003E6C2E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3A3EE7B4" w14:textId="1454C93C" w:rsidR="00E3436A" w:rsidRDefault="00E3436A" w:rsidP="005F1AF8">
      <w:pPr>
        <w:jc w:val="both"/>
        <w:rPr>
          <w:rFonts w:ascii="Arial" w:hAnsi="Arial" w:cs="Arial"/>
          <w:b/>
          <w:smallCaps/>
          <w:u w:val="single"/>
        </w:rPr>
      </w:pPr>
      <w:r w:rsidRPr="00EF72EC">
        <w:rPr>
          <w:rFonts w:ascii="Arial" w:hAnsi="Arial" w:cs="Arial"/>
          <w:b/>
          <w:smallCaps/>
          <w:u w:val="single"/>
        </w:rPr>
        <w:t>Comportamento dos Componentes da Dívida Líquida – R$ mil</w:t>
      </w:r>
    </w:p>
    <w:p w14:paraId="29ABA360" w14:textId="77777777" w:rsidR="00884349" w:rsidRDefault="00884349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51D869D4" w14:textId="77777777" w:rsidR="00980A59" w:rsidRDefault="00980A59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7BECDBB5" w14:textId="65F29B34" w:rsidR="00980A59" w:rsidRDefault="00980A59" w:rsidP="005F1AF8">
      <w:pPr>
        <w:jc w:val="both"/>
        <w:rPr>
          <w:rFonts w:ascii="Arial" w:hAnsi="Arial" w:cs="Arial"/>
          <w:b/>
          <w:smallCaps/>
          <w:u w:val="single"/>
        </w:rPr>
      </w:pPr>
      <w:r>
        <w:rPr>
          <w:noProof/>
        </w:rPr>
        <w:drawing>
          <wp:inline distT="0" distB="0" distL="0" distR="0" wp14:anchorId="27390BA2" wp14:editId="4B257B8D">
            <wp:extent cx="6659880" cy="2391410"/>
            <wp:effectExtent l="0" t="0" r="7620" b="8890"/>
            <wp:docPr id="106253962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3622F09" w14:textId="77777777" w:rsidR="00884349" w:rsidRDefault="00884349" w:rsidP="005F1AF8">
      <w:pPr>
        <w:jc w:val="both"/>
        <w:rPr>
          <w:rFonts w:ascii="Arial" w:hAnsi="Arial" w:cs="Arial"/>
          <w:b/>
          <w:smallCaps/>
          <w:u w:val="single"/>
        </w:rPr>
      </w:pPr>
    </w:p>
    <w:p w14:paraId="5798195A" w14:textId="60BC38B9" w:rsidR="00825FD5" w:rsidRDefault="00825FD5" w:rsidP="00825FD5">
      <w:pPr>
        <w:jc w:val="both"/>
        <w:rPr>
          <w:rFonts w:ascii="Arial" w:hAnsi="Arial" w:cs="Arial"/>
          <w:b/>
          <w:smallCaps/>
          <w:u w:val="single"/>
        </w:rPr>
      </w:pPr>
      <w:r w:rsidRPr="00EF72EC">
        <w:rPr>
          <w:rFonts w:ascii="Arial" w:hAnsi="Arial" w:cs="Arial"/>
          <w:b/>
          <w:smallCaps/>
          <w:u w:val="single"/>
        </w:rPr>
        <w:t>Cronograma de Amortização da Dívida – R$ mil</w:t>
      </w:r>
    </w:p>
    <w:p w14:paraId="3B0364E9" w14:textId="0E26D188" w:rsidR="0022682E" w:rsidRDefault="0022682E" w:rsidP="00825FD5">
      <w:pPr>
        <w:jc w:val="both"/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8"/>
        <w:gridCol w:w="1030"/>
        <w:gridCol w:w="1030"/>
        <w:gridCol w:w="1030"/>
        <w:gridCol w:w="1030"/>
        <w:gridCol w:w="1030"/>
        <w:gridCol w:w="1030"/>
        <w:gridCol w:w="1030"/>
      </w:tblGrid>
      <w:tr w:rsidR="00532F49" w14:paraId="533FE385" w14:textId="77777777" w:rsidTr="00532F49">
        <w:trPr>
          <w:trHeight w:val="232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166CA074" w14:textId="77777777" w:rsidR="00532F49" w:rsidRDefault="00532F49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Cronograma de Amortização da Dívida Bruta - Moeda Nacional - R$ Mil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60543A56" w14:textId="77777777" w:rsidR="00532F49" w:rsidRDefault="00532F4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1A4ED7ED" w14:textId="77777777" w:rsidR="00532F49" w:rsidRDefault="00532F4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5DBE5B0A" w14:textId="77777777" w:rsidR="00532F49" w:rsidRDefault="00532F4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6AB77475" w14:textId="77777777" w:rsidR="00532F49" w:rsidRDefault="00532F4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2029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1AFBA6F0" w14:textId="77777777" w:rsidR="00532F49" w:rsidRDefault="00532F4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2030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43401762" w14:textId="77777777" w:rsidR="00532F49" w:rsidRDefault="00532F4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2031 em diante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0CCDEE69" w14:textId="77777777" w:rsidR="00532F49" w:rsidRDefault="00532F4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532F49" w14:paraId="5B4B1E7B" w14:textId="77777777" w:rsidTr="00532F49">
        <w:trPr>
          <w:trHeight w:val="232"/>
        </w:trPr>
        <w:tc>
          <w:tcPr>
            <w:tcW w:w="1923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bottom"/>
            <w:hideMark/>
          </w:tcPr>
          <w:p w14:paraId="55085A0E" w14:textId="77777777" w:rsidR="00532F49" w:rsidRDefault="00532F49" w:rsidP="00532F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Arrendamento Mercantil Financeiro</w:t>
            </w:r>
          </w:p>
        </w:tc>
        <w:tc>
          <w:tcPr>
            <w:tcW w:w="44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bottom"/>
            <w:hideMark/>
          </w:tcPr>
          <w:p w14:paraId="3C73A4C7" w14:textId="77777777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5.093 </w:t>
            </w:r>
          </w:p>
        </w:tc>
        <w:tc>
          <w:tcPr>
            <w:tcW w:w="44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bottom"/>
            <w:hideMark/>
          </w:tcPr>
          <w:p w14:paraId="3B852A07" w14:textId="77777777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4.502 </w:t>
            </w:r>
          </w:p>
        </w:tc>
        <w:tc>
          <w:tcPr>
            <w:tcW w:w="44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bottom"/>
            <w:hideMark/>
          </w:tcPr>
          <w:p w14:paraId="7EAA302C" w14:textId="77777777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3.701 </w:t>
            </w:r>
          </w:p>
        </w:tc>
        <w:tc>
          <w:tcPr>
            <w:tcW w:w="44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bottom"/>
            <w:hideMark/>
          </w:tcPr>
          <w:p w14:paraId="6206FBD2" w14:textId="77777777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3.517 </w:t>
            </w:r>
          </w:p>
        </w:tc>
        <w:tc>
          <w:tcPr>
            <w:tcW w:w="44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bottom"/>
            <w:hideMark/>
          </w:tcPr>
          <w:p w14:paraId="40F7A099" w14:textId="77777777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3.018 </w:t>
            </w:r>
          </w:p>
        </w:tc>
        <w:tc>
          <w:tcPr>
            <w:tcW w:w="44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bottom"/>
            <w:hideMark/>
          </w:tcPr>
          <w:p w14:paraId="76D8EA57" w14:textId="77777777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48 </w:t>
            </w:r>
          </w:p>
        </w:tc>
        <w:tc>
          <w:tcPr>
            <w:tcW w:w="44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bottom"/>
            <w:hideMark/>
          </w:tcPr>
          <w:p w14:paraId="7AA306DC" w14:textId="77777777" w:rsidR="00532F49" w:rsidRDefault="00532F49" w:rsidP="00532F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19.879 </w:t>
            </w:r>
          </w:p>
        </w:tc>
      </w:tr>
    </w:tbl>
    <w:p w14:paraId="0508A3EC" w14:textId="77777777" w:rsidR="005A10EA" w:rsidRDefault="005A10EA" w:rsidP="00825FD5">
      <w:pPr>
        <w:jc w:val="both"/>
        <w:rPr>
          <w:rFonts w:ascii="Arial" w:hAnsi="Arial" w:cs="Arial"/>
          <w:b/>
          <w:smallCaps/>
          <w:u w:val="single"/>
        </w:rPr>
      </w:pPr>
    </w:p>
    <w:p w14:paraId="0F163275" w14:textId="77777777" w:rsidR="005A10EA" w:rsidRDefault="005A10EA" w:rsidP="00825FD5">
      <w:pPr>
        <w:jc w:val="both"/>
        <w:rPr>
          <w:rFonts w:ascii="Arial" w:hAnsi="Arial" w:cs="Arial"/>
          <w:b/>
          <w:smallCaps/>
          <w:u w:val="single"/>
        </w:rPr>
      </w:pPr>
    </w:p>
    <w:p w14:paraId="4226C00E" w14:textId="5462A8BB" w:rsidR="00AA400E" w:rsidRDefault="00716B4C" w:rsidP="00E64140">
      <w:pPr>
        <w:rPr>
          <w:rFonts w:ascii="Arial" w:hAnsi="Arial" w:cs="Arial"/>
          <w:b/>
          <w:smallCaps/>
          <w:u w:val="single"/>
        </w:rPr>
      </w:pPr>
      <w:r w:rsidRPr="001D5F28">
        <w:rPr>
          <w:rFonts w:ascii="Arial" w:hAnsi="Arial" w:cs="Arial"/>
          <w:b/>
          <w:smallCaps/>
          <w:u w:val="single"/>
        </w:rPr>
        <w:t>Movimentação dos Empréstimos</w:t>
      </w:r>
      <w:r w:rsidR="001F33E3" w:rsidRPr="001D5F28">
        <w:rPr>
          <w:rFonts w:ascii="Arial" w:hAnsi="Arial" w:cs="Arial"/>
          <w:b/>
          <w:smallCaps/>
          <w:u w:val="single"/>
        </w:rPr>
        <w:t xml:space="preserve"> e Financiamentos e Acordos de Dívidas</w:t>
      </w:r>
    </w:p>
    <w:p w14:paraId="474C5314" w14:textId="77777777" w:rsidR="00BC5A7E" w:rsidRDefault="00BC5A7E" w:rsidP="00E64140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9"/>
        <w:gridCol w:w="2085"/>
        <w:gridCol w:w="1894"/>
        <w:gridCol w:w="1370"/>
      </w:tblGrid>
      <w:tr w:rsidR="00532F49" w14:paraId="2B09AA40" w14:textId="77777777" w:rsidTr="00803A45">
        <w:trPr>
          <w:trHeight w:val="198"/>
        </w:trPr>
        <w:tc>
          <w:tcPr>
            <w:tcW w:w="24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65B6468D" w14:textId="77777777" w:rsidR="00532F49" w:rsidRDefault="00532F49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R$ mil</w:t>
            </w:r>
          </w:p>
        </w:tc>
        <w:tc>
          <w:tcPr>
            <w:tcW w:w="25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6FFFF"/>
            <w:noWrap/>
            <w:vAlign w:val="center"/>
            <w:hideMark/>
          </w:tcPr>
          <w:p w14:paraId="1CBD73A1" w14:textId="77777777" w:rsidR="00532F49" w:rsidRDefault="00532F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31/12/2025</w:t>
            </w:r>
          </w:p>
        </w:tc>
      </w:tr>
      <w:tr w:rsidR="00532F49" w14:paraId="7F6D2095" w14:textId="77777777" w:rsidTr="00803A45">
        <w:trPr>
          <w:trHeight w:val="198"/>
        </w:trPr>
        <w:tc>
          <w:tcPr>
            <w:tcW w:w="245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52D05" w14:textId="77777777" w:rsidR="00532F49" w:rsidRDefault="00532F49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092CF582" w14:textId="77777777" w:rsidR="00532F49" w:rsidRDefault="00532F4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Empréstimos e Financiamentos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1CD323CB" w14:textId="77777777" w:rsidR="00532F49" w:rsidRDefault="00532F4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Arrendamento Mercantil Financeiro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6B10D29F" w14:textId="77777777" w:rsidR="00532F49" w:rsidRDefault="00532F4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Acordos Judiciais</w:t>
            </w:r>
          </w:p>
        </w:tc>
      </w:tr>
      <w:tr w:rsidR="00532F49" w14:paraId="02CD3B58" w14:textId="77777777" w:rsidTr="00803A45">
        <w:trPr>
          <w:trHeight w:val="198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7FA07" w14:textId="47A9F3CA" w:rsidR="00532F49" w:rsidRDefault="00532F4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Saldos Iniciais em 31 de dezembro de 2024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FA8CC" w14:textId="69F12D39" w:rsidR="00532F49" w:rsidRDefault="00532F49" w:rsidP="00532F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46.210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742D" w14:textId="7059DE40" w:rsidR="00532F49" w:rsidRDefault="00532F49" w:rsidP="00532F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9.513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A290" w14:textId="7C32B3E7" w:rsidR="00532F49" w:rsidRDefault="00532F49" w:rsidP="00532F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118.882</w:t>
            </w:r>
          </w:p>
        </w:tc>
      </w:tr>
      <w:tr w:rsidR="00532F49" w14:paraId="0A08B08C" w14:textId="77777777" w:rsidTr="00803A45">
        <w:trPr>
          <w:trHeight w:val="198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47F5" w14:textId="77777777" w:rsidR="00532F49" w:rsidRDefault="00532F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Adições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74333" w14:textId="77777777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A0B1" w14:textId="0D73B4AB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16.545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83BC" w14:textId="77777777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2F49" w14:paraId="6AFAD32C" w14:textId="77777777" w:rsidTr="00803A45">
        <w:trPr>
          <w:trHeight w:val="198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997E5" w14:textId="77777777" w:rsidR="00532F49" w:rsidRDefault="00532F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Juros e Variação Monetária do Período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4E60A" w14:textId="2AE6B6ED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(209)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C9CD" w14:textId="7233EFFC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868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91D7" w14:textId="56872F5C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14.108</w:t>
            </w:r>
          </w:p>
        </w:tc>
      </w:tr>
      <w:tr w:rsidR="00532F49" w14:paraId="2BFC2B6E" w14:textId="77777777" w:rsidTr="00803A45">
        <w:trPr>
          <w:trHeight w:val="198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438BE" w14:textId="77777777" w:rsidR="00532F49" w:rsidRDefault="00532F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Juros Pagos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1B14E" w14:textId="00577890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(22</w:t>
            </w:r>
            <w:r w:rsidR="0036716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E6D5" w14:textId="3EC4AFDA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6FFD" w14:textId="1A9B16D7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(9.807)</w:t>
            </w:r>
          </w:p>
        </w:tc>
      </w:tr>
      <w:tr w:rsidR="00532F49" w14:paraId="7B322701" w14:textId="77777777" w:rsidTr="00803A45">
        <w:trPr>
          <w:trHeight w:val="198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AF1BB" w14:textId="77777777" w:rsidR="00532F49" w:rsidRDefault="00532F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Baixa para Resultado do Período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85373" w14:textId="77777777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2550" w14:textId="4AC7E503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(868)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534A" w14:textId="77777777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2F49" w14:paraId="04FBB899" w14:textId="77777777" w:rsidTr="00803A45">
        <w:trPr>
          <w:trHeight w:val="198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F4B7F" w14:textId="77777777" w:rsidR="00532F49" w:rsidRDefault="00532F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Amortizações de principal 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023F9" w14:textId="6CECBFE0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(45.77</w:t>
            </w:r>
            <w:r w:rsidR="0036716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E352" w14:textId="0CA1B889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(6.179)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8ECA" w14:textId="33311725" w:rsidR="00532F49" w:rsidRDefault="00532F49" w:rsidP="00532F4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(123.183)</w:t>
            </w:r>
          </w:p>
        </w:tc>
      </w:tr>
      <w:tr w:rsidR="00532F49" w14:paraId="33305991" w14:textId="77777777" w:rsidTr="00803A45">
        <w:trPr>
          <w:trHeight w:val="198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7E5778F" w14:textId="77777777" w:rsidR="00532F49" w:rsidRDefault="00532F49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Saldo em 31 de dezembro de 2025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492888B5" w14:textId="3FE0AEA7" w:rsidR="00532F49" w:rsidRDefault="00532F49" w:rsidP="00532F4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31166D7" w14:textId="7231FD30" w:rsidR="00532F49" w:rsidRDefault="00532F49" w:rsidP="00532F4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19.879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3DA30CD7" w14:textId="427F71B5" w:rsidR="00532F49" w:rsidRDefault="00532F49" w:rsidP="00532F49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-</w:t>
            </w:r>
          </w:p>
        </w:tc>
      </w:tr>
    </w:tbl>
    <w:p w14:paraId="7B689CB1" w14:textId="77777777" w:rsidR="00532F49" w:rsidRDefault="00532F49" w:rsidP="00E64140">
      <w:pPr>
        <w:rPr>
          <w:rFonts w:ascii="Arial" w:hAnsi="Arial" w:cs="Arial"/>
          <w:b/>
          <w:smallCaps/>
          <w:u w:val="single"/>
        </w:rPr>
      </w:pPr>
    </w:p>
    <w:p w14:paraId="18D4272D" w14:textId="77777777" w:rsidR="003E6C2E" w:rsidRDefault="003E6C2E" w:rsidP="00E64140">
      <w:pPr>
        <w:rPr>
          <w:rFonts w:ascii="Arial" w:hAnsi="Arial" w:cs="Arial"/>
          <w:b/>
          <w:smallCaps/>
          <w:u w:val="single"/>
        </w:rPr>
      </w:pPr>
    </w:p>
    <w:p w14:paraId="0E4026BB" w14:textId="77777777" w:rsidR="003E6C2E" w:rsidRDefault="003E6C2E" w:rsidP="00E64140">
      <w:pPr>
        <w:rPr>
          <w:rFonts w:ascii="Arial" w:hAnsi="Arial" w:cs="Arial"/>
          <w:b/>
          <w:smallCaps/>
          <w:u w:val="single"/>
        </w:rPr>
      </w:pPr>
    </w:p>
    <w:p w14:paraId="6B117595" w14:textId="77777777" w:rsidR="003E6C2E" w:rsidRDefault="003E6C2E" w:rsidP="00E64140">
      <w:pPr>
        <w:rPr>
          <w:rFonts w:ascii="Arial" w:hAnsi="Arial" w:cs="Arial"/>
          <w:b/>
          <w:smallCaps/>
          <w:u w:val="single"/>
        </w:rPr>
      </w:pPr>
    </w:p>
    <w:p w14:paraId="707ABDDE" w14:textId="77777777" w:rsidR="003E6C2E" w:rsidRDefault="003E6C2E" w:rsidP="00E64140">
      <w:pPr>
        <w:rPr>
          <w:rFonts w:ascii="Arial" w:hAnsi="Arial" w:cs="Arial"/>
          <w:b/>
          <w:smallCaps/>
          <w:u w:val="single"/>
        </w:rPr>
      </w:pPr>
    </w:p>
    <w:p w14:paraId="4843C9CE" w14:textId="77777777" w:rsidR="003E6C2E" w:rsidRDefault="003E6C2E" w:rsidP="00E64140">
      <w:pPr>
        <w:rPr>
          <w:rFonts w:ascii="Arial" w:hAnsi="Arial" w:cs="Arial"/>
          <w:b/>
          <w:smallCaps/>
          <w:u w:val="single"/>
        </w:rPr>
      </w:pPr>
    </w:p>
    <w:p w14:paraId="35BD159E" w14:textId="77777777" w:rsidR="003E6C2E" w:rsidRDefault="003E6C2E" w:rsidP="00E64140">
      <w:pPr>
        <w:rPr>
          <w:rFonts w:ascii="Arial" w:hAnsi="Arial" w:cs="Arial"/>
          <w:b/>
          <w:smallCaps/>
          <w:u w:val="single"/>
        </w:rPr>
      </w:pPr>
    </w:p>
    <w:p w14:paraId="56A0D1BF" w14:textId="77777777" w:rsidR="003E6C2E" w:rsidRDefault="003E6C2E" w:rsidP="00E64140">
      <w:pPr>
        <w:rPr>
          <w:rFonts w:ascii="Arial" w:hAnsi="Arial" w:cs="Arial"/>
          <w:b/>
          <w:smallCaps/>
          <w:u w:val="single"/>
        </w:rPr>
      </w:pPr>
    </w:p>
    <w:p w14:paraId="51BB6D91" w14:textId="77777777" w:rsidR="003E6C2E" w:rsidRDefault="003E6C2E" w:rsidP="00E64140">
      <w:pPr>
        <w:rPr>
          <w:rFonts w:ascii="Arial" w:hAnsi="Arial" w:cs="Arial"/>
          <w:b/>
          <w:smallCaps/>
          <w:u w:val="single"/>
        </w:rPr>
      </w:pPr>
    </w:p>
    <w:p w14:paraId="75FC81A0" w14:textId="77777777" w:rsidR="003E6C2E" w:rsidRDefault="003E6C2E" w:rsidP="00E64140">
      <w:pPr>
        <w:rPr>
          <w:rFonts w:ascii="Arial" w:hAnsi="Arial" w:cs="Arial"/>
          <w:b/>
          <w:smallCaps/>
          <w:u w:val="single"/>
        </w:rPr>
      </w:pPr>
    </w:p>
    <w:p w14:paraId="3EF7E7BC" w14:textId="77777777" w:rsidR="003E6C2E" w:rsidRDefault="003E6C2E" w:rsidP="00E64140">
      <w:pPr>
        <w:rPr>
          <w:rFonts w:ascii="Arial" w:hAnsi="Arial" w:cs="Arial"/>
          <w:b/>
          <w:smallCaps/>
          <w:u w:val="single"/>
        </w:rPr>
      </w:pPr>
    </w:p>
    <w:p w14:paraId="5BF900D2" w14:textId="77777777" w:rsidR="003E6C2E" w:rsidRDefault="003E6C2E" w:rsidP="00E64140">
      <w:pPr>
        <w:rPr>
          <w:rFonts w:ascii="Arial" w:hAnsi="Arial" w:cs="Arial"/>
          <w:b/>
          <w:smallCaps/>
          <w:u w:val="single"/>
        </w:rPr>
      </w:pPr>
    </w:p>
    <w:p w14:paraId="1C4571BA" w14:textId="77777777" w:rsidR="003E6C2E" w:rsidRDefault="003E6C2E" w:rsidP="00E64140">
      <w:pPr>
        <w:rPr>
          <w:rFonts w:ascii="Arial" w:hAnsi="Arial" w:cs="Arial"/>
          <w:b/>
          <w:smallCaps/>
          <w:u w:val="single"/>
        </w:rPr>
      </w:pPr>
    </w:p>
    <w:p w14:paraId="491A09C9" w14:textId="77777777" w:rsidR="003E6C2E" w:rsidRDefault="003E6C2E" w:rsidP="00E64140">
      <w:pPr>
        <w:rPr>
          <w:rFonts w:ascii="Arial" w:hAnsi="Arial" w:cs="Arial"/>
          <w:b/>
          <w:smallCaps/>
          <w:u w:val="single"/>
        </w:rPr>
      </w:pPr>
    </w:p>
    <w:p w14:paraId="2D544DC1" w14:textId="77777777" w:rsidR="003E6C2E" w:rsidRDefault="003E6C2E" w:rsidP="00E64140">
      <w:pPr>
        <w:rPr>
          <w:rFonts w:ascii="Arial" w:hAnsi="Arial" w:cs="Arial"/>
          <w:b/>
          <w:smallCaps/>
          <w:u w:val="single"/>
        </w:rPr>
      </w:pPr>
    </w:p>
    <w:p w14:paraId="4965B8AA" w14:textId="0E74C1D6" w:rsidR="00A11DCB" w:rsidRPr="009D1F56" w:rsidRDefault="00477446" w:rsidP="004D5EDC">
      <w:pPr>
        <w:rPr>
          <w:rFonts w:ascii="Arial" w:hAnsi="Arial" w:cs="Arial"/>
          <w:b/>
          <w:smallCaps/>
          <w:u w:val="single"/>
        </w:rPr>
      </w:pPr>
      <w:r w:rsidRPr="009D1F56">
        <w:rPr>
          <w:rFonts w:ascii="Arial" w:hAnsi="Arial" w:cs="Arial"/>
          <w:b/>
          <w:smallCaps/>
          <w:u w:val="single"/>
        </w:rPr>
        <w:t xml:space="preserve">Investimentos em Bens de Capital </w:t>
      </w:r>
      <w:r w:rsidR="00225A1C">
        <w:rPr>
          <w:rFonts w:ascii="Arial" w:hAnsi="Arial" w:cs="Arial"/>
          <w:b/>
          <w:smallCaps/>
          <w:u w:val="single"/>
        </w:rPr>
        <w:t>–</w:t>
      </w:r>
      <w:r w:rsidRPr="009D1F56">
        <w:rPr>
          <w:rFonts w:ascii="Arial" w:hAnsi="Arial" w:cs="Arial"/>
          <w:b/>
          <w:smallCaps/>
          <w:u w:val="single"/>
        </w:rPr>
        <w:t xml:space="preserve"> </w:t>
      </w:r>
      <w:r w:rsidR="009F3BF3" w:rsidRPr="009D1F56">
        <w:rPr>
          <w:rFonts w:ascii="Arial" w:hAnsi="Arial" w:cs="Arial"/>
          <w:b/>
          <w:smallCaps/>
          <w:u w:val="single"/>
        </w:rPr>
        <w:t>C</w:t>
      </w:r>
      <w:r w:rsidR="00381CC1">
        <w:rPr>
          <w:rFonts w:ascii="Arial" w:hAnsi="Arial" w:cs="Arial"/>
          <w:b/>
          <w:smallCaps/>
          <w:u w:val="single"/>
        </w:rPr>
        <w:t>APEX</w:t>
      </w:r>
      <w:r w:rsidR="00225A1C">
        <w:rPr>
          <w:rFonts w:ascii="Arial" w:hAnsi="Arial" w:cs="Arial"/>
          <w:b/>
          <w:smallCaps/>
          <w:u w:val="single"/>
        </w:rPr>
        <w:t xml:space="preserve"> – R$ Mil</w:t>
      </w:r>
    </w:p>
    <w:p w14:paraId="5E6A3FFA" w14:textId="3C52501A" w:rsidR="00FD30F4" w:rsidRPr="009D1F56" w:rsidRDefault="00FD30F4" w:rsidP="00834DD5">
      <w:pPr>
        <w:rPr>
          <w:rFonts w:ascii="Arial" w:hAnsi="Arial" w:cs="Arial"/>
          <w:b/>
          <w:smallCaps/>
        </w:rPr>
      </w:pPr>
    </w:p>
    <w:p w14:paraId="2D253B14" w14:textId="5F73230A" w:rsidR="009F3BF3" w:rsidRDefault="007A1D1A" w:rsidP="00834DD5">
      <w:pPr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5F1428BF" wp14:editId="4ECF35BD">
                <wp:simplePos x="0" y="0"/>
                <wp:positionH relativeFrom="column">
                  <wp:posOffset>3117215</wp:posOffset>
                </wp:positionH>
                <wp:positionV relativeFrom="paragraph">
                  <wp:posOffset>83820</wp:posOffset>
                </wp:positionV>
                <wp:extent cx="0" cy="2089150"/>
                <wp:effectExtent l="0" t="0" r="38100" b="25400"/>
                <wp:wrapNone/>
                <wp:docPr id="296689995" name="Conector re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91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5911F" id="Conector reto 24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45pt,6.6pt" to="245.45pt,1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" strokecolor="#4f81bd [3204]" strokeweight="1.5pt">
                <v:stroke dashstyle="dash"/>
              </v:line>
            </w:pict>
          </mc:Fallback>
        </mc:AlternateContent>
      </w:r>
      <w:r>
        <w:rPr>
          <w:rFonts w:ascii="Arial" w:hAnsi="Arial" w:cs="Arial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CA8126E" wp14:editId="13262F97">
                <wp:simplePos x="0" y="0"/>
                <wp:positionH relativeFrom="column">
                  <wp:posOffset>4355465</wp:posOffset>
                </wp:positionH>
                <wp:positionV relativeFrom="paragraph">
                  <wp:posOffset>83820</wp:posOffset>
                </wp:positionV>
                <wp:extent cx="768350" cy="342900"/>
                <wp:effectExtent l="0" t="0" r="12700" b="19050"/>
                <wp:wrapNone/>
                <wp:docPr id="252174434" name="E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97BEB" w14:textId="2D2FEB1B" w:rsidR="007A1D1A" w:rsidRPr="007A1D1A" w:rsidRDefault="007A1D1A" w:rsidP="007A1D1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A1D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 w:rsidRPr="007A1D1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55,0%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CA8126E" id="Elipse 22" o:spid="_x0000_s1029" style="position:absolute;margin-left:342.95pt;margin-top:6.6pt;width:60.5pt;height:27pt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" fillcolor="white [3201]" strokecolor="#4bacc6 [3208]" strokeweight="2pt">
                <v:textbox>
                  <w:txbxContent>
                    <w:p w14:paraId="0AC97BEB" w14:textId="2D2FEB1B" w:rsidR="007A1D1A" w:rsidRPr="007A1D1A" w:rsidRDefault="007A1D1A" w:rsidP="007A1D1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A1D1A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 w:rsidRPr="007A1D1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55,0%</w:t>
                      </w:r>
                    </w:p>
                  </w:txbxContent>
                </v:textbox>
              </v:oval>
            </w:pict>
          </mc:Fallback>
        </mc:AlternateContent>
      </w:r>
    </w:p>
    <w:p w14:paraId="00A5B9F4" w14:textId="46ED6215" w:rsidR="00767B4A" w:rsidRDefault="007A1D1A" w:rsidP="00834DD5">
      <w:pPr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4D6FEE7" wp14:editId="3BE7DF58">
                <wp:simplePos x="0" y="0"/>
                <wp:positionH relativeFrom="column">
                  <wp:posOffset>4838065</wp:posOffset>
                </wp:positionH>
                <wp:positionV relativeFrom="paragraph">
                  <wp:posOffset>492760</wp:posOffset>
                </wp:positionV>
                <wp:extent cx="711200" cy="342900"/>
                <wp:effectExtent l="0" t="0" r="12700" b="19050"/>
                <wp:wrapNone/>
                <wp:docPr id="1801318291" name="E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E8C54" w14:textId="3B9A8124" w:rsidR="007A1D1A" w:rsidRPr="007A1D1A" w:rsidRDefault="007A1D1A" w:rsidP="007A1D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A1D1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-6,1%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4D6FEE7" id="Elipse 23" o:spid="_x0000_s1030" style="position:absolute;margin-left:380.95pt;margin-top:38.8pt;width:56pt;height:27pt;z-index:25193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" fillcolor="white [3201]" strokecolor="#4bacc6 [3208]" strokeweight="2pt">
                <v:textbox>
                  <w:txbxContent>
                    <w:p w14:paraId="278E8C54" w14:textId="3B9A8124" w:rsidR="007A1D1A" w:rsidRPr="007A1D1A" w:rsidRDefault="007A1D1A" w:rsidP="007A1D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7A1D1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-6,1%</w:t>
                      </w:r>
                    </w:p>
                  </w:txbxContent>
                </v:textbox>
              </v:oval>
            </w:pict>
          </mc:Fallback>
        </mc:AlternateContent>
      </w:r>
      <w:r w:rsidR="006B67FF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1BB0527" wp14:editId="1E2C6995">
                <wp:simplePos x="0" y="0"/>
                <wp:positionH relativeFrom="column">
                  <wp:posOffset>4672965</wp:posOffset>
                </wp:positionH>
                <wp:positionV relativeFrom="paragraph">
                  <wp:posOffset>676910</wp:posOffset>
                </wp:positionV>
                <wp:extent cx="971550" cy="0"/>
                <wp:effectExtent l="0" t="0" r="0" b="0"/>
                <wp:wrapNone/>
                <wp:docPr id="2125200487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41B88" id="Conector reto 21" o:spid="_x0000_s1026" style="position:absolute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95pt,53.3pt" to="444.4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" strokecolor="#4bacc6 [3208]" strokeweight="1.5pt">
                <v:stroke dashstyle="dash"/>
              </v:line>
            </w:pict>
          </mc:Fallback>
        </mc:AlternateContent>
      </w:r>
      <w:r w:rsidR="006B67FF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6CCCAA0" wp14:editId="0452BB04">
                <wp:simplePos x="0" y="0"/>
                <wp:positionH relativeFrom="column">
                  <wp:posOffset>4673600</wp:posOffset>
                </wp:positionH>
                <wp:positionV relativeFrom="paragraph">
                  <wp:posOffset>661035</wp:posOffset>
                </wp:positionV>
                <wp:extent cx="0" cy="330200"/>
                <wp:effectExtent l="0" t="0" r="38100" b="12700"/>
                <wp:wrapNone/>
                <wp:docPr id="955495182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9623A" id="Conector reto 19" o:spid="_x0000_s1026" style="position:absolute;flip:y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pt,52.05pt" to="368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" strokecolor="#4bacc6 [3208]" strokeweight="1.5pt">
                <v:stroke dashstyle="dash"/>
              </v:line>
            </w:pict>
          </mc:Fallback>
        </mc:AlternateContent>
      </w:r>
      <w:r w:rsidR="006B67FF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BFEF0D0" wp14:editId="7C718ABB">
                <wp:simplePos x="0" y="0"/>
                <wp:positionH relativeFrom="column">
                  <wp:posOffset>1237615</wp:posOffset>
                </wp:positionH>
                <wp:positionV relativeFrom="paragraph">
                  <wp:posOffset>676910</wp:posOffset>
                </wp:positionV>
                <wp:extent cx="800100" cy="349250"/>
                <wp:effectExtent l="0" t="0" r="19050" b="12700"/>
                <wp:wrapNone/>
                <wp:docPr id="790415031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9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54484" w14:textId="0C73057F" w:rsidR="006B67FF" w:rsidRPr="006B67FF" w:rsidRDefault="006B67FF" w:rsidP="006B67F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+</w:t>
                            </w:r>
                            <w:r w:rsidRPr="006B67F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73,8%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FEF0D0" id="Elipse 18" o:spid="_x0000_s1031" style="position:absolute;margin-left:97.45pt;margin-top:53.3pt;width:63pt;height:27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" fillcolor="white [3201]" strokecolor="#4bacc6 [3208]" strokeweight="2pt">
                <v:textbox>
                  <w:txbxContent>
                    <w:p w14:paraId="36054484" w14:textId="0C73057F" w:rsidR="006B67FF" w:rsidRPr="006B67FF" w:rsidRDefault="006B67FF" w:rsidP="006B67F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+</w:t>
                      </w:r>
                      <w:r w:rsidRPr="006B67FF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73,8%</w:t>
                      </w:r>
                    </w:p>
                  </w:txbxContent>
                </v:textbox>
              </v:oval>
            </w:pict>
          </mc:Fallback>
        </mc:AlternateContent>
      </w:r>
      <w:r w:rsidR="006B67FF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3816459" wp14:editId="5BEB5BA4">
                <wp:simplePos x="0" y="0"/>
                <wp:positionH relativeFrom="column">
                  <wp:posOffset>5638165</wp:posOffset>
                </wp:positionH>
                <wp:positionV relativeFrom="paragraph">
                  <wp:posOffset>86360</wp:posOffset>
                </wp:positionV>
                <wp:extent cx="6350" cy="831850"/>
                <wp:effectExtent l="0" t="0" r="31750" b="25400"/>
                <wp:wrapNone/>
                <wp:docPr id="16422480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8318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02D0B" id="Conector reto 19" o:spid="_x0000_s1026" style="position:absolute;flip:x y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95pt,6.8pt" to="444.45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" strokecolor="#4bacc6 [3208]" strokeweight="1.5pt">
                <v:stroke dashstyle="dash"/>
              </v:line>
            </w:pict>
          </mc:Fallback>
        </mc:AlternateContent>
      </w:r>
      <w:r w:rsidR="006B67FF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FE0619A" wp14:editId="0AE22585">
                <wp:simplePos x="0" y="0"/>
                <wp:positionH relativeFrom="column">
                  <wp:posOffset>3669665</wp:posOffset>
                </wp:positionH>
                <wp:positionV relativeFrom="paragraph">
                  <wp:posOffset>99060</wp:posOffset>
                </wp:positionV>
                <wp:extent cx="1974850" cy="0"/>
                <wp:effectExtent l="0" t="0" r="0" b="0"/>
                <wp:wrapNone/>
                <wp:docPr id="1656599899" name="Conector re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1FC33" id="Conector reto 20" o:spid="_x0000_s1026" style="position:absolute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95pt,7.8pt" to="444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" strokecolor="#4bacc6 [3208]" strokeweight="1.5pt">
                <v:stroke dashstyle="dash"/>
              </v:line>
            </w:pict>
          </mc:Fallback>
        </mc:AlternateContent>
      </w:r>
      <w:r w:rsidR="006B67FF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0F622C6" wp14:editId="044D152D">
                <wp:simplePos x="0" y="0"/>
                <wp:positionH relativeFrom="column">
                  <wp:posOffset>3669665</wp:posOffset>
                </wp:positionH>
                <wp:positionV relativeFrom="paragraph">
                  <wp:posOffset>99060</wp:posOffset>
                </wp:positionV>
                <wp:extent cx="0" cy="330200"/>
                <wp:effectExtent l="0" t="0" r="38100" b="12700"/>
                <wp:wrapNone/>
                <wp:docPr id="1211361271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B9554" id="Conector reto 19" o:spid="_x0000_s1026" style="position:absolute;flip:y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95pt,7.8pt" to="288.9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" strokecolor="#4bacc6 [3208]" strokeweight="1.5pt">
                <v:stroke dashstyle="dash"/>
              </v:line>
            </w:pict>
          </mc:Fallback>
        </mc:AlternateContent>
      </w:r>
      <w:r w:rsidR="006B67FF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BB5A857" wp14:editId="3B517D01">
                <wp:simplePos x="0" y="0"/>
                <wp:positionH relativeFrom="column">
                  <wp:posOffset>2640965</wp:posOffset>
                </wp:positionH>
                <wp:positionV relativeFrom="paragraph">
                  <wp:posOffset>835660</wp:posOffset>
                </wp:positionV>
                <wp:extent cx="0" cy="546100"/>
                <wp:effectExtent l="0" t="0" r="38100" b="25400"/>
                <wp:wrapNone/>
                <wp:docPr id="231236588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141F8" id="Conector reto 17" o:spid="_x0000_s1026" style="position:absolute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95pt,65.8pt" to="207.95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" strokecolor="#4bacc6 [3208]" strokeweight="1.5pt">
                <v:stroke dashstyle="dash"/>
              </v:line>
            </w:pict>
          </mc:Fallback>
        </mc:AlternateContent>
      </w:r>
      <w:r w:rsidR="006B67FF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3077E89" wp14:editId="6740E3A5">
                <wp:simplePos x="0" y="0"/>
                <wp:positionH relativeFrom="column">
                  <wp:posOffset>640715</wp:posOffset>
                </wp:positionH>
                <wp:positionV relativeFrom="paragraph">
                  <wp:posOffset>835660</wp:posOffset>
                </wp:positionV>
                <wp:extent cx="2000250" cy="0"/>
                <wp:effectExtent l="0" t="0" r="0" b="0"/>
                <wp:wrapNone/>
                <wp:docPr id="1874105173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67A03" id="Conector reto 16" o:spid="_x0000_s1026" style="position:absolute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5pt,65.8pt" to="207.9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" strokecolor="#4bacc6 [3208]" strokeweight="1.5pt">
                <v:stroke dashstyle="dash"/>
              </v:line>
            </w:pict>
          </mc:Fallback>
        </mc:AlternateContent>
      </w:r>
      <w:r w:rsidR="006B67FF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5996B6B" wp14:editId="0F2EDF6D">
                <wp:simplePos x="0" y="0"/>
                <wp:positionH relativeFrom="column">
                  <wp:posOffset>640715</wp:posOffset>
                </wp:positionH>
                <wp:positionV relativeFrom="paragraph">
                  <wp:posOffset>835660</wp:posOffset>
                </wp:positionV>
                <wp:extent cx="0" cy="546100"/>
                <wp:effectExtent l="0" t="0" r="38100" b="25400"/>
                <wp:wrapNone/>
                <wp:docPr id="584053570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61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C916D" id="Conector reto 15" o:spid="_x0000_s1026" style="position:absolute;flip:y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5pt,65.8pt" to="50.45pt,1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" strokecolor="#4bacc6 [3208]" strokeweight="1.5pt">
                <v:stroke dashstyle="dash"/>
              </v:line>
            </w:pict>
          </mc:Fallback>
        </mc:AlternateContent>
      </w:r>
      <w:r w:rsidR="006B67FF">
        <w:rPr>
          <w:noProof/>
        </w:rPr>
        <w:drawing>
          <wp:inline distT="0" distB="0" distL="0" distR="0" wp14:anchorId="61D7CB69" wp14:editId="2C5C240C">
            <wp:extent cx="6311900" cy="2038350"/>
            <wp:effectExtent l="0" t="0" r="0" b="0"/>
            <wp:docPr id="16216590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3DAAA9C-3407-5075-2BAA-4B8756D9AF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18C8C97" w14:textId="77777777" w:rsidR="000F53C5" w:rsidRDefault="000F53C5" w:rsidP="00834DD5">
      <w:pPr>
        <w:rPr>
          <w:rFonts w:ascii="Arial" w:hAnsi="Arial" w:cs="Arial"/>
          <w:b/>
          <w:smallCaps/>
          <w:u w:val="single"/>
        </w:rPr>
      </w:pPr>
    </w:p>
    <w:p w14:paraId="457B23BB" w14:textId="1DCCE313" w:rsidR="005950AA" w:rsidRPr="005950AA" w:rsidRDefault="005950AA" w:rsidP="005950AA">
      <w:pPr>
        <w:jc w:val="both"/>
        <w:rPr>
          <w:rFonts w:ascii="Arial" w:hAnsi="Arial" w:cs="Arial"/>
          <w:noProof/>
        </w:rPr>
      </w:pPr>
      <w:r w:rsidRPr="005950AA">
        <w:rPr>
          <w:rFonts w:ascii="Arial" w:hAnsi="Arial" w:cs="Arial"/>
          <w:noProof/>
        </w:rPr>
        <w:t>No 4T25, a Telebras realizou investimentos de R$ 15,4 milhões, ante R$ 8,8 milhões no 4T24. Em relação ao 3T25, houve uma queda de 27,0%.</w:t>
      </w:r>
      <w:r>
        <w:rPr>
          <w:rFonts w:ascii="Arial" w:hAnsi="Arial" w:cs="Arial"/>
          <w:noProof/>
        </w:rPr>
        <w:t xml:space="preserve"> </w:t>
      </w:r>
      <w:r w:rsidRPr="005950AA">
        <w:rPr>
          <w:rFonts w:ascii="Arial" w:hAnsi="Arial" w:cs="Arial"/>
          <w:noProof/>
        </w:rPr>
        <w:t>No acumulado de 2025, foram investidos R$ 52,5 milhões, o que representa uma redução de 6,1% em comparação a 2024 e de 55,0% em relação a 2023.</w:t>
      </w:r>
      <w:r>
        <w:rPr>
          <w:rFonts w:ascii="Arial" w:hAnsi="Arial" w:cs="Arial"/>
          <w:noProof/>
        </w:rPr>
        <w:t xml:space="preserve"> </w:t>
      </w:r>
      <w:r w:rsidRPr="005950AA">
        <w:rPr>
          <w:rFonts w:ascii="Arial" w:hAnsi="Arial" w:cs="Arial"/>
          <w:noProof/>
        </w:rPr>
        <w:t>A retração observada decorre, principalmente, das restrições orçamentárias enfrentadas pela Empresa nos dois últimos exercícios.</w:t>
      </w:r>
      <w:r w:rsidR="00780E1D">
        <w:rPr>
          <w:rFonts w:ascii="Arial" w:hAnsi="Arial" w:cs="Arial"/>
          <w:noProof/>
        </w:rPr>
        <w:t xml:space="preserve"> </w:t>
      </w:r>
    </w:p>
    <w:p w14:paraId="08E8C6DB" w14:textId="4F796A79" w:rsidR="00AB57A4" w:rsidRPr="005950AA" w:rsidRDefault="00AB57A4" w:rsidP="00AF5494">
      <w:pPr>
        <w:jc w:val="both"/>
        <w:rPr>
          <w:rFonts w:ascii="Arial" w:hAnsi="Arial" w:cs="Arial"/>
          <w:smallCaps/>
          <w:u w:val="single"/>
        </w:rPr>
      </w:pPr>
    </w:p>
    <w:p w14:paraId="37664126" w14:textId="393C0CE8" w:rsidR="00914F77" w:rsidRDefault="00914F77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2BDB58AD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710A8650" w14:textId="77777777" w:rsidR="003E6C2E" w:rsidRDefault="003E6C2E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2865E767" w14:textId="77777777" w:rsidR="003E6C2E" w:rsidRDefault="003E6C2E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6EA4B47D" w14:textId="77777777" w:rsidR="003E6C2E" w:rsidRDefault="003E6C2E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6EDC44C7" w14:textId="77777777" w:rsidR="003E6C2E" w:rsidRDefault="003E6C2E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38A3B79C" w14:textId="77777777" w:rsidR="003E6C2E" w:rsidRDefault="003E6C2E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33CDFF54" w14:textId="77777777" w:rsidR="003E6C2E" w:rsidRDefault="003E6C2E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3B99AB82" w14:textId="77777777" w:rsidR="003E6C2E" w:rsidRDefault="003E6C2E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3CCF05C7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21479CA7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771E5036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29114C93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5A3D77B0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510050D1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0B8526CA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0CFEF9ED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5C645A3F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0A1DEA5D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06F538D7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6F8AAD8A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7AD0ED82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28E7EA42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3C923AE7" w14:textId="77777777" w:rsidR="00877606" w:rsidRDefault="00877606" w:rsidP="00AF5494">
      <w:pPr>
        <w:jc w:val="both"/>
        <w:rPr>
          <w:rFonts w:ascii="Arial" w:hAnsi="Arial" w:cs="Arial"/>
          <w:b/>
          <w:smallCaps/>
          <w:u w:val="single"/>
        </w:rPr>
      </w:pPr>
    </w:p>
    <w:p w14:paraId="32B60752" w14:textId="71F7BEA7" w:rsidR="006912C4" w:rsidRPr="00CB1979" w:rsidRDefault="00CB1979" w:rsidP="00AF5494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t>A</w:t>
      </w:r>
      <w:r w:rsidR="007936C6">
        <w:rPr>
          <w:rFonts w:ascii="Arial" w:hAnsi="Arial" w:cs="Arial"/>
          <w:b/>
          <w:smallCaps/>
          <w:u w:val="single"/>
        </w:rPr>
        <w:t>nexo</w:t>
      </w:r>
      <w:r w:rsidRPr="00CB1979">
        <w:rPr>
          <w:rFonts w:ascii="Arial" w:hAnsi="Arial" w:cs="Arial"/>
          <w:b/>
          <w:smallCaps/>
          <w:u w:val="single"/>
        </w:rPr>
        <w:t xml:space="preserve"> I</w:t>
      </w:r>
    </w:p>
    <w:p w14:paraId="391F0CDB" w14:textId="77777777" w:rsidR="007D0091" w:rsidRDefault="007D0091" w:rsidP="00AF5494">
      <w:pPr>
        <w:jc w:val="both"/>
        <w:rPr>
          <w:rFonts w:ascii="Arial" w:hAnsi="Arial" w:cs="Arial"/>
          <w:noProof/>
        </w:rPr>
      </w:pPr>
    </w:p>
    <w:p w14:paraId="4B9BED58" w14:textId="612A44C3" w:rsidR="00575FC8" w:rsidRDefault="009C19F2" w:rsidP="006A509D">
      <w:pPr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u w:val="single"/>
        </w:rPr>
        <w:t xml:space="preserve">Demonstração do Resultado do </w:t>
      </w:r>
      <w:r w:rsidR="008C3CF7">
        <w:rPr>
          <w:rFonts w:ascii="Arial" w:hAnsi="Arial" w:cs="Arial"/>
          <w:b/>
          <w:smallCaps/>
          <w:u w:val="single"/>
        </w:rPr>
        <w:t>Exercício</w:t>
      </w:r>
    </w:p>
    <w:p w14:paraId="02A8E00A" w14:textId="77777777" w:rsidR="00F806D9" w:rsidRDefault="00F806D9" w:rsidP="006A509D">
      <w:pPr>
        <w:rPr>
          <w:rFonts w:ascii="Arial" w:hAnsi="Arial" w:cs="Arial"/>
          <w:b/>
          <w:smallCaps/>
          <w:u w:val="single"/>
        </w:rPr>
      </w:pPr>
    </w:p>
    <w:p w14:paraId="6C5C4685" w14:textId="77777777" w:rsidR="00F806D9" w:rsidRDefault="00F806D9" w:rsidP="006A509D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2"/>
        <w:gridCol w:w="861"/>
        <w:gridCol w:w="985"/>
        <w:gridCol w:w="1003"/>
        <w:gridCol w:w="185"/>
        <w:gridCol w:w="1030"/>
        <w:gridCol w:w="1092"/>
      </w:tblGrid>
      <w:tr w:rsidR="008E2C79" w:rsidRPr="008E2C79" w14:paraId="054B24BC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1736" w14:textId="77777777" w:rsidR="008E2C79" w:rsidRPr="008E2C79" w:rsidRDefault="008E2C79">
            <w:pPr>
              <w:rPr>
                <w:sz w:val="16"/>
                <w:szCs w:val="16"/>
              </w:rPr>
            </w:pPr>
          </w:p>
        </w:tc>
        <w:tc>
          <w:tcPr>
            <w:tcW w:w="136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EA286A" w14:textId="77777777" w:rsidR="008E2C79" w:rsidRPr="008E2C79" w:rsidRDefault="008E2C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D5462" w14:textId="77777777" w:rsidR="008E2C79" w:rsidRPr="008E2C79" w:rsidRDefault="008E2C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B0055" w14:textId="77777777" w:rsidR="008E2C79" w:rsidRPr="008E2C79" w:rsidRDefault="008E2C79">
            <w:pPr>
              <w:rPr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8705A" w14:textId="77777777" w:rsidR="008E2C79" w:rsidRPr="008E2C79" w:rsidRDefault="008E2C79">
            <w:pPr>
              <w:rPr>
                <w:sz w:val="16"/>
                <w:szCs w:val="16"/>
              </w:rPr>
            </w:pPr>
          </w:p>
        </w:tc>
      </w:tr>
      <w:tr w:rsidR="008E2C79" w:rsidRPr="008E2C79" w14:paraId="34E2A300" w14:textId="77777777" w:rsidTr="008E2C79">
        <w:trPr>
          <w:trHeight w:val="40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F353" w14:textId="77777777" w:rsidR="008E2C79" w:rsidRPr="008E2C79" w:rsidRDefault="008E2C79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8562" w14:textId="77777777" w:rsidR="008E2C79" w:rsidRPr="008E2C79" w:rsidRDefault="008E2C79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A5FF" w14:textId="77777777" w:rsidR="008E2C79" w:rsidRPr="008E2C79" w:rsidRDefault="008E2C79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CD3F" w14:textId="77777777" w:rsidR="008E2C79" w:rsidRPr="008E2C79" w:rsidRDefault="008E2C79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F123" w14:textId="77777777" w:rsidR="008E2C79" w:rsidRPr="008E2C79" w:rsidRDefault="008E2C79">
            <w:pPr>
              <w:rPr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79F1" w14:textId="77777777" w:rsidR="008E2C79" w:rsidRPr="008E2C79" w:rsidRDefault="008E2C79">
            <w:pPr>
              <w:rPr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1586" w14:textId="77777777" w:rsidR="008E2C79" w:rsidRPr="008E2C79" w:rsidRDefault="008E2C79">
            <w:pPr>
              <w:rPr>
                <w:sz w:val="16"/>
                <w:szCs w:val="16"/>
              </w:rPr>
            </w:pPr>
          </w:p>
        </w:tc>
      </w:tr>
      <w:tr w:rsidR="008E2C79" w:rsidRPr="008E2C79" w14:paraId="60A1A53A" w14:textId="77777777" w:rsidTr="008E2C79">
        <w:trPr>
          <w:trHeight w:val="227"/>
        </w:trPr>
        <w:tc>
          <w:tcPr>
            <w:tcW w:w="2586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7594115C" w14:textId="77777777" w:rsidR="008E2C79" w:rsidRPr="008E2C79" w:rsidRDefault="008E2C79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R$ mil</w:t>
            </w:r>
          </w:p>
        </w:tc>
        <w:tc>
          <w:tcPr>
            <w:tcW w:w="454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4C6AF8DF" w14:textId="77777777" w:rsidR="008E2C79" w:rsidRPr="008E2C79" w:rsidRDefault="008E2C7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4T25</w:t>
            </w:r>
          </w:p>
        </w:tc>
        <w:tc>
          <w:tcPr>
            <w:tcW w:w="454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3EDA65FE" w14:textId="77777777" w:rsidR="008E2C79" w:rsidRPr="008E2C79" w:rsidRDefault="008E2C7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4T24</w:t>
            </w:r>
          </w:p>
        </w:tc>
        <w:tc>
          <w:tcPr>
            <w:tcW w:w="454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5B879917" w14:textId="77777777" w:rsidR="008E2C79" w:rsidRPr="008E2C79" w:rsidRDefault="008E2C7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3T25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vAlign w:val="center"/>
            <w:hideMark/>
          </w:tcPr>
          <w:p w14:paraId="7C08DCB2" w14:textId="77777777" w:rsidR="008E2C79" w:rsidRPr="008E2C79" w:rsidRDefault="008E2C7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482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7B079498" w14:textId="77777777" w:rsidR="008E2C79" w:rsidRPr="008E2C79" w:rsidRDefault="008E2C7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482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6CDC75D7" w14:textId="77777777" w:rsidR="008E2C79" w:rsidRPr="008E2C79" w:rsidRDefault="008E2C79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2024</w:t>
            </w:r>
          </w:p>
        </w:tc>
      </w:tr>
      <w:tr w:rsidR="008E2C79" w:rsidRPr="008E2C79" w14:paraId="794E39C8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344C801B" w14:textId="77777777" w:rsidR="008E2C79" w:rsidRPr="008E2C79" w:rsidRDefault="008E2C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>RECEITA OPERACIONAL BRUTA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75DB6412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176.271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7C9B05B0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144.897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62363A94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116.993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3387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192FB43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540.908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562234BE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462.391 </w:t>
            </w:r>
          </w:p>
        </w:tc>
      </w:tr>
      <w:tr w:rsidR="008E2C79" w:rsidRPr="008E2C79" w14:paraId="3D967FAF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BA8EA" w14:textId="77777777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Serviços de Comunicação Multimídia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5F5BEB34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color w:val="000000"/>
                <w:sz w:val="16"/>
                <w:szCs w:val="16"/>
              </w:rPr>
              <w:t xml:space="preserve"> 146.109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645B0DB1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114.886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3D68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90.704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8D29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74A51138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432.484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7B70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355.951 </w:t>
            </w:r>
          </w:p>
        </w:tc>
      </w:tr>
      <w:tr w:rsidR="008E2C79" w:rsidRPr="008E2C79" w14:paraId="20866A15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D2A20" w14:textId="77777777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Locação de Capacidade Satelital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7B35E763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9.120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5DFAB208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9.120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BA7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9.120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4898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217CBA60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36.480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6AF78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36.481 </w:t>
            </w:r>
          </w:p>
        </w:tc>
      </w:tr>
      <w:tr w:rsidR="008E2C79" w:rsidRPr="008E2C79" w14:paraId="23FC15E6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07926" w14:textId="4B19089A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70834" w:rsidRPr="008E2C79">
              <w:rPr>
                <w:rFonts w:ascii="Arial" w:hAnsi="Arial" w:cs="Arial"/>
                <w:sz w:val="16"/>
                <w:szCs w:val="16"/>
              </w:rPr>
              <w:t>Aluguéis</w:t>
            </w:r>
            <w:r w:rsidRPr="008E2C79">
              <w:rPr>
                <w:rFonts w:ascii="Arial" w:hAnsi="Arial" w:cs="Arial"/>
                <w:sz w:val="16"/>
                <w:szCs w:val="16"/>
              </w:rPr>
              <w:t xml:space="preserve"> e Locações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A54989F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7.734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0A6FE23C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6.831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BC71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7.184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E7B6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5740EE7C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28.382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E752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26.918 </w:t>
            </w:r>
          </w:p>
        </w:tc>
      </w:tr>
      <w:tr w:rsidR="008E2C79" w:rsidRPr="008E2C79" w14:paraId="0C13E212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0DB9E" w14:textId="77777777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Receita de Valor Adicionado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055605AF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8.732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5024B06A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5.226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A1EF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6.931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15FC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03D514F4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26.411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9528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20.029 </w:t>
            </w:r>
          </w:p>
        </w:tc>
      </w:tr>
      <w:tr w:rsidR="008E2C79" w:rsidRPr="008E2C79" w14:paraId="007F4A1D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48B67" w14:textId="77777777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Compartilhamento de Receita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01F4D779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2.832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28FAE38C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3.126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3A3E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1.923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38D6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5A943B30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10.421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8B4A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13.633 </w:t>
            </w:r>
          </w:p>
        </w:tc>
      </w:tr>
      <w:tr w:rsidR="008E2C79" w:rsidRPr="008E2C79" w14:paraId="5D11B437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ADECD" w14:textId="77777777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Outras Receitas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09523505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1.744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31C8B7E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5.708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DCA4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1.131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8A74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19B98AF0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 6.730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EA55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 9.379 </w:t>
            </w:r>
          </w:p>
        </w:tc>
      </w:tr>
      <w:tr w:rsidR="008E2C79" w:rsidRPr="008E2C79" w14:paraId="323BD9CB" w14:textId="77777777" w:rsidTr="008E2C79">
        <w:trPr>
          <w:trHeight w:val="227"/>
        </w:trPr>
        <w:tc>
          <w:tcPr>
            <w:tcW w:w="2586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0B3B8D35" w14:textId="37F7DA8B" w:rsidR="008E2C79" w:rsidRPr="008E2C79" w:rsidRDefault="008E2C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DEDUÇÕES DA RECEITA </w:t>
            </w:r>
            <w:r w:rsidR="00270834" w:rsidRPr="008E2C79">
              <w:rPr>
                <w:rFonts w:ascii="Arial" w:hAnsi="Arial" w:cs="Arial"/>
                <w:b/>
                <w:bCs/>
                <w:sz w:val="16"/>
                <w:szCs w:val="16"/>
              </w:rPr>
              <w:t>OPERACIONAL BRUTA</w:t>
            </w: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06A4DAF6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(15.716)</w:t>
            </w:r>
          </w:p>
        </w:tc>
        <w:tc>
          <w:tcPr>
            <w:tcW w:w="454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7D70C563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(13.347)</w:t>
            </w:r>
          </w:p>
        </w:tc>
        <w:tc>
          <w:tcPr>
            <w:tcW w:w="454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6A5165BE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(10.853)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10C0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09C470B7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(49.899)</w:t>
            </w:r>
          </w:p>
        </w:tc>
        <w:tc>
          <w:tcPr>
            <w:tcW w:w="482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5024E396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(48.076)</w:t>
            </w:r>
          </w:p>
        </w:tc>
      </w:tr>
      <w:tr w:rsidR="008E2C79" w:rsidRPr="008E2C79" w14:paraId="596C733B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3D1F1497" w14:textId="77777777" w:rsidR="008E2C79" w:rsidRPr="008E2C79" w:rsidRDefault="008E2C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RECEITA OPERACIONAL LÍQUIDA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6C65C882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160.555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17CA1366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131.550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3E56E062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106.140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EF83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40F33B3F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491.009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4E34C4B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414.315 </w:t>
            </w:r>
          </w:p>
        </w:tc>
      </w:tr>
      <w:tr w:rsidR="008E2C79" w:rsidRPr="008E2C79" w14:paraId="24800D97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308D7FD7" w14:textId="77777777" w:rsidR="008E2C79" w:rsidRPr="008E2C79" w:rsidRDefault="008E2C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RECEITAS/(CUSTOS/DESPESAS) OPERACIONAIS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3F6E3A0A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184.367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02B570CC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103.000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05B4E973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(50.005)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A21F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4A94325A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19.795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325C92FF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(125.775)</w:t>
            </w:r>
          </w:p>
        </w:tc>
      </w:tr>
      <w:tr w:rsidR="008E2C79" w:rsidRPr="008E2C79" w14:paraId="0684B006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223C" w14:textId="77777777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Meios de Conexão e Transmissão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1DAC4379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color w:val="000000"/>
                <w:sz w:val="16"/>
                <w:szCs w:val="16"/>
              </w:rPr>
              <w:t xml:space="preserve">  (57.454)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74A52D1B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(32.074)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4ED4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(39.414)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1C1F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194C838B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(170.423)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1A67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(135.121)</w:t>
            </w:r>
          </w:p>
        </w:tc>
      </w:tr>
      <w:tr w:rsidR="008E2C79" w:rsidRPr="008E2C79" w14:paraId="570A7321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780D" w14:textId="77777777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Serviços de Terceiros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55474218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color w:val="000000"/>
                <w:sz w:val="16"/>
                <w:szCs w:val="16"/>
              </w:rPr>
              <w:t xml:space="preserve">  (36.583)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29BF757A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(44.153)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8C3C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(40.050)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9523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6A105A85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(153.128)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956F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(173.875)</w:t>
            </w:r>
          </w:p>
        </w:tc>
      </w:tr>
      <w:tr w:rsidR="008E2C79" w:rsidRPr="008E2C79" w14:paraId="7CFA4E9F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F8E7B" w14:textId="77777777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Pessoal (Exclui PISP)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6F39E830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color w:val="000000"/>
                <w:sz w:val="16"/>
                <w:szCs w:val="16"/>
              </w:rPr>
              <w:t xml:space="preserve">  (32.547)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1B8D5BAC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(28.530)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8E0F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(29.536)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8E3F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202DD497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(119.390)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6632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(111.058)</w:t>
            </w:r>
          </w:p>
        </w:tc>
      </w:tr>
      <w:tr w:rsidR="008E2C79" w:rsidRPr="008E2C79" w14:paraId="471A2097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2E63" w14:textId="085484D3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70834" w:rsidRPr="008E2C79">
              <w:rPr>
                <w:rFonts w:ascii="Arial" w:hAnsi="Arial" w:cs="Arial"/>
                <w:sz w:val="16"/>
                <w:szCs w:val="16"/>
              </w:rPr>
              <w:t>Aluguéis</w:t>
            </w:r>
            <w:r w:rsidRPr="008E2C79">
              <w:rPr>
                <w:rFonts w:ascii="Arial" w:hAnsi="Arial" w:cs="Arial"/>
                <w:sz w:val="16"/>
                <w:szCs w:val="16"/>
              </w:rPr>
              <w:t xml:space="preserve"> e Locações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0DAB52E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color w:val="000000"/>
                <w:sz w:val="16"/>
                <w:szCs w:val="16"/>
              </w:rPr>
              <w:t xml:space="preserve">  (21.764)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0099021A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(16.119)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552C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(11.751)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3587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29A45865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(62.049)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DC7B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(50.467)</w:t>
            </w:r>
          </w:p>
        </w:tc>
      </w:tr>
      <w:tr w:rsidR="008E2C79" w:rsidRPr="008E2C79" w14:paraId="6DE8F658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2CC0" w14:textId="77777777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Tributos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3AFEB12B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(1.845)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57DF9C48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(1.591)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51F2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(1.270)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77F2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161D6040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(6.256)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28EF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(5.372)</w:t>
            </w:r>
          </w:p>
        </w:tc>
      </w:tr>
      <w:tr w:rsidR="008E2C79" w:rsidRPr="008E2C79" w14:paraId="596D52A9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7D8A" w14:textId="77777777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Compartilhamento de Infraestrutura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7BFEA3B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(952)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08899DC6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  (504)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5B38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  (951)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4637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6D1081C5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(3.877)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61F2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(3.803)</w:t>
            </w:r>
          </w:p>
        </w:tc>
      </w:tr>
      <w:tr w:rsidR="008E2C79" w:rsidRPr="008E2C79" w14:paraId="18980DD8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8FDC0" w14:textId="77777777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Perda Estimada com Crédito de Liquidação Duvidosa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3DFB9F38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(1.415)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7917F378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  (930)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316A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  (831)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87BD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46C48448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(2.807)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A46E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(2.752)</w:t>
            </w:r>
          </w:p>
        </w:tc>
      </w:tr>
      <w:tr w:rsidR="008E2C79" w:rsidRPr="008E2C79" w14:paraId="39BC5EE9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7D0F1" w14:textId="77777777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Programa de Indenização por Serviços Prestados (PISP)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6FF76D3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(848)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0226A624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  (191)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52A0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   324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E89A9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0463F875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(1.733)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4EB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   (411)</w:t>
            </w:r>
          </w:p>
        </w:tc>
      </w:tr>
      <w:tr w:rsidR="008E2C79" w:rsidRPr="008E2C79" w14:paraId="75D674F4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D79B" w14:textId="77777777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Material 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18090950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(7)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2DB6F7CA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     (7)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BCEC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   (52)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A0F3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66433D60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    (76)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876F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   (809)</w:t>
            </w:r>
          </w:p>
        </w:tc>
      </w:tr>
      <w:tr w:rsidR="008E2C79" w:rsidRPr="008E2C79" w14:paraId="7DCE2552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A75B" w14:textId="77777777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Equivalência Patrimonial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3A8E2B7F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1.404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7B276E04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   409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8936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     23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BCE6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5E5BAD0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    369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C255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(1.013)</w:t>
            </w:r>
          </w:p>
        </w:tc>
      </w:tr>
      <w:tr w:rsidR="008E2C79" w:rsidRPr="008E2C79" w14:paraId="3FB57C8C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B119" w14:textId="77777777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Outras Despesas Operacionais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nil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45E90517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color w:val="000000"/>
                <w:sz w:val="16"/>
                <w:szCs w:val="16"/>
              </w:rPr>
              <w:t xml:space="preserve">  (10.084)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17752A9C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(1.917)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61B1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(5.001)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6D90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00D7F1E0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(23.886)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D991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(14.792)</w:t>
            </w:r>
          </w:p>
        </w:tc>
      </w:tr>
      <w:tr w:rsidR="008E2C79" w:rsidRPr="008E2C79" w14:paraId="4DB33DC6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E964" w14:textId="77777777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Outras Receitas Operacionais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034175B4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color w:val="000000"/>
                <w:sz w:val="16"/>
                <w:szCs w:val="16"/>
              </w:rPr>
              <w:t xml:space="preserve"> 346.462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014D1BB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228.607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062DCEA0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78.504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73A3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43CCFEA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563.051 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30353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373.698 </w:t>
            </w:r>
          </w:p>
        </w:tc>
      </w:tr>
      <w:tr w:rsidR="008E2C79" w:rsidRPr="008E2C79" w14:paraId="1C20BBDB" w14:textId="77777777" w:rsidTr="008E2C79">
        <w:trPr>
          <w:trHeight w:val="227"/>
        </w:trPr>
        <w:tc>
          <w:tcPr>
            <w:tcW w:w="2586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7055BEBA" w14:textId="77777777" w:rsidR="008E2C79" w:rsidRPr="008E2C79" w:rsidRDefault="008E2C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EBITDA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482D1B2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344.922 </w:t>
            </w:r>
          </w:p>
        </w:tc>
        <w:tc>
          <w:tcPr>
            <w:tcW w:w="454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49B35156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234.550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7F442881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56.135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DC04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584F68BB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510.804 </w:t>
            </w:r>
          </w:p>
        </w:tc>
        <w:tc>
          <w:tcPr>
            <w:tcW w:w="482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7971C1B2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288.540 </w:t>
            </w:r>
          </w:p>
        </w:tc>
      </w:tr>
      <w:tr w:rsidR="008E2C79" w:rsidRPr="008E2C79" w14:paraId="7B9596E2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2ED39381" w14:textId="77777777" w:rsidR="008E2C79" w:rsidRPr="008E2C79" w:rsidRDefault="008E2C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Margem EBITDA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05CE98A1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214,8%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61C20704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178,30%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6B941CEF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52,89%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0006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6F38C21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104,03%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6F7BCDD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69,64%</w:t>
            </w:r>
          </w:p>
        </w:tc>
      </w:tr>
      <w:tr w:rsidR="008E2C79" w:rsidRPr="008E2C79" w14:paraId="2FA2C0BC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6931" w14:textId="77777777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Depreciação e Amortização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543257D6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color w:val="000000"/>
                <w:sz w:val="16"/>
                <w:szCs w:val="16"/>
              </w:rPr>
              <w:t xml:space="preserve">  (64.696)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2A60A12F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(69.454)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581445E4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(69.063)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100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0ED67C7F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(274.104)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C956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(270.044)</w:t>
            </w:r>
          </w:p>
        </w:tc>
      </w:tr>
      <w:tr w:rsidR="008E2C79" w:rsidRPr="008E2C79" w14:paraId="04ED636D" w14:textId="77777777" w:rsidTr="008E2C79">
        <w:trPr>
          <w:trHeight w:val="227"/>
        </w:trPr>
        <w:tc>
          <w:tcPr>
            <w:tcW w:w="2586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11C8B3A2" w14:textId="77777777" w:rsidR="008E2C79" w:rsidRPr="008E2C79" w:rsidRDefault="008E2C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EBIT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5B9FFE54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280.226 </w:t>
            </w:r>
          </w:p>
        </w:tc>
        <w:tc>
          <w:tcPr>
            <w:tcW w:w="454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23ECCA5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165.096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4E1C1033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(12.928)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5A22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79DC8983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236.700 </w:t>
            </w:r>
          </w:p>
        </w:tc>
        <w:tc>
          <w:tcPr>
            <w:tcW w:w="482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1C946B84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18.496 </w:t>
            </w:r>
          </w:p>
        </w:tc>
      </w:tr>
      <w:tr w:rsidR="008E2C79" w:rsidRPr="008E2C79" w14:paraId="79672B57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F01E" w14:textId="77777777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Resultado Financeiro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3F07661F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color w:val="000000"/>
                <w:sz w:val="16"/>
                <w:szCs w:val="16"/>
              </w:rPr>
              <w:t xml:space="preserve">  (14.833)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19E58815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(25.971)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58C9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(12.682)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D19E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555A4F86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(54.264)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9935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(85.068)</w:t>
            </w:r>
          </w:p>
        </w:tc>
      </w:tr>
      <w:tr w:rsidR="008E2C79" w:rsidRPr="008E2C79" w14:paraId="482C1929" w14:textId="77777777" w:rsidTr="008E2C79">
        <w:trPr>
          <w:trHeight w:val="227"/>
        </w:trPr>
        <w:tc>
          <w:tcPr>
            <w:tcW w:w="2586" w:type="pct"/>
            <w:tcBorders>
              <w:top w:val="single" w:sz="4" w:space="0" w:color="3616F6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A571" w14:textId="77777777" w:rsidR="008E2C79" w:rsidRPr="008E2C79" w:rsidRDefault="008E2C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RESULTADO ANTES DAS DEDUÇÕES/PARTICIPAÇÕES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623584D7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265.393 </w:t>
            </w:r>
          </w:p>
        </w:tc>
        <w:tc>
          <w:tcPr>
            <w:tcW w:w="454" w:type="pct"/>
            <w:tcBorders>
              <w:top w:val="single" w:sz="4" w:space="0" w:color="3616F6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3A360D10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139.125 </w:t>
            </w:r>
          </w:p>
        </w:tc>
        <w:tc>
          <w:tcPr>
            <w:tcW w:w="454" w:type="pct"/>
            <w:tcBorders>
              <w:top w:val="single" w:sz="4" w:space="0" w:color="3616F6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FA4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(25.610)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2D80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3616F6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25A82C97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182.436 </w:t>
            </w:r>
          </w:p>
        </w:tc>
        <w:tc>
          <w:tcPr>
            <w:tcW w:w="482" w:type="pct"/>
            <w:tcBorders>
              <w:top w:val="single" w:sz="4" w:space="0" w:color="3616F6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7353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(66.572)</w:t>
            </w:r>
          </w:p>
        </w:tc>
      </w:tr>
      <w:tr w:rsidR="008E2C79" w:rsidRPr="008E2C79" w14:paraId="09F39C22" w14:textId="77777777" w:rsidTr="008E2C79">
        <w:trPr>
          <w:trHeight w:val="227"/>
        </w:trPr>
        <w:tc>
          <w:tcPr>
            <w:tcW w:w="2586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5ECE03D9" w14:textId="77777777" w:rsidR="008E2C79" w:rsidRPr="008E2C79" w:rsidRDefault="008E2C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DEDUÇÕES DO RESULTADO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0768063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(41.932)</w:t>
            </w:r>
          </w:p>
        </w:tc>
        <w:tc>
          <w:tcPr>
            <w:tcW w:w="454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7D2826A9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-   </w:t>
            </w:r>
          </w:p>
        </w:tc>
        <w:tc>
          <w:tcPr>
            <w:tcW w:w="454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0860134A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-  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B4F4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29BAE1E3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(41.932)</w:t>
            </w:r>
          </w:p>
        </w:tc>
        <w:tc>
          <w:tcPr>
            <w:tcW w:w="482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017894D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-   </w:t>
            </w:r>
          </w:p>
        </w:tc>
      </w:tr>
      <w:tr w:rsidR="008E2C79" w:rsidRPr="008E2C79" w14:paraId="50B14575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8085" w14:textId="52EB4E67" w:rsidR="008E2C79" w:rsidRPr="008E2C79" w:rsidRDefault="008E2C79">
            <w:pPr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I</w:t>
            </w:r>
            <w:r w:rsidR="00AA22BF">
              <w:rPr>
                <w:rFonts w:ascii="Arial" w:hAnsi="Arial" w:cs="Arial"/>
                <w:sz w:val="16"/>
                <w:szCs w:val="16"/>
              </w:rPr>
              <w:t>mposto de Renda e Contribuição Social sobre o Lucro Líquido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4844E30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(41.932)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02B85DC2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     -  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988A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     -   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E7C3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3616F6"/>
            </w:tcBorders>
            <w:noWrap/>
            <w:vAlign w:val="bottom"/>
            <w:hideMark/>
          </w:tcPr>
          <w:p w14:paraId="5648F789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(41.932)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187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C79">
              <w:rPr>
                <w:rFonts w:ascii="Arial" w:hAnsi="Arial" w:cs="Arial"/>
                <w:sz w:val="16"/>
                <w:szCs w:val="16"/>
              </w:rPr>
              <w:t xml:space="preserve">           -   </w:t>
            </w:r>
          </w:p>
        </w:tc>
      </w:tr>
      <w:tr w:rsidR="008E2C79" w:rsidRPr="008E2C79" w14:paraId="58C9D27B" w14:textId="77777777" w:rsidTr="008E2C79">
        <w:trPr>
          <w:trHeight w:val="227"/>
        </w:trPr>
        <w:tc>
          <w:tcPr>
            <w:tcW w:w="2586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3BC26F5F" w14:textId="77777777" w:rsidR="008E2C79" w:rsidRPr="008E2C79" w:rsidRDefault="008E2C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>LUCRO/(PREJUÍZO) LÍQUIDO DO EXERCÍCIO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2D376F7F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223.461 </w:t>
            </w:r>
          </w:p>
        </w:tc>
        <w:tc>
          <w:tcPr>
            <w:tcW w:w="454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42BD28C3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139.125 </w:t>
            </w:r>
          </w:p>
        </w:tc>
        <w:tc>
          <w:tcPr>
            <w:tcW w:w="454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6DD1A192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(25.610)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4AF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3616F6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3DB98395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140.504 </w:t>
            </w:r>
          </w:p>
        </w:tc>
        <w:tc>
          <w:tcPr>
            <w:tcW w:w="482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10F9C366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(66.572)</w:t>
            </w:r>
          </w:p>
        </w:tc>
      </w:tr>
      <w:tr w:rsidR="008E2C79" w:rsidRPr="008E2C79" w14:paraId="14E800B1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519C9BE3" w14:textId="77777777" w:rsidR="008E2C79" w:rsidRPr="008E2C79" w:rsidRDefault="008E2C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Margem Líquida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00154031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139,2%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4A4C3A6B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105,76%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6969F190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-24,13%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0EDC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5FF7D6D3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28,62%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41F952B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-16,07%</w:t>
            </w:r>
          </w:p>
        </w:tc>
      </w:tr>
      <w:tr w:rsidR="008E2C79" w:rsidRPr="008E2C79" w14:paraId="6FC2DF6D" w14:textId="77777777" w:rsidTr="008E2C79">
        <w:trPr>
          <w:trHeight w:val="227"/>
        </w:trPr>
        <w:tc>
          <w:tcPr>
            <w:tcW w:w="2586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236F4C96" w14:textId="77777777" w:rsidR="008E2C79" w:rsidRPr="008E2C79" w:rsidRDefault="008E2C7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Lucro/(Prejuízo) por Ação (R$)</w:t>
            </w:r>
          </w:p>
        </w:tc>
        <w:tc>
          <w:tcPr>
            <w:tcW w:w="454" w:type="pct"/>
            <w:tcBorders>
              <w:top w:val="nil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66FFFF"/>
            <w:vAlign w:val="center"/>
            <w:hideMark/>
          </w:tcPr>
          <w:p w14:paraId="7FD9D880" w14:textId="49259334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2,4266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6353A7AD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   1,6106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1B547762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 (0,2862)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B4C9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3616F6"/>
              <w:right w:val="single" w:sz="4" w:space="0" w:color="3616F6"/>
            </w:tcBorders>
            <w:noWrap/>
            <w:vAlign w:val="bottom"/>
            <w:hideMark/>
          </w:tcPr>
          <w:p w14:paraId="22482FC1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    1,5258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bottom"/>
            <w:hideMark/>
          </w:tcPr>
          <w:p w14:paraId="465CC373" w14:textId="77777777" w:rsidR="008E2C79" w:rsidRPr="008E2C79" w:rsidRDefault="008E2C79" w:rsidP="008E2C79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C7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   (0,7707)</w:t>
            </w:r>
          </w:p>
        </w:tc>
      </w:tr>
    </w:tbl>
    <w:p w14:paraId="6CD10A4F" w14:textId="77777777" w:rsidR="00AC54CC" w:rsidRDefault="00AC54CC" w:rsidP="006A509D">
      <w:pPr>
        <w:rPr>
          <w:rFonts w:ascii="Arial" w:hAnsi="Arial" w:cs="Arial"/>
          <w:b/>
          <w:smallCaps/>
          <w:u w:val="single"/>
        </w:rPr>
      </w:pPr>
    </w:p>
    <w:p w14:paraId="5C5DE737" w14:textId="77777777" w:rsidR="008E2C79" w:rsidRDefault="008E2C79" w:rsidP="006A509D">
      <w:pPr>
        <w:rPr>
          <w:rFonts w:ascii="Arial" w:hAnsi="Arial" w:cs="Arial"/>
          <w:b/>
          <w:smallCaps/>
          <w:u w:val="single"/>
        </w:rPr>
      </w:pPr>
    </w:p>
    <w:p w14:paraId="5A150EC6" w14:textId="77777777" w:rsidR="00AC54CC" w:rsidRDefault="00AC54CC" w:rsidP="006A509D">
      <w:pPr>
        <w:rPr>
          <w:rFonts w:ascii="Arial" w:hAnsi="Arial" w:cs="Arial"/>
          <w:b/>
          <w:smallCaps/>
          <w:u w:val="single"/>
        </w:rPr>
      </w:pPr>
    </w:p>
    <w:p w14:paraId="044F22AD" w14:textId="77777777" w:rsidR="00AC54CC" w:rsidRDefault="00AC54CC" w:rsidP="006A509D">
      <w:pPr>
        <w:rPr>
          <w:rFonts w:ascii="Arial" w:hAnsi="Arial" w:cs="Arial"/>
          <w:b/>
          <w:smallCaps/>
          <w:u w:val="single"/>
        </w:rPr>
      </w:pPr>
    </w:p>
    <w:p w14:paraId="16DC871B" w14:textId="77777777" w:rsidR="003E6C2E" w:rsidRDefault="003E6C2E" w:rsidP="006A509D">
      <w:pPr>
        <w:rPr>
          <w:rFonts w:ascii="Arial" w:hAnsi="Arial" w:cs="Arial"/>
          <w:b/>
          <w:smallCaps/>
          <w:u w:val="single"/>
        </w:rPr>
      </w:pPr>
    </w:p>
    <w:p w14:paraId="6BED1AEF" w14:textId="77777777" w:rsidR="003E6C2E" w:rsidRDefault="003E6C2E" w:rsidP="006A509D">
      <w:pPr>
        <w:rPr>
          <w:rFonts w:ascii="Arial" w:hAnsi="Arial" w:cs="Arial"/>
          <w:b/>
          <w:smallCaps/>
          <w:u w:val="single"/>
        </w:rPr>
      </w:pPr>
    </w:p>
    <w:p w14:paraId="62B23614" w14:textId="77777777" w:rsidR="00AC54CC" w:rsidRDefault="00AC54CC" w:rsidP="006A509D">
      <w:pPr>
        <w:rPr>
          <w:rFonts w:ascii="Arial" w:hAnsi="Arial" w:cs="Arial"/>
          <w:b/>
          <w:smallCaps/>
          <w:u w:val="single"/>
        </w:rPr>
      </w:pPr>
    </w:p>
    <w:p w14:paraId="257105DC" w14:textId="77777777" w:rsidR="00AC54CC" w:rsidRDefault="00AC54CC" w:rsidP="006A509D">
      <w:pPr>
        <w:rPr>
          <w:rFonts w:ascii="Arial" w:hAnsi="Arial" w:cs="Arial"/>
          <w:b/>
          <w:smallCaps/>
          <w:u w:val="single"/>
        </w:rPr>
      </w:pPr>
    </w:p>
    <w:p w14:paraId="66AB52B0" w14:textId="558F812B" w:rsidR="00AB57A4" w:rsidRDefault="00AB57A4" w:rsidP="006A509D">
      <w:pPr>
        <w:rPr>
          <w:rFonts w:ascii="Arial" w:hAnsi="Arial" w:cs="Arial"/>
          <w:b/>
          <w:smallCaps/>
          <w:u w:val="single"/>
        </w:rPr>
      </w:pPr>
    </w:p>
    <w:p w14:paraId="7D5B350B" w14:textId="19E362FA" w:rsidR="00AB57A4" w:rsidRDefault="00AB57A4" w:rsidP="006A509D">
      <w:pPr>
        <w:rPr>
          <w:rFonts w:ascii="Arial" w:hAnsi="Arial" w:cs="Arial"/>
          <w:b/>
          <w:smallCaps/>
          <w:u w:val="single"/>
        </w:rPr>
      </w:pPr>
    </w:p>
    <w:p w14:paraId="4358BFF3" w14:textId="687F833B" w:rsidR="00AB57A4" w:rsidRDefault="00AB57A4" w:rsidP="006A509D">
      <w:pPr>
        <w:rPr>
          <w:rFonts w:ascii="Arial" w:hAnsi="Arial" w:cs="Arial"/>
          <w:b/>
          <w:smallCaps/>
          <w:u w:val="single"/>
        </w:rPr>
      </w:pPr>
    </w:p>
    <w:p w14:paraId="33790D88" w14:textId="77777777" w:rsidR="006E6DE7" w:rsidRDefault="006E6DE7" w:rsidP="006A509D">
      <w:pPr>
        <w:rPr>
          <w:rFonts w:ascii="Arial" w:hAnsi="Arial" w:cs="Arial"/>
          <w:b/>
          <w:smallCaps/>
          <w:u w:val="single"/>
        </w:rPr>
      </w:pPr>
    </w:p>
    <w:p w14:paraId="465E7ED0" w14:textId="01794585" w:rsidR="00CB1979" w:rsidRPr="00CB1979" w:rsidRDefault="00CB1979" w:rsidP="00CB1979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t>A</w:t>
      </w:r>
      <w:r w:rsidR="007936C6">
        <w:rPr>
          <w:rFonts w:ascii="Arial" w:hAnsi="Arial" w:cs="Arial"/>
          <w:b/>
          <w:smallCaps/>
          <w:u w:val="single"/>
        </w:rPr>
        <w:t>nexo</w:t>
      </w:r>
      <w:r w:rsidRPr="00CB1979">
        <w:rPr>
          <w:rFonts w:ascii="Arial" w:hAnsi="Arial" w:cs="Arial"/>
          <w:b/>
          <w:smallCaps/>
          <w:u w:val="single"/>
        </w:rPr>
        <w:t xml:space="preserve"> I</w:t>
      </w:r>
      <w:r>
        <w:rPr>
          <w:rFonts w:ascii="Arial" w:hAnsi="Arial" w:cs="Arial"/>
          <w:b/>
          <w:smallCaps/>
          <w:u w:val="single"/>
        </w:rPr>
        <w:t>I</w:t>
      </w:r>
    </w:p>
    <w:p w14:paraId="19AF6615" w14:textId="77777777" w:rsidR="009D471F" w:rsidRDefault="009D471F" w:rsidP="006A509D">
      <w:pPr>
        <w:rPr>
          <w:rFonts w:ascii="Arial" w:hAnsi="Arial" w:cs="Arial"/>
          <w:b/>
          <w:smallCaps/>
          <w:u w:val="single"/>
        </w:rPr>
      </w:pPr>
    </w:p>
    <w:p w14:paraId="052C85CD" w14:textId="04FCEA45" w:rsidR="004C2890" w:rsidRDefault="004C2890" w:rsidP="00316C25">
      <w:pPr>
        <w:rPr>
          <w:rFonts w:ascii="Arial" w:hAnsi="Arial" w:cs="Arial"/>
          <w:b/>
          <w:smallCaps/>
          <w:u w:val="single"/>
        </w:rPr>
      </w:pPr>
      <w:r w:rsidRPr="004464FA">
        <w:rPr>
          <w:rFonts w:ascii="Arial" w:hAnsi="Arial" w:cs="Arial"/>
          <w:b/>
          <w:smallCaps/>
          <w:u w:val="single"/>
        </w:rPr>
        <w:t>Balanço Patrimonial</w:t>
      </w:r>
    </w:p>
    <w:p w14:paraId="567FC453" w14:textId="77777777" w:rsidR="00AC54CC" w:rsidRDefault="00AC54CC" w:rsidP="00316C25">
      <w:pPr>
        <w:rPr>
          <w:rFonts w:ascii="Arial" w:hAnsi="Arial" w:cs="Arial"/>
          <w:b/>
          <w:smallCaps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3"/>
        <w:gridCol w:w="1389"/>
        <w:gridCol w:w="1389"/>
        <w:gridCol w:w="1657"/>
      </w:tblGrid>
      <w:tr w:rsidR="00767A93" w14:paraId="3B43479D" w14:textId="77777777" w:rsidTr="00767A93">
        <w:trPr>
          <w:trHeight w:val="215"/>
        </w:trPr>
        <w:tc>
          <w:tcPr>
            <w:tcW w:w="2886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5AE8DF63" w14:textId="77777777" w:rsidR="00767A93" w:rsidRDefault="00767A93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Balanço Patrimonial - R$ mil</w:t>
            </w:r>
          </w:p>
        </w:tc>
        <w:tc>
          <w:tcPr>
            <w:tcW w:w="662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32CEB7FA" w14:textId="77777777" w:rsidR="00767A93" w:rsidRDefault="00767A93" w:rsidP="00281BD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31/12/2025</w:t>
            </w:r>
          </w:p>
        </w:tc>
        <w:tc>
          <w:tcPr>
            <w:tcW w:w="662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3F74B196" w14:textId="77777777" w:rsidR="00767A93" w:rsidRDefault="00767A93" w:rsidP="00281BD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31/12/2024</w:t>
            </w:r>
          </w:p>
        </w:tc>
        <w:tc>
          <w:tcPr>
            <w:tcW w:w="791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7ACD9112" w14:textId="77777777" w:rsidR="00767A93" w:rsidRDefault="00767A93" w:rsidP="00281BD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31/12/2023</w:t>
            </w:r>
          </w:p>
        </w:tc>
      </w:tr>
      <w:tr w:rsidR="00767A93" w14:paraId="7C2FCF65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376A" w14:textId="77777777" w:rsidR="00767A93" w:rsidRDefault="00767A9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AE22" w14:textId="77777777" w:rsidR="00767A93" w:rsidRDefault="00767A93">
            <w:pPr>
              <w:rPr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12E9" w14:textId="77777777" w:rsidR="00767A93" w:rsidRDefault="00767A93">
            <w:pPr>
              <w:rPr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5633" w14:textId="77777777" w:rsidR="00767A93" w:rsidRDefault="00767A93">
            <w:pPr>
              <w:rPr>
                <w:sz w:val="20"/>
                <w:szCs w:val="20"/>
              </w:rPr>
            </w:pPr>
          </w:p>
        </w:tc>
      </w:tr>
      <w:tr w:rsidR="00767A93" w14:paraId="2929E9EA" w14:textId="77777777" w:rsidTr="00767A93">
        <w:trPr>
          <w:trHeight w:val="215"/>
        </w:trPr>
        <w:tc>
          <w:tcPr>
            <w:tcW w:w="2886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5134530C" w14:textId="77777777" w:rsidR="00767A93" w:rsidRDefault="00767A93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Total Ativo</w:t>
            </w:r>
          </w:p>
        </w:tc>
        <w:tc>
          <w:tcPr>
            <w:tcW w:w="662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single" w:sz="4" w:space="0" w:color="3616F6"/>
            </w:tcBorders>
            <w:shd w:val="clear" w:color="000000" w:fill="0000FF"/>
            <w:vAlign w:val="center"/>
            <w:hideMark/>
          </w:tcPr>
          <w:p w14:paraId="5F62C8DA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   4.412.466 </w:t>
            </w:r>
          </w:p>
        </w:tc>
        <w:tc>
          <w:tcPr>
            <w:tcW w:w="662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6BC036B3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   4.089.985 </w:t>
            </w:r>
          </w:p>
        </w:tc>
        <w:tc>
          <w:tcPr>
            <w:tcW w:w="791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47FF5342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   4.003.587 </w:t>
            </w:r>
          </w:p>
        </w:tc>
      </w:tr>
      <w:tr w:rsidR="00767A93" w14:paraId="0F660C22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center"/>
            <w:hideMark/>
          </w:tcPr>
          <w:p w14:paraId="47FF6ECE" w14:textId="77777777" w:rsidR="00767A93" w:rsidRDefault="00767A9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Circulante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66FFFF"/>
            <w:vAlign w:val="center"/>
            <w:hideMark/>
          </w:tcPr>
          <w:p w14:paraId="2D4AA28A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2.310.040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234A4979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1.776.003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73F1696A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1.607.349 </w:t>
            </w:r>
          </w:p>
        </w:tc>
      </w:tr>
      <w:tr w:rsidR="00767A93" w14:paraId="3D04BA96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C3B4F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Caixa e Equivalentes de Caixa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79AC200F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698.514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B56E1E6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425.387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F251789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380.712 </w:t>
            </w:r>
          </w:p>
        </w:tc>
      </w:tr>
      <w:tr w:rsidR="00767A93" w14:paraId="5D0CE6BC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6E1D5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Contas a Receber de Clientes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60C2A44F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448.342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6265553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233.301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7A416D6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176.885 </w:t>
            </w:r>
          </w:p>
        </w:tc>
      </w:tr>
      <w:tr w:rsidR="00767A93" w14:paraId="56F1B180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C8FB7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Tributos a Compensar/Recuperar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3E223C04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204.516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42654BCE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178.044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4319FC52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177.601 </w:t>
            </w:r>
          </w:p>
        </w:tc>
      </w:tr>
      <w:tr w:rsidR="00767A93" w14:paraId="2A8331AA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361EE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Depósitos Judiciais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7B40A68C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7.311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A4246D0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7.364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BA38070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6.903 </w:t>
            </w:r>
          </w:p>
        </w:tc>
      </w:tr>
      <w:tr w:rsidR="00767A93" w14:paraId="65969AD4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0C98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Aplicações Financeiras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7090E1C8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822.352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0132A933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822.352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0F91C09A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822.352 </w:t>
            </w:r>
          </w:p>
        </w:tc>
      </w:tr>
      <w:tr w:rsidR="00767A93" w14:paraId="67227FDE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E95E9" w14:textId="77777777" w:rsidR="00767A93" w:rsidRDefault="00767A93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Superávit - Previdência Privada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7389FA89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103.565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0F5D5362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84.429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0A548297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12.270 </w:t>
            </w:r>
          </w:p>
        </w:tc>
      </w:tr>
      <w:tr w:rsidR="00767A93" w14:paraId="768DB4C0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05D83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Valores a Receber de Colaboradores Cedidos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A6039B8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1.945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892F421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1.945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8AC56E1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1.945 </w:t>
            </w:r>
          </w:p>
        </w:tc>
      </w:tr>
      <w:tr w:rsidR="00767A93" w14:paraId="2EAC4084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C20BD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Outros Ativos Realizáveis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2A60B739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23.495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B61C0E6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23.181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032246D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28.681 </w:t>
            </w:r>
          </w:p>
        </w:tc>
      </w:tr>
      <w:tr w:rsidR="00767A93" w14:paraId="52E87257" w14:textId="77777777" w:rsidTr="00767A93">
        <w:trPr>
          <w:trHeight w:val="215"/>
        </w:trPr>
        <w:tc>
          <w:tcPr>
            <w:tcW w:w="2886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center"/>
            <w:hideMark/>
          </w:tcPr>
          <w:p w14:paraId="2133D668" w14:textId="77777777" w:rsidR="00767A93" w:rsidRDefault="00767A9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Não Circulante</w:t>
            </w:r>
          </w:p>
        </w:tc>
        <w:tc>
          <w:tcPr>
            <w:tcW w:w="662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66FFFF"/>
            <w:vAlign w:val="center"/>
            <w:hideMark/>
          </w:tcPr>
          <w:p w14:paraId="5CB50E13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2.102.426 </w:t>
            </w:r>
          </w:p>
        </w:tc>
        <w:tc>
          <w:tcPr>
            <w:tcW w:w="662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28E9D4E2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2.313.982 </w:t>
            </w:r>
          </w:p>
        </w:tc>
        <w:tc>
          <w:tcPr>
            <w:tcW w:w="791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2D989DBF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2.396.238 </w:t>
            </w:r>
          </w:p>
        </w:tc>
      </w:tr>
      <w:tr w:rsidR="00767A93" w14:paraId="26FBB49C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75829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Aplicações Financeiras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F7DED98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53.949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D10ABBE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86.686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3999BD3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80.682 </w:t>
            </w:r>
          </w:p>
        </w:tc>
      </w:tr>
      <w:tr w:rsidR="00767A93" w14:paraId="2BEE503B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C9F0A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Tributos a Compensar/Recuperar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137DF85C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3.795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2AD9DF6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8.282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991DD94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11.634 </w:t>
            </w:r>
          </w:p>
        </w:tc>
      </w:tr>
      <w:tr w:rsidR="00767A93" w14:paraId="468919F8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8BCA0" w14:textId="77777777" w:rsidR="00767A93" w:rsidRDefault="00767A93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Superávit - Previdência Privada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48B9341F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185.037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0411559E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143.216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80E4566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15.726 </w:t>
            </w:r>
          </w:p>
        </w:tc>
      </w:tr>
      <w:tr w:rsidR="00767A93" w14:paraId="7CECBE74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6169D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Dividendos a Receber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288E3E82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400C0EA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5.456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BF5B9FB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5.456 </w:t>
            </w:r>
          </w:p>
        </w:tc>
      </w:tr>
      <w:tr w:rsidR="00767A93" w14:paraId="5723E98B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3540A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Depósitos Judiciais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14CBCCB1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52.566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9785998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48.726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49121E5E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45.542 </w:t>
            </w:r>
          </w:p>
        </w:tc>
      </w:tr>
      <w:tr w:rsidR="00767A93" w14:paraId="59E712CF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35AD5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Outros Ativos Realizáveis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3C804EFB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6.667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162D677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12.381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7CA608E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22.569 </w:t>
            </w:r>
          </w:p>
        </w:tc>
      </w:tr>
      <w:tr w:rsidR="00767A93" w14:paraId="7F06F535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96645" w14:textId="77777777" w:rsidR="00767A93" w:rsidRDefault="00767A9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Realizável a Longo Prazo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19651B18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302.014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6CD19C5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304.747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562814C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181.609 </w:t>
            </w:r>
          </w:p>
        </w:tc>
      </w:tr>
      <w:tr w:rsidR="00767A93" w14:paraId="504A512C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9DFB9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Investimentos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3508A495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76.332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79EC2F2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80.124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0A97716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70.084 </w:t>
            </w:r>
          </w:p>
        </w:tc>
      </w:tr>
      <w:tr w:rsidR="00767A93" w14:paraId="1B9D66C1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8D814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Imobilizado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2A2661F7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1.697.499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D890D62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1.909.708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DD33B79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2.121.373 </w:t>
            </w:r>
          </w:p>
        </w:tc>
      </w:tr>
      <w:tr w:rsidR="00767A93" w14:paraId="2754C31B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BACC5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Intangível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239FACF4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26.581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FBAC6A3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19.403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B6330D1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23.172 </w:t>
            </w:r>
          </w:p>
        </w:tc>
      </w:tr>
      <w:tr w:rsidR="00767A93" w14:paraId="6290231E" w14:textId="77777777" w:rsidTr="00767A93">
        <w:trPr>
          <w:trHeight w:val="215"/>
        </w:trPr>
        <w:tc>
          <w:tcPr>
            <w:tcW w:w="2886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79CD9BFA" w14:textId="77777777" w:rsidR="00767A93" w:rsidRDefault="00767A93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Total Passivo</w:t>
            </w:r>
          </w:p>
        </w:tc>
        <w:tc>
          <w:tcPr>
            <w:tcW w:w="662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5FE5B65C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   4.412.466 </w:t>
            </w:r>
          </w:p>
        </w:tc>
        <w:tc>
          <w:tcPr>
            <w:tcW w:w="662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0A91E109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   4.089.985 </w:t>
            </w:r>
          </w:p>
        </w:tc>
        <w:tc>
          <w:tcPr>
            <w:tcW w:w="791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0000FF"/>
            <w:vAlign w:val="center"/>
            <w:hideMark/>
          </w:tcPr>
          <w:p w14:paraId="1972C22E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        4.003.587 </w:t>
            </w:r>
          </w:p>
        </w:tc>
      </w:tr>
      <w:tr w:rsidR="00767A93" w14:paraId="6104DC1D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center"/>
            <w:hideMark/>
          </w:tcPr>
          <w:p w14:paraId="4EA02FE2" w14:textId="77777777" w:rsidR="00767A93" w:rsidRDefault="00767A9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Circulante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66FFFF"/>
            <w:vAlign w:val="center"/>
            <w:hideMark/>
          </w:tcPr>
          <w:p w14:paraId="7259BFD9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367.137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7821E45C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314.577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noWrap/>
            <w:vAlign w:val="center"/>
            <w:hideMark/>
          </w:tcPr>
          <w:p w14:paraId="4742996E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280.660 </w:t>
            </w:r>
          </w:p>
        </w:tc>
      </w:tr>
      <w:tr w:rsidR="00767A93" w14:paraId="0162A722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D257F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Pessoal, Encargos e Benefícios Sociais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66142E42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21.583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F3F91DD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13.331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4CB96BD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13.114 </w:t>
            </w:r>
          </w:p>
        </w:tc>
      </w:tr>
      <w:tr w:rsidR="00767A93" w14:paraId="2C0553FD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267FE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Fornecedores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174C4E4C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151.794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5648270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144.636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BECF1CE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122.719 </w:t>
            </w:r>
          </w:p>
        </w:tc>
      </w:tr>
      <w:tr w:rsidR="00767A93" w14:paraId="4A4D4D2A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3D6D1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Tributos Diretos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6E04FBD2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41.932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03D96B5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5CB7B7D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     </w:t>
            </w:r>
          </w:p>
        </w:tc>
      </w:tr>
      <w:tr w:rsidR="00767A93" w14:paraId="300C3E46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2D89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Tributos Indiretos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265D9C1D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16.844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03AD8FA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23.499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CA2E3DC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3.466 </w:t>
            </w:r>
          </w:p>
        </w:tc>
      </w:tr>
      <w:tr w:rsidR="00767A93" w14:paraId="3DC7EEA1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DC49E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Receitas Diferidas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6B2CBC49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44.406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E402306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44.406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D8C633C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62.812 </w:t>
            </w:r>
          </w:p>
        </w:tc>
      </w:tr>
      <w:tr w:rsidR="00767A93" w14:paraId="70B33DB1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A7DD1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Empréstimos e Financiamentos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255980E9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5.093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5B33725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51.584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75771BC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51.034 </w:t>
            </w:r>
          </w:p>
        </w:tc>
      </w:tr>
      <w:tr w:rsidR="00767A93" w14:paraId="46CDFAD6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2AE02" w14:textId="77777777" w:rsidR="00767A93" w:rsidRDefault="00767A93">
            <w:pPr>
              <w:ind w:firstLineChars="300" w:firstLine="48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Financiamento FINEP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29EA3C33" w14:textId="77777777" w:rsidR="00767A93" w:rsidRDefault="00767A93" w:rsidP="00767A93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       -     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A143038" w14:textId="77777777" w:rsidR="00767A93" w:rsidRDefault="00767A93" w:rsidP="00767A93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 46.210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38A96F5" w14:textId="77777777" w:rsidR="00767A93" w:rsidRDefault="00767A93" w:rsidP="00767A93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 45.710 </w:t>
            </w:r>
          </w:p>
        </w:tc>
      </w:tr>
      <w:tr w:rsidR="00767A93" w14:paraId="292E8AF5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CC8AB" w14:textId="77777777" w:rsidR="00767A93" w:rsidRDefault="00767A93">
            <w:pPr>
              <w:ind w:firstLineChars="300" w:firstLine="48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Arrendamento Mercantil Financeiro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564B3BA9" w14:textId="77777777" w:rsidR="00767A93" w:rsidRDefault="00767A93" w:rsidP="00767A93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    5.093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F3C9FAF" w14:textId="77777777" w:rsidR="00767A93" w:rsidRDefault="00767A93" w:rsidP="00767A93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    5.374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3C6B584" w14:textId="77777777" w:rsidR="00767A93" w:rsidRDefault="00767A93" w:rsidP="00767A93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    5.324 </w:t>
            </w:r>
          </w:p>
        </w:tc>
      </w:tr>
      <w:tr w:rsidR="00767A93" w14:paraId="38211FD0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5922C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Provisão para Riscos Trabalhistas, Cíveis e Fiscais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7A159286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5.416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8A3184A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4.877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3E7A13B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4.295 </w:t>
            </w:r>
          </w:p>
        </w:tc>
      </w:tr>
      <w:tr w:rsidR="00767A93" w14:paraId="568AC2DD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E3E0F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Credores por Perdas Judiciais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282FBAF0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4A235BD5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16.635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4986E1A1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16.436 </w:t>
            </w:r>
          </w:p>
        </w:tc>
      </w:tr>
      <w:tr w:rsidR="00767A93" w14:paraId="570B5D2D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28F46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Provisão Programa Indenização por Serviços Prestados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741F34FC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2.191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C40AF77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1.828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08985541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1.766 </w:t>
            </w:r>
          </w:p>
        </w:tc>
      </w:tr>
      <w:tr w:rsidR="00767A93" w14:paraId="40E08673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27AE3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Subvenções Orçamentárias a Realizar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7C3133BF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52.741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069B2C10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59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09F61717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     </w:t>
            </w:r>
          </w:p>
        </w:tc>
      </w:tr>
      <w:tr w:rsidR="00767A93" w14:paraId="29447C54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2D35B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Outras Obrigações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1BC2FAEA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25.137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220A6F9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13.722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9B253C4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5.018 </w:t>
            </w:r>
          </w:p>
        </w:tc>
      </w:tr>
      <w:tr w:rsidR="00767A93" w14:paraId="20C7080E" w14:textId="77777777" w:rsidTr="00767A93">
        <w:trPr>
          <w:trHeight w:val="215"/>
        </w:trPr>
        <w:tc>
          <w:tcPr>
            <w:tcW w:w="2886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center"/>
            <w:hideMark/>
          </w:tcPr>
          <w:p w14:paraId="436276E3" w14:textId="77777777" w:rsidR="00767A93" w:rsidRDefault="00767A9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Não Circulante</w:t>
            </w:r>
          </w:p>
        </w:tc>
        <w:tc>
          <w:tcPr>
            <w:tcW w:w="662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66FFFF"/>
            <w:vAlign w:val="center"/>
            <w:hideMark/>
          </w:tcPr>
          <w:p w14:paraId="3377AA2C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2.293.240 </w:t>
            </w:r>
          </w:p>
        </w:tc>
        <w:tc>
          <w:tcPr>
            <w:tcW w:w="662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10C82D4F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2.293.396 </w:t>
            </w:r>
          </w:p>
        </w:tc>
        <w:tc>
          <w:tcPr>
            <w:tcW w:w="791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noWrap/>
            <w:vAlign w:val="center"/>
            <w:hideMark/>
          </w:tcPr>
          <w:p w14:paraId="6A7EE293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2.297.276 </w:t>
            </w:r>
          </w:p>
        </w:tc>
      </w:tr>
      <w:tr w:rsidR="00767A93" w14:paraId="3486C668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CD515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Empréstimos e Financiamentos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4BD751DB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14.786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E6C267D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4.139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60D3A6A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53.689 </w:t>
            </w:r>
          </w:p>
        </w:tc>
      </w:tr>
      <w:tr w:rsidR="00767A93" w14:paraId="5CD8A551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64BB7" w14:textId="77777777" w:rsidR="00767A93" w:rsidRDefault="00767A93">
            <w:pPr>
              <w:ind w:firstLineChars="300" w:firstLine="48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Financiamento FINEP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22436D58" w14:textId="77777777" w:rsidR="00767A93" w:rsidRDefault="00767A93" w:rsidP="00767A93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       -     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0FC695D9" w14:textId="77777777" w:rsidR="00767A93" w:rsidRDefault="00767A93" w:rsidP="00767A93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       -     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06F673E" w14:textId="77777777" w:rsidR="00767A93" w:rsidRDefault="00767A93" w:rsidP="00767A93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 44.892 </w:t>
            </w:r>
          </w:p>
        </w:tc>
      </w:tr>
      <w:tr w:rsidR="00767A93" w14:paraId="22EE6179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AEE90" w14:textId="77777777" w:rsidR="00767A93" w:rsidRDefault="00767A93">
            <w:pPr>
              <w:ind w:firstLineChars="300" w:firstLine="48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Arrendamento Mercantil Financeiro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1BAEF7DC" w14:textId="77777777" w:rsidR="00767A93" w:rsidRDefault="00767A93" w:rsidP="00767A93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 14.786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2677BFB" w14:textId="77777777" w:rsidR="00767A93" w:rsidRDefault="00767A93" w:rsidP="00767A93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    4.139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70C037A" w14:textId="77777777" w:rsidR="00767A93" w:rsidRDefault="00767A93" w:rsidP="00767A93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           8.797 </w:t>
            </w:r>
          </w:p>
        </w:tc>
      </w:tr>
      <w:tr w:rsidR="00767A93" w14:paraId="16486F00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E2611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Provisão para Riscos Trabalhistas, Cíveis e Fiscais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55A71C1D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66.303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06EE5862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59.881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00C164E6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54.590 </w:t>
            </w:r>
          </w:p>
        </w:tc>
      </w:tr>
      <w:tr w:rsidR="00767A93" w14:paraId="75633764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70341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Provisão Programa Indenização por Serviços Prestados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1AA4B90F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19.075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C5C27A0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20.923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669014A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21.910 </w:t>
            </w:r>
          </w:p>
        </w:tc>
      </w:tr>
      <w:tr w:rsidR="00767A93" w14:paraId="6B594D0B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0EA6A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Credores por Perdas Judiciais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0D3DE4B7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A7BEBDE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102.247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F145DA5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116.004 </w:t>
            </w:r>
          </w:p>
        </w:tc>
      </w:tr>
      <w:tr w:rsidR="00767A93" w14:paraId="5346D7CF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D917C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Grupamento de Ações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43F330DE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680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63A680EC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680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05ACDA7E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680 </w:t>
            </w:r>
          </w:p>
        </w:tc>
      </w:tr>
      <w:tr w:rsidR="00767A93" w14:paraId="1DFD2D95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1F757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Recursos Capitalizáveis - AFAC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150AA7F7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1.951.045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4DA5CA9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1.831.921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821A67F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1.740.318 </w:t>
            </w:r>
          </w:p>
        </w:tc>
      </w:tr>
      <w:tr w:rsidR="00767A93" w14:paraId="19209A72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A5FA2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Receitas Diferidas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32C38DAA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241.351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31E74FF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273.605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27B23FF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310.085 </w:t>
            </w:r>
          </w:p>
        </w:tc>
      </w:tr>
      <w:tr w:rsidR="00767A93" w14:paraId="4A0B262E" w14:textId="77777777" w:rsidTr="00767A93">
        <w:trPr>
          <w:trHeight w:val="215"/>
        </w:trPr>
        <w:tc>
          <w:tcPr>
            <w:tcW w:w="2886" w:type="pct"/>
            <w:tcBorders>
              <w:top w:val="single" w:sz="4" w:space="0" w:color="3616F6"/>
              <w:left w:val="nil"/>
              <w:bottom w:val="single" w:sz="4" w:space="0" w:color="3616F6"/>
              <w:right w:val="nil"/>
            </w:tcBorders>
            <w:noWrap/>
            <w:vAlign w:val="center"/>
            <w:hideMark/>
          </w:tcPr>
          <w:p w14:paraId="12D1D2B8" w14:textId="77777777" w:rsidR="00767A93" w:rsidRDefault="00767A9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Patrimônio Líquido </w:t>
            </w:r>
          </w:p>
        </w:tc>
        <w:tc>
          <w:tcPr>
            <w:tcW w:w="662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66FFFF"/>
            <w:vAlign w:val="center"/>
            <w:hideMark/>
          </w:tcPr>
          <w:p w14:paraId="168DA561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1.752.089 </w:t>
            </w:r>
          </w:p>
        </w:tc>
        <w:tc>
          <w:tcPr>
            <w:tcW w:w="662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530E271F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1.482.012 </w:t>
            </w:r>
          </w:p>
        </w:tc>
        <w:tc>
          <w:tcPr>
            <w:tcW w:w="791" w:type="pct"/>
            <w:tcBorders>
              <w:top w:val="single" w:sz="4" w:space="0" w:color="3616F6"/>
              <w:left w:val="single" w:sz="4" w:space="0" w:color="3616F6"/>
              <w:bottom w:val="single" w:sz="4" w:space="0" w:color="3616F6"/>
              <w:right w:val="nil"/>
            </w:tcBorders>
            <w:noWrap/>
            <w:vAlign w:val="center"/>
            <w:hideMark/>
          </w:tcPr>
          <w:p w14:paraId="60FFA288" w14:textId="77777777" w:rsidR="00767A93" w:rsidRDefault="00767A93" w:rsidP="00767A9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1.425.651 </w:t>
            </w:r>
          </w:p>
        </w:tc>
      </w:tr>
      <w:tr w:rsidR="00767A93" w14:paraId="6751F52F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48655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Capital Social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166239A2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3.719.535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149ABA8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3.474.498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124B2187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3.474.498 </w:t>
            </w:r>
          </w:p>
        </w:tc>
      </w:tr>
      <w:tr w:rsidR="00767A93" w14:paraId="02166212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7EE4E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Prejuízos Acumulados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52BE0532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(1.999.280)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EDA275A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(2.139.784)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72249FE1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(2.073.212)</w:t>
            </w:r>
          </w:p>
        </w:tc>
      </w:tr>
      <w:tr w:rsidR="00767A93" w14:paraId="6FB5D0FB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CEC3C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Ajustes de Avaliação Patrimonial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7DBF8D44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31.945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89B67E2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35.153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3CED1E72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24.476 </w:t>
            </w:r>
          </w:p>
        </w:tc>
      </w:tr>
      <w:tr w:rsidR="00767A93" w14:paraId="290388B8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F17A8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Ações em Tesouraria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shd w:val="clear" w:color="000000" w:fill="66FFFF"/>
            <w:vAlign w:val="center"/>
            <w:hideMark/>
          </w:tcPr>
          <w:p w14:paraId="1CDB6638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(111)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27ED322F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(111)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nil"/>
              <w:right w:val="nil"/>
            </w:tcBorders>
            <w:vAlign w:val="center"/>
            <w:hideMark/>
          </w:tcPr>
          <w:p w14:paraId="51AB059F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(111)</w:t>
            </w:r>
          </w:p>
        </w:tc>
      </w:tr>
      <w:tr w:rsidR="00767A93" w14:paraId="3B2A89F2" w14:textId="77777777" w:rsidTr="00767A93">
        <w:trPr>
          <w:trHeight w:val="215"/>
        </w:trPr>
        <w:tc>
          <w:tcPr>
            <w:tcW w:w="2886" w:type="pct"/>
            <w:tcBorders>
              <w:top w:val="nil"/>
              <w:left w:val="nil"/>
              <w:bottom w:val="single" w:sz="4" w:space="0" w:color="3616F6"/>
              <w:right w:val="nil"/>
            </w:tcBorders>
            <w:noWrap/>
            <w:vAlign w:val="center"/>
            <w:hideMark/>
          </w:tcPr>
          <w:p w14:paraId="07A0BA29" w14:textId="77777777" w:rsidR="00767A93" w:rsidRDefault="00767A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Recursos Capitalizáveis - AFAC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shd w:val="clear" w:color="000000" w:fill="66FFFF"/>
            <w:vAlign w:val="center"/>
            <w:hideMark/>
          </w:tcPr>
          <w:p w14:paraId="3C127D07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     </w:t>
            </w:r>
          </w:p>
        </w:tc>
        <w:tc>
          <w:tcPr>
            <w:tcW w:w="662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2C534FFC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112.256 </w:t>
            </w:r>
          </w:p>
        </w:tc>
        <w:tc>
          <w:tcPr>
            <w:tcW w:w="791" w:type="pct"/>
            <w:tcBorders>
              <w:top w:val="nil"/>
              <w:left w:val="single" w:sz="4" w:space="0" w:color="3616F6"/>
              <w:bottom w:val="single" w:sz="4" w:space="0" w:color="3616F6"/>
              <w:right w:val="nil"/>
            </w:tcBorders>
            <w:vAlign w:val="center"/>
            <w:hideMark/>
          </w:tcPr>
          <w:p w14:paraId="1330333E" w14:textId="77777777" w:rsidR="00767A93" w:rsidRDefault="00767A93" w:rsidP="00767A9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-      </w:t>
            </w:r>
          </w:p>
        </w:tc>
      </w:tr>
    </w:tbl>
    <w:p w14:paraId="6B069E06" w14:textId="093739F1" w:rsidR="00CB1979" w:rsidRPr="00CB1979" w:rsidRDefault="00CB1979" w:rsidP="00CB1979">
      <w:pPr>
        <w:jc w:val="both"/>
        <w:rPr>
          <w:rFonts w:ascii="Arial" w:hAnsi="Arial" w:cs="Arial"/>
          <w:b/>
          <w:smallCaps/>
          <w:u w:val="single"/>
        </w:rPr>
      </w:pPr>
      <w:r w:rsidRPr="00CB1979">
        <w:rPr>
          <w:rFonts w:ascii="Arial" w:hAnsi="Arial" w:cs="Arial"/>
          <w:b/>
          <w:smallCaps/>
          <w:u w:val="single"/>
        </w:rPr>
        <w:t>A</w:t>
      </w:r>
      <w:r w:rsidR="007936C6">
        <w:rPr>
          <w:rFonts w:ascii="Arial" w:hAnsi="Arial" w:cs="Arial"/>
          <w:b/>
          <w:smallCaps/>
          <w:u w:val="single"/>
        </w:rPr>
        <w:t>nexo</w:t>
      </w:r>
      <w:r w:rsidRPr="00CB1979">
        <w:rPr>
          <w:rFonts w:ascii="Arial" w:hAnsi="Arial" w:cs="Arial"/>
          <w:b/>
          <w:smallCaps/>
          <w:u w:val="single"/>
        </w:rPr>
        <w:t xml:space="preserve"> I</w:t>
      </w:r>
      <w:r>
        <w:rPr>
          <w:rFonts w:ascii="Arial" w:hAnsi="Arial" w:cs="Arial"/>
          <w:b/>
          <w:smallCaps/>
          <w:u w:val="single"/>
        </w:rPr>
        <w:t>II</w:t>
      </w:r>
    </w:p>
    <w:p w14:paraId="477468C8" w14:textId="77777777" w:rsidR="00CB1979" w:rsidRDefault="00CB1979" w:rsidP="002E3F6E">
      <w:pPr>
        <w:rPr>
          <w:rFonts w:ascii="Arial" w:hAnsi="Arial" w:cs="Arial"/>
          <w:b/>
          <w:smallCaps/>
          <w:u w:val="single"/>
        </w:rPr>
      </w:pPr>
    </w:p>
    <w:p w14:paraId="0D3D8916" w14:textId="36605606" w:rsidR="002E3F6E" w:rsidRDefault="002E3F6E" w:rsidP="002E3F6E">
      <w:pPr>
        <w:rPr>
          <w:rFonts w:ascii="Arial" w:hAnsi="Arial" w:cs="Arial"/>
          <w:b/>
          <w:smallCaps/>
          <w:u w:val="single"/>
        </w:rPr>
      </w:pPr>
      <w:r>
        <w:rPr>
          <w:rFonts w:ascii="Arial" w:hAnsi="Arial" w:cs="Arial"/>
          <w:b/>
          <w:smallCaps/>
          <w:u w:val="single"/>
        </w:rPr>
        <w:t>Demonstração dos Fluxos de Caixa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5"/>
        <w:gridCol w:w="861"/>
        <w:gridCol w:w="861"/>
        <w:gridCol w:w="773"/>
        <w:gridCol w:w="146"/>
        <w:gridCol w:w="861"/>
        <w:gridCol w:w="861"/>
      </w:tblGrid>
      <w:tr w:rsidR="00736843" w14:paraId="5DCC11C1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705F" w14:textId="77777777" w:rsidR="00736843" w:rsidRDefault="00736843">
            <w:pPr>
              <w:rPr>
                <w:sz w:val="20"/>
                <w:szCs w:val="20"/>
              </w:rPr>
            </w:pPr>
          </w:p>
        </w:tc>
        <w:tc>
          <w:tcPr>
            <w:tcW w:w="118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E7ADED" w14:textId="77777777" w:rsidR="00736843" w:rsidRDefault="007368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Trimestres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82686" w14:textId="77777777" w:rsidR="00736843" w:rsidRDefault="007368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AE330" w14:textId="77777777" w:rsidR="00736843" w:rsidRDefault="00736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A4954" w14:textId="77777777" w:rsidR="00736843" w:rsidRDefault="00736843">
            <w:pPr>
              <w:jc w:val="center"/>
              <w:rPr>
                <w:sz w:val="20"/>
                <w:szCs w:val="20"/>
              </w:rPr>
            </w:pPr>
          </w:p>
        </w:tc>
      </w:tr>
      <w:tr w:rsidR="00736843" w14:paraId="31B2B255" w14:textId="77777777" w:rsidTr="00736843">
        <w:trPr>
          <w:trHeight w:val="4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FBB7" w14:textId="77777777" w:rsidR="00736843" w:rsidRDefault="007368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9D2F" w14:textId="77777777" w:rsidR="00736843" w:rsidRDefault="0073684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D7BD" w14:textId="77777777" w:rsidR="00736843" w:rsidRDefault="00736843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21F5" w14:textId="77777777" w:rsidR="00736843" w:rsidRDefault="00736843">
            <w:pPr>
              <w:rPr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ABF6" w14:textId="77777777" w:rsidR="00736843" w:rsidRDefault="0073684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F528" w14:textId="77777777" w:rsidR="00736843" w:rsidRDefault="0073684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AAB83" w14:textId="77777777" w:rsidR="00736843" w:rsidRDefault="00736843">
            <w:pPr>
              <w:rPr>
                <w:sz w:val="20"/>
                <w:szCs w:val="20"/>
              </w:rPr>
            </w:pPr>
          </w:p>
        </w:tc>
      </w:tr>
      <w:tr w:rsidR="00736843" w14:paraId="5C6B3E53" w14:textId="77777777" w:rsidTr="00736843">
        <w:trPr>
          <w:trHeight w:val="170"/>
        </w:trPr>
        <w:tc>
          <w:tcPr>
            <w:tcW w:w="2920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000000" w:fill="75F6F9"/>
            <w:noWrap/>
            <w:vAlign w:val="center"/>
            <w:hideMark/>
          </w:tcPr>
          <w:p w14:paraId="2F703687" w14:textId="77777777" w:rsidR="00736843" w:rsidRDefault="007368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R$ mil</w:t>
            </w:r>
          </w:p>
        </w:tc>
        <w:tc>
          <w:tcPr>
            <w:tcW w:w="410" w:type="pct"/>
            <w:tcBorders>
              <w:top w:val="single" w:sz="8" w:space="0" w:color="3616F6"/>
              <w:left w:val="single" w:sz="8" w:space="0" w:color="3616F6"/>
              <w:bottom w:val="single" w:sz="8" w:space="0" w:color="3616F6"/>
              <w:right w:val="single" w:sz="8" w:space="0" w:color="3616F6"/>
            </w:tcBorders>
            <w:shd w:val="clear" w:color="000000" w:fill="75F6F9"/>
            <w:vAlign w:val="center"/>
            <w:hideMark/>
          </w:tcPr>
          <w:p w14:paraId="7EE8B61A" w14:textId="77777777" w:rsidR="00736843" w:rsidRDefault="007368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4T25</w:t>
            </w:r>
          </w:p>
        </w:tc>
        <w:tc>
          <w:tcPr>
            <w:tcW w:w="410" w:type="pct"/>
            <w:tcBorders>
              <w:top w:val="single" w:sz="8" w:space="0" w:color="3616F6"/>
              <w:left w:val="nil"/>
              <w:bottom w:val="single" w:sz="8" w:space="0" w:color="3616F6"/>
              <w:right w:val="single" w:sz="8" w:space="0" w:color="3616F6"/>
            </w:tcBorders>
            <w:shd w:val="clear" w:color="000000" w:fill="75F6F9"/>
            <w:vAlign w:val="center"/>
            <w:hideMark/>
          </w:tcPr>
          <w:p w14:paraId="409EF436" w14:textId="77777777" w:rsidR="00736843" w:rsidRDefault="007368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4T24</w:t>
            </w:r>
          </w:p>
        </w:tc>
        <w:tc>
          <w:tcPr>
            <w:tcW w:w="368" w:type="pct"/>
            <w:tcBorders>
              <w:top w:val="single" w:sz="8" w:space="0" w:color="3616F6"/>
              <w:left w:val="nil"/>
              <w:bottom w:val="single" w:sz="8" w:space="0" w:color="3616F6"/>
              <w:right w:val="single" w:sz="8" w:space="0" w:color="3616F6"/>
            </w:tcBorders>
            <w:shd w:val="clear" w:color="000000" w:fill="75F6F9"/>
            <w:vAlign w:val="center"/>
            <w:hideMark/>
          </w:tcPr>
          <w:p w14:paraId="2D0BA3B2" w14:textId="77777777" w:rsidR="00736843" w:rsidRDefault="007368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3T25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3A29B" w14:textId="77777777" w:rsidR="00736843" w:rsidRDefault="007368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8" w:space="0" w:color="3616F6"/>
              <w:left w:val="nil"/>
              <w:bottom w:val="single" w:sz="8" w:space="0" w:color="3616F6"/>
              <w:right w:val="single" w:sz="8" w:space="0" w:color="3616F6"/>
            </w:tcBorders>
            <w:shd w:val="clear" w:color="000000" w:fill="75F6F9"/>
            <w:vAlign w:val="center"/>
            <w:hideMark/>
          </w:tcPr>
          <w:p w14:paraId="64D1DDF6" w14:textId="77777777" w:rsidR="00736843" w:rsidRDefault="007368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410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000000" w:fill="75F6F9"/>
            <w:vAlign w:val="center"/>
            <w:hideMark/>
          </w:tcPr>
          <w:p w14:paraId="623D1569" w14:textId="77777777" w:rsidR="00736843" w:rsidRDefault="007368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2024</w:t>
            </w:r>
          </w:p>
        </w:tc>
      </w:tr>
      <w:tr w:rsidR="00736843" w14:paraId="7908F118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2E68C" w14:textId="77777777" w:rsidR="00736843" w:rsidRDefault="007368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Fluxos de Caixa das Atividades Operacionais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4E05" w14:textId="77777777" w:rsidR="00736843" w:rsidRDefault="007368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E265" w14:textId="77777777" w:rsidR="00736843" w:rsidRDefault="00736843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0898" w14:textId="77777777" w:rsidR="00736843" w:rsidRDefault="00736843">
            <w:pPr>
              <w:rPr>
                <w:sz w:val="20"/>
                <w:szCs w:val="2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8922" w14:textId="77777777" w:rsidR="00736843" w:rsidRDefault="0073684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B5FE" w14:textId="77777777" w:rsidR="00736843" w:rsidRDefault="00736843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A68B" w14:textId="77777777" w:rsidR="00736843" w:rsidRDefault="00736843">
            <w:pPr>
              <w:rPr>
                <w:sz w:val="20"/>
                <w:szCs w:val="20"/>
              </w:rPr>
            </w:pPr>
          </w:p>
        </w:tc>
      </w:tr>
      <w:tr w:rsidR="00736843" w14:paraId="7F1440B4" w14:textId="77777777" w:rsidTr="00736843">
        <w:trPr>
          <w:trHeight w:val="170"/>
        </w:trPr>
        <w:tc>
          <w:tcPr>
            <w:tcW w:w="292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67161450" w14:textId="77777777" w:rsidR="00736843" w:rsidRDefault="007368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Lucro/(Prejuízo) antes do Imposto de Renda e Contribuição Social</w:t>
            </w:r>
          </w:p>
        </w:tc>
        <w:tc>
          <w:tcPr>
            <w:tcW w:w="410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5161ECC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265.393</w:t>
            </w:r>
          </w:p>
        </w:tc>
        <w:tc>
          <w:tcPr>
            <w:tcW w:w="41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4CA85ADD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139.125</w:t>
            </w:r>
          </w:p>
        </w:tc>
        <w:tc>
          <w:tcPr>
            <w:tcW w:w="368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71B2B98F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(25.610)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584A7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D3EF57A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182.436</w:t>
            </w:r>
          </w:p>
        </w:tc>
        <w:tc>
          <w:tcPr>
            <w:tcW w:w="41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035C1813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(66.572)</w:t>
            </w:r>
          </w:p>
        </w:tc>
      </w:tr>
      <w:tr w:rsidR="00736843" w14:paraId="4CCDB1B1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3353F" w14:textId="77777777" w:rsidR="00736843" w:rsidRDefault="007368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Ajustes por: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11E9577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8DF6D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nil"/>
              <w:left w:val="single" w:sz="8" w:space="0" w:color="0000FF"/>
              <w:bottom w:val="nil"/>
              <w:right w:val="nil"/>
            </w:tcBorders>
            <w:noWrap/>
            <w:vAlign w:val="center"/>
            <w:hideMark/>
          </w:tcPr>
          <w:p w14:paraId="058059B4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00AB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66C7563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04BEE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36843" w14:paraId="33B99D5D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6B10A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Depreciação e Amortização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9628907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64.695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242F9475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69.453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F07D9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69.064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CE446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18E4678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274.104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238CB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270.044</w:t>
            </w:r>
          </w:p>
        </w:tc>
      </w:tr>
      <w:tr w:rsidR="00736843" w14:paraId="510BBC7A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6B58D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Provisão/Rever. para Riscos Prováveis Trabalhistas, Cíveis e Fiscais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1FFC7F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2.821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3CA78F12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889CC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B0BEF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545ABD8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3.775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E23AE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(76)</w:t>
            </w:r>
          </w:p>
        </w:tc>
      </w:tr>
      <w:tr w:rsidR="00736843" w14:paraId="5A9C6A90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A6E3C" w14:textId="4699150B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V. Monetária de Prov. para Riscos Prováveis Trabalhistas, Cíveis e Fiscais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473CC70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1.427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0976B9F6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1.734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8BA9B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1.208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B9489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E6E4FDE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6.484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ADA7B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6.298</w:t>
            </w:r>
          </w:p>
        </w:tc>
      </w:tr>
      <w:tr w:rsidR="00736843" w14:paraId="7F1FAFC2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0F3E6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Receitas Diferidas - Realizações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8899360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(9.120)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60E79507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(9.120)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D0E80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(9.120)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21FF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001FE6F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(36.480)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AB3C7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(54.886)</w:t>
            </w:r>
          </w:p>
        </w:tc>
      </w:tr>
      <w:tr w:rsidR="00736843" w14:paraId="06BB7236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696D7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Equivalência Patrimonial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AF5AF90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(1.404)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3E5D1216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(407)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BA9B1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99AA7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5AEF114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(369)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36236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1.013</w:t>
            </w:r>
          </w:p>
        </w:tc>
      </w:tr>
      <w:tr w:rsidR="00736843" w14:paraId="6A513008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924C2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Encargos Financeiros sobre Adiantamento para Aumento de Capital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FA40795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67.622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12C3C88E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49.785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1B8D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67.317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DE8DB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EEAC2B1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249.981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BF5C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189.369</w:t>
            </w:r>
          </w:p>
        </w:tc>
      </w:tr>
      <w:tr w:rsidR="00736843" w14:paraId="03C7A135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C813E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Encargos Financeiros sobre Empréstimos e Financiamentos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FE6F54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1A5D5348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0AF80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979C5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4716438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(209)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E7051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3.651</w:t>
            </w:r>
          </w:p>
        </w:tc>
      </w:tr>
      <w:tr w:rsidR="00736843" w14:paraId="75A87C7B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01033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Provisão para Programa de Indenização por Serviços Prestados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7FA32D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1.378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547E4D48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7ACE2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(312)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018E5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1A7C4E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3.292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9EF92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624</w:t>
            </w:r>
          </w:p>
        </w:tc>
      </w:tr>
      <w:tr w:rsidR="00736843" w14:paraId="2997DFF2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C61EF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Variação Monetária/Juros de Credores por Perdas Judiciais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505F35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3.970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3055A242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3.553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E7A4B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2.302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6718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E9F140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14.108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10AC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12.999</w:t>
            </w:r>
          </w:p>
        </w:tc>
      </w:tr>
      <w:tr w:rsidR="00736843" w14:paraId="0BCCEEAD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7046E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Variação Monetária de Depósitos Judiciais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AF1CEAB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(1.177)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599266B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(955)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C3ACC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(1.174)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891A8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D28A2F0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(4.535)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FA0E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(3.644)</w:t>
            </w:r>
          </w:p>
        </w:tc>
      </w:tr>
      <w:tr w:rsidR="00736843" w14:paraId="1F25366B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D2921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Perdas Estimadas com Créditos de Liquidação Duvidosa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84FBF5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1.415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066D2D9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B261E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21715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3EC2D5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2.807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50D20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2.752</w:t>
            </w:r>
          </w:p>
        </w:tc>
      </w:tr>
      <w:tr w:rsidR="00736843" w14:paraId="5375C025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56206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Despesas Financeiras - Apropriação de Juros a Incorrer - IFRS 16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0AE7CBF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70F497A8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AF400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F9A77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3758173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3F7C9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741</w:t>
            </w:r>
          </w:p>
        </w:tc>
      </w:tr>
      <w:tr w:rsidR="00736843" w14:paraId="01D1B8A2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93B62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Baixa de Bens do Ativo Imobilizado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54806A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17350027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(1.366)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3A1D2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3E456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F0B7210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399D7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2.666</w:t>
            </w:r>
          </w:p>
        </w:tc>
      </w:tr>
      <w:tr w:rsidR="00736843" w14:paraId="1EC9DE8E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4C510" w14:textId="77777777" w:rsidR="00736843" w:rsidRDefault="00736843">
            <w:pPr>
              <w:ind w:firstLineChars="200" w:firstLine="30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Ganho na Baixa de Passivo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D28E914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2582952F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(598)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1FBB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2C544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E96B279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(76)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98D99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(2.297)</w:t>
            </w:r>
          </w:p>
        </w:tc>
      </w:tr>
      <w:tr w:rsidR="00736843" w14:paraId="70F66BBA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BBB5D" w14:textId="77777777" w:rsidR="00736843" w:rsidRDefault="00736843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Superávit de Previdência Privada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CFFA717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(102.225)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56BA020F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(212.038)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DD816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(32.502)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78748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55D8CF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(134.727)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63906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(212.038)</w:t>
            </w:r>
          </w:p>
        </w:tc>
      </w:tr>
      <w:tr w:rsidR="00736843" w14:paraId="6BEF74AF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FA287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Perda na Baixa de Ativos - Tributos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95AD481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4.795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2C97534C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2.963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35CF5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1EE62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652F51B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4.795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1B592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2.963</w:t>
            </w:r>
          </w:p>
        </w:tc>
      </w:tr>
      <w:tr w:rsidR="00736843" w14:paraId="754C92BC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C44D3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Recuperação de Créditos Tributários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AC9382E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(3.744)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747D1B44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(2.150)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C08BE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829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869C4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83E7113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4BCD1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</w:tr>
      <w:tr w:rsidR="00736843" w14:paraId="201B0AFD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63D65" w14:textId="436FA6D5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Subvenções Realizadas - Contrato de Gestão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58E125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(234.446)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5662C52F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388A6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E035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EA34C45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(234.446)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1ABD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</w:tr>
      <w:tr w:rsidR="00736843" w14:paraId="79EDFB60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14D3F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Outras Receitas e Despesas 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37D52B7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19DAEE61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7C60B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586C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1C0B159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0857F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</w:tr>
      <w:tr w:rsidR="00736843" w14:paraId="7CD005DD" w14:textId="77777777" w:rsidTr="00736843">
        <w:trPr>
          <w:trHeight w:val="170"/>
        </w:trPr>
        <w:tc>
          <w:tcPr>
            <w:tcW w:w="292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39D19274" w14:textId="77777777" w:rsidR="00736843" w:rsidRDefault="007368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Subtotal</w:t>
            </w:r>
          </w:p>
        </w:tc>
        <w:tc>
          <w:tcPr>
            <w:tcW w:w="410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7EC3A4B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(203.710)</w:t>
            </w:r>
          </w:p>
        </w:tc>
        <w:tc>
          <w:tcPr>
            <w:tcW w:w="410" w:type="pct"/>
            <w:tcBorders>
              <w:top w:val="single" w:sz="8" w:space="0" w:color="0000FF"/>
              <w:left w:val="nil"/>
              <w:bottom w:val="single" w:sz="8" w:space="0" w:color="0000FF"/>
              <w:right w:val="single" w:sz="8" w:space="0" w:color="0000FF"/>
            </w:tcBorders>
            <w:noWrap/>
            <w:vAlign w:val="center"/>
            <w:hideMark/>
          </w:tcPr>
          <w:p w14:paraId="7C851407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(96.852)</w:t>
            </w:r>
          </w:p>
        </w:tc>
        <w:tc>
          <w:tcPr>
            <w:tcW w:w="368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185E4702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99.340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6D1F1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3410FED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149.463</w:t>
            </w:r>
          </w:p>
        </w:tc>
        <w:tc>
          <w:tcPr>
            <w:tcW w:w="41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420CB6DD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220.179</w:t>
            </w:r>
          </w:p>
        </w:tc>
      </w:tr>
      <w:tr w:rsidR="00736843" w14:paraId="6509A493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DD75C" w14:textId="77777777" w:rsidR="00736843" w:rsidRDefault="007368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Mutações Patrimoniais: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DBBC9CD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98E18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single" w:sz="8" w:space="0" w:color="0000FF"/>
              <w:bottom w:val="nil"/>
              <w:right w:val="nil"/>
            </w:tcBorders>
            <w:noWrap/>
            <w:vAlign w:val="center"/>
            <w:hideMark/>
          </w:tcPr>
          <w:p w14:paraId="630D19A4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D8A23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EC9273A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28CA0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36843" w14:paraId="4451657F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B7C0F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Contas a Receber de Clientes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3D3316C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(24.342)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081C049C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(56.014)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97844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(63.987)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786E4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3BECFE4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(242.191)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A295C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(59.168)</w:t>
            </w:r>
          </w:p>
        </w:tc>
      </w:tr>
      <w:tr w:rsidR="00736843" w14:paraId="7716C2B9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F8006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Tributos a Recuperar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4CF1336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(14.559)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5720DED4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(8.827)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13E30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(7.660)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B82B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E237B8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(18.886)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7C9D4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(54)</w:t>
            </w:r>
          </w:p>
        </w:tc>
      </w:tr>
      <w:tr w:rsidR="00736843" w14:paraId="06E9A844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924F3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Depósitos Judiciais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E4B4DEE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79F95A28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4A14C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(394)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CC8AF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99BC6F3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C4F43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</w:tr>
      <w:tr w:rsidR="00736843" w14:paraId="0EC92632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8F3E5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Pessoal, Encargos e Benefícios Sociais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FE18511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(2.545)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29BA8DBB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(4.870)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C0D61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8.081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A4943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4D94F1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8.252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C8863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</w:t>
            </w:r>
          </w:p>
        </w:tc>
      </w:tr>
      <w:tr w:rsidR="00736843" w14:paraId="682F365D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AF2AD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Fornecedores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5CCBE9F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(104.918)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7AB9C98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(54.681)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626B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30.061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874D5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666B8E3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7.425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FCE6E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1.298</w:t>
            </w:r>
          </w:p>
        </w:tc>
      </w:tr>
      <w:tr w:rsidR="00736843" w14:paraId="49E65FA8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576E8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Outras Contas Ativas e Passivas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1EF9C6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34.250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40506B58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24.524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2EAD4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(37.986)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7BB62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A8C5574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(7.502)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6F51F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43.723</w:t>
            </w:r>
          </w:p>
        </w:tc>
      </w:tr>
      <w:tr w:rsidR="00736843" w14:paraId="4C470035" w14:textId="77777777" w:rsidTr="00736843">
        <w:trPr>
          <w:trHeight w:val="170"/>
        </w:trPr>
        <w:tc>
          <w:tcPr>
            <w:tcW w:w="292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25F08F1E" w14:textId="77777777" w:rsidR="00736843" w:rsidRDefault="007368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Subtotal</w:t>
            </w:r>
          </w:p>
        </w:tc>
        <w:tc>
          <w:tcPr>
            <w:tcW w:w="410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8AF38A2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(111.763)</w:t>
            </w:r>
          </w:p>
        </w:tc>
        <w:tc>
          <w:tcPr>
            <w:tcW w:w="410" w:type="pct"/>
            <w:tcBorders>
              <w:top w:val="single" w:sz="8" w:space="0" w:color="0000FF"/>
              <w:left w:val="nil"/>
              <w:bottom w:val="single" w:sz="8" w:space="0" w:color="0000FF"/>
              <w:right w:val="single" w:sz="8" w:space="0" w:color="0000FF"/>
            </w:tcBorders>
            <w:noWrap/>
            <w:vAlign w:val="center"/>
            <w:hideMark/>
          </w:tcPr>
          <w:p w14:paraId="151C6450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(99.850)</w:t>
            </w:r>
          </w:p>
        </w:tc>
        <w:tc>
          <w:tcPr>
            <w:tcW w:w="368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7D411325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(71.885)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87A96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2D3A7FB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(252.902)</w:t>
            </w:r>
          </w:p>
        </w:tc>
        <w:tc>
          <w:tcPr>
            <w:tcW w:w="41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4CE019B5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(13.984)</w:t>
            </w:r>
          </w:p>
        </w:tc>
      </w:tr>
      <w:tr w:rsidR="00736843" w14:paraId="1036D8D7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FC7B8" w14:textId="77777777" w:rsidR="00736843" w:rsidRDefault="007368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Caixa Proveniente das Atividades Operacionais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5FDCF36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31DA4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single" w:sz="8" w:space="0" w:color="0000FF"/>
              <w:bottom w:val="nil"/>
              <w:right w:val="nil"/>
            </w:tcBorders>
            <w:noWrap/>
            <w:vAlign w:val="center"/>
            <w:hideMark/>
          </w:tcPr>
          <w:p w14:paraId="6394D9F1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9E9AF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006D76F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396A3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36843" w14:paraId="2A6B7CDB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9599E" w14:textId="6C75493E" w:rsidR="00736843" w:rsidRDefault="00736843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Pagamento de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de Indenização por Serviços Prestados - PISP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45FCE01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(2.597)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6A6EBA67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(909)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1EA8B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(471)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FAA44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6F3CF64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(4.777)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7FD41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(1.549)</w:t>
            </w:r>
          </w:p>
        </w:tc>
      </w:tr>
      <w:tr w:rsidR="00736843" w14:paraId="41F8715B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BA04" w14:textId="77777777" w:rsidR="00736843" w:rsidRDefault="00736843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Pagamento de IRPJ/CSLL Estimados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F6A3133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57EE5435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157A2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BCEA6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32A38641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(7.894)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23E2F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</w:tr>
      <w:tr w:rsidR="00736843" w14:paraId="619E9242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1998E" w14:textId="77777777" w:rsidR="00736843" w:rsidRDefault="007368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Juros de Empréstimos e Financiamentos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B0CD332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660F13AE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(399)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2F76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A8B5B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210E0A0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(224)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6274E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(2.530)</w:t>
            </w:r>
          </w:p>
        </w:tc>
      </w:tr>
      <w:tr w:rsidR="00736843" w14:paraId="5F850EAC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DCD4A" w14:textId="77777777" w:rsidR="00736843" w:rsidRDefault="007368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Juros de Arrendamento Mercantil Financeiro - IFRS 16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8994527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(283)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2AFEEEFE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(160)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349A3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(132)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CB102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4AF5571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(868)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DC757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(741)</w:t>
            </w:r>
          </w:p>
        </w:tc>
      </w:tr>
      <w:tr w:rsidR="00736843" w14:paraId="564F639F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0D3EC" w14:textId="77777777" w:rsidR="00736843" w:rsidRDefault="007368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Causas Judiciais - Trabalhistas, Cíveis e Tributárias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51ECCB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(2.277)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69A15DD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A6350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(288)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0DC37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46CF00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(3.298)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1831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(350)</w:t>
            </w:r>
          </w:p>
        </w:tc>
      </w:tr>
      <w:tr w:rsidR="00736843" w14:paraId="38C61559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DA93F" w14:textId="77777777" w:rsidR="00736843" w:rsidRDefault="007368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Acordos Judiciais - Encargos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742B19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(231)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44A42102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(3.526)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32F2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(2.823)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5CF4E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C6EA3C6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(9.807)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DC4DC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(12.817)</w:t>
            </w:r>
          </w:p>
        </w:tc>
      </w:tr>
      <w:tr w:rsidR="00736843" w14:paraId="5A0CB8D2" w14:textId="77777777" w:rsidTr="00736843">
        <w:trPr>
          <w:trHeight w:val="170"/>
        </w:trPr>
        <w:tc>
          <w:tcPr>
            <w:tcW w:w="2920" w:type="pct"/>
            <w:tcBorders>
              <w:top w:val="single" w:sz="8" w:space="0" w:color="0000FF"/>
              <w:left w:val="nil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222DC0B0" w14:textId="77777777" w:rsidR="00736843" w:rsidRDefault="007368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Subtotal</w:t>
            </w:r>
          </w:p>
        </w:tc>
        <w:tc>
          <w:tcPr>
            <w:tcW w:w="410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shd w:val="clear" w:color="000000" w:fill="75F6F9"/>
            <w:noWrap/>
            <w:vAlign w:val="center"/>
            <w:hideMark/>
          </w:tcPr>
          <w:p w14:paraId="5045F31B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(5.388)</w:t>
            </w:r>
          </w:p>
        </w:tc>
        <w:tc>
          <w:tcPr>
            <w:tcW w:w="410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268C447A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(5.014)</w:t>
            </w:r>
          </w:p>
        </w:tc>
        <w:tc>
          <w:tcPr>
            <w:tcW w:w="368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6E2BC4D9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(3.715)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BB271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shd w:val="clear" w:color="000000" w:fill="75F6F9"/>
            <w:noWrap/>
            <w:vAlign w:val="center"/>
            <w:hideMark/>
          </w:tcPr>
          <w:p w14:paraId="47696B66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(26.868)</w:t>
            </w:r>
          </w:p>
        </w:tc>
        <w:tc>
          <w:tcPr>
            <w:tcW w:w="410" w:type="pc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nil"/>
            </w:tcBorders>
            <w:noWrap/>
            <w:vAlign w:val="center"/>
            <w:hideMark/>
          </w:tcPr>
          <w:p w14:paraId="3249F36F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(17.987)</w:t>
            </w:r>
          </w:p>
        </w:tc>
      </w:tr>
      <w:tr w:rsidR="00736843" w14:paraId="2F84C07A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single" w:sz="8" w:space="0" w:color="3616F6"/>
              <w:right w:val="nil"/>
            </w:tcBorders>
            <w:shd w:val="clear" w:color="000000" w:fill="75F6F9"/>
            <w:noWrap/>
            <w:vAlign w:val="center"/>
            <w:hideMark/>
          </w:tcPr>
          <w:p w14:paraId="351B45C7" w14:textId="77777777" w:rsidR="00736843" w:rsidRDefault="007368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Caixa Líquido Gerado/(Consumido) pelas Atividades Operacionais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7250B5F0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(55.468)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3616F6"/>
              <w:right w:val="single" w:sz="8" w:space="0" w:color="0000FF"/>
            </w:tcBorders>
            <w:vAlign w:val="center"/>
            <w:hideMark/>
          </w:tcPr>
          <w:p w14:paraId="1D609F71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(62.591)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3616F6"/>
              <w:right w:val="nil"/>
            </w:tcBorders>
            <w:vAlign w:val="center"/>
            <w:hideMark/>
          </w:tcPr>
          <w:p w14:paraId="1ED17138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(1.870)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1298A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35D375D0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52.129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3616F6"/>
              <w:right w:val="nil"/>
            </w:tcBorders>
            <w:vAlign w:val="center"/>
            <w:hideMark/>
          </w:tcPr>
          <w:p w14:paraId="0C5B8EDF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121.636</w:t>
            </w:r>
          </w:p>
        </w:tc>
      </w:tr>
      <w:tr w:rsidR="00736843" w14:paraId="41DE126B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8DC65" w14:textId="77777777" w:rsidR="00736843" w:rsidRDefault="007368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Fluxos de Caixa das Atividades de Investimento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48BBA87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F8A7D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single" w:sz="8" w:space="0" w:color="0000FF"/>
              <w:bottom w:val="nil"/>
              <w:right w:val="nil"/>
            </w:tcBorders>
            <w:noWrap/>
            <w:vAlign w:val="center"/>
            <w:hideMark/>
          </w:tcPr>
          <w:p w14:paraId="7AF08EC9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A9C1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0575150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7622C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36843" w14:paraId="065A7D3E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563F1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Aquisição de Imobilizado / Intangível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58802EB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(10.274)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5DE4E0A3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(11.759)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AC34E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(5.096)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34500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F2AFDA6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(25.584)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18B51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(41.772)</w:t>
            </w:r>
          </w:p>
        </w:tc>
      </w:tr>
      <w:tr w:rsidR="00736843" w14:paraId="7227F68F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36CB1" w14:textId="77777777" w:rsidR="00736843" w:rsidRDefault="00736843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Aplicações Financeiras - Resgate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4EDB2D8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6DF2DB90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E0E03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C55BF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F022CE5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39.973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122F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</w:tr>
      <w:tr w:rsidR="00736843" w14:paraId="4093723D" w14:textId="77777777" w:rsidTr="00736843">
        <w:trPr>
          <w:trHeight w:val="170"/>
        </w:trPr>
        <w:tc>
          <w:tcPr>
            <w:tcW w:w="2920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000000" w:fill="75F6F9"/>
            <w:noWrap/>
            <w:vAlign w:val="center"/>
            <w:hideMark/>
          </w:tcPr>
          <w:p w14:paraId="022AC410" w14:textId="77777777" w:rsidR="00736843" w:rsidRDefault="007368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Caixa Líquido Consumido pelas Atividades de Investimento </w:t>
            </w:r>
          </w:p>
        </w:tc>
        <w:tc>
          <w:tcPr>
            <w:tcW w:w="410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3DB053E2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(10.274)</w:t>
            </w:r>
          </w:p>
        </w:tc>
        <w:tc>
          <w:tcPr>
            <w:tcW w:w="410" w:type="pct"/>
            <w:tcBorders>
              <w:top w:val="single" w:sz="8" w:space="0" w:color="3616F6"/>
              <w:left w:val="nil"/>
              <w:bottom w:val="single" w:sz="8" w:space="0" w:color="3616F6"/>
              <w:right w:val="single" w:sz="8" w:space="0" w:color="0000FF"/>
            </w:tcBorders>
            <w:vAlign w:val="center"/>
            <w:hideMark/>
          </w:tcPr>
          <w:p w14:paraId="308ED62D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(11.759)</w:t>
            </w:r>
          </w:p>
        </w:tc>
        <w:tc>
          <w:tcPr>
            <w:tcW w:w="368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vAlign w:val="center"/>
            <w:hideMark/>
          </w:tcPr>
          <w:p w14:paraId="72BB5B5B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(5.096)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C9830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30573318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14.389</w:t>
            </w:r>
          </w:p>
        </w:tc>
        <w:tc>
          <w:tcPr>
            <w:tcW w:w="410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vAlign w:val="center"/>
            <w:hideMark/>
          </w:tcPr>
          <w:p w14:paraId="1C4FE867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(41.772)</w:t>
            </w:r>
          </w:p>
        </w:tc>
      </w:tr>
      <w:tr w:rsidR="00736843" w14:paraId="5BCBDB6D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25830" w14:textId="77777777" w:rsidR="00736843" w:rsidRDefault="007368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Fluxos de Caixa das Atividades de Financiamento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04E14F5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6EE04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single" w:sz="8" w:space="0" w:color="0000FF"/>
              <w:bottom w:val="nil"/>
              <w:right w:val="nil"/>
            </w:tcBorders>
            <w:noWrap/>
            <w:vAlign w:val="center"/>
            <w:hideMark/>
          </w:tcPr>
          <w:p w14:paraId="796608AF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1DBB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7496805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886E6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36843" w14:paraId="1FC1BBFD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DD571" w14:textId="77777777" w:rsidR="00736843" w:rsidRDefault="007368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 de Credores por Perdas Judiciais - Principal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5E218A8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(116.237)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0DD8BF40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(7.113)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DA209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(1.599)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E1E6B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46D1BEF8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(123.183)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81099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(13.740)</w:t>
            </w:r>
          </w:p>
        </w:tc>
      </w:tr>
      <w:tr w:rsidR="00736843" w14:paraId="39E0B0FB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59CDE" w14:textId="77777777" w:rsidR="00736843" w:rsidRDefault="007368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Pagamentos - Financiamento - Finep - Principal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D6FE72E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4904DD8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(11.413)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43E37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3B592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21989F7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(45.777)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EA019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(45.513)</w:t>
            </w:r>
          </w:p>
        </w:tc>
      </w:tr>
      <w:tr w:rsidR="00736843" w14:paraId="00614D30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2551D" w14:textId="77777777" w:rsidR="00736843" w:rsidRDefault="007368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Pagamentos - Financiamento de Arrendamento Mercantil Financeiro - IFRS 16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AB821C3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(1.598)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24F402CB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(1.396)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BEE21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(1.494)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B2D4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8559720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(6.179)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36A4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(5.425)</w:t>
            </w:r>
          </w:p>
        </w:tc>
      </w:tr>
      <w:tr w:rsidR="00736843" w14:paraId="52F64F77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AD5AC" w14:textId="77777777" w:rsidR="00736843" w:rsidRDefault="007368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Recebimento de Parcela de Superávit - Previdência Privada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943F9E7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25.731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3FD71A04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5.355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DD21C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23.424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26107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0910FC0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92.638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61A29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14.999</w:t>
            </w:r>
          </w:p>
        </w:tc>
      </w:tr>
      <w:tr w:rsidR="00736843" w14:paraId="41B5CC71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36764" w14:textId="6A87B8A5" w:rsidR="00736843" w:rsidRDefault="007368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Recebimento de Subvenções Orçamentárias - Contrato de Gestão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0B23507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287.186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7FA9353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C745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- 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858A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B2E65E5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287.186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7F102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- </w:t>
            </w:r>
          </w:p>
        </w:tc>
      </w:tr>
      <w:tr w:rsidR="00736843" w14:paraId="0192424F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0E87C" w14:textId="77777777" w:rsidR="00736843" w:rsidRDefault="007368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Recebimento de Adiantamento p/ Futuro Aumento de Capital 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6493CA4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14C472CB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49D87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C1E55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CB477FE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1.924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C58A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14.490</w:t>
            </w:r>
          </w:p>
        </w:tc>
      </w:tr>
      <w:tr w:rsidR="00736843" w14:paraId="22251567" w14:textId="77777777" w:rsidTr="00736843">
        <w:trPr>
          <w:trHeight w:val="170"/>
        </w:trPr>
        <w:tc>
          <w:tcPr>
            <w:tcW w:w="2920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000000" w:fill="75F6F9"/>
            <w:noWrap/>
            <w:vAlign w:val="center"/>
            <w:hideMark/>
          </w:tcPr>
          <w:p w14:paraId="63068E4A" w14:textId="77777777" w:rsidR="00736843" w:rsidRDefault="007368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Caixa Líquido Gerado pelas Atividades de Financiamento</w:t>
            </w:r>
          </w:p>
        </w:tc>
        <w:tc>
          <w:tcPr>
            <w:tcW w:w="410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0D8D9291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195.081</w:t>
            </w:r>
          </w:p>
        </w:tc>
        <w:tc>
          <w:tcPr>
            <w:tcW w:w="410" w:type="pct"/>
            <w:tcBorders>
              <w:top w:val="single" w:sz="8" w:space="0" w:color="3616F6"/>
              <w:left w:val="nil"/>
              <w:bottom w:val="single" w:sz="8" w:space="0" w:color="3616F6"/>
              <w:right w:val="single" w:sz="8" w:space="0" w:color="0000FF"/>
            </w:tcBorders>
            <w:vAlign w:val="center"/>
            <w:hideMark/>
          </w:tcPr>
          <w:p w14:paraId="0B3C6FEA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(14.036)</w:t>
            </w:r>
          </w:p>
        </w:tc>
        <w:tc>
          <w:tcPr>
            <w:tcW w:w="368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vAlign w:val="center"/>
            <w:hideMark/>
          </w:tcPr>
          <w:p w14:paraId="289E1011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20.398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B2E85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3D94960F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206.609</w:t>
            </w:r>
          </w:p>
        </w:tc>
        <w:tc>
          <w:tcPr>
            <w:tcW w:w="410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vAlign w:val="center"/>
            <w:hideMark/>
          </w:tcPr>
          <w:p w14:paraId="084D8CF4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(35.189)</w:t>
            </w:r>
          </w:p>
        </w:tc>
      </w:tr>
      <w:tr w:rsidR="00736843" w14:paraId="25479165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E311" w14:textId="77777777" w:rsidR="00736843" w:rsidRDefault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0BDC411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77F32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single" w:sz="8" w:space="0" w:color="0000FF"/>
              <w:bottom w:val="nil"/>
              <w:right w:val="nil"/>
            </w:tcBorders>
            <w:noWrap/>
            <w:vAlign w:val="center"/>
            <w:hideMark/>
          </w:tcPr>
          <w:p w14:paraId="1F774B6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64A9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0443713E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BF80B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6843" w14:paraId="4C5E9F66" w14:textId="77777777" w:rsidTr="00736843">
        <w:trPr>
          <w:trHeight w:val="170"/>
        </w:trPr>
        <w:tc>
          <w:tcPr>
            <w:tcW w:w="2920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000000" w:fill="75F6F9"/>
            <w:noWrap/>
            <w:vAlign w:val="center"/>
            <w:hideMark/>
          </w:tcPr>
          <w:p w14:paraId="45A18989" w14:textId="77777777" w:rsidR="00736843" w:rsidRDefault="007368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Variação Líquida de Caixa e Equivalentes de Caixa</w:t>
            </w:r>
          </w:p>
        </w:tc>
        <w:tc>
          <w:tcPr>
            <w:tcW w:w="410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61262F4C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129.339</w:t>
            </w:r>
          </w:p>
        </w:tc>
        <w:tc>
          <w:tcPr>
            <w:tcW w:w="410" w:type="pct"/>
            <w:tcBorders>
              <w:top w:val="single" w:sz="8" w:space="0" w:color="3616F6"/>
              <w:left w:val="nil"/>
              <w:bottom w:val="single" w:sz="8" w:space="0" w:color="3616F6"/>
              <w:right w:val="single" w:sz="8" w:space="0" w:color="0000FF"/>
            </w:tcBorders>
            <w:vAlign w:val="center"/>
            <w:hideMark/>
          </w:tcPr>
          <w:p w14:paraId="10F17158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(88.386)</w:t>
            </w:r>
          </w:p>
        </w:tc>
        <w:tc>
          <w:tcPr>
            <w:tcW w:w="368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vAlign w:val="center"/>
            <w:hideMark/>
          </w:tcPr>
          <w:p w14:paraId="199604AE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13.432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E342B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0C642EDD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273.127</w:t>
            </w:r>
          </w:p>
        </w:tc>
        <w:tc>
          <w:tcPr>
            <w:tcW w:w="410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vAlign w:val="center"/>
            <w:hideMark/>
          </w:tcPr>
          <w:p w14:paraId="7A669492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44.675</w:t>
            </w:r>
          </w:p>
        </w:tc>
      </w:tr>
      <w:tr w:rsidR="00736843" w14:paraId="244CA91C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D75B" w14:textId="77777777" w:rsidR="00736843" w:rsidRDefault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1F3ACF5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EDFE3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single" w:sz="8" w:space="0" w:color="0000FF"/>
              <w:bottom w:val="nil"/>
              <w:right w:val="nil"/>
            </w:tcBorders>
            <w:noWrap/>
            <w:vAlign w:val="center"/>
            <w:hideMark/>
          </w:tcPr>
          <w:p w14:paraId="231FD9BD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EC13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09D422A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FEDA4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36843" w14:paraId="29EB8BF6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06CD1" w14:textId="77777777" w:rsidR="00736843" w:rsidRDefault="007368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Demonstração da Variação de Caixa e Equivalentes de Caixa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75B5901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25559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single" w:sz="8" w:space="0" w:color="0000FF"/>
              <w:bottom w:val="nil"/>
              <w:right w:val="nil"/>
            </w:tcBorders>
            <w:noWrap/>
            <w:vAlign w:val="center"/>
            <w:hideMark/>
          </w:tcPr>
          <w:p w14:paraId="1B413D4E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AA7C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296E2606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578E5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36843" w14:paraId="6342D2E7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51AA2" w14:textId="77777777" w:rsidR="00736843" w:rsidRDefault="007368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Caixa e Equivalentes de Caixa no Final do Período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5DBBA785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698.514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03167E06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425.387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D6474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569.175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3796D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17C63FCA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698.514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9DF28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425.387</w:t>
            </w:r>
          </w:p>
        </w:tc>
      </w:tr>
      <w:tr w:rsidR="00736843" w14:paraId="4ED54B62" w14:textId="77777777" w:rsidTr="00736843">
        <w:trPr>
          <w:trHeight w:val="170"/>
        </w:trPr>
        <w:tc>
          <w:tcPr>
            <w:tcW w:w="29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1CBCD" w14:textId="77777777" w:rsidR="00736843" w:rsidRDefault="007368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Caixa e Equivalentes de Caixa no Início do Período</w:t>
            </w: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B142FD1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569.175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8" w:space="0" w:color="0000FF"/>
            </w:tcBorders>
            <w:noWrap/>
            <w:vAlign w:val="center"/>
            <w:hideMark/>
          </w:tcPr>
          <w:p w14:paraId="507B558B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513.773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D8FA3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555.743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C2766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000000" w:fill="75F6F9"/>
            <w:noWrap/>
            <w:vAlign w:val="center"/>
            <w:hideMark/>
          </w:tcPr>
          <w:p w14:paraId="76103CF5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425.387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F7917" w14:textId="77777777" w:rsidR="00736843" w:rsidRDefault="00736843" w:rsidP="0073684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380.712</w:t>
            </w:r>
          </w:p>
        </w:tc>
      </w:tr>
      <w:tr w:rsidR="00736843" w14:paraId="1AE9E93F" w14:textId="77777777" w:rsidTr="00736843">
        <w:trPr>
          <w:trHeight w:val="170"/>
        </w:trPr>
        <w:tc>
          <w:tcPr>
            <w:tcW w:w="2920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shd w:val="clear" w:color="000000" w:fill="75F6F9"/>
            <w:noWrap/>
            <w:vAlign w:val="center"/>
            <w:hideMark/>
          </w:tcPr>
          <w:p w14:paraId="67B9DB3F" w14:textId="77777777" w:rsidR="00736843" w:rsidRDefault="0073684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Variação de Caixa e Equivalentes de Caixa</w:t>
            </w:r>
          </w:p>
        </w:tc>
        <w:tc>
          <w:tcPr>
            <w:tcW w:w="410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601CE843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129.339</w:t>
            </w:r>
          </w:p>
        </w:tc>
        <w:tc>
          <w:tcPr>
            <w:tcW w:w="410" w:type="pct"/>
            <w:tcBorders>
              <w:top w:val="single" w:sz="8" w:space="0" w:color="3616F6"/>
              <w:left w:val="nil"/>
              <w:bottom w:val="single" w:sz="8" w:space="0" w:color="3616F6"/>
              <w:right w:val="single" w:sz="8" w:space="0" w:color="0000FF"/>
            </w:tcBorders>
            <w:vAlign w:val="center"/>
            <w:hideMark/>
          </w:tcPr>
          <w:p w14:paraId="50072D27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(88.386)</w:t>
            </w:r>
          </w:p>
        </w:tc>
        <w:tc>
          <w:tcPr>
            <w:tcW w:w="368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vAlign w:val="center"/>
            <w:hideMark/>
          </w:tcPr>
          <w:p w14:paraId="3E5C10B4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13.432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99391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8" w:space="0" w:color="3616F6"/>
              <w:left w:val="single" w:sz="8" w:space="0" w:color="0000FF"/>
              <w:bottom w:val="single" w:sz="8" w:space="0" w:color="3616F6"/>
              <w:right w:val="single" w:sz="8" w:space="0" w:color="0000FF"/>
            </w:tcBorders>
            <w:shd w:val="clear" w:color="000000" w:fill="75F6F9"/>
            <w:vAlign w:val="center"/>
            <w:hideMark/>
          </w:tcPr>
          <w:p w14:paraId="3D9F1B23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273.127</w:t>
            </w:r>
          </w:p>
        </w:tc>
        <w:tc>
          <w:tcPr>
            <w:tcW w:w="410" w:type="pct"/>
            <w:tcBorders>
              <w:top w:val="single" w:sz="8" w:space="0" w:color="3616F6"/>
              <w:left w:val="nil"/>
              <w:bottom w:val="single" w:sz="8" w:space="0" w:color="3616F6"/>
              <w:right w:val="nil"/>
            </w:tcBorders>
            <w:vAlign w:val="center"/>
            <w:hideMark/>
          </w:tcPr>
          <w:p w14:paraId="1BE0D220" w14:textId="77777777" w:rsidR="00736843" w:rsidRDefault="00736843" w:rsidP="0073684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44.675</w:t>
            </w:r>
          </w:p>
        </w:tc>
      </w:tr>
    </w:tbl>
    <w:p w14:paraId="6EDB5FC7" w14:textId="77777777" w:rsidR="00736843" w:rsidRDefault="00736843" w:rsidP="002E3F6E">
      <w:pPr>
        <w:rPr>
          <w:rFonts w:ascii="Arial" w:hAnsi="Arial" w:cs="Arial"/>
          <w:b/>
          <w:smallCaps/>
          <w:u w:val="single"/>
        </w:rPr>
      </w:pPr>
    </w:p>
    <w:p w14:paraId="1F79943E" w14:textId="77777777" w:rsidR="00AC54CC" w:rsidRDefault="00AC54CC" w:rsidP="002E3F6E">
      <w:pPr>
        <w:rPr>
          <w:rFonts w:ascii="Arial" w:hAnsi="Arial" w:cs="Arial"/>
          <w:b/>
          <w:smallCaps/>
          <w:u w:val="single"/>
        </w:rPr>
      </w:pPr>
    </w:p>
    <w:p w14:paraId="1BB37D73" w14:textId="77777777" w:rsidR="00AC54CC" w:rsidRDefault="00AC54CC" w:rsidP="002E3F6E">
      <w:pPr>
        <w:rPr>
          <w:rFonts w:ascii="Arial" w:hAnsi="Arial" w:cs="Arial"/>
          <w:b/>
          <w:smallCaps/>
          <w:u w:val="single"/>
        </w:rPr>
      </w:pPr>
    </w:p>
    <w:p w14:paraId="594CBAF9" w14:textId="4245B3A9" w:rsidR="00F6450E" w:rsidRDefault="00F6450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7F7004CC" w14:textId="2B4B3CA4" w:rsidR="00BF52DE" w:rsidRDefault="00BF52DE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5AB7B40A" w14:textId="77777777" w:rsidR="002A0C28" w:rsidRDefault="002A0C28" w:rsidP="00976D7D">
      <w:pPr>
        <w:keepLines/>
        <w:tabs>
          <w:tab w:val="left" w:pos="851"/>
        </w:tabs>
        <w:jc w:val="center"/>
        <w:rPr>
          <w:rFonts w:ascii="Arial" w:hAnsi="Arial" w:cs="Arial"/>
          <w:b/>
        </w:rPr>
      </w:pPr>
    </w:p>
    <w:p w14:paraId="2A1A71B8" w14:textId="674E5715" w:rsidR="0042002E" w:rsidRPr="00271358" w:rsidRDefault="005666C3" w:rsidP="005666C3">
      <w:pPr>
        <w:keepLines/>
        <w:tabs>
          <w:tab w:val="left" w:pos="85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</w:t>
      </w:r>
      <w:r w:rsidR="0042002E" w:rsidRPr="00271358">
        <w:rPr>
          <w:rFonts w:ascii="Arial" w:hAnsi="Arial" w:cs="Arial"/>
          <w:b/>
          <w:sz w:val="22"/>
          <w:szCs w:val="22"/>
        </w:rPr>
        <w:t xml:space="preserve"> </w:t>
      </w:r>
      <w:r w:rsidR="00736843" w:rsidRPr="00736843">
        <w:rPr>
          <w:rFonts w:ascii="Arial" w:hAnsi="Arial" w:cs="Arial"/>
          <w:b/>
          <w:sz w:val="22"/>
          <w:szCs w:val="22"/>
        </w:rPr>
        <w:t>HERMANO STUDART LINS DE ALBUQUERQUE</w:t>
      </w:r>
    </w:p>
    <w:p w14:paraId="5E25C962" w14:textId="49F4FEF1" w:rsidR="00976D7D" w:rsidRPr="00D842FB" w:rsidRDefault="005666C3" w:rsidP="005666C3">
      <w:pPr>
        <w:keepLines/>
        <w:tabs>
          <w:tab w:val="left" w:pos="851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</w:t>
      </w:r>
      <w:r w:rsidR="00976D7D" w:rsidRPr="00D842FB">
        <w:rPr>
          <w:rFonts w:ascii="Arial" w:hAnsi="Arial" w:cs="Arial"/>
          <w:bCs/>
          <w:sz w:val="18"/>
          <w:szCs w:val="18"/>
        </w:rPr>
        <w:t>Presidente</w:t>
      </w:r>
      <w:r w:rsidR="0042002E">
        <w:rPr>
          <w:rFonts w:ascii="Arial" w:hAnsi="Arial" w:cs="Arial"/>
          <w:bCs/>
          <w:sz w:val="18"/>
          <w:szCs w:val="18"/>
        </w:rPr>
        <w:t xml:space="preserve"> </w:t>
      </w:r>
    </w:p>
    <w:p w14:paraId="6AAB9123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bCs/>
          <w:sz w:val="18"/>
          <w:szCs w:val="18"/>
        </w:rPr>
      </w:pPr>
    </w:p>
    <w:p w14:paraId="52EBD211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954"/>
      </w:tblGrid>
      <w:tr w:rsidR="00976D7D" w:rsidRPr="00F949B3" w14:paraId="49F1593C" w14:textId="77777777" w:rsidTr="005358D5">
        <w:tc>
          <w:tcPr>
            <w:tcW w:w="4962" w:type="dxa"/>
          </w:tcPr>
          <w:p w14:paraId="3BE6B4A9" w14:textId="0E51D72A" w:rsidR="00976D7D" w:rsidRPr="0042002E" w:rsidRDefault="005666C3" w:rsidP="00774788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1BE1">
              <w:rPr>
                <w:rFonts w:ascii="Arial" w:hAnsi="Arial" w:cs="Arial"/>
                <w:b/>
                <w:sz w:val="22"/>
                <w:szCs w:val="22"/>
              </w:rPr>
              <w:t>ANDR</w:t>
            </w:r>
            <w:r w:rsidR="008F5305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031BE1">
              <w:rPr>
                <w:rFonts w:ascii="Arial" w:hAnsi="Arial" w:cs="Arial"/>
                <w:b/>
                <w:sz w:val="22"/>
                <w:szCs w:val="22"/>
              </w:rPr>
              <w:t xml:space="preserve"> CHAGAS LEITE DA FONSECA</w:t>
            </w:r>
          </w:p>
        </w:tc>
        <w:tc>
          <w:tcPr>
            <w:tcW w:w="5954" w:type="dxa"/>
          </w:tcPr>
          <w:p w14:paraId="1CAD931C" w14:textId="5506B9DB" w:rsidR="00976D7D" w:rsidRPr="00271358" w:rsidRDefault="005D666A" w:rsidP="00F949B3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1358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="00F949B3" w:rsidRPr="00271358">
              <w:rPr>
                <w:rFonts w:ascii="Arial" w:hAnsi="Arial" w:cs="Arial"/>
                <w:b/>
                <w:sz w:val="22"/>
                <w:szCs w:val="22"/>
              </w:rPr>
              <w:t>TATIANA RÚBIA MELO MIRANDA</w:t>
            </w:r>
          </w:p>
        </w:tc>
      </w:tr>
      <w:tr w:rsidR="00976D7D" w:rsidRPr="00F949B3" w14:paraId="6AAC0CE8" w14:textId="77777777" w:rsidTr="005358D5">
        <w:tc>
          <w:tcPr>
            <w:tcW w:w="4962" w:type="dxa"/>
          </w:tcPr>
          <w:p w14:paraId="4AF93840" w14:textId="081B34E3" w:rsidR="00976D7D" w:rsidRPr="00D842FB" w:rsidRDefault="00976D7D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2FB">
              <w:rPr>
                <w:rFonts w:ascii="Arial" w:hAnsi="Arial" w:cs="Arial"/>
                <w:sz w:val="18"/>
                <w:szCs w:val="18"/>
              </w:rPr>
              <w:t>Diretoria Técnico-Operacional</w:t>
            </w:r>
            <w:r w:rsidR="00231CDF" w:rsidRPr="00D842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54" w:type="dxa"/>
          </w:tcPr>
          <w:p w14:paraId="55EFC6D7" w14:textId="41C700D9" w:rsidR="00976D7D" w:rsidRPr="00D842FB" w:rsidRDefault="005D666A" w:rsidP="00FF63E2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2FB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976D7D" w:rsidRPr="00D842FB">
              <w:rPr>
                <w:rFonts w:ascii="Arial" w:hAnsi="Arial" w:cs="Arial"/>
                <w:sz w:val="18"/>
                <w:szCs w:val="18"/>
              </w:rPr>
              <w:t>Diretoria Administrativo</w:t>
            </w:r>
            <w:r w:rsidR="00FE7A23" w:rsidRPr="00D842FB">
              <w:rPr>
                <w:rFonts w:ascii="Arial" w:hAnsi="Arial" w:cs="Arial"/>
                <w:sz w:val="18"/>
                <w:szCs w:val="18"/>
              </w:rPr>
              <w:t>-Financeira</w:t>
            </w:r>
            <w:r w:rsidR="00D03E54" w:rsidRPr="00D842FB">
              <w:rPr>
                <w:rFonts w:ascii="Arial" w:hAnsi="Arial" w:cs="Arial"/>
                <w:sz w:val="18"/>
                <w:szCs w:val="18"/>
              </w:rPr>
              <w:t xml:space="preserve"> e de Relações com Investidores</w:t>
            </w:r>
          </w:p>
        </w:tc>
      </w:tr>
    </w:tbl>
    <w:p w14:paraId="65780236" w14:textId="1CA24EB8" w:rsidR="00976D7D" w:rsidRPr="00F949B3" w:rsidRDefault="00976D7D" w:rsidP="00F949B3">
      <w:pPr>
        <w:keepLines/>
        <w:tabs>
          <w:tab w:val="left" w:pos="851"/>
        </w:tabs>
        <w:jc w:val="center"/>
        <w:rPr>
          <w:rFonts w:ascii="Arial" w:hAnsi="Arial" w:cs="Arial"/>
          <w:b/>
          <w:sz w:val="18"/>
          <w:szCs w:val="18"/>
        </w:rPr>
      </w:pPr>
    </w:p>
    <w:p w14:paraId="19B2AEAF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47F9BAF7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976D7D" w:rsidRPr="00395329" w14:paraId="4424D6DC" w14:textId="77777777" w:rsidTr="005358D5">
        <w:tc>
          <w:tcPr>
            <w:tcW w:w="4743" w:type="dxa"/>
          </w:tcPr>
          <w:p w14:paraId="6DA77B81" w14:textId="77777777" w:rsidR="00271358" w:rsidRDefault="00271358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1358">
              <w:rPr>
                <w:rFonts w:ascii="Arial" w:hAnsi="Arial" w:cs="Arial"/>
                <w:b/>
                <w:sz w:val="22"/>
                <w:szCs w:val="22"/>
              </w:rPr>
              <w:t>LEVI PEREIRA FIGUEIREDO NETO</w:t>
            </w:r>
          </w:p>
          <w:p w14:paraId="52867E68" w14:textId="685DB2F6" w:rsidR="00973CEF" w:rsidRPr="00D842FB" w:rsidRDefault="00973CEF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2FB">
              <w:rPr>
                <w:rFonts w:ascii="Arial" w:hAnsi="Arial" w:cs="Arial"/>
                <w:sz w:val="18"/>
                <w:szCs w:val="18"/>
              </w:rPr>
              <w:t>Diretoria Comercial</w:t>
            </w:r>
            <w:r w:rsidR="002E5B49" w:rsidRPr="00D842FB">
              <w:rPr>
                <w:rFonts w:ascii="Arial" w:hAnsi="Arial" w:cs="Arial"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4744" w:type="dxa"/>
          </w:tcPr>
          <w:p w14:paraId="0CAC2C1C" w14:textId="4F905A8B" w:rsidR="00976D7D" w:rsidRPr="00271358" w:rsidRDefault="0067604F" w:rsidP="00D03E54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1358">
              <w:rPr>
                <w:rFonts w:ascii="Arial" w:hAnsi="Arial" w:cs="Arial"/>
                <w:b/>
                <w:sz w:val="22"/>
                <w:szCs w:val="22"/>
              </w:rPr>
              <w:t>TATIANA RÚBIA MELO MIRANDA</w:t>
            </w:r>
          </w:p>
        </w:tc>
      </w:tr>
      <w:tr w:rsidR="00976D7D" w:rsidRPr="00395329" w14:paraId="641436A4" w14:textId="77777777" w:rsidTr="005358D5">
        <w:tc>
          <w:tcPr>
            <w:tcW w:w="4743" w:type="dxa"/>
          </w:tcPr>
          <w:p w14:paraId="54538199" w14:textId="6105E1A5" w:rsidR="00976D7D" w:rsidRPr="00395329" w:rsidRDefault="00976D7D" w:rsidP="005358D5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4" w:type="dxa"/>
          </w:tcPr>
          <w:p w14:paraId="229FB5F5" w14:textId="6F87E86B" w:rsidR="00976D7D" w:rsidRPr="00D842FB" w:rsidRDefault="00976D7D" w:rsidP="002E5B49">
            <w:pPr>
              <w:keepLines/>
              <w:tabs>
                <w:tab w:val="left" w:pos="85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2FB">
              <w:rPr>
                <w:rFonts w:ascii="Arial" w:hAnsi="Arial" w:cs="Arial"/>
                <w:sz w:val="18"/>
                <w:szCs w:val="18"/>
              </w:rPr>
              <w:t>Diretoria de Governança</w:t>
            </w:r>
            <w:r w:rsidR="0065792D" w:rsidRPr="00D842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604F">
              <w:rPr>
                <w:rFonts w:ascii="Arial" w:hAnsi="Arial" w:cs="Arial"/>
                <w:sz w:val="18"/>
                <w:szCs w:val="18"/>
              </w:rPr>
              <w:t>(Interina)</w:t>
            </w:r>
          </w:p>
        </w:tc>
      </w:tr>
    </w:tbl>
    <w:p w14:paraId="76812C15" w14:textId="76E41EC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287DA2C5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54852128" w14:textId="77777777" w:rsidR="00976D7D" w:rsidRPr="00395329" w:rsidRDefault="00976D7D" w:rsidP="00976D7D">
      <w:pPr>
        <w:keepLines/>
        <w:tabs>
          <w:tab w:val="left" w:pos="851"/>
        </w:tabs>
        <w:jc w:val="both"/>
        <w:rPr>
          <w:rFonts w:ascii="Arial" w:hAnsi="Arial" w:cs="Arial"/>
          <w:sz w:val="18"/>
          <w:szCs w:val="18"/>
        </w:rPr>
      </w:pPr>
    </w:p>
    <w:p w14:paraId="2395945A" w14:textId="77777777" w:rsidR="002B1300" w:rsidRPr="00271358" w:rsidRDefault="002B1300" w:rsidP="002B1300">
      <w:pPr>
        <w:keepLines/>
        <w:tabs>
          <w:tab w:val="left" w:pos="851"/>
        </w:tabs>
        <w:jc w:val="center"/>
        <w:rPr>
          <w:rFonts w:ascii="Arial" w:hAnsi="Arial" w:cs="Arial"/>
          <w:b/>
          <w:sz w:val="22"/>
          <w:szCs w:val="22"/>
        </w:rPr>
      </w:pPr>
      <w:r w:rsidRPr="00271358">
        <w:rPr>
          <w:rFonts w:ascii="Arial" w:hAnsi="Arial" w:cs="Arial"/>
          <w:b/>
          <w:sz w:val="22"/>
          <w:szCs w:val="22"/>
        </w:rPr>
        <w:t>ARTUR JOSÉ SIMÃO PEDREIRA</w:t>
      </w:r>
    </w:p>
    <w:p w14:paraId="70C3F99E" w14:textId="77777777" w:rsidR="002B1300" w:rsidRPr="00395329" w:rsidRDefault="002B1300" w:rsidP="002B1300">
      <w:pPr>
        <w:keepLines/>
        <w:tabs>
          <w:tab w:val="left" w:pos="851"/>
        </w:tabs>
        <w:jc w:val="center"/>
        <w:rPr>
          <w:rFonts w:ascii="Arial" w:hAnsi="Arial" w:cs="Arial"/>
          <w:sz w:val="18"/>
          <w:szCs w:val="18"/>
        </w:rPr>
      </w:pPr>
      <w:r w:rsidRPr="00395329">
        <w:rPr>
          <w:rFonts w:ascii="Arial" w:hAnsi="Arial" w:cs="Arial"/>
          <w:sz w:val="18"/>
          <w:szCs w:val="18"/>
        </w:rPr>
        <w:t>Contador CRC/DF 008412/0-9</w:t>
      </w:r>
    </w:p>
    <w:p w14:paraId="5D1EAACC" w14:textId="77777777" w:rsidR="00976D7D" w:rsidRPr="00395329" w:rsidRDefault="00976D7D" w:rsidP="002B1300">
      <w:pPr>
        <w:rPr>
          <w:rFonts w:ascii="Arial" w:hAnsi="Arial" w:cs="Arial"/>
          <w:b/>
          <w:smallCaps/>
          <w:sz w:val="18"/>
          <w:szCs w:val="18"/>
          <w:u w:val="single"/>
        </w:rPr>
      </w:pPr>
    </w:p>
    <w:sectPr w:rsidR="00976D7D" w:rsidRPr="00395329" w:rsidSect="0077679A">
      <w:headerReference w:type="default" r:id="rId16"/>
      <w:footerReference w:type="default" r:id="rId17"/>
      <w:pgSz w:w="11906" w:h="16838"/>
      <w:pgMar w:top="1418" w:right="567" w:bottom="1276" w:left="851" w:header="119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D104" w14:textId="77777777" w:rsidR="00F273E8" w:rsidRDefault="00F273E8" w:rsidP="00C2561C">
      <w:r>
        <w:separator/>
      </w:r>
    </w:p>
  </w:endnote>
  <w:endnote w:type="continuationSeparator" w:id="0">
    <w:p w14:paraId="305792AB" w14:textId="77777777" w:rsidR="00F273E8" w:rsidRDefault="00F273E8" w:rsidP="00C2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73844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2488FAD" w14:textId="3E47F893" w:rsidR="00B96302" w:rsidRPr="00101F54" w:rsidRDefault="00B96302">
        <w:pPr>
          <w:pStyle w:val="Rodap"/>
          <w:jc w:val="right"/>
          <w:rPr>
            <w:rFonts w:ascii="Arial" w:hAnsi="Arial" w:cs="Arial"/>
          </w:rPr>
        </w:pPr>
        <w:r w:rsidRPr="00DA3983">
          <w:rPr>
            <w:rFonts w:ascii="Arial" w:hAnsi="Arial" w:cs="Arial"/>
            <w:sz w:val="22"/>
          </w:rPr>
          <w:fldChar w:fldCharType="begin"/>
        </w:r>
        <w:r w:rsidRPr="00DA3983">
          <w:rPr>
            <w:rFonts w:ascii="Arial" w:hAnsi="Arial" w:cs="Arial"/>
            <w:sz w:val="22"/>
          </w:rPr>
          <w:instrText>PAGE   \* MERGEFORMAT</w:instrText>
        </w:r>
        <w:r w:rsidRPr="00DA3983">
          <w:rPr>
            <w:rFonts w:ascii="Arial" w:hAnsi="Arial" w:cs="Arial"/>
            <w:sz w:val="22"/>
          </w:rPr>
          <w:fldChar w:fldCharType="separate"/>
        </w:r>
        <w:r w:rsidR="005821C5">
          <w:rPr>
            <w:rFonts w:ascii="Arial" w:hAnsi="Arial" w:cs="Arial"/>
            <w:noProof/>
            <w:sz w:val="22"/>
          </w:rPr>
          <w:t>16</w:t>
        </w:r>
        <w:r w:rsidRPr="00DA3983">
          <w:rPr>
            <w:rFonts w:ascii="Arial" w:hAnsi="Arial" w:cs="Arial"/>
            <w:sz w:val="22"/>
          </w:rPr>
          <w:fldChar w:fldCharType="end"/>
        </w:r>
      </w:p>
    </w:sdtContent>
  </w:sdt>
  <w:p w14:paraId="21765349" w14:textId="77777777" w:rsidR="00B96302" w:rsidRDefault="00B963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16289" w14:textId="77777777" w:rsidR="00F273E8" w:rsidRDefault="00F273E8" w:rsidP="00C2561C">
      <w:r>
        <w:separator/>
      </w:r>
    </w:p>
  </w:footnote>
  <w:footnote w:type="continuationSeparator" w:id="0">
    <w:p w14:paraId="762E2357" w14:textId="77777777" w:rsidR="00F273E8" w:rsidRDefault="00F273E8" w:rsidP="00C2561C">
      <w:r>
        <w:continuationSeparator/>
      </w:r>
    </w:p>
  </w:footnote>
  <w:footnote w:id="1">
    <w:p w14:paraId="37C471A5" w14:textId="15F48AA7" w:rsidR="00B96302" w:rsidRPr="00250E6D" w:rsidRDefault="00B96302">
      <w:pPr>
        <w:pStyle w:val="Textodenotaderodap"/>
        <w:rPr>
          <w:rFonts w:ascii="Arial" w:hAnsi="Arial" w:cs="Arial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250E6D">
        <w:rPr>
          <w:rFonts w:ascii="Arial" w:hAnsi="Arial" w:cs="Arial"/>
          <w:sz w:val="16"/>
          <w:szCs w:val="16"/>
        </w:rPr>
        <w:t>A cor vermelha representa redução de receita.</w:t>
      </w:r>
    </w:p>
  </w:footnote>
  <w:footnote w:id="2">
    <w:p w14:paraId="79A7F803" w14:textId="27563D78" w:rsidR="00B96302" w:rsidRPr="00DA0A83" w:rsidRDefault="00B96302">
      <w:pPr>
        <w:pStyle w:val="Textodenotaderodap"/>
        <w:rPr>
          <w:rFonts w:ascii="Arial" w:hAnsi="Arial" w:cs="Arial"/>
          <w:sz w:val="16"/>
          <w:szCs w:val="16"/>
        </w:rPr>
      </w:pPr>
      <w:r w:rsidRPr="00C07B0E">
        <w:rPr>
          <w:rStyle w:val="Refdenotaderodap"/>
          <w:rFonts w:ascii="Arial" w:hAnsi="Arial" w:cs="Arial"/>
          <w:sz w:val="16"/>
          <w:szCs w:val="16"/>
        </w:rPr>
        <w:footnoteRef/>
      </w:r>
      <w:r w:rsidRPr="00C07B0E">
        <w:rPr>
          <w:rFonts w:ascii="Arial" w:hAnsi="Arial" w:cs="Arial"/>
          <w:sz w:val="16"/>
          <w:szCs w:val="16"/>
        </w:rPr>
        <w:t xml:space="preserve"> </w:t>
      </w:r>
      <w:r w:rsidRPr="00DA0A83">
        <w:rPr>
          <w:rFonts w:ascii="Arial" w:hAnsi="Arial" w:cs="Arial"/>
          <w:sz w:val="16"/>
          <w:szCs w:val="16"/>
        </w:rPr>
        <w:t>Custos e Despesas vinculadas às funções: Custo dos Serviços Prestados, Comercialização dos Serviços e Gerais e Administrativas.</w:t>
      </w:r>
    </w:p>
  </w:footnote>
  <w:footnote w:id="3">
    <w:p w14:paraId="26D81F60" w14:textId="2D7390E7" w:rsidR="00132087" w:rsidRDefault="0013208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36D5A">
        <w:rPr>
          <w:rFonts w:ascii="Arial" w:hAnsi="Arial" w:cs="Arial"/>
          <w:sz w:val="16"/>
          <w:szCs w:val="16"/>
        </w:rPr>
        <w:t>Perda Estimada com Crédito de Liquidação Duvidosa.</w:t>
      </w:r>
    </w:p>
  </w:footnote>
  <w:footnote w:id="4">
    <w:p w14:paraId="77C51328" w14:textId="27E2E018" w:rsidR="00132087" w:rsidRDefault="0013208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36D5A">
        <w:rPr>
          <w:rFonts w:ascii="Arial" w:hAnsi="Arial" w:cs="Arial"/>
          <w:sz w:val="16"/>
          <w:szCs w:val="16"/>
        </w:rPr>
        <w:t>Programa de Indenização por Serviços Prestados.</w:t>
      </w:r>
      <w:r>
        <w:t xml:space="preserve"> </w:t>
      </w:r>
    </w:p>
  </w:footnote>
  <w:footnote w:id="5">
    <w:p w14:paraId="3522A4E2" w14:textId="29696DBF" w:rsidR="00B96302" w:rsidRPr="00912FF6" w:rsidRDefault="00B96302">
      <w:pPr>
        <w:pStyle w:val="Textodenotaderodap"/>
        <w:rPr>
          <w:rFonts w:ascii="Arial" w:hAnsi="Arial" w:cs="Arial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912FF6">
        <w:rPr>
          <w:rFonts w:ascii="Arial" w:hAnsi="Arial" w:cs="Arial"/>
          <w:sz w:val="16"/>
          <w:szCs w:val="16"/>
        </w:rPr>
        <w:t>A cor azul representa a redução dos custos/despesas.</w:t>
      </w:r>
    </w:p>
  </w:footnote>
  <w:footnote w:id="6">
    <w:p w14:paraId="35EECF48" w14:textId="6AF65812" w:rsidR="00B96302" w:rsidRPr="00057D35" w:rsidRDefault="00B96302">
      <w:pPr>
        <w:pStyle w:val="Textodenotaderodap"/>
        <w:rPr>
          <w:rFonts w:ascii="Arial" w:hAnsi="Arial" w:cs="Arial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057D35">
        <w:rPr>
          <w:rFonts w:ascii="Arial" w:hAnsi="Arial" w:cs="Arial"/>
          <w:sz w:val="16"/>
          <w:szCs w:val="16"/>
        </w:rPr>
        <w:t>A cor vermelha representa aumento dos custos/despesas.</w:t>
      </w:r>
    </w:p>
  </w:footnote>
  <w:footnote w:id="7">
    <w:p w14:paraId="5044E0B5" w14:textId="2884578A" w:rsidR="00EB112E" w:rsidRDefault="00EB112E" w:rsidP="00803A4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F52FBB">
        <w:rPr>
          <w:rFonts w:ascii="Arial" w:hAnsi="Arial" w:cs="Arial"/>
          <w:sz w:val="16"/>
          <w:szCs w:val="16"/>
        </w:rPr>
        <w:t>Resultado recorrente é um indicador financeiro que representa o lucro ou prejuízo da empresa gerado pelas suas operações habituais, excluindo efeitos considerados não recorrentes, como: ganhos ou perdas extraordinárias; eventos pontuais que não fazem parte da atividade principal; efeitos de decisões contábeis atípicas; e itens não operacionais ou de caráter não repetitivo.</w:t>
      </w:r>
    </w:p>
  </w:footnote>
  <w:footnote w:id="8">
    <w:p w14:paraId="61780439" w14:textId="7CB26628" w:rsidR="00B96302" w:rsidRPr="00C07B0E" w:rsidRDefault="00B96302" w:rsidP="004D5EDC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C07B0E">
        <w:rPr>
          <w:rStyle w:val="Refdenotaderodap"/>
          <w:rFonts w:ascii="Arial" w:hAnsi="Arial" w:cs="Arial"/>
          <w:sz w:val="16"/>
          <w:szCs w:val="16"/>
        </w:rPr>
        <w:footnoteRef/>
      </w:r>
      <w:r w:rsidRPr="00C07B0E">
        <w:rPr>
          <w:rFonts w:ascii="Arial" w:hAnsi="Arial" w:cs="Arial"/>
          <w:sz w:val="16"/>
          <w:szCs w:val="16"/>
        </w:rPr>
        <w:t xml:space="preserve"> Dívida Líquida= Dívida bruta – </w:t>
      </w:r>
      <w:r>
        <w:rPr>
          <w:rFonts w:ascii="Arial" w:hAnsi="Arial" w:cs="Arial"/>
          <w:sz w:val="16"/>
          <w:szCs w:val="16"/>
        </w:rPr>
        <w:t>(</w:t>
      </w:r>
      <w:r w:rsidRPr="00C07B0E">
        <w:rPr>
          <w:rFonts w:ascii="Arial" w:hAnsi="Arial" w:cs="Arial"/>
          <w:sz w:val="16"/>
          <w:szCs w:val="16"/>
        </w:rPr>
        <w:t xml:space="preserve">Caixa e Equivalentes de Caixa </w:t>
      </w:r>
      <w:r>
        <w:rPr>
          <w:rFonts w:ascii="Arial" w:hAnsi="Arial" w:cs="Arial"/>
          <w:sz w:val="16"/>
          <w:szCs w:val="16"/>
        </w:rPr>
        <w:t>+</w:t>
      </w:r>
      <w:r w:rsidRPr="00C07B0E">
        <w:rPr>
          <w:rFonts w:ascii="Arial" w:hAnsi="Arial" w:cs="Arial"/>
          <w:sz w:val="16"/>
          <w:szCs w:val="16"/>
        </w:rPr>
        <w:t xml:space="preserve"> Aplicações Financeiras de recursos vinculados </w:t>
      </w:r>
      <w:r>
        <w:rPr>
          <w:rFonts w:ascii="Arial" w:hAnsi="Arial" w:cs="Arial"/>
          <w:sz w:val="16"/>
          <w:szCs w:val="16"/>
        </w:rPr>
        <w:t>a</w:t>
      </w:r>
      <w:r w:rsidRPr="00C07B0E">
        <w:rPr>
          <w:rFonts w:ascii="Arial" w:hAnsi="Arial" w:cs="Arial"/>
          <w:sz w:val="16"/>
          <w:szCs w:val="16"/>
        </w:rPr>
        <w:t xml:space="preserve"> garantias de empréstimos e financiamentos</w:t>
      </w:r>
      <w:r>
        <w:rPr>
          <w:rFonts w:ascii="Arial" w:hAnsi="Arial" w:cs="Arial"/>
          <w:sz w:val="16"/>
          <w:szCs w:val="16"/>
        </w:rPr>
        <w:t xml:space="preserve"> e</w:t>
      </w:r>
      <w:r w:rsidRPr="00C07B0E">
        <w:rPr>
          <w:rFonts w:ascii="Arial" w:hAnsi="Arial" w:cs="Arial"/>
          <w:sz w:val="16"/>
          <w:szCs w:val="16"/>
        </w:rPr>
        <w:t xml:space="preserve"> acordos </w:t>
      </w:r>
      <w:r w:rsidR="00E70E72" w:rsidRPr="00C07B0E">
        <w:rPr>
          <w:rFonts w:ascii="Arial" w:hAnsi="Arial" w:cs="Arial"/>
          <w:sz w:val="16"/>
          <w:szCs w:val="16"/>
        </w:rPr>
        <w:t>judiciais</w:t>
      </w:r>
      <w:r w:rsidRPr="00C07B0E">
        <w:rPr>
          <w:rFonts w:ascii="Arial" w:hAnsi="Arial" w:cs="Arial"/>
          <w:sz w:val="16"/>
          <w:szCs w:val="16"/>
        </w:rPr>
        <w:t xml:space="preserve"> firmados com credores</w:t>
      </w:r>
      <w:r>
        <w:rPr>
          <w:rFonts w:ascii="Arial" w:hAnsi="Arial" w:cs="Arial"/>
          <w:sz w:val="16"/>
          <w:szCs w:val="16"/>
        </w:rPr>
        <w:t>)</w:t>
      </w:r>
      <w:r w:rsidRPr="00C07B0E">
        <w:rPr>
          <w:rFonts w:ascii="Arial" w:hAnsi="Arial" w:cs="Arial"/>
          <w:sz w:val="16"/>
          <w:szCs w:val="16"/>
        </w:rPr>
        <w:t>.</w:t>
      </w:r>
    </w:p>
  </w:footnote>
  <w:footnote w:id="9">
    <w:p w14:paraId="2E3C1925" w14:textId="55AB186D" w:rsidR="00A37988" w:rsidRDefault="00A37988">
      <w:pPr>
        <w:pStyle w:val="Textodenotaderodap"/>
      </w:pPr>
      <w:r>
        <w:rPr>
          <w:rStyle w:val="Refdenotaderodap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1D2324">
        <w:rPr>
          <w:rFonts w:ascii="Arial" w:hAnsi="Arial" w:cs="Arial"/>
          <w:sz w:val="16"/>
          <w:szCs w:val="16"/>
        </w:rPr>
        <w:t xml:space="preserve">Exclui o valor </w:t>
      </w:r>
      <w:r>
        <w:rPr>
          <w:rFonts w:ascii="Arial" w:hAnsi="Arial" w:cs="Arial"/>
          <w:sz w:val="16"/>
          <w:szCs w:val="16"/>
        </w:rPr>
        <w:t>das</w:t>
      </w:r>
      <w:r w:rsidRPr="001D2324">
        <w:rPr>
          <w:rFonts w:ascii="Arial" w:hAnsi="Arial" w:cs="Arial"/>
          <w:sz w:val="16"/>
          <w:szCs w:val="16"/>
        </w:rPr>
        <w:t xml:space="preserve"> aplicações financeira</w:t>
      </w:r>
      <w:r>
        <w:rPr>
          <w:rFonts w:ascii="Arial" w:hAnsi="Arial" w:cs="Arial"/>
          <w:sz w:val="16"/>
          <w:szCs w:val="16"/>
        </w:rPr>
        <w:t>s</w:t>
      </w:r>
      <w:r w:rsidRPr="001D2324">
        <w:rPr>
          <w:rFonts w:ascii="Arial" w:hAnsi="Arial" w:cs="Arial"/>
          <w:sz w:val="16"/>
          <w:szCs w:val="16"/>
        </w:rPr>
        <w:t xml:space="preserve"> dos recursos recebidos a título de AFAC</w:t>
      </w:r>
      <w:r>
        <w:rPr>
          <w:rFonts w:ascii="Arial" w:hAnsi="Arial" w:cs="Arial"/>
          <w:sz w:val="16"/>
          <w:szCs w:val="16"/>
        </w:rPr>
        <w:t xml:space="preserve"> e</w:t>
      </w:r>
      <w:r w:rsidRPr="001D2324">
        <w:rPr>
          <w:rFonts w:ascii="Arial" w:hAnsi="Arial" w:cs="Arial"/>
          <w:sz w:val="16"/>
          <w:szCs w:val="16"/>
        </w:rPr>
        <w:t xml:space="preserve"> registrado na rubrica de Disponibilidade, uma vez, que esse recurso não pode ser utilizado para a liquidação da Dívida</w:t>
      </w:r>
      <w:r>
        <w:rPr>
          <w:rFonts w:ascii="Arial" w:hAnsi="Arial" w:cs="Arial"/>
          <w:sz w:val="16"/>
          <w:szCs w:val="16"/>
        </w:rPr>
        <w:t xml:space="preserve"> Bruta</w:t>
      </w:r>
      <w:r w:rsidRPr="001D2324">
        <w:rPr>
          <w:rFonts w:ascii="Arial" w:hAnsi="Arial" w:cs="Arial"/>
          <w:sz w:val="16"/>
          <w:szCs w:val="16"/>
        </w:rPr>
        <w:t>.</w:t>
      </w:r>
      <w:r>
        <w:t xml:space="preserve"> </w:t>
      </w:r>
    </w:p>
  </w:footnote>
  <w:footnote w:id="10">
    <w:p w14:paraId="6BFB31DC" w14:textId="03119C70" w:rsidR="00A37988" w:rsidRDefault="00A3798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07B0E">
        <w:rPr>
          <w:rFonts w:ascii="Arial" w:hAnsi="Arial" w:cs="Arial"/>
          <w:bCs/>
          <w:sz w:val="16"/>
          <w:szCs w:val="16"/>
        </w:rPr>
        <w:t>EBITDA anualizado: Representa o EBITDA do mês corrente somado ao EBITDA mensal dos onze meses anteriores.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3AA8" w14:textId="0EA47036" w:rsidR="00B96302" w:rsidRDefault="00B96302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Comentários de Desempenho</w:t>
    </w:r>
  </w:p>
  <w:p w14:paraId="27E7F103" w14:textId="77777777" w:rsidR="00B96302" w:rsidRDefault="00B96302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Telecomunicações Brasileiras S.A. - TELEBRAS</w:t>
    </w:r>
  </w:p>
  <w:p w14:paraId="0815B97D" w14:textId="3E6CBE68" w:rsidR="00B96302" w:rsidRDefault="00B96302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38DB53A" wp14:editId="77F26200">
              <wp:simplePos x="0" y="0"/>
              <wp:positionH relativeFrom="column">
                <wp:posOffset>-54610</wp:posOffset>
              </wp:positionH>
              <wp:positionV relativeFrom="paragraph">
                <wp:posOffset>209550</wp:posOffset>
              </wp:positionV>
              <wp:extent cx="6829425" cy="0"/>
              <wp:effectExtent l="38100" t="38100" r="66675" b="952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2942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4033D0" id="Conector reto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.3pt,16.5pt" to="533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" strokecolor="#0070c0" strokeweight="2pt">
              <v:shadow on="t" color="black" opacity="24903f" origin=",.5" offset="0,.55556mm"/>
            </v:line>
          </w:pict>
        </mc:Fallback>
      </mc:AlternateContent>
    </w:r>
    <w:r>
      <w:rPr>
        <w:rFonts w:ascii="Arial" w:hAnsi="Arial" w:cs="Arial"/>
        <w:b/>
      </w:rPr>
      <w:t>4º Trimestre de 2018</w:t>
    </w:r>
  </w:p>
  <w:p w14:paraId="4479A922" w14:textId="77777777" w:rsidR="00B96302" w:rsidRDefault="00B96302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F8BD" w14:textId="77777777" w:rsidR="00B96302" w:rsidRPr="001F49EF" w:rsidRDefault="00B96302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 w:rsidRPr="001F49EF">
      <w:rPr>
        <w:rFonts w:ascii="Arial" w:hAnsi="Arial" w:cs="Arial"/>
        <w:b/>
        <w:sz w:val="22"/>
        <w:szCs w:val="22"/>
      </w:rPr>
      <w:t>Comentários de Desempenho</w:t>
    </w:r>
  </w:p>
  <w:p w14:paraId="259559EE" w14:textId="77777777" w:rsidR="00B96302" w:rsidRPr="001F49EF" w:rsidRDefault="00B96302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 w:rsidRPr="001F49EF">
      <w:rPr>
        <w:rFonts w:ascii="Arial" w:hAnsi="Arial" w:cs="Arial"/>
        <w:b/>
        <w:sz w:val="22"/>
        <w:szCs w:val="22"/>
      </w:rPr>
      <w:t>Telecomunicações Brasileiras S.A. - TELEBRAS</w:t>
    </w:r>
  </w:p>
  <w:p w14:paraId="6DA7CF2F" w14:textId="34777F17" w:rsidR="00B96302" w:rsidRPr="001F49EF" w:rsidRDefault="0094057D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4</w:t>
    </w:r>
    <w:r w:rsidR="00B96302" w:rsidRPr="001F49EF">
      <w:rPr>
        <w:rFonts w:ascii="Arial" w:hAnsi="Arial" w:cs="Arial"/>
        <w:b/>
        <w:sz w:val="22"/>
        <w:szCs w:val="22"/>
      </w:rPr>
      <w:t>º Trimestre de 2025</w:t>
    </w:r>
  </w:p>
  <w:p w14:paraId="2CB5B487" w14:textId="67A2D651" w:rsidR="00B96302" w:rsidRPr="000D6AF2" w:rsidRDefault="00B96302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rFonts w:ascii="Arial" w:hAnsi="Arial" w:cs="Arial"/>
        <w:b/>
        <w:sz w:val="22"/>
        <w:szCs w:val="22"/>
      </w:rPr>
    </w:pPr>
    <w:r w:rsidRPr="001F49EF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45D2C2A" wp14:editId="200A6976">
              <wp:simplePos x="0" y="0"/>
              <wp:positionH relativeFrom="column">
                <wp:posOffset>-54610</wp:posOffset>
              </wp:positionH>
              <wp:positionV relativeFrom="paragraph">
                <wp:posOffset>191135</wp:posOffset>
              </wp:positionV>
              <wp:extent cx="6829425" cy="0"/>
              <wp:effectExtent l="38100" t="38100" r="66675" b="9525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29425" cy="0"/>
                      </a:xfrm>
                      <a:prstGeom prst="line">
                        <a:avLst/>
                      </a:prstGeom>
                      <a:ln>
                        <a:solidFill>
                          <a:srgbClr val="0000FF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76E301" id="Conector reto 10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.3pt,15.05pt" to="533.4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" strokecolor="blue" strokeweight="2pt">
              <v:shadow on="t" color="black" opacity="24903f" origin=",.5" offset="0,.55556mm"/>
            </v:line>
          </w:pict>
        </mc:Fallback>
      </mc:AlternateContent>
    </w:r>
    <w:r w:rsidRPr="001F49EF">
      <w:rPr>
        <w:rFonts w:ascii="Arial" w:hAnsi="Arial" w:cs="Arial"/>
        <w:b/>
        <w:sz w:val="22"/>
        <w:szCs w:val="22"/>
      </w:rPr>
      <w:t>Valores em Milhares de Reais, exceto quando indicado de outra forma</w:t>
    </w:r>
    <w:r w:rsidRPr="001F49EF">
      <w:rPr>
        <w:rFonts w:ascii="Arial" w:hAnsi="Arial" w:cs="Arial"/>
        <w:bCs/>
        <w:sz w:val="22"/>
        <w:szCs w:val="22"/>
      </w:rPr>
      <w:t>.</w:t>
    </w:r>
  </w:p>
  <w:p w14:paraId="59C4221A" w14:textId="77777777" w:rsidR="00B96302" w:rsidRDefault="00B96302" w:rsidP="009943AA">
    <w:pPr>
      <w:pStyle w:val="citcar"/>
      <w:widowControl/>
      <w:tabs>
        <w:tab w:val="center" w:pos="4419"/>
        <w:tab w:val="right" w:pos="8838"/>
      </w:tabs>
      <w:spacing w:line="240" w:lineRule="auto"/>
      <w:ind w:left="0" w:right="0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7A3B"/>
    <w:multiLevelType w:val="multilevel"/>
    <w:tmpl w:val="BA44517E"/>
    <w:lvl w:ilvl="0">
      <w:start w:val="1"/>
      <w:numFmt w:val="decimal"/>
      <w:lvlText w:val="%1."/>
      <w:lvlJc w:val="left"/>
      <w:pPr>
        <w:ind w:left="367" w:hanging="360"/>
      </w:p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7" w:hanging="1800"/>
      </w:pPr>
      <w:rPr>
        <w:rFonts w:hint="default"/>
      </w:rPr>
    </w:lvl>
  </w:abstractNum>
  <w:abstractNum w:abstractNumId="1" w15:restartNumberingAfterBreak="0">
    <w:nsid w:val="28080810"/>
    <w:multiLevelType w:val="hybridMultilevel"/>
    <w:tmpl w:val="DEEC9BD2"/>
    <w:lvl w:ilvl="0" w:tplc="0416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B1263B"/>
    <w:multiLevelType w:val="hybridMultilevel"/>
    <w:tmpl w:val="0CD25744"/>
    <w:lvl w:ilvl="0" w:tplc="F29853CC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739F0"/>
    <w:multiLevelType w:val="hybridMultilevel"/>
    <w:tmpl w:val="20862036"/>
    <w:lvl w:ilvl="0" w:tplc="2668BA2A">
      <w:start w:val="1"/>
      <w:numFmt w:val="decimal"/>
      <w:pStyle w:val="TtulodaFigura"/>
      <w:lvlText w:val="FIGURA %1 - "/>
      <w:lvlJc w:val="left"/>
      <w:pPr>
        <w:tabs>
          <w:tab w:val="num" w:pos="120"/>
        </w:tabs>
        <w:ind w:left="1424" w:hanging="1304"/>
      </w:pPr>
      <w:rPr>
        <w:rFonts w:cs="Times New Roman" w:hint="default"/>
      </w:rPr>
    </w:lvl>
    <w:lvl w:ilvl="1" w:tplc="08561E54">
      <w:start w:val="1"/>
      <w:numFmt w:val="lowerLetter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31502B"/>
    <w:multiLevelType w:val="hybridMultilevel"/>
    <w:tmpl w:val="8D02F5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30345"/>
    <w:multiLevelType w:val="multilevel"/>
    <w:tmpl w:val="D22C57A4"/>
    <w:lvl w:ilvl="0">
      <w:start w:val="7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05516E9"/>
    <w:multiLevelType w:val="multilevel"/>
    <w:tmpl w:val="C09E2690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3570A93"/>
    <w:multiLevelType w:val="hybridMultilevel"/>
    <w:tmpl w:val="4CE2D852"/>
    <w:lvl w:ilvl="0" w:tplc="0416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92F5B"/>
    <w:multiLevelType w:val="hybridMultilevel"/>
    <w:tmpl w:val="F55EC1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974DB"/>
    <w:multiLevelType w:val="multilevel"/>
    <w:tmpl w:val="6B42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83067"/>
    <w:multiLevelType w:val="hybridMultilevel"/>
    <w:tmpl w:val="268E6F4C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93465694">
    <w:abstractNumId w:val="7"/>
  </w:num>
  <w:num w:numId="2" w16cid:durableId="2026320504">
    <w:abstractNumId w:val="10"/>
  </w:num>
  <w:num w:numId="3" w16cid:durableId="207693139">
    <w:abstractNumId w:val="4"/>
  </w:num>
  <w:num w:numId="4" w16cid:durableId="1306202818">
    <w:abstractNumId w:val="8"/>
  </w:num>
  <w:num w:numId="5" w16cid:durableId="867832459">
    <w:abstractNumId w:val="0"/>
  </w:num>
  <w:num w:numId="6" w16cid:durableId="2068719174">
    <w:abstractNumId w:val="3"/>
  </w:num>
  <w:num w:numId="7" w16cid:durableId="2127849508">
    <w:abstractNumId w:val="5"/>
  </w:num>
  <w:num w:numId="8" w16cid:durableId="480735593">
    <w:abstractNumId w:val="1"/>
  </w:num>
  <w:num w:numId="9" w16cid:durableId="1958677326">
    <w:abstractNumId w:val="2"/>
  </w:num>
  <w:num w:numId="10" w16cid:durableId="1310086502">
    <w:abstractNumId w:val="6"/>
  </w:num>
  <w:num w:numId="11" w16cid:durableId="10444068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1C"/>
    <w:rsid w:val="000004C0"/>
    <w:rsid w:val="00000693"/>
    <w:rsid w:val="00000C9E"/>
    <w:rsid w:val="00000DAD"/>
    <w:rsid w:val="0000151B"/>
    <w:rsid w:val="00001F62"/>
    <w:rsid w:val="00002667"/>
    <w:rsid w:val="000026DD"/>
    <w:rsid w:val="00002B11"/>
    <w:rsid w:val="00003C47"/>
    <w:rsid w:val="0000482A"/>
    <w:rsid w:val="0000539C"/>
    <w:rsid w:val="0000574F"/>
    <w:rsid w:val="000059CB"/>
    <w:rsid w:val="00006433"/>
    <w:rsid w:val="000067C8"/>
    <w:rsid w:val="000068D1"/>
    <w:rsid w:val="00006EA4"/>
    <w:rsid w:val="00007C79"/>
    <w:rsid w:val="000101AD"/>
    <w:rsid w:val="000101B4"/>
    <w:rsid w:val="000106AD"/>
    <w:rsid w:val="00010ACE"/>
    <w:rsid w:val="00010B3E"/>
    <w:rsid w:val="00010F56"/>
    <w:rsid w:val="000115AF"/>
    <w:rsid w:val="0001169A"/>
    <w:rsid w:val="0001170A"/>
    <w:rsid w:val="00012F24"/>
    <w:rsid w:val="00012F28"/>
    <w:rsid w:val="00013406"/>
    <w:rsid w:val="00013ECF"/>
    <w:rsid w:val="00013F68"/>
    <w:rsid w:val="00014376"/>
    <w:rsid w:val="00014643"/>
    <w:rsid w:val="00014781"/>
    <w:rsid w:val="00014E29"/>
    <w:rsid w:val="000150C2"/>
    <w:rsid w:val="000150D1"/>
    <w:rsid w:val="000155B4"/>
    <w:rsid w:val="00015926"/>
    <w:rsid w:val="00016675"/>
    <w:rsid w:val="0001685F"/>
    <w:rsid w:val="00016C90"/>
    <w:rsid w:val="00020656"/>
    <w:rsid w:val="00020992"/>
    <w:rsid w:val="00020AC7"/>
    <w:rsid w:val="000224EA"/>
    <w:rsid w:val="00023A00"/>
    <w:rsid w:val="00024045"/>
    <w:rsid w:val="000248ED"/>
    <w:rsid w:val="0002585A"/>
    <w:rsid w:val="00025D20"/>
    <w:rsid w:val="0002679A"/>
    <w:rsid w:val="0002690F"/>
    <w:rsid w:val="0002733A"/>
    <w:rsid w:val="00027B39"/>
    <w:rsid w:val="00030091"/>
    <w:rsid w:val="000308A3"/>
    <w:rsid w:val="00030C4D"/>
    <w:rsid w:val="000315EB"/>
    <w:rsid w:val="00031698"/>
    <w:rsid w:val="00031C1F"/>
    <w:rsid w:val="00031E8D"/>
    <w:rsid w:val="00032479"/>
    <w:rsid w:val="00032983"/>
    <w:rsid w:val="0003330F"/>
    <w:rsid w:val="00034E4C"/>
    <w:rsid w:val="00035053"/>
    <w:rsid w:val="0003540C"/>
    <w:rsid w:val="00036AC5"/>
    <w:rsid w:val="00036C4D"/>
    <w:rsid w:val="00036DD3"/>
    <w:rsid w:val="00036E30"/>
    <w:rsid w:val="00037230"/>
    <w:rsid w:val="00037253"/>
    <w:rsid w:val="00037893"/>
    <w:rsid w:val="00040659"/>
    <w:rsid w:val="000413C8"/>
    <w:rsid w:val="000414DA"/>
    <w:rsid w:val="00041854"/>
    <w:rsid w:val="000419A0"/>
    <w:rsid w:val="00041BEA"/>
    <w:rsid w:val="00042936"/>
    <w:rsid w:val="00042D85"/>
    <w:rsid w:val="000433D7"/>
    <w:rsid w:val="00043496"/>
    <w:rsid w:val="000435AE"/>
    <w:rsid w:val="000438A5"/>
    <w:rsid w:val="00043AD1"/>
    <w:rsid w:val="00043AE3"/>
    <w:rsid w:val="00043BB2"/>
    <w:rsid w:val="00043C84"/>
    <w:rsid w:val="000442A5"/>
    <w:rsid w:val="000442F6"/>
    <w:rsid w:val="000451C6"/>
    <w:rsid w:val="000454BA"/>
    <w:rsid w:val="000454FE"/>
    <w:rsid w:val="00045D51"/>
    <w:rsid w:val="000463D0"/>
    <w:rsid w:val="00046A42"/>
    <w:rsid w:val="0004763A"/>
    <w:rsid w:val="00047690"/>
    <w:rsid w:val="0004769E"/>
    <w:rsid w:val="00047B6F"/>
    <w:rsid w:val="0005053E"/>
    <w:rsid w:val="00050817"/>
    <w:rsid w:val="00050CF3"/>
    <w:rsid w:val="00050CFD"/>
    <w:rsid w:val="000510CA"/>
    <w:rsid w:val="00051647"/>
    <w:rsid w:val="00052075"/>
    <w:rsid w:val="00052A9A"/>
    <w:rsid w:val="0005315C"/>
    <w:rsid w:val="0005364A"/>
    <w:rsid w:val="00053E58"/>
    <w:rsid w:val="00054038"/>
    <w:rsid w:val="000545EA"/>
    <w:rsid w:val="00054680"/>
    <w:rsid w:val="000548D3"/>
    <w:rsid w:val="00054B6A"/>
    <w:rsid w:val="00054C82"/>
    <w:rsid w:val="00054CAC"/>
    <w:rsid w:val="00055435"/>
    <w:rsid w:val="000555F3"/>
    <w:rsid w:val="0005566E"/>
    <w:rsid w:val="00055A4F"/>
    <w:rsid w:val="00055C7C"/>
    <w:rsid w:val="00055EE2"/>
    <w:rsid w:val="00056429"/>
    <w:rsid w:val="00056515"/>
    <w:rsid w:val="000570AD"/>
    <w:rsid w:val="00057710"/>
    <w:rsid w:val="00057865"/>
    <w:rsid w:val="00057950"/>
    <w:rsid w:val="00057CB2"/>
    <w:rsid w:val="00057D35"/>
    <w:rsid w:val="000603AA"/>
    <w:rsid w:val="00060952"/>
    <w:rsid w:val="000609E1"/>
    <w:rsid w:val="00060D04"/>
    <w:rsid w:val="00060E40"/>
    <w:rsid w:val="00060FFE"/>
    <w:rsid w:val="00061642"/>
    <w:rsid w:val="00061869"/>
    <w:rsid w:val="00061ADA"/>
    <w:rsid w:val="00061D7C"/>
    <w:rsid w:val="000626D6"/>
    <w:rsid w:val="000637EF"/>
    <w:rsid w:val="00063FC7"/>
    <w:rsid w:val="0006499A"/>
    <w:rsid w:val="00064D18"/>
    <w:rsid w:val="0006506F"/>
    <w:rsid w:val="00065351"/>
    <w:rsid w:val="00065569"/>
    <w:rsid w:val="00065784"/>
    <w:rsid w:val="00065EE1"/>
    <w:rsid w:val="000660D4"/>
    <w:rsid w:val="00066821"/>
    <w:rsid w:val="00067117"/>
    <w:rsid w:val="00067922"/>
    <w:rsid w:val="00067A4E"/>
    <w:rsid w:val="000701DC"/>
    <w:rsid w:val="000704FC"/>
    <w:rsid w:val="00070E6D"/>
    <w:rsid w:val="0007168F"/>
    <w:rsid w:val="000717C1"/>
    <w:rsid w:val="00072651"/>
    <w:rsid w:val="00073300"/>
    <w:rsid w:val="00073A0F"/>
    <w:rsid w:val="00073FDE"/>
    <w:rsid w:val="00074181"/>
    <w:rsid w:val="000743EB"/>
    <w:rsid w:val="000751BB"/>
    <w:rsid w:val="00075664"/>
    <w:rsid w:val="00075C6B"/>
    <w:rsid w:val="00076911"/>
    <w:rsid w:val="00076DF1"/>
    <w:rsid w:val="00077197"/>
    <w:rsid w:val="000774CE"/>
    <w:rsid w:val="0007778E"/>
    <w:rsid w:val="00080E14"/>
    <w:rsid w:val="0008164C"/>
    <w:rsid w:val="00082619"/>
    <w:rsid w:val="00082B95"/>
    <w:rsid w:val="0008341D"/>
    <w:rsid w:val="00083953"/>
    <w:rsid w:val="00083C22"/>
    <w:rsid w:val="00083EC7"/>
    <w:rsid w:val="00084C8D"/>
    <w:rsid w:val="00084F22"/>
    <w:rsid w:val="000858BD"/>
    <w:rsid w:val="00085B83"/>
    <w:rsid w:val="00085C01"/>
    <w:rsid w:val="00085CFF"/>
    <w:rsid w:val="0008613E"/>
    <w:rsid w:val="000861C6"/>
    <w:rsid w:val="000900CF"/>
    <w:rsid w:val="00090156"/>
    <w:rsid w:val="00090740"/>
    <w:rsid w:val="00091527"/>
    <w:rsid w:val="00092389"/>
    <w:rsid w:val="000926B2"/>
    <w:rsid w:val="00092CB9"/>
    <w:rsid w:val="00092FD3"/>
    <w:rsid w:val="000933D3"/>
    <w:rsid w:val="000933D8"/>
    <w:rsid w:val="0009368F"/>
    <w:rsid w:val="00093C27"/>
    <w:rsid w:val="00093C60"/>
    <w:rsid w:val="0009512B"/>
    <w:rsid w:val="00095559"/>
    <w:rsid w:val="000955AE"/>
    <w:rsid w:val="00095741"/>
    <w:rsid w:val="00095BF1"/>
    <w:rsid w:val="00096147"/>
    <w:rsid w:val="00096674"/>
    <w:rsid w:val="0009688B"/>
    <w:rsid w:val="00096CE0"/>
    <w:rsid w:val="00096F1C"/>
    <w:rsid w:val="00097635"/>
    <w:rsid w:val="000A1393"/>
    <w:rsid w:val="000A1BDD"/>
    <w:rsid w:val="000A2096"/>
    <w:rsid w:val="000A2EDA"/>
    <w:rsid w:val="000A3183"/>
    <w:rsid w:val="000A372B"/>
    <w:rsid w:val="000A4248"/>
    <w:rsid w:val="000A43A8"/>
    <w:rsid w:val="000A4475"/>
    <w:rsid w:val="000A4BFF"/>
    <w:rsid w:val="000A5501"/>
    <w:rsid w:val="000A5E38"/>
    <w:rsid w:val="000A61DD"/>
    <w:rsid w:val="000A66E7"/>
    <w:rsid w:val="000A6D32"/>
    <w:rsid w:val="000A7445"/>
    <w:rsid w:val="000A7D53"/>
    <w:rsid w:val="000B023A"/>
    <w:rsid w:val="000B0511"/>
    <w:rsid w:val="000B0815"/>
    <w:rsid w:val="000B0B6D"/>
    <w:rsid w:val="000B187B"/>
    <w:rsid w:val="000B1FA9"/>
    <w:rsid w:val="000B23A5"/>
    <w:rsid w:val="000B29C5"/>
    <w:rsid w:val="000B311B"/>
    <w:rsid w:val="000B41E5"/>
    <w:rsid w:val="000B4606"/>
    <w:rsid w:val="000B4C7B"/>
    <w:rsid w:val="000B4D98"/>
    <w:rsid w:val="000B581F"/>
    <w:rsid w:val="000B5894"/>
    <w:rsid w:val="000B61A3"/>
    <w:rsid w:val="000B63EF"/>
    <w:rsid w:val="000B6BF6"/>
    <w:rsid w:val="000B6F67"/>
    <w:rsid w:val="000B73D4"/>
    <w:rsid w:val="000B78CD"/>
    <w:rsid w:val="000B7B78"/>
    <w:rsid w:val="000B7F17"/>
    <w:rsid w:val="000C04AF"/>
    <w:rsid w:val="000C0B23"/>
    <w:rsid w:val="000C1641"/>
    <w:rsid w:val="000C2F0D"/>
    <w:rsid w:val="000C34A6"/>
    <w:rsid w:val="000C3554"/>
    <w:rsid w:val="000C37D9"/>
    <w:rsid w:val="000C3860"/>
    <w:rsid w:val="000C4133"/>
    <w:rsid w:val="000C4442"/>
    <w:rsid w:val="000C44C7"/>
    <w:rsid w:val="000C47FD"/>
    <w:rsid w:val="000C594A"/>
    <w:rsid w:val="000C5C30"/>
    <w:rsid w:val="000C60D6"/>
    <w:rsid w:val="000C612F"/>
    <w:rsid w:val="000C642E"/>
    <w:rsid w:val="000C6540"/>
    <w:rsid w:val="000C73A2"/>
    <w:rsid w:val="000C73E8"/>
    <w:rsid w:val="000C7445"/>
    <w:rsid w:val="000D036F"/>
    <w:rsid w:val="000D0C75"/>
    <w:rsid w:val="000D117D"/>
    <w:rsid w:val="000D1245"/>
    <w:rsid w:val="000D2E7A"/>
    <w:rsid w:val="000D2F30"/>
    <w:rsid w:val="000D30F6"/>
    <w:rsid w:val="000D357A"/>
    <w:rsid w:val="000D364B"/>
    <w:rsid w:val="000D39E6"/>
    <w:rsid w:val="000D420E"/>
    <w:rsid w:val="000D4BB2"/>
    <w:rsid w:val="000D5154"/>
    <w:rsid w:val="000D5578"/>
    <w:rsid w:val="000D6414"/>
    <w:rsid w:val="000D6574"/>
    <w:rsid w:val="000D65FA"/>
    <w:rsid w:val="000D6AF2"/>
    <w:rsid w:val="000D6CF3"/>
    <w:rsid w:val="000D6DF0"/>
    <w:rsid w:val="000D7C60"/>
    <w:rsid w:val="000D7C66"/>
    <w:rsid w:val="000D7E04"/>
    <w:rsid w:val="000E1207"/>
    <w:rsid w:val="000E18AD"/>
    <w:rsid w:val="000E1EB0"/>
    <w:rsid w:val="000E2113"/>
    <w:rsid w:val="000E3233"/>
    <w:rsid w:val="000E3521"/>
    <w:rsid w:val="000E4573"/>
    <w:rsid w:val="000E50BF"/>
    <w:rsid w:val="000E51B4"/>
    <w:rsid w:val="000E7085"/>
    <w:rsid w:val="000E7292"/>
    <w:rsid w:val="000E7C15"/>
    <w:rsid w:val="000E7FAF"/>
    <w:rsid w:val="000F03DF"/>
    <w:rsid w:val="000F118C"/>
    <w:rsid w:val="000F217E"/>
    <w:rsid w:val="000F22E0"/>
    <w:rsid w:val="000F249D"/>
    <w:rsid w:val="000F2865"/>
    <w:rsid w:val="000F2D2A"/>
    <w:rsid w:val="000F3051"/>
    <w:rsid w:val="000F376B"/>
    <w:rsid w:val="000F38FC"/>
    <w:rsid w:val="000F3EF7"/>
    <w:rsid w:val="000F53C5"/>
    <w:rsid w:val="000F606C"/>
    <w:rsid w:val="000F6168"/>
    <w:rsid w:val="000F640C"/>
    <w:rsid w:val="000F6A17"/>
    <w:rsid w:val="000F6D58"/>
    <w:rsid w:val="000F6E18"/>
    <w:rsid w:val="000F737A"/>
    <w:rsid w:val="000F7725"/>
    <w:rsid w:val="000F7CCA"/>
    <w:rsid w:val="0010012D"/>
    <w:rsid w:val="00100CE0"/>
    <w:rsid w:val="00101190"/>
    <w:rsid w:val="001011EB"/>
    <w:rsid w:val="00101F54"/>
    <w:rsid w:val="001029A9"/>
    <w:rsid w:val="00103024"/>
    <w:rsid w:val="001031B7"/>
    <w:rsid w:val="001035C5"/>
    <w:rsid w:val="0010418C"/>
    <w:rsid w:val="0010449C"/>
    <w:rsid w:val="00104975"/>
    <w:rsid w:val="00104C6A"/>
    <w:rsid w:val="00105090"/>
    <w:rsid w:val="00105094"/>
    <w:rsid w:val="001052C9"/>
    <w:rsid w:val="00105F76"/>
    <w:rsid w:val="00106F52"/>
    <w:rsid w:val="00107B27"/>
    <w:rsid w:val="00107FC1"/>
    <w:rsid w:val="001101FF"/>
    <w:rsid w:val="001102EC"/>
    <w:rsid w:val="00110433"/>
    <w:rsid w:val="00110894"/>
    <w:rsid w:val="00110E61"/>
    <w:rsid w:val="00110F88"/>
    <w:rsid w:val="001110AD"/>
    <w:rsid w:val="001119D5"/>
    <w:rsid w:val="001123AB"/>
    <w:rsid w:val="00112483"/>
    <w:rsid w:val="001125DC"/>
    <w:rsid w:val="001126E7"/>
    <w:rsid w:val="00112889"/>
    <w:rsid w:val="001129AE"/>
    <w:rsid w:val="00112A96"/>
    <w:rsid w:val="00112C45"/>
    <w:rsid w:val="00114045"/>
    <w:rsid w:val="00114376"/>
    <w:rsid w:val="0011444A"/>
    <w:rsid w:val="001145F8"/>
    <w:rsid w:val="00114F15"/>
    <w:rsid w:val="00115896"/>
    <w:rsid w:val="001168D9"/>
    <w:rsid w:val="0011709A"/>
    <w:rsid w:val="001172A0"/>
    <w:rsid w:val="00117876"/>
    <w:rsid w:val="00117C56"/>
    <w:rsid w:val="00120089"/>
    <w:rsid w:val="001202B8"/>
    <w:rsid w:val="001208EE"/>
    <w:rsid w:val="00120A4F"/>
    <w:rsid w:val="0012112A"/>
    <w:rsid w:val="00121D77"/>
    <w:rsid w:val="001222DD"/>
    <w:rsid w:val="00122601"/>
    <w:rsid w:val="00124462"/>
    <w:rsid w:val="001245E9"/>
    <w:rsid w:val="00124B5F"/>
    <w:rsid w:val="00124DA0"/>
    <w:rsid w:val="00124F6A"/>
    <w:rsid w:val="001253FE"/>
    <w:rsid w:val="00125B83"/>
    <w:rsid w:val="001269E9"/>
    <w:rsid w:val="00126D04"/>
    <w:rsid w:val="0012728E"/>
    <w:rsid w:val="001275B6"/>
    <w:rsid w:val="001278C4"/>
    <w:rsid w:val="00127949"/>
    <w:rsid w:val="00130CDF"/>
    <w:rsid w:val="00130E47"/>
    <w:rsid w:val="00130F4F"/>
    <w:rsid w:val="00131409"/>
    <w:rsid w:val="00131676"/>
    <w:rsid w:val="00132087"/>
    <w:rsid w:val="0013212C"/>
    <w:rsid w:val="00132AF3"/>
    <w:rsid w:val="00133890"/>
    <w:rsid w:val="00133B0C"/>
    <w:rsid w:val="00133BD3"/>
    <w:rsid w:val="00133CB0"/>
    <w:rsid w:val="00133D27"/>
    <w:rsid w:val="00133DED"/>
    <w:rsid w:val="0013483E"/>
    <w:rsid w:val="001348A8"/>
    <w:rsid w:val="001350A1"/>
    <w:rsid w:val="0013511E"/>
    <w:rsid w:val="001359E7"/>
    <w:rsid w:val="00135CDD"/>
    <w:rsid w:val="00136160"/>
    <w:rsid w:val="001364F8"/>
    <w:rsid w:val="001375BE"/>
    <w:rsid w:val="0013793D"/>
    <w:rsid w:val="001400DC"/>
    <w:rsid w:val="001400DE"/>
    <w:rsid w:val="00140228"/>
    <w:rsid w:val="00141EB1"/>
    <w:rsid w:val="001420B0"/>
    <w:rsid w:val="00142602"/>
    <w:rsid w:val="001427A2"/>
    <w:rsid w:val="00142B4E"/>
    <w:rsid w:val="00142D79"/>
    <w:rsid w:val="001432E6"/>
    <w:rsid w:val="001433FF"/>
    <w:rsid w:val="00143923"/>
    <w:rsid w:val="001439B1"/>
    <w:rsid w:val="00144F17"/>
    <w:rsid w:val="00144F7B"/>
    <w:rsid w:val="001450CE"/>
    <w:rsid w:val="001455E6"/>
    <w:rsid w:val="00145A3B"/>
    <w:rsid w:val="00146268"/>
    <w:rsid w:val="00146524"/>
    <w:rsid w:val="001469C5"/>
    <w:rsid w:val="00146A7D"/>
    <w:rsid w:val="00146D13"/>
    <w:rsid w:val="001472AA"/>
    <w:rsid w:val="001476A5"/>
    <w:rsid w:val="001504E0"/>
    <w:rsid w:val="0015060E"/>
    <w:rsid w:val="00150630"/>
    <w:rsid w:val="00150E71"/>
    <w:rsid w:val="00150E9F"/>
    <w:rsid w:val="00151EF1"/>
    <w:rsid w:val="00152274"/>
    <w:rsid w:val="00152477"/>
    <w:rsid w:val="00152AE7"/>
    <w:rsid w:val="00152D46"/>
    <w:rsid w:val="00152E6C"/>
    <w:rsid w:val="00153914"/>
    <w:rsid w:val="001539C4"/>
    <w:rsid w:val="00153A02"/>
    <w:rsid w:val="001548C9"/>
    <w:rsid w:val="00154999"/>
    <w:rsid w:val="00154E7D"/>
    <w:rsid w:val="001550B9"/>
    <w:rsid w:val="00155D23"/>
    <w:rsid w:val="001562E2"/>
    <w:rsid w:val="001569BA"/>
    <w:rsid w:val="001569D9"/>
    <w:rsid w:val="00156D72"/>
    <w:rsid w:val="00156F78"/>
    <w:rsid w:val="00157059"/>
    <w:rsid w:val="0015737B"/>
    <w:rsid w:val="00157699"/>
    <w:rsid w:val="00157E33"/>
    <w:rsid w:val="0016040C"/>
    <w:rsid w:val="001607E2"/>
    <w:rsid w:val="001618B1"/>
    <w:rsid w:val="001619FB"/>
    <w:rsid w:val="001626D7"/>
    <w:rsid w:val="00162A35"/>
    <w:rsid w:val="00162B25"/>
    <w:rsid w:val="00162BC6"/>
    <w:rsid w:val="0016310E"/>
    <w:rsid w:val="00163160"/>
    <w:rsid w:val="001637A5"/>
    <w:rsid w:val="00163EDD"/>
    <w:rsid w:val="001642D1"/>
    <w:rsid w:val="0016432B"/>
    <w:rsid w:val="00164435"/>
    <w:rsid w:val="00164596"/>
    <w:rsid w:val="00164B1A"/>
    <w:rsid w:val="00164B2A"/>
    <w:rsid w:val="00164E60"/>
    <w:rsid w:val="00164ED5"/>
    <w:rsid w:val="001655D1"/>
    <w:rsid w:val="00165DD3"/>
    <w:rsid w:val="00166CAC"/>
    <w:rsid w:val="0016716C"/>
    <w:rsid w:val="00170567"/>
    <w:rsid w:val="001707F1"/>
    <w:rsid w:val="001708F6"/>
    <w:rsid w:val="001708FC"/>
    <w:rsid w:val="001709B9"/>
    <w:rsid w:val="00170EF2"/>
    <w:rsid w:val="00170FFA"/>
    <w:rsid w:val="00171059"/>
    <w:rsid w:val="00171135"/>
    <w:rsid w:val="001713F5"/>
    <w:rsid w:val="001715A3"/>
    <w:rsid w:val="00171735"/>
    <w:rsid w:val="00171B18"/>
    <w:rsid w:val="00171D2D"/>
    <w:rsid w:val="00171DAB"/>
    <w:rsid w:val="00171E88"/>
    <w:rsid w:val="00171F2C"/>
    <w:rsid w:val="00172317"/>
    <w:rsid w:val="00172629"/>
    <w:rsid w:val="00172AE4"/>
    <w:rsid w:val="00172F8A"/>
    <w:rsid w:val="0017301C"/>
    <w:rsid w:val="00173105"/>
    <w:rsid w:val="001740D3"/>
    <w:rsid w:val="00174310"/>
    <w:rsid w:val="0017478D"/>
    <w:rsid w:val="00175019"/>
    <w:rsid w:val="001759D2"/>
    <w:rsid w:val="00176326"/>
    <w:rsid w:val="0017639F"/>
    <w:rsid w:val="00176451"/>
    <w:rsid w:val="00176DCE"/>
    <w:rsid w:val="001770D2"/>
    <w:rsid w:val="001779C1"/>
    <w:rsid w:val="00177BF8"/>
    <w:rsid w:val="00180327"/>
    <w:rsid w:val="00180FA2"/>
    <w:rsid w:val="00181067"/>
    <w:rsid w:val="001810CB"/>
    <w:rsid w:val="001820E1"/>
    <w:rsid w:val="00182683"/>
    <w:rsid w:val="00182A28"/>
    <w:rsid w:val="00182D58"/>
    <w:rsid w:val="00182F07"/>
    <w:rsid w:val="001832FE"/>
    <w:rsid w:val="00183669"/>
    <w:rsid w:val="00183A85"/>
    <w:rsid w:val="00184535"/>
    <w:rsid w:val="001846DC"/>
    <w:rsid w:val="00184865"/>
    <w:rsid w:val="001849E9"/>
    <w:rsid w:val="00185603"/>
    <w:rsid w:val="00185931"/>
    <w:rsid w:val="00185CF6"/>
    <w:rsid w:val="00185EBF"/>
    <w:rsid w:val="0018640E"/>
    <w:rsid w:val="001866AF"/>
    <w:rsid w:val="001867FE"/>
    <w:rsid w:val="001874F0"/>
    <w:rsid w:val="001877DA"/>
    <w:rsid w:val="0018796B"/>
    <w:rsid w:val="00187974"/>
    <w:rsid w:val="00187C51"/>
    <w:rsid w:val="00187D5A"/>
    <w:rsid w:val="00187F66"/>
    <w:rsid w:val="0019032F"/>
    <w:rsid w:val="00190359"/>
    <w:rsid w:val="0019060D"/>
    <w:rsid w:val="00190DFA"/>
    <w:rsid w:val="0019125D"/>
    <w:rsid w:val="00192326"/>
    <w:rsid w:val="001923A3"/>
    <w:rsid w:val="00192F8F"/>
    <w:rsid w:val="001936EA"/>
    <w:rsid w:val="001940AC"/>
    <w:rsid w:val="0019424D"/>
    <w:rsid w:val="0019493C"/>
    <w:rsid w:val="00195DDA"/>
    <w:rsid w:val="00195F1C"/>
    <w:rsid w:val="00196EBE"/>
    <w:rsid w:val="00196F09"/>
    <w:rsid w:val="0019715E"/>
    <w:rsid w:val="0019725F"/>
    <w:rsid w:val="00197706"/>
    <w:rsid w:val="00197B51"/>
    <w:rsid w:val="00197B6B"/>
    <w:rsid w:val="00197E54"/>
    <w:rsid w:val="001A0436"/>
    <w:rsid w:val="001A0DAC"/>
    <w:rsid w:val="001A1062"/>
    <w:rsid w:val="001A110A"/>
    <w:rsid w:val="001A1F9B"/>
    <w:rsid w:val="001A243B"/>
    <w:rsid w:val="001A261D"/>
    <w:rsid w:val="001A2632"/>
    <w:rsid w:val="001A293A"/>
    <w:rsid w:val="001A3096"/>
    <w:rsid w:val="001A3193"/>
    <w:rsid w:val="001A3A8A"/>
    <w:rsid w:val="001A3B29"/>
    <w:rsid w:val="001A41DB"/>
    <w:rsid w:val="001A4534"/>
    <w:rsid w:val="001A4A86"/>
    <w:rsid w:val="001A4C48"/>
    <w:rsid w:val="001A51C0"/>
    <w:rsid w:val="001A51F5"/>
    <w:rsid w:val="001A580A"/>
    <w:rsid w:val="001A5BB4"/>
    <w:rsid w:val="001A6320"/>
    <w:rsid w:val="001A663F"/>
    <w:rsid w:val="001A6B1F"/>
    <w:rsid w:val="001A73A4"/>
    <w:rsid w:val="001A7656"/>
    <w:rsid w:val="001A7741"/>
    <w:rsid w:val="001A7935"/>
    <w:rsid w:val="001A7BB4"/>
    <w:rsid w:val="001A7BC7"/>
    <w:rsid w:val="001B2019"/>
    <w:rsid w:val="001B2349"/>
    <w:rsid w:val="001B267A"/>
    <w:rsid w:val="001B27CD"/>
    <w:rsid w:val="001B290D"/>
    <w:rsid w:val="001B2B4B"/>
    <w:rsid w:val="001B2BBD"/>
    <w:rsid w:val="001B2C9E"/>
    <w:rsid w:val="001B2CBC"/>
    <w:rsid w:val="001B2DEE"/>
    <w:rsid w:val="001B2E3D"/>
    <w:rsid w:val="001B3BB4"/>
    <w:rsid w:val="001B4152"/>
    <w:rsid w:val="001B41C3"/>
    <w:rsid w:val="001B43D7"/>
    <w:rsid w:val="001B58AD"/>
    <w:rsid w:val="001B5CD5"/>
    <w:rsid w:val="001B71A2"/>
    <w:rsid w:val="001B71EF"/>
    <w:rsid w:val="001C04A2"/>
    <w:rsid w:val="001C0CD9"/>
    <w:rsid w:val="001C13BC"/>
    <w:rsid w:val="001C142E"/>
    <w:rsid w:val="001C179C"/>
    <w:rsid w:val="001C21E1"/>
    <w:rsid w:val="001C3E66"/>
    <w:rsid w:val="001C42CD"/>
    <w:rsid w:val="001C4B13"/>
    <w:rsid w:val="001C502A"/>
    <w:rsid w:val="001C53B5"/>
    <w:rsid w:val="001C577C"/>
    <w:rsid w:val="001C5D58"/>
    <w:rsid w:val="001C60C5"/>
    <w:rsid w:val="001C7676"/>
    <w:rsid w:val="001C7EDC"/>
    <w:rsid w:val="001D0803"/>
    <w:rsid w:val="001D080A"/>
    <w:rsid w:val="001D090D"/>
    <w:rsid w:val="001D0DE7"/>
    <w:rsid w:val="001D1831"/>
    <w:rsid w:val="001D22B9"/>
    <w:rsid w:val="001D2324"/>
    <w:rsid w:val="001D23E2"/>
    <w:rsid w:val="001D24C5"/>
    <w:rsid w:val="001D32ED"/>
    <w:rsid w:val="001D3B30"/>
    <w:rsid w:val="001D3DEE"/>
    <w:rsid w:val="001D47FE"/>
    <w:rsid w:val="001D51F5"/>
    <w:rsid w:val="001D5F28"/>
    <w:rsid w:val="001D6EC6"/>
    <w:rsid w:val="001D7464"/>
    <w:rsid w:val="001D7691"/>
    <w:rsid w:val="001D77F0"/>
    <w:rsid w:val="001D7A2B"/>
    <w:rsid w:val="001E064A"/>
    <w:rsid w:val="001E07BA"/>
    <w:rsid w:val="001E0A2C"/>
    <w:rsid w:val="001E19E8"/>
    <w:rsid w:val="001E1BFA"/>
    <w:rsid w:val="001E1EC5"/>
    <w:rsid w:val="001E2818"/>
    <w:rsid w:val="001E30F5"/>
    <w:rsid w:val="001E31D8"/>
    <w:rsid w:val="001E3E30"/>
    <w:rsid w:val="001E3F05"/>
    <w:rsid w:val="001E4332"/>
    <w:rsid w:val="001E46AD"/>
    <w:rsid w:val="001E4909"/>
    <w:rsid w:val="001E4AB6"/>
    <w:rsid w:val="001E4B30"/>
    <w:rsid w:val="001E5A5B"/>
    <w:rsid w:val="001E5CA1"/>
    <w:rsid w:val="001E649E"/>
    <w:rsid w:val="001E70D5"/>
    <w:rsid w:val="001E731F"/>
    <w:rsid w:val="001E7AB0"/>
    <w:rsid w:val="001E7BA0"/>
    <w:rsid w:val="001E7DB2"/>
    <w:rsid w:val="001F0250"/>
    <w:rsid w:val="001F02CB"/>
    <w:rsid w:val="001F07C7"/>
    <w:rsid w:val="001F0A08"/>
    <w:rsid w:val="001F0A80"/>
    <w:rsid w:val="001F0E51"/>
    <w:rsid w:val="001F18DE"/>
    <w:rsid w:val="001F1A20"/>
    <w:rsid w:val="001F1D19"/>
    <w:rsid w:val="001F1D1C"/>
    <w:rsid w:val="001F1E30"/>
    <w:rsid w:val="001F2826"/>
    <w:rsid w:val="001F2AE8"/>
    <w:rsid w:val="001F2B75"/>
    <w:rsid w:val="001F2EF3"/>
    <w:rsid w:val="001F2F6D"/>
    <w:rsid w:val="001F33E3"/>
    <w:rsid w:val="001F3538"/>
    <w:rsid w:val="001F3918"/>
    <w:rsid w:val="001F3D61"/>
    <w:rsid w:val="001F3F75"/>
    <w:rsid w:val="001F4196"/>
    <w:rsid w:val="001F41E5"/>
    <w:rsid w:val="001F439E"/>
    <w:rsid w:val="001F49EF"/>
    <w:rsid w:val="001F4AB8"/>
    <w:rsid w:val="001F58BA"/>
    <w:rsid w:val="001F5D6C"/>
    <w:rsid w:val="001F6793"/>
    <w:rsid w:val="001F70CE"/>
    <w:rsid w:val="001F732B"/>
    <w:rsid w:val="001F7714"/>
    <w:rsid w:val="001F778A"/>
    <w:rsid w:val="0020064A"/>
    <w:rsid w:val="00200970"/>
    <w:rsid w:val="00200DBE"/>
    <w:rsid w:val="0020190C"/>
    <w:rsid w:val="00201D4F"/>
    <w:rsid w:val="00201E09"/>
    <w:rsid w:val="00202083"/>
    <w:rsid w:val="002020FF"/>
    <w:rsid w:val="00202821"/>
    <w:rsid w:val="00202B66"/>
    <w:rsid w:val="002034F2"/>
    <w:rsid w:val="002038D3"/>
    <w:rsid w:val="00203970"/>
    <w:rsid w:val="00203A18"/>
    <w:rsid w:val="00203D14"/>
    <w:rsid w:val="002043BC"/>
    <w:rsid w:val="002043C1"/>
    <w:rsid w:val="00204611"/>
    <w:rsid w:val="00204752"/>
    <w:rsid w:val="00205863"/>
    <w:rsid w:val="002058BD"/>
    <w:rsid w:val="00207361"/>
    <w:rsid w:val="00207B3E"/>
    <w:rsid w:val="00207DA9"/>
    <w:rsid w:val="002103C4"/>
    <w:rsid w:val="0021074A"/>
    <w:rsid w:val="00211617"/>
    <w:rsid w:val="00211708"/>
    <w:rsid w:val="0021176C"/>
    <w:rsid w:val="002117D8"/>
    <w:rsid w:val="002119EF"/>
    <w:rsid w:val="00212214"/>
    <w:rsid w:val="00212601"/>
    <w:rsid w:val="002127F8"/>
    <w:rsid w:val="00213887"/>
    <w:rsid w:val="00213965"/>
    <w:rsid w:val="00213D08"/>
    <w:rsid w:val="002141F4"/>
    <w:rsid w:val="0021429F"/>
    <w:rsid w:val="002142A0"/>
    <w:rsid w:val="002146EA"/>
    <w:rsid w:val="00215277"/>
    <w:rsid w:val="00215695"/>
    <w:rsid w:val="00215828"/>
    <w:rsid w:val="00215B1C"/>
    <w:rsid w:val="00215D41"/>
    <w:rsid w:val="00215E3A"/>
    <w:rsid w:val="002160B3"/>
    <w:rsid w:val="00216FC9"/>
    <w:rsid w:val="002178DF"/>
    <w:rsid w:val="00217FD5"/>
    <w:rsid w:val="0022040F"/>
    <w:rsid w:val="00220859"/>
    <w:rsid w:val="002215F7"/>
    <w:rsid w:val="00221E78"/>
    <w:rsid w:val="00222208"/>
    <w:rsid w:val="00222965"/>
    <w:rsid w:val="00222A33"/>
    <w:rsid w:val="00222D3C"/>
    <w:rsid w:val="0022341B"/>
    <w:rsid w:val="00223A43"/>
    <w:rsid w:val="00223B14"/>
    <w:rsid w:val="00224153"/>
    <w:rsid w:val="00224795"/>
    <w:rsid w:val="00224927"/>
    <w:rsid w:val="0022574D"/>
    <w:rsid w:val="002259BC"/>
    <w:rsid w:val="00225A0C"/>
    <w:rsid w:val="00225A1C"/>
    <w:rsid w:val="00226635"/>
    <w:rsid w:val="0022682E"/>
    <w:rsid w:val="002270B8"/>
    <w:rsid w:val="0022733D"/>
    <w:rsid w:val="0022767A"/>
    <w:rsid w:val="002278C3"/>
    <w:rsid w:val="00227ACA"/>
    <w:rsid w:val="0023022C"/>
    <w:rsid w:val="00231CDF"/>
    <w:rsid w:val="00232DCF"/>
    <w:rsid w:val="00232F27"/>
    <w:rsid w:val="00233529"/>
    <w:rsid w:val="00233668"/>
    <w:rsid w:val="00234F4F"/>
    <w:rsid w:val="002353D1"/>
    <w:rsid w:val="0023631C"/>
    <w:rsid w:val="0023637B"/>
    <w:rsid w:val="00236AFC"/>
    <w:rsid w:val="00236D5A"/>
    <w:rsid w:val="00237423"/>
    <w:rsid w:val="00237A5C"/>
    <w:rsid w:val="00237E79"/>
    <w:rsid w:val="002402EB"/>
    <w:rsid w:val="00240312"/>
    <w:rsid w:val="00240C56"/>
    <w:rsid w:val="00241136"/>
    <w:rsid w:val="002412D1"/>
    <w:rsid w:val="002417A6"/>
    <w:rsid w:val="00241899"/>
    <w:rsid w:val="002418C7"/>
    <w:rsid w:val="00241DBA"/>
    <w:rsid w:val="00242035"/>
    <w:rsid w:val="00242113"/>
    <w:rsid w:val="002429BE"/>
    <w:rsid w:val="002429D3"/>
    <w:rsid w:val="00242BDD"/>
    <w:rsid w:val="002438C5"/>
    <w:rsid w:val="00243CBC"/>
    <w:rsid w:val="00243E29"/>
    <w:rsid w:val="00243EFC"/>
    <w:rsid w:val="0024438E"/>
    <w:rsid w:val="00244689"/>
    <w:rsid w:val="002449C2"/>
    <w:rsid w:val="00244E72"/>
    <w:rsid w:val="0024552B"/>
    <w:rsid w:val="002463B0"/>
    <w:rsid w:val="002467A2"/>
    <w:rsid w:val="00246C07"/>
    <w:rsid w:val="00246DE1"/>
    <w:rsid w:val="0024710F"/>
    <w:rsid w:val="002472B6"/>
    <w:rsid w:val="00247491"/>
    <w:rsid w:val="00247F28"/>
    <w:rsid w:val="00250E6D"/>
    <w:rsid w:val="0025118C"/>
    <w:rsid w:val="002511FE"/>
    <w:rsid w:val="002512F7"/>
    <w:rsid w:val="00251651"/>
    <w:rsid w:val="00251C6E"/>
    <w:rsid w:val="00251D04"/>
    <w:rsid w:val="00251E80"/>
    <w:rsid w:val="00252213"/>
    <w:rsid w:val="00253DD5"/>
    <w:rsid w:val="002540D2"/>
    <w:rsid w:val="002553CE"/>
    <w:rsid w:val="0025574F"/>
    <w:rsid w:val="00255E87"/>
    <w:rsid w:val="002561F5"/>
    <w:rsid w:val="002563F9"/>
    <w:rsid w:val="00256760"/>
    <w:rsid w:val="00256866"/>
    <w:rsid w:val="00257C1E"/>
    <w:rsid w:val="00257DB1"/>
    <w:rsid w:val="00260144"/>
    <w:rsid w:val="0026027C"/>
    <w:rsid w:val="00260EE0"/>
    <w:rsid w:val="002610A8"/>
    <w:rsid w:val="00261619"/>
    <w:rsid w:val="00261AF1"/>
    <w:rsid w:val="00263454"/>
    <w:rsid w:val="0026357E"/>
    <w:rsid w:val="002639F1"/>
    <w:rsid w:val="00263A2A"/>
    <w:rsid w:val="00263EA7"/>
    <w:rsid w:val="00263EF3"/>
    <w:rsid w:val="0026441C"/>
    <w:rsid w:val="00264C50"/>
    <w:rsid w:val="00264FB8"/>
    <w:rsid w:val="0026525F"/>
    <w:rsid w:val="00265716"/>
    <w:rsid w:val="00265864"/>
    <w:rsid w:val="00265920"/>
    <w:rsid w:val="00265A1B"/>
    <w:rsid w:val="00265F4E"/>
    <w:rsid w:val="002660F0"/>
    <w:rsid w:val="00266F17"/>
    <w:rsid w:val="00266F59"/>
    <w:rsid w:val="00267CAE"/>
    <w:rsid w:val="00267E19"/>
    <w:rsid w:val="00270010"/>
    <w:rsid w:val="0027001F"/>
    <w:rsid w:val="0027016F"/>
    <w:rsid w:val="00270730"/>
    <w:rsid w:val="00270834"/>
    <w:rsid w:val="00271211"/>
    <w:rsid w:val="00271358"/>
    <w:rsid w:val="00271699"/>
    <w:rsid w:val="002736E1"/>
    <w:rsid w:val="00273EE8"/>
    <w:rsid w:val="0027444F"/>
    <w:rsid w:val="002746A3"/>
    <w:rsid w:val="00274955"/>
    <w:rsid w:val="00274977"/>
    <w:rsid w:val="00274C01"/>
    <w:rsid w:val="00275569"/>
    <w:rsid w:val="00275628"/>
    <w:rsid w:val="0027578D"/>
    <w:rsid w:val="0027614E"/>
    <w:rsid w:val="00276B1F"/>
    <w:rsid w:val="00276FA3"/>
    <w:rsid w:val="002770A5"/>
    <w:rsid w:val="0027732D"/>
    <w:rsid w:val="002779C3"/>
    <w:rsid w:val="00277F84"/>
    <w:rsid w:val="002801D9"/>
    <w:rsid w:val="0028063B"/>
    <w:rsid w:val="00281225"/>
    <w:rsid w:val="00281573"/>
    <w:rsid w:val="002816FB"/>
    <w:rsid w:val="002818B4"/>
    <w:rsid w:val="00281B59"/>
    <w:rsid w:val="00281BC0"/>
    <w:rsid w:val="00281BCB"/>
    <w:rsid w:val="00281BD0"/>
    <w:rsid w:val="00281C25"/>
    <w:rsid w:val="0028239C"/>
    <w:rsid w:val="0028353B"/>
    <w:rsid w:val="0028375C"/>
    <w:rsid w:val="00283C70"/>
    <w:rsid w:val="002842CE"/>
    <w:rsid w:val="00284B23"/>
    <w:rsid w:val="00284FD1"/>
    <w:rsid w:val="00284FE5"/>
    <w:rsid w:val="00285579"/>
    <w:rsid w:val="00285E2C"/>
    <w:rsid w:val="00286E2B"/>
    <w:rsid w:val="002872A0"/>
    <w:rsid w:val="00287420"/>
    <w:rsid w:val="00287AF1"/>
    <w:rsid w:val="00287CC7"/>
    <w:rsid w:val="002913F8"/>
    <w:rsid w:val="0029160B"/>
    <w:rsid w:val="00291AF6"/>
    <w:rsid w:val="00291D4C"/>
    <w:rsid w:val="002920CE"/>
    <w:rsid w:val="00292516"/>
    <w:rsid w:val="0029294B"/>
    <w:rsid w:val="002929E3"/>
    <w:rsid w:val="002931FC"/>
    <w:rsid w:val="00293C56"/>
    <w:rsid w:val="00293F9E"/>
    <w:rsid w:val="00294219"/>
    <w:rsid w:val="0029431F"/>
    <w:rsid w:val="00294479"/>
    <w:rsid w:val="00294FA0"/>
    <w:rsid w:val="0029532F"/>
    <w:rsid w:val="002963B8"/>
    <w:rsid w:val="00296A60"/>
    <w:rsid w:val="00296B07"/>
    <w:rsid w:val="00296F1C"/>
    <w:rsid w:val="00297917"/>
    <w:rsid w:val="00297C8A"/>
    <w:rsid w:val="002A086A"/>
    <w:rsid w:val="002A0C28"/>
    <w:rsid w:val="002A1A9E"/>
    <w:rsid w:val="002A2522"/>
    <w:rsid w:val="002A2A8E"/>
    <w:rsid w:val="002A2B8B"/>
    <w:rsid w:val="002A5973"/>
    <w:rsid w:val="002A5B4B"/>
    <w:rsid w:val="002A67DD"/>
    <w:rsid w:val="002A6EAF"/>
    <w:rsid w:val="002A6EC5"/>
    <w:rsid w:val="002A7122"/>
    <w:rsid w:val="002A72BB"/>
    <w:rsid w:val="002A775F"/>
    <w:rsid w:val="002A7AF5"/>
    <w:rsid w:val="002A7EA5"/>
    <w:rsid w:val="002B0525"/>
    <w:rsid w:val="002B0605"/>
    <w:rsid w:val="002B0A27"/>
    <w:rsid w:val="002B1300"/>
    <w:rsid w:val="002B145A"/>
    <w:rsid w:val="002B14DA"/>
    <w:rsid w:val="002B1B38"/>
    <w:rsid w:val="002B1BBA"/>
    <w:rsid w:val="002B1F89"/>
    <w:rsid w:val="002B2712"/>
    <w:rsid w:val="002B2F5C"/>
    <w:rsid w:val="002B318C"/>
    <w:rsid w:val="002B3482"/>
    <w:rsid w:val="002B3939"/>
    <w:rsid w:val="002B3A9C"/>
    <w:rsid w:val="002B3E89"/>
    <w:rsid w:val="002B4A6F"/>
    <w:rsid w:val="002B4AF1"/>
    <w:rsid w:val="002B4AFE"/>
    <w:rsid w:val="002B4CA5"/>
    <w:rsid w:val="002B4D03"/>
    <w:rsid w:val="002B5B5A"/>
    <w:rsid w:val="002B5C06"/>
    <w:rsid w:val="002B5D4F"/>
    <w:rsid w:val="002B7061"/>
    <w:rsid w:val="002B708C"/>
    <w:rsid w:val="002C0225"/>
    <w:rsid w:val="002C07A1"/>
    <w:rsid w:val="002C092D"/>
    <w:rsid w:val="002C0A37"/>
    <w:rsid w:val="002C0BC5"/>
    <w:rsid w:val="002C1F35"/>
    <w:rsid w:val="002C1FB6"/>
    <w:rsid w:val="002C2772"/>
    <w:rsid w:val="002C2901"/>
    <w:rsid w:val="002C2EAE"/>
    <w:rsid w:val="002C489A"/>
    <w:rsid w:val="002C54AD"/>
    <w:rsid w:val="002C574B"/>
    <w:rsid w:val="002C5F2A"/>
    <w:rsid w:val="002C6E1E"/>
    <w:rsid w:val="002C7D25"/>
    <w:rsid w:val="002D02F6"/>
    <w:rsid w:val="002D123D"/>
    <w:rsid w:val="002D1369"/>
    <w:rsid w:val="002D1699"/>
    <w:rsid w:val="002D191F"/>
    <w:rsid w:val="002D1DF5"/>
    <w:rsid w:val="002D1F26"/>
    <w:rsid w:val="002D33FC"/>
    <w:rsid w:val="002D3A4D"/>
    <w:rsid w:val="002D3CD0"/>
    <w:rsid w:val="002D4A6B"/>
    <w:rsid w:val="002D4CC5"/>
    <w:rsid w:val="002D4F03"/>
    <w:rsid w:val="002D4F7C"/>
    <w:rsid w:val="002D5290"/>
    <w:rsid w:val="002D6458"/>
    <w:rsid w:val="002D6460"/>
    <w:rsid w:val="002D651A"/>
    <w:rsid w:val="002D6BCD"/>
    <w:rsid w:val="002D7342"/>
    <w:rsid w:val="002D739D"/>
    <w:rsid w:val="002D796A"/>
    <w:rsid w:val="002D7EB1"/>
    <w:rsid w:val="002D7F24"/>
    <w:rsid w:val="002D7FE3"/>
    <w:rsid w:val="002E01C0"/>
    <w:rsid w:val="002E01D0"/>
    <w:rsid w:val="002E04C4"/>
    <w:rsid w:val="002E050F"/>
    <w:rsid w:val="002E13DA"/>
    <w:rsid w:val="002E14B6"/>
    <w:rsid w:val="002E1E65"/>
    <w:rsid w:val="002E2EF9"/>
    <w:rsid w:val="002E36A5"/>
    <w:rsid w:val="002E39EC"/>
    <w:rsid w:val="002E3ED2"/>
    <w:rsid w:val="002E3F6E"/>
    <w:rsid w:val="002E5B49"/>
    <w:rsid w:val="002E5F48"/>
    <w:rsid w:val="002E601F"/>
    <w:rsid w:val="002E665A"/>
    <w:rsid w:val="002E6774"/>
    <w:rsid w:val="002E6B8B"/>
    <w:rsid w:val="002E6D03"/>
    <w:rsid w:val="002E6E66"/>
    <w:rsid w:val="002E7188"/>
    <w:rsid w:val="002E7558"/>
    <w:rsid w:val="002E7693"/>
    <w:rsid w:val="002E77C8"/>
    <w:rsid w:val="002E7A6B"/>
    <w:rsid w:val="002F02E7"/>
    <w:rsid w:val="002F0912"/>
    <w:rsid w:val="002F0B42"/>
    <w:rsid w:val="002F0C92"/>
    <w:rsid w:val="002F12FA"/>
    <w:rsid w:val="002F155E"/>
    <w:rsid w:val="002F19B8"/>
    <w:rsid w:val="002F1B71"/>
    <w:rsid w:val="002F1BB9"/>
    <w:rsid w:val="002F204B"/>
    <w:rsid w:val="002F2F6A"/>
    <w:rsid w:val="002F30F2"/>
    <w:rsid w:val="002F325D"/>
    <w:rsid w:val="002F3645"/>
    <w:rsid w:val="002F3E9A"/>
    <w:rsid w:val="002F4B2A"/>
    <w:rsid w:val="002F4CB6"/>
    <w:rsid w:val="002F52EE"/>
    <w:rsid w:val="002F5482"/>
    <w:rsid w:val="002F5BEB"/>
    <w:rsid w:val="002F6403"/>
    <w:rsid w:val="002F650A"/>
    <w:rsid w:val="002F6C6F"/>
    <w:rsid w:val="002F6FDE"/>
    <w:rsid w:val="002F746B"/>
    <w:rsid w:val="00300063"/>
    <w:rsid w:val="00300366"/>
    <w:rsid w:val="00300B04"/>
    <w:rsid w:val="00301C2D"/>
    <w:rsid w:val="003025BE"/>
    <w:rsid w:val="00302805"/>
    <w:rsid w:val="00302856"/>
    <w:rsid w:val="00302D85"/>
    <w:rsid w:val="00302F74"/>
    <w:rsid w:val="00303DD1"/>
    <w:rsid w:val="00303E0A"/>
    <w:rsid w:val="00304458"/>
    <w:rsid w:val="003055D2"/>
    <w:rsid w:val="00305911"/>
    <w:rsid w:val="00305C7E"/>
    <w:rsid w:val="00305CCD"/>
    <w:rsid w:val="00305ED9"/>
    <w:rsid w:val="0030612A"/>
    <w:rsid w:val="0030710F"/>
    <w:rsid w:val="00307580"/>
    <w:rsid w:val="00310978"/>
    <w:rsid w:val="00310A0B"/>
    <w:rsid w:val="00310DEC"/>
    <w:rsid w:val="003117FB"/>
    <w:rsid w:val="00311939"/>
    <w:rsid w:val="003119FC"/>
    <w:rsid w:val="00311B9C"/>
    <w:rsid w:val="00311BB7"/>
    <w:rsid w:val="00311C86"/>
    <w:rsid w:val="003121FD"/>
    <w:rsid w:val="0031254E"/>
    <w:rsid w:val="00312A58"/>
    <w:rsid w:val="00312E3C"/>
    <w:rsid w:val="00313CD2"/>
    <w:rsid w:val="00313EC8"/>
    <w:rsid w:val="00313EEE"/>
    <w:rsid w:val="00314C6B"/>
    <w:rsid w:val="003152B6"/>
    <w:rsid w:val="003154B5"/>
    <w:rsid w:val="003154DA"/>
    <w:rsid w:val="00315527"/>
    <w:rsid w:val="003155AE"/>
    <w:rsid w:val="003155F2"/>
    <w:rsid w:val="00315C70"/>
    <w:rsid w:val="00315E91"/>
    <w:rsid w:val="00315EF5"/>
    <w:rsid w:val="003167DE"/>
    <w:rsid w:val="00316C25"/>
    <w:rsid w:val="003173F1"/>
    <w:rsid w:val="00320D8E"/>
    <w:rsid w:val="00320E74"/>
    <w:rsid w:val="00321041"/>
    <w:rsid w:val="003211D0"/>
    <w:rsid w:val="003214B2"/>
    <w:rsid w:val="003218A7"/>
    <w:rsid w:val="00321933"/>
    <w:rsid w:val="003225C5"/>
    <w:rsid w:val="00324282"/>
    <w:rsid w:val="003246CB"/>
    <w:rsid w:val="0032508F"/>
    <w:rsid w:val="00325FDF"/>
    <w:rsid w:val="0032608B"/>
    <w:rsid w:val="003268CD"/>
    <w:rsid w:val="00326AA6"/>
    <w:rsid w:val="00326AD7"/>
    <w:rsid w:val="00326D2B"/>
    <w:rsid w:val="003273D9"/>
    <w:rsid w:val="003278EC"/>
    <w:rsid w:val="00327BDA"/>
    <w:rsid w:val="00327CAA"/>
    <w:rsid w:val="0033007E"/>
    <w:rsid w:val="003300A1"/>
    <w:rsid w:val="00331270"/>
    <w:rsid w:val="003315E6"/>
    <w:rsid w:val="003316B9"/>
    <w:rsid w:val="00331E08"/>
    <w:rsid w:val="00332193"/>
    <w:rsid w:val="00332306"/>
    <w:rsid w:val="00334343"/>
    <w:rsid w:val="0033439B"/>
    <w:rsid w:val="003344EC"/>
    <w:rsid w:val="00335856"/>
    <w:rsid w:val="0033598F"/>
    <w:rsid w:val="00335B46"/>
    <w:rsid w:val="00335CB9"/>
    <w:rsid w:val="00336027"/>
    <w:rsid w:val="003364C4"/>
    <w:rsid w:val="003367EA"/>
    <w:rsid w:val="0033695F"/>
    <w:rsid w:val="00336BC2"/>
    <w:rsid w:val="00336CEC"/>
    <w:rsid w:val="00336DB6"/>
    <w:rsid w:val="00337385"/>
    <w:rsid w:val="0033753F"/>
    <w:rsid w:val="00340382"/>
    <w:rsid w:val="00340E9F"/>
    <w:rsid w:val="003416C6"/>
    <w:rsid w:val="003420E5"/>
    <w:rsid w:val="00343018"/>
    <w:rsid w:val="003434DF"/>
    <w:rsid w:val="00343903"/>
    <w:rsid w:val="00343AEA"/>
    <w:rsid w:val="00343C25"/>
    <w:rsid w:val="00343E35"/>
    <w:rsid w:val="00344192"/>
    <w:rsid w:val="00344BFA"/>
    <w:rsid w:val="00345063"/>
    <w:rsid w:val="00345B50"/>
    <w:rsid w:val="00346125"/>
    <w:rsid w:val="00346387"/>
    <w:rsid w:val="00347183"/>
    <w:rsid w:val="00347702"/>
    <w:rsid w:val="0034794A"/>
    <w:rsid w:val="0035033C"/>
    <w:rsid w:val="00350443"/>
    <w:rsid w:val="00350FA2"/>
    <w:rsid w:val="0035248F"/>
    <w:rsid w:val="00352E13"/>
    <w:rsid w:val="00354309"/>
    <w:rsid w:val="003548B6"/>
    <w:rsid w:val="00354A87"/>
    <w:rsid w:val="00355F82"/>
    <w:rsid w:val="00356318"/>
    <w:rsid w:val="00356363"/>
    <w:rsid w:val="00356551"/>
    <w:rsid w:val="00356756"/>
    <w:rsid w:val="0035697A"/>
    <w:rsid w:val="00356A94"/>
    <w:rsid w:val="003571B3"/>
    <w:rsid w:val="0035750B"/>
    <w:rsid w:val="003600EE"/>
    <w:rsid w:val="0036010A"/>
    <w:rsid w:val="00360964"/>
    <w:rsid w:val="003616EA"/>
    <w:rsid w:val="00361A9B"/>
    <w:rsid w:val="00361C07"/>
    <w:rsid w:val="00362565"/>
    <w:rsid w:val="003628F2"/>
    <w:rsid w:val="003629DA"/>
    <w:rsid w:val="00362CDD"/>
    <w:rsid w:val="00362FDC"/>
    <w:rsid w:val="0036357A"/>
    <w:rsid w:val="00363C97"/>
    <w:rsid w:val="003640B9"/>
    <w:rsid w:val="00364336"/>
    <w:rsid w:val="00364D31"/>
    <w:rsid w:val="0036500B"/>
    <w:rsid w:val="003658AA"/>
    <w:rsid w:val="00366968"/>
    <w:rsid w:val="00366CE6"/>
    <w:rsid w:val="0036716B"/>
    <w:rsid w:val="00367304"/>
    <w:rsid w:val="00367621"/>
    <w:rsid w:val="00367BB7"/>
    <w:rsid w:val="00367D77"/>
    <w:rsid w:val="00370594"/>
    <w:rsid w:val="00370800"/>
    <w:rsid w:val="003710BC"/>
    <w:rsid w:val="00371AA6"/>
    <w:rsid w:val="00371E29"/>
    <w:rsid w:val="00372107"/>
    <w:rsid w:val="00373A2E"/>
    <w:rsid w:val="00373F6B"/>
    <w:rsid w:val="00374C80"/>
    <w:rsid w:val="00374EA6"/>
    <w:rsid w:val="0037520B"/>
    <w:rsid w:val="0037537C"/>
    <w:rsid w:val="00375613"/>
    <w:rsid w:val="0037585C"/>
    <w:rsid w:val="00375E05"/>
    <w:rsid w:val="00375E92"/>
    <w:rsid w:val="003767CB"/>
    <w:rsid w:val="00376ABC"/>
    <w:rsid w:val="00376AF9"/>
    <w:rsid w:val="00376F97"/>
    <w:rsid w:val="0037703B"/>
    <w:rsid w:val="0037711A"/>
    <w:rsid w:val="00377487"/>
    <w:rsid w:val="00380130"/>
    <w:rsid w:val="00380B5D"/>
    <w:rsid w:val="00380DB6"/>
    <w:rsid w:val="00380F36"/>
    <w:rsid w:val="003816B3"/>
    <w:rsid w:val="003817BB"/>
    <w:rsid w:val="00381900"/>
    <w:rsid w:val="00381CC1"/>
    <w:rsid w:val="00381CFD"/>
    <w:rsid w:val="00382F41"/>
    <w:rsid w:val="003835DD"/>
    <w:rsid w:val="0038391A"/>
    <w:rsid w:val="003842DA"/>
    <w:rsid w:val="00385344"/>
    <w:rsid w:val="00385539"/>
    <w:rsid w:val="00385D36"/>
    <w:rsid w:val="00385D60"/>
    <w:rsid w:val="003860F1"/>
    <w:rsid w:val="00386EDB"/>
    <w:rsid w:val="00386EEE"/>
    <w:rsid w:val="003871E2"/>
    <w:rsid w:val="003878FB"/>
    <w:rsid w:val="00387E13"/>
    <w:rsid w:val="00387EA7"/>
    <w:rsid w:val="003901EF"/>
    <w:rsid w:val="00390266"/>
    <w:rsid w:val="003917A5"/>
    <w:rsid w:val="003925C6"/>
    <w:rsid w:val="00392F07"/>
    <w:rsid w:val="00393045"/>
    <w:rsid w:val="00393265"/>
    <w:rsid w:val="003935F5"/>
    <w:rsid w:val="00394564"/>
    <w:rsid w:val="00394758"/>
    <w:rsid w:val="00395329"/>
    <w:rsid w:val="00395C1A"/>
    <w:rsid w:val="00395D75"/>
    <w:rsid w:val="003961AA"/>
    <w:rsid w:val="003965E6"/>
    <w:rsid w:val="00396670"/>
    <w:rsid w:val="00396778"/>
    <w:rsid w:val="00396857"/>
    <w:rsid w:val="0039742D"/>
    <w:rsid w:val="00397451"/>
    <w:rsid w:val="00397E14"/>
    <w:rsid w:val="003A07FA"/>
    <w:rsid w:val="003A1665"/>
    <w:rsid w:val="003A1EC9"/>
    <w:rsid w:val="003A2556"/>
    <w:rsid w:val="003A30EA"/>
    <w:rsid w:val="003A3684"/>
    <w:rsid w:val="003A399C"/>
    <w:rsid w:val="003A46BA"/>
    <w:rsid w:val="003A4815"/>
    <w:rsid w:val="003A4841"/>
    <w:rsid w:val="003A556C"/>
    <w:rsid w:val="003A591E"/>
    <w:rsid w:val="003A5EF2"/>
    <w:rsid w:val="003A6367"/>
    <w:rsid w:val="003A63CB"/>
    <w:rsid w:val="003A69A4"/>
    <w:rsid w:val="003A6ABD"/>
    <w:rsid w:val="003A6CA2"/>
    <w:rsid w:val="003A6EE0"/>
    <w:rsid w:val="003A701B"/>
    <w:rsid w:val="003A73F2"/>
    <w:rsid w:val="003A7401"/>
    <w:rsid w:val="003A76A3"/>
    <w:rsid w:val="003B0238"/>
    <w:rsid w:val="003B0253"/>
    <w:rsid w:val="003B0A46"/>
    <w:rsid w:val="003B0FA1"/>
    <w:rsid w:val="003B1040"/>
    <w:rsid w:val="003B15EF"/>
    <w:rsid w:val="003B1763"/>
    <w:rsid w:val="003B20D1"/>
    <w:rsid w:val="003B22E6"/>
    <w:rsid w:val="003B28BD"/>
    <w:rsid w:val="003B33DE"/>
    <w:rsid w:val="003B3C9C"/>
    <w:rsid w:val="003B3D40"/>
    <w:rsid w:val="003B4030"/>
    <w:rsid w:val="003B49AD"/>
    <w:rsid w:val="003B58A0"/>
    <w:rsid w:val="003B5E96"/>
    <w:rsid w:val="003B623B"/>
    <w:rsid w:val="003B6398"/>
    <w:rsid w:val="003C01D7"/>
    <w:rsid w:val="003C02E5"/>
    <w:rsid w:val="003C10AD"/>
    <w:rsid w:val="003C1333"/>
    <w:rsid w:val="003C2490"/>
    <w:rsid w:val="003C335D"/>
    <w:rsid w:val="003C3414"/>
    <w:rsid w:val="003C3F40"/>
    <w:rsid w:val="003C448A"/>
    <w:rsid w:val="003C4564"/>
    <w:rsid w:val="003C61DD"/>
    <w:rsid w:val="003C6625"/>
    <w:rsid w:val="003C6B61"/>
    <w:rsid w:val="003C6FBB"/>
    <w:rsid w:val="003D07D4"/>
    <w:rsid w:val="003D07D8"/>
    <w:rsid w:val="003D0AC1"/>
    <w:rsid w:val="003D0D01"/>
    <w:rsid w:val="003D0E3D"/>
    <w:rsid w:val="003D1B5C"/>
    <w:rsid w:val="003D2044"/>
    <w:rsid w:val="003D28DF"/>
    <w:rsid w:val="003D296F"/>
    <w:rsid w:val="003D297D"/>
    <w:rsid w:val="003D3095"/>
    <w:rsid w:val="003D39BF"/>
    <w:rsid w:val="003D52B1"/>
    <w:rsid w:val="003D5332"/>
    <w:rsid w:val="003D5613"/>
    <w:rsid w:val="003D63B8"/>
    <w:rsid w:val="003D685D"/>
    <w:rsid w:val="003D69AA"/>
    <w:rsid w:val="003D6F4B"/>
    <w:rsid w:val="003D73AE"/>
    <w:rsid w:val="003D75C1"/>
    <w:rsid w:val="003D7BE5"/>
    <w:rsid w:val="003D7CA0"/>
    <w:rsid w:val="003D7F39"/>
    <w:rsid w:val="003E0116"/>
    <w:rsid w:val="003E013E"/>
    <w:rsid w:val="003E02A7"/>
    <w:rsid w:val="003E036C"/>
    <w:rsid w:val="003E07AB"/>
    <w:rsid w:val="003E0BE0"/>
    <w:rsid w:val="003E0E4F"/>
    <w:rsid w:val="003E16B2"/>
    <w:rsid w:val="003E1A2C"/>
    <w:rsid w:val="003E2DD1"/>
    <w:rsid w:val="003E2E61"/>
    <w:rsid w:val="003E31E9"/>
    <w:rsid w:val="003E32C0"/>
    <w:rsid w:val="003E38CD"/>
    <w:rsid w:val="003E3E9C"/>
    <w:rsid w:val="003E4568"/>
    <w:rsid w:val="003E5150"/>
    <w:rsid w:val="003E554F"/>
    <w:rsid w:val="003E5609"/>
    <w:rsid w:val="003E5E78"/>
    <w:rsid w:val="003E605F"/>
    <w:rsid w:val="003E613B"/>
    <w:rsid w:val="003E63AE"/>
    <w:rsid w:val="003E6C2E"/>
    <w:rsid w:val="003E70FB"/>
    <w:rsid w:val="003E73DE"/>
    <w:rsid w:val="003E79BF"/>
    <w:rsid w:val="003E7ADD"/>
    <w:rsid w:val="003E7D52"/>
    <w:rsid w:val="003F01C3"/>
    <w:rsid w:val="003F0266"/>
    <w:rsid w:val="003F0287"/>
    <w:rsid w:val="003F07C7"/>
    <w:rsid w:val="003F1771"/>
    <w:rsid w:val="003F2284"/>
    <w:rsid w:val="003F26E5"/>
    <w:rsid w:val="003F2F45"/>
    <w:rsid w:val="003F3299"/>
    <w:rsid w:val="003F41A0"/>
    <w:rsid w:val="003F450A"/>
    <w:rsid w:val="003F4BF8"/>
    <w:rsid w:val="003F56E7"/>
    <w:rsid w:val="003F5AA5"/>
    <w:rsid w:val="003F6784"/>
    <w:rsid w:val="003F696E"/>
    <w:rsid w:val="003F6A12"/>
    <w:rsid w:val="003F6DE9"/>
    <w:rsid w:val="003F6E53"/>
    <w:rsid w:val="003F6F9B"/>
    <w:rsid w:val="003F75DA"/>
    <w:rsid w:val="003F7984"/>
    <w:rsid w:val="003F7FA0"/>
    <w:rsid w:val="00400580"/>
    <w:rsid w:val="00400592"/>
    <w:rsid w:val="00400688"/>
    <w:rsid w:val="004007B3"/>
    <w:rsid w:val="004010E5"/>
    <w:rsid w:val="00401316"/>
    <w:rsid w:val="00401528"/>
    <w:rsid w:val="0040180F"/>
    <w:rsid w:val="00401BB8"/>
    <w:rsid w:val="00402AE1"/>
    <w:rsid w:val="00402FD8"/>
    <w:rsid w:val="004042E0"/>
    <w:rsid w:val="00404737"/>
    <w:rsid w:val="00404A5F"/>
    <w:rsid w:val="00405CF9"/>
    <w:rsid w:val="0040636C"/>
    <w:rsid w:val="004063A2"/>
    <w:rsid w:val="00406E9D"/>
    <w:rsid w:val="004072BE"/>
    <w:rsid w:val="004073C7"/>
    <w:rsid w:val="00407AEF"/>
    <w:rsid w:val="00407F1E"/>
    <w:rsid w:val="00407F23"/>
    <w:rsid w:val="00410890"/>
    <w:rsid w:val="00410907"/>
    <w:rsid w:val="00411995"/>
    <w:rsid w:val="00411F91"/>
    <w:rsid w:val="004126BE"/>
    <w:rsid w:val="00412AF9"/>
    <w:rsid w:val="00412E98"/>
    <w:rsid w:val="00413C63"/>
    <w:rsid w:val="00413D12"/>
    <w:rsid w:val="004154D3"/>
    <w:rsid w:val="00415501"/>
    <w:rsid w:val="004156A8"/>
    <w:rsid w:val="004156F4"/>
    <w:rsid w:val="004160C7"/>
    <w:rsid w:val="00417867"/>
    <w:rsid w:val="00417A26"/>
    <w:rsid w:val="00417E8C"/>
    <w:rsid w:val="0042002E"/>
    <w:rsid w:val="0042065E"/>
    <w:rsid w:val="0042149B"/>
    <w:rsid w:val="00421755"/>
    <w:rsid w:val="00421B6C"/>
    <w:rsid w:val="00421BE9"/>
    <w:rsid w:val="00421C3A"/>
    <w:rsid w:val="0042304E"/>
    <w:rsid w:val="004233B7"/>
    <w:rsid w:val="0042382C"/>
    <w:rsid w:val="004239B0"/>
    <w:rsid w:val="004241C7"/>
    <w:rsid w:val="0042536E"/>
    <w:rsid w:val="00425998"/>
    <w:rsid w:val="00425E01"/>
    <w:rsid w:val="00426671"/>
    <w:rsid w:val="004268BF"/>
    <w:rsid w:val="004269A5"/>
    <w:rsid w:val="00427629"/>
    <w:rsid w:val="00427630"/>
    <w:rsid w:val="00427923"/>
    <w:rsid w:val="0042799D"/>
    <w:rsid w:val="00427CE5"/>
    <w:rsid w:val="00427D36"/>
    <w:rsid w:val="00430436"/>
    <w:rsid w:val="00430EA8"/>
    <w:rsid w:val="00430FBF"/>
    <w:rsid w:val="0043114E"/>
    <w:rsid w:val="004313B7"/>
    <w:rsid w:val="004314D2"/>
    <w:rsid w:val="00431F50"/>
    <w:rsid w:val="004325E6"/>
    <w:rsid w:val="004333C7"/>
    <w:rsid w:val="0043377C"/>
    <w:rsid w:val="00433EBA"/>
    <w:rsid w:val="004340D2"/>
    <w:rsid w:val="0043492F"/>
    <w:rsid w:val="00434DC3"/>
    <w:rsid w:val="00434E2E"/>
    <w:rsid w:val="00434FF9"/>
    <w:rsid w:val="0043506F"/>
    <w:rsid w:val="00435861"/>
    <w:rsid w:val="00435A46"/>
    <w:rsid w:val="00435BA5"/>
    <w:rsid w:val="00435CF1"/>
    <w:rsid w:val="00435F06"/>
    <w:rsid w:val="004360D3"/>
    <w:rsid w:val="0043615B"/>
    <w:rsid w:val="0043665C"/>
    <w:rsid w:val="004368F0"/>
    <w:rsid w:val="00436D3B"/>
    <w:rsid w:val="0043731E"/>
    <w:rsid w:val="00437A35"/>
    <w:rsid w:val="00437AFA"/>
    <w:rsid w:val="00437CAD"/>
    <w:rsid w:val="00440092"/>
    <w:rsid w:val="00440194"/>
    <w:rsid w:val="004402BD"/>
    <w:rsid w:val="004407E6"/>
    <w:rsid w:val="00440AC0"/>
    <w:rsid w:val="00440E4B"/>
    <w:rsid w:val="004419CC"/>
    <w:rsid w:val="00441A3B"/>
    <w:rsid w:val="00442373"/>
    <w:rsid w:val="004423F6"/>
    <w:rsid w:val="0044293A"/>
    <w:rsid w:val="00442DC2"/>
    <w:rsid w:val="004433EA"/>
    <w:rsid w:val="00444307"/>
    <w:rsid w:val="0044458B"/>
    <w:rsid w:val="004446EC"/>
    <w:rsid w:val="0044501C"/>
    <w:rsid w:val="004450FD"/>
    <w:rsid w:val="004456A5"/>
    <w:rsid w:val="00445D60"/>
    <w:rsid w:val="00446384"/>
    <w:rsid w:val="004464FA"/>
    <w:rsid w:val="0044700D"/>
    <w:rsid w:val="00450C8D"/>
    <w:rsid w:val="00451215"/>
    <w:rsid w:val="004518AD"/>
    <w:rsid w:val="00451CB5"/>
    <w:rsid w:val="00452E2D"/>
    <w:rsid w:val="00453209"/>
    <w:rsid w:val="0045348E"/>
    <w:rsid w:val="004538FD"/>
    <w:rsid w:val="00453992"/>
    <w:rsid w:val="00453D26"/>
    <w:rsid w:val="004540AF"/>
    <w:rsid w:val="00454705"/>
    <w:rsid w:val="00454938"/>
    <w:rsid w:val="00454BE4"/>
    <w:rsid w:val="00454C57"/>
    <w:rsid w:val="0045536F"/>
    <w:rsid w:val="004553A6"/>
    <w:rsid w:val="00455687"/>
    <w:rsid w:val="00455C24"/>
    <w:rsid w:val="00455E47"/>
    <w:rsid w:val="004561FF"/>
    <w:rsid w:val="004565AE"/>
    <w:rsid w:val="004566FC"/>
    <w:rsid w:val="0045698B"/>
    <w:rsid w:val="00456BD3"/>
    <w:rsid w:val="0045732C"/>
    <w:rsid w:val="00461E8B"/>
    <w:rsid w:val="00461EB8"/>
    <w:rsid w:val="00462EDC"/>
    <w:rsid w:val="0046356E"/>
    <w:rsid w:val="004636A2"/>
    <w:rsid w:val="00463B03"/>
    <w:rsid w:val="00463E70"/>
    <w:rsid w:val="00464623"/>
    <w:rsid w:val="004650D3"/>
    <w:rsid w:val="00466483"/>
    <w:rsid w:val="00466E1C"/>
    <w:rsid w:val="00467285"/>
    <w:rsid w:val="00467B39"/>
    <w:rsid w:val="00467C99"/>
    <w:rsid w:val="00467FBF"/>
    <w:rsid w:val="00470042"/>
    <w:rsid w:val="00470072"/>
    <w:rsid w:val="00470113"/>
    <w:rsid w:val="00470454"/>
    <w:rsid w:val="00470B58"/>
    <w:rsid w:val="00470E0D"/>
    <w:rsid w:val="00471333"/>
    <w:rsid w:val="0047133A"/>
    <w:rsid w:val="0047186D"/>
    <w:rsid w:val="00471CC0"/>
    <w:rsid w:val="00471E43"/>
    <w:rsid w:val="00472EB1"/>
    <w:rsid w:val="00473687"/>
    <w:rsid w:val="00473EAD"/>
    <w:rsid w:val="0047483A"/>
    <w:rsid w:val="0047495D"/>
    <w:rsid w:val="0047499A"/>
    <w:rsid w:val="004755C4"/>
    <w:rsid w:val="00475D8D"/>
    <w:rsid w:val="00476439"/>
    <w:rsid w:val="0047666F"/>
    <w:rsid w:val="0047670C"/>
    <w:rsid w:val="0047671B"/>
    <w:rsid w:val="00476A5D"/>
    <w:rsid w:val="00477446"/>
    <w:rsid w:val="004778AC"/>
    <w:rsid w:val="004800BC"/>
    <w:rsid w:val="004812A7"/>
    <w:rsid w:val="004812B4"/>
    <w:rsid w:val="00481E47"/>
    <w:rsid w:val="00482271"/>
    <w:rsid w:val="0048280F"/>
    <w:rsid w:val="00482B49"/>
    <w:rsid w:val="00483164"/>
    <w:rsid w:val="0048335F"/>
    <w:rsid w:val="004835E0"/>
    <w:rsid w:val="0048365C"/>
    <w:rsid w:val="00483821"/>
    <w:rsid w:val="00484235"/>
    <w:rsid w:val="004842A1"/>
    <w:rsid w:val="00484B6C"/>
    <w:rsid w:val="00484D9A"/>
    <w:rsid w:val="00485568"/>
    <w:rsid w:val="00485A6C"/>
    <w:rsid w:val="00485AD7"/>
    <w:rsid w:val="00485CD1"/>
    <w:rsid w:val="0048609F"/>
    <w:rsid w:val="004868AB"/>
    <w:rsid w:val="00486D50"/>
    <w:rsid w:val="00487CBE"/>
    <w:rsid w:val="0049004C"/>
    <w:rsid w:val="0049100B"/>
    <w:rsid w:val="00491540"/>
    <w:rsid w:val="00491F20"/>
    <w:rsid w:val="00492852"/>
    <w:rsid w:val="004942CA"/>
    <w:rsid w:val="004945FB"/>
    <w:rsid w:val="0049506E"/>
    <w:rsid w:val="004959BC"/>
    <w:rsid w:val="00495F81"/>
    <w:rsid w:val="0049614D"/>
    <w:rsid w:val="00496558"/>
    <w:rsid w:val="00496600"/>
    <w:rsid w:val="00496DF3"/>
    <w:rsid w:val="00497904"/>
    <w:rsid w:val="004A06C2"/>
    <w:rsid w:val="004A0730"/>
    <w:rsid w:val="004A087F"/>
    <w:rsid w:val="004A0B2A"/>
    <w:rsid w:val="004A1888"/>
    <w:rsid w:val="004A18A5"/>
    <w:rsid w:val="004A1917"/>
    <w:rsid w:val="004A21D0"/>
    <w:rsid w:val="004A3A73"/>
    <w:rsid w:val="004A3BFA"/>
    <w:rsid w:val="004A3E4A"/>
    <w:rsid w:val="004A4903"/>
    <w:rsid w:val="004A4A60"/>
    <w:rsid w:val="004A5B94"/>
    <w:rsid w:val="004A61B4"/>
    <w:rsid w:val="004A63AA"/>
    <w:rsid w:val="004A66F8"/>
    <w:rsid w:val="004A6C60"/>
    <w:rsid w:val="004A6DD1"/>
    <w:rsid w:val="004A71ED"/>
    <w:rsid w:val="004A725B"/>
    <w:rsid w:val="004A74C7"/>
    <w:rsid w:val="004A7BBA"/>
    <w:rsid w:val="004A7F08"/>
    <w:rsid w:val="004B011F"/>
    <w:rsid w:val="004B064F"/>
    <w:rsid w:val="004B0CEB"/>
    <w:rsid w:val="004B116B"/>
    <w:rsid w:val="004B18C3"/>
    <w:rsid w:val="004B20CA"/>
    <w:rsid w:val="004B2931"/>
    <w:rsid w:val="004B2C33"/>
    <w:rsid w:val="004B31F0"/>
    <w:rsid w:val="004B34AD"/>
    <w:rsid w:val="004B4251"/>
    <w:rsid w:val="004B451A"/>
    <w:rsid w:val="004B5798"/>
    <w:rsid w:val="004B5B41"/>
    <w:rsid w:val="004B5CAD"/>
    <w:rsid w:val="004B5D53"/>
    <w:rsid w:val="004B5F24"/>
    <w:rsid w:val="004B65EB"/>
    <w:rsid w:val="004B6EAE"/>
    <w:rsid w:val="004B7DDD"/>
    <w:rsid w:val="004B7E3E"/>
    <w:rsid w:val="004C0087"/>
    <w:rsid w:val="004C0347"/>
    <w:rsid w:val="004C085A"/>
    <w:rsid w:val="004C0FF7"/>
    <w:rsid w:val="004C1304"/>
    <w:rsid w:val="004C14F4"/>
    <w:rsid w:val="004C1F60"/>
    <w:rsid w:val="004C2890"/>
    <w:rsid w:val="004C290A"/>
    <w:rsid w:val="004C3104"/>
    <w:rsid w:val="004C3303"/>
    <w:rsid w:val="004C3491"/>
    <w:rsid w:val="004C497C"/>
    <w:rsid w:val="004C53AF"/>
    <w:rsid w:val="004C6CE9"/>
    <w:rsid w:val="004C719A"/>
    <w:rsid w:val="004C7ED8"/>
    <w:rsid w:val="004D0B7E"/>
    <w:rsid w:val="004D1ECE"/>
    <w:rsid w:val="004D2414"/>
    <w:rsid w:val="004D2AF3"/>
    <w:rsid w:val="004D2B39"/>
    <w:rsid w:val="004D2F90"/>
    <w:rsid w:val="004D355E"/>
    <w:rsid w:val="004D3719"/>
    <w:rsid w:val="004D3865"/>
    <w:rsid w:val="004D3C1D"/>
    <w:rsid w:val="004D478D"/>
    <w:rsid w:val="004D548F"/>
    <w:rsid w:val="004D5EDC"/>
    <w:rsid w:val="004D6554"/>
    <w:rsid w:val="004D6F13"/>
    <w:rsid w:val="004D70CE"/>
    <w:rsid w:val="004D7691"/>
    <w:rsid w:val="004D7E97"/>
    <w:rsid w:val="004E194E"/>
    <w:rsid w:val="004E1BE5"/>
    <w:rsid w:val="004E1C95"/>
    <w:rsid w:val="004E220C"/>
    <w:rsid w:val="004E2564"/>
    <w:rsid w:val="004E2733"/>
    <w:rsid w:val="004E27B7"/>
    <w:rsid w:val="004E28AA"/>
    <w:rsid w:val="004E2A7D"/>
    <w:rsid w:val="004E46A2"/>
    <w:rsid w:val="004E4CB9"/>
    <w:rsid w:val="004E5789"/>
    <w:rsid w:val="004E5B94"/>
    <w:rsid w:val="004E5D27"/>
    <w:rsid w:val="004E6379"/>
    <w:rsid w:val="004E676F"/>
    <w:rsid w:val="004F0147"/>
    <w:rsid w:val="004F0526"/>
    <w:rsid w:val="004F0F03"/>
    <w:rsid w:val="004F0FFF"/>
    <w:rsid w:val="004F13B2"/>
    <w:rsid w:val="004F153D"/>
    <w:rsid w:val="004F1711"/>
    <w:rsid w:val="004F182F"/>
    <w:rsid w:val="004F1B23"/>
    <w:rsid w:val="004F22D3"/>
    <w:rsid w:val="004F2D28"/>
    <w:rsid w:val="004F2E8F"/>
    <w:rsid w:val="004F3971"/>
    <w:rsid w:val="004F39D1"/>
    <w:rsid w:val="004F3DB2"/>
    <w:rsid w:val="004F3E62"/>
    <w:rsid w:val="004F4B34"/>
    <w:rsid w:val="004F4E78"/>
    <w:rsid w:val="004F607E"/>
    <w:rsid w:val="004F7952"/>
    <w:rsid w:val="004F7EED"/>
    <w:rsid w:val="00500323"/>
    <w:rsid w:val="00500332"/>
    <w:rsid w:val="00500611"/>
    <w:rsid w:val="00500EB4"/>
    <w:rsid w:val="00501FCA"/>
    <w:rsid w:val="005021CE"/>
    <w:rsid w:val="005022D4"/>
    <w:rsid w:val="00502B4F"/>
    <w:rsid w:val="00503438"/>
    <w:rsid w:val="0050439C"/>
    <w:rsid w:val="00504A25"/>
    <w:rsid w:val="00504A6A"/>
    <w:rsid w:val="00504BC0"/>
    <w:rsid w:val="00504D04"/>
    <w:rsid w:val="00504DF0"/>
    <w:rsid w:val="00504F11"/>
    <w:rsid w:val="00504F31"/>
    <w:rsid w:val="00505450"/>
    <w:rsid w:val="005054A4"/>
    <w:rsid w:val="0050606E"/>
    <w:rsid w:val="00506196"/>
    <w:rsid w:val="0050641D"/>
    <w:rsid w:val="0050660B"/>
    <w:rsid w:val="005068ED"/>
    <w:rsid w:val="00507048"/>
    <w:rsid w:val="005074D0"/>
    <w:rsid w:val="00507511"/>
    <w:rsid w:val="0051009E"/>
    <w:rsid w:val="0051057F"/>
    <w:rsid w:val="005106DE"/>
    <w:rsid w:val="00510AE2"/>
    <w:rsid w:val="0051107D"/>
    <w:rsid w:val="005111A9"/>
    <w:rsid w:val="005113DE"/>
    <w:rsid w:val="0051162F"/>
    <w:rsid w:val="005118E0"/>
    <w:rsid w:val="005119AA"/>
    <w:rsid w:val="005119B5"/>
    <w:rsid w:val="00511C74"/>
    <w:rsid w:val="00512C0F"/>
    <w:rsid w:val="00512C72"/>
    <w:rsid w:val="00512EED"/>
    <w:rsid w:val="00512F89"/>
    <w:rsid w:val="00514469"/>
    <w:rsid w:val="00514656"/>
    <w:rsid w:val="00514D76"/>
    <w:rsid w:val="00514DF4"/>
    <w:rsid w:val="00514F5C"/>
    <w:rsid w:val="00516117"/>
    <w:rsid w:val="005161C4"/>
    <w:rsid w:val="00516419"/>
    <w:rsid w:val="0051674D"/>
    <w:rsid w:val="005172D9"/>
    <w:rsid w:val="00520853"/>
    <w:rsid w:val="00521072"/>
    <w:rsid w:val="0052149A"/>
    <w:rsid w:val="00521656"/>
    <w:rsid w:val="00521C6F"/>
    <w:rsid w:val="005220BD"/>
    <w:rsid w:val="005224C9"/>
    <w:rsid w:val="005225F0"/>
    <w:rsid w:val="00522FC2"/>
    <w:rsid w:val="0052343D"/>
    <w:rsid w:val="00523671"/>
    <w:rsid w:val="00523DF3"/>
    <w:rsid w:val="00524122"/>
    <w:rsid w:val="0052416F"/>
    <w:rsid w:val="00524546"/>
    <w:rsid w:val="00524999"/>
    <w:rsid w:val="005249A5"/>
    <w:rsid w:val="00524A2B"/>
    <w:rsid w:val="00524AAE"/>
    <w:rsid w:val="00524B63"/>
    <w:rsid w:val="00524FFE"/>
    <w:rsid w:val="005252A1"/>
    <w:rsid w:val="0052584C"/>
    <w:rsid w:val="00525D4E"/>
    <w:rsid w:val="005266E6"/>
    <w:rsid w:val="0052683D"/>
    <w:rsid w:val="00526A69"/>
    <w:rsid w:val="00526A88"/>
    <w:rsid w:val="00526BB8"/>
    <w:rsid w:val="00526D87"/>
    <w:rsid w:val="005274BB"/>
    <w:rsid w:val="005276D3"/>
    <w:rsid w:val="005314D3"/>
    <w:rsid w:val="00531636"/>
    <w:rsid w:val="0053167F"/>
    <w:rsid w:val="00531728"/>
    <w:rsid w:val="00531929"/>
    <w:rsid w:val="00531AE4"/>
    <w:rsid w:val="005320C0"/>
    <w:rsid w:val="00532182"/>
    <w:rsid w:val="00532A59"/>
    <w:rsid w:val="00532A6B"/>
    <w:rsid w:val="00532F49"/>
    <w:rsid w:val="00533A84"/>
    <w:rsid w:val="00533D1E"/>
    <w:rsid w:val="00533EF8"/>
    <w:rsid w:val="0053411E"/>
    <w:rsid w:val="0053422F"/>
    <w:rsid w:val="00534FB2"/>
    <w:rsid w:val="00534FCF"/>
    <w:rsid w:val="005358D5"/>
    <w:rsid w:val="00535903"/>
    <w:rsid w:val="00535AD1"/>
    <w:rsid w:val="00535B2F"/>
    <w:rsid w:val="00535BBB"/>
    <w:rsid w:val="00535F8B"/>
    <w:rsid w:val="00536902"/>
    <w:rsid w:val="00536F25"/>
    <w:rsid w:val="00537155"/>
    <w:rsid w:val="005376C6"/>
    <w:rsid w:val="0053787D"/>
    <w:rsid w:val="0053797A"/>
    <w:rsid w:val="00540B0B"/>
    <w:rsid w:val="00540B81"/>
    <w:rsid w:val="00541266"/>
    <w:rsid w:val="005419A6"/>
    <w:rsid w:val="00542072"/>
    <w:rsid w:val="00542171"/>
    <w:rsid w:val="00542C20"/>
    <w:rsid w:val="00543A0F"/>
    <w:rsid w:val="00543D59"/>
    <w:rsid w:val="005440D1"/>
    <w:rsid w:val="00544B13"/>
    <w:rsid w:val="0054629D"/>
    <w:rsid w:val="00546812"/>
    <w:rsid w:val="005468FF"/>
    <w:rsid w:val="00546EE8"/>
    <w:rsid w:val="00546EFC"/>
    <w:rsid w:val="00547B21"/>
    <w:rsid w:val="00550013"/>
    <w:rsid w:val="00550140"/>
    <w:rsid w:val="00550616"/>
    <w:rsid w:val="0055084C"/>
    <w:rsid w:val="00550BCF"/>
    <w:rsid w:val="005513F5"/>
    <w:rsid w:val="0055169F"/>
    <w:rsid w:val="005516E6"/>
    <w:rsid w:val="00551A60"/>
    <w:rsid w:val="00551B92"/>
    <w:rsid w:val="00552058"/>
    <w:rsid w:val="00552163"/>
    <w:rsid w:val="00552792"/>
    <w:rsid w:val="005531B2"/>
    <w:rsid w:val="00553789"/>
    <w:rsid w:val="0055393F"/>
    <w:rsid w:val="00554158"/>
    <w:rsid w:val="00554A6A"/>
    <w:rsid w:val="0055507F"/>
    <w:rsid w:val="00555E9A"/>
    <w:rsid w:val="005564C0"/>
    <w:rsid w:val="00556909"/>
    <w:rsid w:val="00556ECB"/>
    <w:rsid w:val="00557F26"/>
    <w:rsid w:val="005607BC"/>
    <w:rsid w:val="00560B22"/>
    <w:rsid w:val="00561354"/>
    <w:rsid w:val="00561854"/>
    <w:rsid w:val="005621BC"/>
    <w:rsid w:val="005621CD"/>
    <w:rsid w:val="005625BE"/>
    <w:rsid w:val="0056272F"/>
    <w:rsid w:val="005628D5"/>
    <w:rsid w:val="0056295F"/>
    <w:rsid w:val="00562C42"/>
    <w:rsid w:val="005637B8"/>
    <w:rsid w:val="00563D47"/>
    <w:rsid w:val="005643E4"/>
    <w:rsid w:val="00564808"/>
    <w:rsid w:val="00564AEB"/>
    <w:rsid w:val="00565DDF"/>
    <w:rsid w:val="0056604B"/>
    <w:rsid w:val="0056615D"/>
    <w:rsid w:val="0056637A"/>
    <w:rsid w:val="00566636"/>
    <w:rsid w:val="005666C3"/>
    <w:rsid w:val="00566A53"/>
    <w:rsid w:val="00566B12"/>
    <w:rsid w:val="00566B2E"/>
    <w:rsid w:val="00566FB7"/>
    <w:rsid w:val="00567354"/>
    <w:rsid w:val="00567373"/>
    <w:rsid w:val="00567A39"/>
    <w:rsid w:val="0057056E"/>
    <w:rsid w:val="00571260"/>
    <w:rsid w:val="005721DB"/>
    <w:rsid w:val="00572A15"/>
    <w:rsid w:val="00572CBB"/>
    <w:rsid w:val="005732F8"/>
    <w:rsid w:val="00573353"/>
    <w:rsid w:val="0057411A"/>
    <w:rsid w:val="005741EB"/>
    <w:rsid w:val="00574388"/>
    <w:rsid w:val="0057469B"/>
    <w:rsid w:val="005746D7"/>
    <w:rsid w:val="0057477D"/>
    <w:rsid w:val="00574937"/>
    <w:rsid w:val="00574D93"/>
    <w:rsid w:val="005757E8"/>
    <w:rsid w:val="00575813"/>
    <w:rsid w:val="00575F96"/>
    <w:rsid w:val="00575FC8"/>
    <w:rsid w:val="00576BAA"/>
    <w:rsid w:val="00577CA8"/>
    <w:rsid w:val="005809A9"/>
    <w:rsid w:val="00581201"/>
    <w:rsid w:val="0058149E"/>
    <w:rsid w:val="0058158C"/>
    <w:rsid w:val="00582014"/>
    <w:rsid w:val="005821C5"/>
    <w:rsid w:val="0058236F"/>
    <w:rsid w:val="00583458"/>
    <w:rsid w:val="0058352B"/>
    <w:rsid w:val="005851DA"/>
    <w:rsid w:val="00585283"/>
    <w:rsid w:val="00586C13"/>
    <w:rsid w:val="00586E76"/>
    <w:rsid w:val="005870D7"/>
    <w:rsid w:val="00587154"/>
    <w:rsid w:val="005873DD"/>
    <w:rsid w:val="00587BB6"/>
    <w:rsid w:val="00590369"/>
    <w:rsid w:val="00590371"/>
    <w:rsid w:val="00590B0B"/>
    <w:rsid w:val="005914CE"/>
    <w:rsid w:val="00591A80"/>
    <w:rsid w:val="00591B52"/>
    <w:rsid w:val="0059215C"/>
    <w:rsid w:val="005921BA"/>
    <w:rsid w:val="0059220C"/>
    <w:rsid w:val="005927D0"/>
    <w:rsid w:val="00592A30"/>
    <w:rsid w:val="0059306D"/>
    <w:rsid w:val="00593F47"/>
    <w:rsid w:val="00594746"/>
    <w:rsid w:val="00594E01"/>
    <w:rsid w:val="005950AA"/>
    <w:rsid w:val="005960F5"/>
    <w:rsid w:val="00596CC0"/>
    <w:rsid w:val="00596D89"/>
    <w:rsid w:val="005974BD"/>
    <w:rsid w:val="00597615"/>
    <w:rsid w:val="005A01E7"/>
    <w:rsid w:val="005A0302"/>
    <w:rsid w:val="005A0576"/>
    <w:rsid w:val="005A10EA"/>
    <w:rsid w:val="005A2ACE"/>
    <w:rsid w:val="005A2BE5"/>
    <w:rsid w:val="005A2EEB"/>
    <w:rsid w:val="005A3117"/>
    <w:rsid w:val="005A3146"/>
    <w:rsid w:val="005A337C"/>
    <w:rsid w:val="005A3C2A"/>
    <w:rsid w:val="005A3D08"/>
    <w:rsid w:val="005A4713"/>
    <w:rsid w:val="005A4A88"/>
    <w:rsid w:val="005A4B16"/>
    <w:rsid w:val="005A52A3"/>
    <w:rsid w:val="005A56C6"/>
    <w:rsid w:val="005A59B5"/>
    <w:rsid w:val="005A5EBF"/>
    <w:rsid w:val="005A60F0"/>
    <w:rsid w:val="005A6137"/>
    <w:rsid w:val="005A6A35"/>
    <w:rsid w:val="005A6DA2"/>
    <w:rsid w:val="005A6FEA"/>
    <w:rsid w:val="005A709C"/>
    <w:rsid w:val="005A73DE"/>
    <w:rsid w:val="005A756E"/>
    <w:rsid w:val="005A77D1"/>
    <w:rsid w:val="005A7D7F"/>
    <w:rsid w:val="005A7E74"/>
    <w:rsid w:val="005B06DF"/>
    <w:rsid w:val="005B0ABA"/>
    <w:rsid w:val="005B0F14"/>
    <w:rsid w:val="005B0FA4"/>
    <w:rsid w:val="005B10FD"/>
    <w:rsid w:val="005B1285"/>
    <w:rsid w:val="005B1672"/>
    <w:rsid w:val="005B182A"/>
    <w:rsid w:val="005B1A6B"/>
    <w:rsid w:val="005B29B0"/>
    <w:rsid w:val="005B2C74"/>
    <w:rsid w:val="005B2F29"/>
    <w:rsid w:val="005B34BE"/>
    <w:rsid w:val="005B377A"/>
    <w:rsid w:val="005B507D"/>
    <w:rsid w:val="005B50EE"/>
    <w:rsid w:val="005B51CF"/>
    <w:rsid w:val="005B5C0E"/>
    <w:rsid w:val="005B5FA5"/>
    <w:rsid w:val="005B6C74"/>
    <w:rsid w:val="005B750F"/>
    <w:rsid w:val="005B78C3"/>
    <w:rsid w:val="005B7BF6"/>
    <w:rsid w:val="005B7E30"/>
    <w:rsid w:val="005C01DF"/>
    <w:rsid w:val="005C031E"/>
    <w:rsid w:val="005C0F40"/>
    <w:rsid w:val="005C137F"/>
    <w:rsid w:val="005C2516"/>
    <w:rsid w:val="005C2AE2"/>
    <w:rsid w:val="005C2E08"/>
    <w:rsid w:val="005C2FA2"/>
    <w:rsid w:val="005C3110"/>
    <w:rsid w:val="005C359D"/>
    <w:rsid w:val="005C35DC"/>
    <w:rsid w:val="005C3987"/>
    <w:rsid w:val="005C4431"/>
    <w:rsid w:val="005C44AF"/>
    <w:rsid w:val="005C4F4F"/>
    <w:rsid w:val="005C4FBA"/>
    <w:rsid w:val="005C60D7"/>
    <w:rsid w:val="005C64C1"/>
    <w:rsid w:val="005C686D"/>
    <w:rsid w:val="005C6C5C"/>
    <w:rsid w:val="005C6E93"/>
    <w:rsid w:val="005D01FD"/>
    <w:rsid w:val="005D13E7"/>
    <w:rsid w:val="005D179A"/>
    <w:rsid w:val="005D1C72"/>
    <w:rsid w:val="005D2157"/>
    <w:rsid w:val="005D21B9"/>
    <w:rsid w:val="005D2969"/>
    <w:rsid w:val="005D2DC8"/>
    <w:rsid w:val="005D3099"/>
    <w:rsid w:val="005D3C98"/>
    <w:rsid w:val="005D40D3"/>
    <w:rsid w:val="005D477C"/>
    <w:rsid w:val="005D4846"/>
    <w:rsid w:val="005D4A3A"/>
    <w:rsid w:val="005D50B4"/>
    <w:rsid w:val="005D521A"/>
    <w:rsid w:val="005D5282"/>
    <w:rsid w:val="005D57ED"/>
    <w:rsid w:val="005D64E7"/>
    <w:rsid w:val="005D6538"/>
    <w:rsid w:val="005D6590"/>
    <w:rsid w:val="005D666A"/>
    <w:rsid w:val="005D7A3D"/>
    <w:rsid w:val="005D7C2C"/>
    <w:rsid w:val="005D7D48"/>
    <w:rsid w:val="005D7E49"/>
    <w:rsid w:val="005E0037"/>
    <w:rsid w:val="005E00DF"/>
    <w:rsid w:val="005E06D6"/>
    <w:rsid w:val="005E0B8A"/>
    <w:rsid w:val="005E0DB0"/>
    <w:rsid w:val="005E0F15"/>
    <w:rsid w:val="005E12EA"/>
    <w:rsid w:val="005E148B"/>
    <w:rsid w:val="005E1B61"/>
    <w:rsid w:val="005E1E79"/>
    <w:rsid w:val="005E1F15"/>
    <w:rsid w:val="005E1F44"/>
    <w:rsid w:val="005E21AD"/>
    <w:rsid w:val="005E23A3"/>
    <w:rsid w:val="005E2B40"/>
    <w:rsid w:val="005E2F95"/>
    <w:rsid w:val="005E33AB"/>
    <w:rsid w:val="005E3911"/>
    <w:rsid w:val="005E398C"/>
    <w:rsid w:val="005E3F6B"/>
    <w:rsid w:val="005E4356"/>
    <w:rsid w:val="005E5162"/>
    <w:rsid w:val="005E582B"/>
    <w:rsid w:val="005E6662"/>
    <w:rsid w:val="005E66D4"/>
    <w:rsid w:val="005E66E2"/>
    <w:rsid w:val="005E6B20"/>
    <w:rsid w:val="005E6FD8"/>
    <w:rsid w:val="005E7030"/>
    <w:rsid w:val="005E7172"/>
    <w:rsid w:val="005E7E88"/>
    <w:rsid w:val="005F0766"/>
    <w:rsid w:val="005F0A7C"/>
    <w:rsid w:val="005F13F6"/>
    <w:rsid w:val="005F1AF8"/>
    <w:rsid w:val="005F1D0C"/>
    <w:rsid w:val="005F2780"/>
    <w:rsid w:val="005F2AA1"/>
    <w:rsid w:val="005F2E42"/>
    <w:rsid w:val="005F3165"/>
    <w:rsid w:val="005F3538"/>
    <w:rsid w:val="005F3628"/>
    <w:rsid w:val="005F40C3"/>
    <w:rsid w:val="005F499B"/>
    <w:rsid w:val="005F4BB4"/>
    <w:rsid w:val="005F5484"/>
    <w:rsid w:val="005F62A6"/>
    <w:rsid w:val="005F7724"/>
    <w:rsid w:val="00600146"/>
    <w:rsid w:val="00600432"/>
    <w:rsid w:val="0060075B"/>
    <w:rsid w:val="00600FAE"/>
    <w:rsid w:val="00601110"/>
    <w:rsid w:val="00601149"/>
    <w:rsid w:val="00601364"/>
    <w:rsid w:val="00601C85"/>
    <w:rsid w:val="006023FF"/>
    <w:rsid w:val="00602608"/>
    <w:rsid w:val="00602BAB"/>
    <w:rsid w:val="00602D13"/>
    <w:rsid w:val="006035D2"/>
    <w:rsid w:val="006036EE"/>
    <w:rsid w:val="00603C6A"/>
    <w:rsid w:val="00604BBA"/>
    <w:rsid w:val="00604FEB"/>
    <w:rsid w:val="006051A5"/>
    <w:rsid w:val="00605759"/>
    <w:rsid w:val="006059E9"/>
    <w:rsid w:val="00605A2A"/>
    <w:rsid w:val="00605BCE"/>
    <w:rsid w:val="006060DC"/>
    <w:rsid w:val="00606173"/>
    <w:rsid w:val="0060674A"/>
    <w:rsid w:val="00606824"/>
    <w:rsid w:val="00606E6F"/>
    <w:rsid w:val="00607335"/>
    <w:rsid w:val="00607E6E"/>
    <w:rsid w:val="00607EF4"/>
    <w:rsid w:val="006104DA"/>
    <w:rsid w:val="006105FC"/>
    <w:rsid w:val="00610B3E"/>
    <w:rsid w:val="0061118B"/>
    <w:rsid w:val="0061122A"/>
    <w:rsid w:val="00611309"/>
    <w:rsid w:val="006120F2"/>
    <w:rsid w:val="00612730"/>
    <w:rsid w:val="00612CD8"/>
    <w:rsid w:val="0061387C"/>
    <w:rsid w:val="00613E64"/>
    <w:rsid w:val="00613E9E"/>
    <w:rsid w:val="00613F34"/>
    <w:rsid w:val="006145EF"/>
    <w:rsid w:val="006149F4"/>
    <w:rsid w:val="0061504F"/>
    <w:rsid w:val="0061550E"/>
    <w:rsid w:val="00615619"/>
    <w:rsid w:val="00616067"/>
    <w:rsid w:val="0061652D"/>
    <w:rsid w:val="00616AC5"/>
    <w:rsid w:val="0061731D"/>
    <w:rsid w:val="0061755B"/>
    <w:rsid w:val="00617585"/>
    <w:rsid w:val="00617AAA"/>
    <w:rsid w:val="006206EA"/>
    <w:rsid w:val="00620755"/>
    <w:rsid w:val="006207DD"/>
    <w:rsid w:val="0062096E"/>
    <w:rsid w:val="006210B5"/>
    <w:rsid w:val="006211C3"/>
    <w:rsid w:val="0062133D"/>
    <w:rsid w:val="00621BC0"/>
    <w:rsid w:val="006227C8"/>
    <w:rsid w:val="0062359E"/>
    <w:rsid w:val="006239BD"/>
    <w:rsid w:val="00624423"/>
    <w:rsid w:val="0062655A"/>
    <w:rsid w:val="006266C3"/>
    <w:rsid w:val="00627289"/>
    <w:rsid w:val="0062745E"/>
    <w:rsid w:val="006277A3"/>
    <w:rsid w:val="00627884"/>
    <w:rsid w:val="00627FE8"/>
    <w:rsid w:val="00630468"/>
    <w:rsid w:val="00630605"/>
    <w:rsid w:val="00630994"/>
    <w:rsid w:val="00630C79"/>
    <w:rsid w:val="00631367"/>
    <w:rsid w:val="00631641"/>
    <w:rsid w:val="00631D08"/>
    <w:rsid w:val="006329EE"/>
    <w:rsid w:val="00632A7A"/>
    <w:rsid w:val="00632C78"/>
    <w:rsid w:val="00633278"/>
    <w:rsid w:val="0063367E"/>
    <w:rsid w:val="006340E3"/>
    <w:rsid w:val="00634198"/>
    <w:rsid w:val="00634C46"/>
    <w:rsid w:val="006350C4"/>
    <w:rsid w:val="006350FE"/>
    <w:rsid w:val="00635230"/>
    <w:rsid w:val="00635B66"/>
    <w:rsid w:val="00635F00"/>
    <w:rsid w:val="0063612B"/>
    <w:rsid w:val="0063656C"/>
    <w:rsid w:val="00637026"/>
    <w:rsid w:val="00637110"/>
    <w:rsid w:val="00637D56"/>
    <w:rsid w:val="00637F7B"/>
    <w:rsid w:val="0064049C"/>
    <w:rsid w:val="0064072E"/>
    <w:rsid w:val="00640749"/>
    <w:rsid w:val="00641C37"/>
    <w:rsid w:val="00641CB6"/>
    <w:rsid w:val="00642115"/>
    <w:rsid w:val="00642AC8"/>
    <w:rsid w:val="006436E5"/>
    <w:rsid w:val="006437DB"/>
    <w:rsid w:val="00643862"/>
    <w:rsid w:val="00643B6D"/>
    <w:rsid w:val="00643F8A"/>
    <w:rsid w:val="0064408E"/>
    <w:rsid w:val="00644213"/>
    <w:rsid w:val="006444CD"/>
    <w:rsid w:val="006446C8"/>
    <w:rsid w:val="00644810"/>
    <w:rsid w:val="00644D55"/>
    <w:rsid w:val="00645569"/>
    <w:rsid w:val="006458B8"/>
    <w:rsid w:val="00645A6A"/>
    <w:rsid w:val="0064617A"/>
    <w:rsid w:val="00646934"/>
    <w:rsid w:val="00646B93"/>
    <w:rsid w:val="00646BFA"/>
    <w:rsid w:val="00646C94"/>
    <w:rsid w:val="00647A72"/>
    <w:rsid w:val="00647F49"/>
    <w:rsid w:val="00650677"/>
    <w:rsid w:val="00650FD9"/>
    <w:rsid w:val="00651150"/>
    <w:rsid w:val="00651382"/>
    <w:rsid w:val="006519B6"/>
    <w:rsid w:val="00651FF1"/>
    <w:rsid w:val="006521A0"/>
    <w:rsid w:val="006523A2"/>
    <w:rsid w:val="00652B25"/>
    <w:rsid w:val="00652D8C"/>
    <w:rsid w:val="00653D0A"/>
    <w:rsid w:val="00654142"/>
    <w:rsid w:val="0065418E"/>
    <w:rsid w:val="00655085"/>
    <w:rsid w:val="00655915"/>
    <w:rsid w:val="00655CEF"/>
    <w:rsid w:val="00656656"/>
    <w:rsid w:val="00656B3F"/>
    <w:rsid w:val="00656EB3"/>
    <w:rsid w:val="00656EE8"/>
    <w:rsid w:val="00657073"/>
    <w:rsid w:val="00657270"/>
    <w:rsid w:val="00657483"/>
    <w:rsid w:val="00657576"/>
    <w:rsid w:val="00657793"/>
    <w:rsid w:val="0065792D"/>
    <w:rsid w:val="00657C15"/>
    <w:rsid w:val="00660225"/>
    <w:rsid w:val="00661D96"/>
    <w:rsid w:val="00662932"/>
    <w:rsid w:val="00663CAB"/>
    <w:rsid w:val="00665A83"/>
    <w:rsid w:val="00665CF1"/>
    <w:rsid w:val="00665D33"/>
    <w:rsid w:val="006666AC"/>
    <w:rsid w:val="0066715F"/>
    <w:rsid w:val="00667386"/>
    <w:rsid w:val="0066781F"/>
    <w:rsid w:val="00667D1D"/>
    <w:rsid w:val="006704BD"/>
    <w:rsid w:val="00670CF8"/>
    <w:rsid w:val="00671431"/>
    <w:rsid w:val="0067147B"/>
    <w:rsid w:val="006718E5"/>
    <w:rsid w:val="006718F1"/>
    <w:rsid w:val="00671A47"/>
    <w:rsid w:val="00671D07"/>
    <w:rsid w:val="00672038"/>
    <w:rsid w:val="00672EB7"/>
    <w:rsid w:val="0067345F"/>
    <w:rsid w:val="00674162"/>
    <w:rsid w:val="0067455D"/>
    <w:rsid w:val="0067493E"/>
    <w:rsid w:val="00674D19"/>
    <w:rsid w:val="00674F07"/>
    <w:rsid w:val="0067501D"/>
    <w:rsid w:val="00675D28"/>
    <w:rsid w:val="00675FB9"/>
    <w:rsid w:val="0067604F"/>
    <w:rsid w:val="00676B86"/>
    <w:rsid w:val="00676FCC"/>
    <w:rsid w:val="006770C6"/>
    <w:rsid w:val="00677443"/>
    <w:rsid w:val="00677B30"/>
    <w:rsid w:val="00677BC5"/>
    <w:rsid w:val="00680143"/>
    <w:rsid w:val="00680F69"/>
    <w:rsid w:val="006810E5"/>
    <w:rsid w:val="00681433"/>
    <w:rsid w:val="00681956"/>
    <w:rsid w:val="00681ADE"/>
    <w:rsid w:val="006822DE"/>
    <w:rsid w:val="0068282C"/>
    <w:rsid w:val="00682BA0"/>
    <w:rsid w:val="00682D00"/>
    <w:rsid w:val="006832D1"/>
    <w:rsid w:val="00684531"/>
    <w:rsid w:val="00684CC2"/>
    <w:rsid w:val="00684E97"/>
    <w:rsid w:val="0068537C"/>
    <w:rsid w:val="00686206"/>
    <w:rsid w:val="00686F88"/>
    <w:rsid w:val="00687152"/>
    <w:rsid w:val="00687B83"/>
    <w:rsid w:val="00690964"/>
    <w:rsid w:val="006912C4"/>
    <w:rsid w:val="006915E9"/>
    <w:rsid w:val="0069182F"/>
    <w:rsid w:val="006918C8"/>
    <w:rsid w:val="00691A7E"/>
    <w:rsid w:val="00692132"/>
    <w:rsid w:val="00692899"/>
    <w:rsid w:val="00692933"/>
    <w:rsid w:val="00692C78"/>
    <w:rsid w:val="00693436"/>
    <w:rsid w:val="006938F2"/>
    <w:rsid w:val="00693E27"/>
    <w:rsid w:val="00694213"/>
    <w:rsid w:val="006942FD"/>
    <w:rsid w:val="0069442E"/>
    <w:rsid w:val="006945D2"/>
    <w:rsid w:val="0069580E"/>
    <w:rsid w:val="00695C07"/>
    <w:rsid w:val="00695C2E"/>
    <w:rsid w:val="00695EE2"/>
    <w:rsid w:val="006964B4"/>
    <w:rsid w:val="00696988"/>
    <w:rsid w:val="00696C74"/>
    <w:rsid w:val="00697067"/>
    <w:rsid w:val="00697211"/>
    <w:rsid w:val="006972EA"/>
    <w:rsid w:val="006973D5"/>
    <w:rsid w:val="00697D94"/>
    <w:rsid w:val="006A02AD"/>
    <w:rsid w:val="006A09EF"/>
    <w:rsid w:val="006A0EFA"/>
    <w:rsid w:val="006A1A33"/>
    <w:rsid w:val="006A1F3F"/>
    <w:rsid w:val="006A204E"/>
    <w:rsid w:val="006A26FC"/>
    <w:rsid w:val="006A2EAE"/>
    <w:rsid w:val="006A3031"/>
    <w:rsid w:val="006A31EA"/>
    <w:rsid w:val="006A3357"/>
    <w:rsid w:val="006A4D69"/>
    <w:rsid w:val="006A509D"/>
    <w:rsid w:val="006A52D0"/>
    <w:rsid w:val="006A5B72"/>
    <w:rsid w:val="006A5F82"/>
    <w:rsid w:val="006A6497"/>
    <w:rsid w:val="006A7378"/>
    <w:rsid w:val="006A758D"/>
    <w:rsid w:val="006A75AD"/>
    <w:rsid w:val="006A7C89"/>
    <w:rsid w:val="006A7C96"/>
    <w:rsid w:val="006B0A6E"/>
    <w:rsid w:val="006B0E31"/>
    <w:rsid w:val="006B146D"/>
    <w:rsid w:val="006B1AE1"/>
    <w:rsid w:val="006B21C1"/>
    <w:rsid w:val="006B2771"/>
    <w:rsid w:val="006B36BB"/>
    <w:rsid w:val="006B3DB4"/>
    <w:rsid w:val="006B3ECE"/>
    <w:rsid w:val="006B42BC"/>
    <w:rsid w:val="006B65D7"/>
    <w:rsid w:val="006B67FF"/>
    <w:rsid w:val="006B681E"/>
    <w:rsid w:val="006B6CDA"/>
    <w:rsid w:val="006B7C8C"/>
    <w:rsid w:val="006C0017"/>
    <w:rsid w:val="006C013B"/>
    <w:rsid w:val="006C0184"/>
    <w:rsid w:val="006C08B6"/>
    <w:rsid w:val="006C1024"/>
    <w:rsid w:val="006C1287"/>
    <w:rsid w:val="006C1309"/>
    <w:rsid w:val="006C1B4E"/>
    <w:rsid w:val="006C1C59"/>
    <w:rsid w:val="006C21C4"/>
    <w:rsid w:val="006C2645"/>
    <w:rsid w:val="006C2958"/>
    <w:rsid w:val="006C3595"/>
    <w:rsid w:val="006C412E"/>
    <w:rsid w:val="006C5AAF"/>
    <w:rsid w:val="006C69B6"/>
    <w:rsid w:val="006C72C9"/>
    <w:rsid w:val="006C73C3"/>
    <w:rsid w:val="006C73D6"/>
    <w:rsid w:val="006C7F6C"/>
    <w:rsid w:val="006D0164"/>
    <w:rsid w:val="006D0D3A"/>
    <w:rsid w:val="006D0E72"/>
    <w:rsid w:val="006D1011"/>
    <w:rsid w:val="006D104C"/>
    <w:rsid w:val="006D12C8"/>
    <w:rsid w:val="006D23ED"/>
    <w:rsid w:val="006D2587"/>
    <w:rsid w:val="006D2C0A"/>
    <w:rsid w:val="006D2E28"/>
    <w:rsid w:val="006D3255"/>
    <w:rsid w:val="006D3513"/>
    <w:rsid w:val="006D3879"/>
    <w:rsid w:val="006D3D2B"/>
    <w:rsid w:val="006D3F64"/>
    <w:rsid w:val="006D4DDF"/>
    <w:rsid w:val="006D5872"/>
    <w:rsid w:val="006D630D"/>
    <w:rsid w:val="006D65C2"/>
    <w:rsid w:val="006D6B41"/>
    <w:rsid w:val="006D6DF1"/>
    <w:rsid w:val="006D702B"/>
    <w:rsid w:val="006D7130"/>
    <w:rsid w:val="006D731F"/>
    <w:rsid w:val="006E0723"/>
    <w:rsid w:val="006E0AB4"/>
    <w:rsid w:val="006E118D"/>
    <w:rsid w:val="006E11C3"/>
    <w:rsid w:val="006E14A0"/>
    <w:rsid w:val="006E1B7C"/>
    <w:rsid w:val="006E2042"/>
    <w:rsid w:val="006E3517"/>
    <w:rsid w:val="006E3C41"/>
    <w:rsid w:val="006E3D13"/>
    <w:rsid w:val="006E4429"/>
    <w:rsid w:val="006E4E3D"/>
    <w:rsid w:val="006E4F55"/>
    <w:rsid w:val="006E5207"/>
    <w:rsid w:val="006E5AAA"/>
    <w:rsid w:val="006E5E2B"/>
    <w:rsid w:val="006E68D1"/>
    <w:rsid w:val="006E6D03"/>
    <w:rsid w:val="006E6DBA"/>
    <w:rsid w:val="006E6DE7"/>
    <w:rsid w:val="006E6EAD"/>
    <w:rsid w:val="006E7AE5"/>
    <w:rsid w:val="006E7F32"/>
    <w:rsid w:val="006F095D"/>
    <w:rsid w:val="006F099A"/>
    <w:rsid w:val="006F0A7D"/>
    <w:rsid w:val="006F0C79"/>
    <w:rsid w:val="006F0D63"/>
    <w:rsid w:val="006F1604"/>
    <w:rsid w:val="006F1A30"/>
    <w:rsid w:val="006F1F57"/>
    <w:rsid w:val="006F21FE"/>
    <w:rsid w:val="006F2615"/>
    <w:rsid w:val="006F2F85"/>
    <w:rsid w:val="006F398F"/>
    <w:rsid w:val="006F3A17"/>
    <w:rsid w:val="006F3C40"/>
    <w:rsid w:val="006F4065"/>
    <w:rsid w:val="006F49E0"/>
    <w:rsid w:val="006F4D11"/>
    <w:rsid w:val="006F4D1A"/>
    <w:rsid w:val="006F4ED8"/>
    <w:rsid w:val="006F541C"/>
    <w:rsid w:val="006F55D3"/>
    <w:rsid w:val="006F55EA"/>
    <w:rsid w:val="006F5CDB"/>
    <w:rsid w:val="006F5E9D"/>
    <w:rsid w:val="006F6797"/>
    <w:rsid w:val="006F7015"/>
    <w:rsid w:val="006F79B1"/>
    <w:rsid w:val="006F7E1F"/>
    <w:rsid w:val="0070047A"/>
    <w:rsid w:val="00700865"/>
    <w:rsid w:val="0070127F"/>
    <w:rsid w:val="00701826"/>
    <w:rsid w:val="007018B2"/>
    <w:rsid w:val="007023E9"/>
    <w:rsid w:val="00702541"/>
    <w:rsid w:val="0070291F"/>
    <w:rsid w:val="007029A9"/>
    <w:rsid w:val="0070379D"/>
    <w:rsid w:val="007037D5"/>
    <w:rsid w:val="00703A5F"/>
    <w:rsid w:val="00703A69"/>
    <w:rsid w:val="00703B67"/>
    <w:rsid w:val="007040E2"/>
    <w:rsid w:val="007043C7"/>
    <w:rsid w:val="00704A85"/>
    <w:rsid w:val="00704AA5"/>
    <w:rsid w:val="00704B79"/>
    <w:rsid w:val="00705092"/>
    <w:rsid w:val="007054E4"/>
    <w:rsid w:val="00705CFE"/>
    <w:rsid w:val="007063DA"/>
    <w:rsid w:val="00706829"/>
    <w:rsid w:val="007073F0"/>
    <w:rsid w:val="00707D8B"/>
    <w:rsid w:val="00707DF1"/>
    <w:rsid w:val="00707E8F"/>
    <w:rsid w:val="00710119"/>
    <w:rsid w:val="00710703"/>
    <w:rsid w:val="00710720"/>
    <w:rsid w:val="0071096C"/>
    <w:rsid w:val="00710F87"/>
    <w:rsid w:val="00711BD8"/>
    <w:rsid w:val="00711D29"/>
    <w:rsid w:val="00712582"/>
    <w:rsid w:val="00712882"/>
    <w:rsid w:val="007128B3"/>
    <w:rsid w:val="00712BCA"/>
    <w:rsid w:val="00713832"/>
    <w:rsid w:val="007142F5"/>
    <w:rsid w:val="007145A5"/>
    <w:rsid w:val="00714C49"/>
    <w:rsid w:val="00714FEF"/>
    <w:rsid w:val="0071521B"/>
    <w:rsid w:val="00715724"/>
    <w:rsid w:val="00715A61"/>
    <w:rsid w:val="00715AE5"/>
    <w:rsid w:val="00715CB6"/>
    <w:rsid w:val="00715F14"/>
    <w:rsid w:val="00716B4C"/>
    <w:rsid w:val="00716DF9"/>
    <w:rsid w:val="00717214"/>
    <w:rsid w:val="007172B1"/>
    <w:rsid w:val="00717F5A"/>
    <w:rsid w:val="00720019"/>
    <w:rsid w:val="00720F3A"/>
    <w:rsid w:val="00720FF2"/>
    <w:rsid w:val="007211DD"/>
    <w:rsid w:val="0072134A"/>
    <w:rsid w:val="00721CE5"/>
    <w:rsid w:val="00722192"/>
    <w:rsid w:val="007222D0"/>
    <w:rsid w:val="007227E2"/>
    <w:rsid w:val="007232E3"/>
    <w:rsid w:val="00723689"/>
    <w:rsid w:val="00723775"/>
    <w:rsid w:val="007239AC"/>
    <w:rsid w:val="00723A53"/>
    <w:rsid w:val="00724A09"/>
    <w:rsid w:val="007259E6"/>
    <w:rsid w:val="00726FF1"/>
    <w:rsid w:val="00727ECF"/>
    <w:rsid w:val="00730211"/>
    <w:rsid w:val="00730510"/>
    <w:rsid w:val="0073110F"/>
    <w:rsid w:val="00731A56"/>
    <w:rsid w:val="00731A66"/>
    <w:rsid w:val="00731C9E"/>
    <w:rsid w:val="00731CBD"/>
    <w:rsid w:val="00732392"/>
    <w:rsid w:val="00732852"/>
    <w:rsid w:val="007329B4"/>
    <w:rsid w:val="00732DBA"/>
    <w:rsid w:val="00733765"/>
    <w:rsid w:val="00733AC2"/>
    <w:rsid w:val="00734712"/>
    <w:rsid w:val="0073494C"/>
    <w:rsid w:val="00734B14"/>
    <w:rsid w:val="00735251"/>
    <w:rsid w:val="00735AFB"/>
    <w:rsid w:val="00735BB8"/>
    <w:rsid w:val="007365AC"/>
    <w:rsid w:val="00736843"/>
    <w:rsid w:val="00736A5A"/>
    <w:rsid w:val="00736D56"/>
    <w:rsid w:val="00736DFF"/>
    <w:rsid w:val="00736F43"/>
    <w:rsid w:val="0073744E"/>
    <w:rsid w:val="00737F55"/>
    <w:rsid w:val="0074046B"/>
    <w:rsid w:val="0074082F"/>
    <w:rsid w:val="00741911"/>
    <w:rsid w:val="00741AB6"/>
    <w:rsid w:val="00741E6D"/>
    <w:rsid w:val="007423C5"/>
    <w:rsid w:val="007424E1"/>
    <w:rsid w:val="007425B7"/>
    <w:rsid w:val="00742A40"/>
    <w:rsid w:val="00742B30"/>
    <w:rsid w:val="00743141"/>
    <w:rsid w:val="00743B98"/>
    <w:rsid w:val="007442B5"/>
    <w:rsid w:val="00744B98"/>
    <w:rsid w:val="00745379"/>
    <w:rsid w:val="00745E96"/>
    <w:rsid w:val="00745F1A"/>
    <w:rsid w:val="00746481"/>
    <w:rsid w:val="00746CF6"/>
    <w:rsid w:val="00746E82"/>
    <w:rsid w:val="007471BD"/>
    <w:rsid w:val="00747253"/>
    <w:rsid w:val="007472BF"/>
    <w:rsid w:val="007474B8"/>
    <w:rsid w:val="007477FE"/>
    <w:rsid w:val="00750195"/>
    <w:rsid w:val="007502F5"/>
    <w:rsid w:val="00751131"/>
    <w:rsid w:val="0075150C"/>
    <w:rsid w:val="007515C5"/>
    <w:rsid w:val="00751D35"/>
    <w:rsid w:val="00751E98"/>
    <w:rsid w:val="00752416"/>
    <w:rsid w:val="0075250B"/>
    <w:rsid w:val="00752EF7"/>
    <w:rsid w:val="00753795"/>
    <w:rsid w:val="00753E56"/>
    <w:rsid w:val="00753F55"/>
    <w:rsid w:val="0075420D"/>
    <w:rsid w:val="007543AD"/>
    <w:rsid w:val="00754812"/>
    <w:rsid w:val="00754C28"/>
    <w:rsid w:val="00755A11"/>
    <w:rsid w:val="00755BE6"/>
    <w:rsid w:val="00755F4E"/>
    <w:rsid w:val="00756224"/>
    <w:rsid w:val="00760CCD"/>
    <w:rsid w:val="00760D3E"/>
    <w:rsid w:val="0076102D"/>
    <w:rsid w:val="0076227D"/>
    <w:rsid w:val="00762EB9"/>
    <w:rsid w:val="007631F0"/>
    <w:rsid w:val="00763B37"/>
    <w:rsid w:val="00763D16"/>
    <w:rsid w:val="007646BE"/>
    <w:rsid w:val="00764732"/>
    <w:rsid w:val="0076473A"/>
    <w:rsid w:val="007654E3"/>
    <w:rsid w:val="0076580D"/>
    <w:rsid w:val="00765ABF"/>
    <w:rsid w:val="00765C0A"/>
    <w:rsid w:val="00765F74"/>
    <w:rsid w:val="00766EA6"/>
    <w:rsid w:val="007674A2"/>
    <w:rsid w:val="00767A93"/>
    <w:rsid w:val="00767B4A"/>
    <w:rsid w:val="00767BA8"/>
    <w:rsid w:val="00767C54"/>
    <w:rsid w:val="0077060C"/>
    <w:rsid w:val="00770764"/>
    <w:rsid w:val="00771463"/>
    <w:rsid w:val="007714A6"/>
    <w:rsid w:val="007716C3"/>
    <w:rsid w:val="00771BCB"/>
    <w:rsid w:val="007731AD"/>
    <w:rsid w:val="007734BF"/>
    <w:rsid w:val="007734F3"/>
    <w:rsid w:val="00773651"/>
    <w:rsid w:val="00773FEE"/>
    <w:rsid w:val="00774735"/>
    <w:rsid w:val="00774788"/>
    <w:rsid w:val="0077486D"/>
    <w:rsid w:val="007749C4"/>
    <w:rsid w:val="00775635"/>
    <w:rsid w:val="0077679A"/>
    <w:rsid w:val="00776C13"/>
    <w:rsid w:val="00776EC3"/>
    <w:rsid w:val="007777A9"/>
    <w:rsid w:val="007777DB"/>
    <w:rsid w:val="00777800"/>
    <w:rsid w:val="00777966"/>
    <w:rsid w:val="007802E7"/>
    <w:rsid w:val="00780399"/>
    <w:rsid w:val="00780E1D"/>
    <w:rsid w:val="007815A2"/>
    <w:rsid w:val="007819CB"/>
    <w:rsid w:val="0078286F"/>
    <w:rsid w:val="00782883"/>
    <w:rsid w:val="00782A9C"/>
    <w:rsid w:val="00782AC5"/>
    <w:rsid w:val="00782BF0"/>
    <w:rsid w:val="007831A7"/>
    <w:rsid w:val="00783331"/>
    <w:rsid w:val="00783485"/>
    <w:rsid w:val="007836BA"/>
    <w:rsid w:val="00783747"/>
    <w:rsid w:val="00783B63"/>
    <w:rsid w:val="0078456A"/>
    <w:rsid w:val="007856B8"/>
    <w:rsid w:val="00785B44"/>
    <w:rsid w:val="00785C58"/>
    <w:rsid w:val="00786516"/>
    <w:rsid w:val="007865A0"/>
    <w:rsid w:val="00786934"/>
    <w:rsid w:val="00786C23"/>
    <w:rsid w:val="0078747D"/>
    <w:rsid w:val="00787529"/>
    <w:rsid w:val="00790125"/>
    <w:rsid w:val="0079027C"/>
    <w:rsid w:val="007903F8"/>
    <w:rsid w:val="00790409"/>
    <w:rsid w:val="0079047D"/>
    <w:rsid w:val="00790586"/>
    <w:rsid w:val="00791749"/>
    <w:rsid w:val="007917B3"/>
    <w:rsid w:val="00792310"/>
    <w:rsid w:val="007925B2"/>
    <w:rsid w:val="00792FFF"/>
    <w:rsid w:val="0079310D"/>
    <w:rsid w:val="007931A9"/>
    <w:rsid w:val="00793601"/>
    <w:rsid w:val="007936C6"/>
    <w:rsid w:val="00793758"/>
    <w:rsid w:val="00793AFF"/>
    <w:rsid w:val="00793C3B"/>
    <w:rsid w:val="00794038"/>
    <w:rsid w:val="00794D0D"/>
    <w:rsid w:val="00795151"/>
    <w:rsid w:val="007953DE"/>
    <w:rsid w:val="007960DC"/>
    <w:rsid w:val="007964AB"/>
    <w:rsid w:val="00796CF0"/>
    <w:rsid w:val="0079720D"/>
    <w:rsid w:val="00797355"/>
    <w:rsid w:val="0079753B"/>
    <w:rsid w:val="00797BE0"/>
    <w:rsid w:val="007A090E"/>
    <w:rsid w:val="007A0D45"/>
    <w:rsid w:val="007A0E19"/>
    <w:rsid w:val="007A116D"/>
    <w:rsid w:val="007A11BE"/>
    <w:rsid w:val="007A128A"/>
    <w:rsid w:val="007A1D1A"/>
    <w:rsid w:val="007A1E47"/>
    <w:rsid w:val="007A1F7F"/>
    <w:rsid w:val="007A2151"/>
    <w:rsid w:val="007A23D2"/>
    <w:rsid w:val="007A2B3C"/>
    <w:rsid w:val="007A3539"/>
    <w:rsid w:val="007A43BF"/>
    <w:rsid w:val="007A45E6"/>
    <w:rsid w:val="007A4B67"/>
    <w:rsid w:val="007A5888"/>
    <w:rsid w:val="007A5A6F"/>
    <w:rsid w:val="007A6812"/>
    <w:rsid w:val="007A68E1"/>
    <w:rsid w:val="007A6CA7"/>
    <w:rsid w:val="007A6CB3"/>
    <w:rsid w:val="007A6DB3"/>
    <w:rsid w:val="007A6F0D"/>
    <w:rsid w:val="007A797C"/>
    <w:rsid w:val="007B03B5"/>
    <w:rsid w:val="007B03C9"/>
    <w:rsid w:val="007B0722"/>
    <w:rsid w:val="007B0F4E"/>
    <w:rsid w:val="007B12E2"/>
    <w:rsid w:val="007B19BC"/>
    <w:rsid w:val="007B1B45"/>
    <w:rsid w:val="007B1D77"/>
    <w:rsid w:val="007B276B"/>
    <w:rsid w:val="007B299C"/>
    <w:rsid w:val="007B2AEB"/>
    <w:rsid w:val="007B2C2A"/>
    <w:rsid w:val="007B2D14"/>
    <w:rsid w:val="007B34C7"/>
    <w:rsid w:val="007B41AF"/>
    <w:rsid w:val="007B4BF4"/>
    <w:rsid w:val="007B4DBA"/>
    <w:rsid w:val="007B512C"/>
    <w:rsid w:val="007B5270"/>
    <w:rsid w:val="007B5396"/>
    <w:rsid w:val="007B5AFB"/>
    <w:rsid w:val="007B5F6B"/>
    <w:rsid w:val="007B61F8"/>
    <w:rsid w:val="007B6733"/>
    <w:rsid w:val="007B6B28"/>
    <w:rsid w:val="007B6B86"/>
    <w:rsid w:val="007B7980"/>
    <w:rsid w:val="007B7C18"/>
    <w:rsid w:val="007C0EA0"/>
    <w:rsid w:val="007C0F49"/>
    <w:rsid w:val="007C122C"/>
    <w:rsid w:val="007C138C"/>
    <w:rsid w:val="007C144B"/>
    <w:rsid w:val="007C1DE5"/>
    <w:rsid w:val="007C1E37"/>
    <w:rsid w:val="007C2281"/>
    <w:rsid w:val="007C2408"/>
    <w:rsid w:val="007C24D0"/>
    <w:rsid w:val="007C30A8"/>
    <w:rsid w:val="007C3FAD"/>
    <w:rsid w:val="007C4904"/>
    <w:rsid w:val="007C52D4"/>
    <w:rsid w:val="007C6B0C"/>
    <w:rsid w:val="007C727B"/>
    <w:rsid w:val="007C75FF"/>
    <w:rsid w:val="007D0091"/>
    <w:rsid w:val="007D0530"/>
    <w:rsid w:val="007D081E"/>
    <w:rsid w:val="007D0E28"/>
    <w:rsid w:val="007D1685"/>
    <w:rsid w:val="007D1A8F"/>
    <w:rsid w:val="007D1D94"/>
    <w:rsid w:val="007D1DDA"/>
    <w:rsid w:val="007D2993"/>
    <w:rsid w:val="007D2D6C"/>
    <w:rsid w:val="007D3FF8"/>
    <w:rsid w:val="007D423D"/>
    <w:rsid w:val="007D4508"/>
    <w:rsid w:val="007D4770"/>
    <w:rsid w:val="007D4973"/>
    <w:rsid w:val="007D4ADA"/>
    <w:rsid w:val="007D4AFA"/>
    <w:rsid w:val="007D4BD0"/>
    <w:rsid w:val="007D4BD1"/>
    <w:rsid w:val="007D5BB4"/>
    <w:rsid w:val="007D5C1F"/>
    <w:rsid w:val="007D6307"/>
    <w:rsid w:val="007D643B"/>
    <w:rsid w:val="007D79F7"/>
    <w:rsid w:val="007D7A58"/>
    <w:rsid w:val="007D7F30"/>
    <w:rsid w:val="007E073C"/>
    <w:rsid w:val="007E0CC7"/>
    <w:rsid w:val="007E0CE1"/>
    <w:rsid w:val="007E25C4"/>
    <w:rsid w:val="007E292A"/>
    <w:rsid w:val="007E29AB"/>
    <w:rsid w:val="007E29FC"/>
    <w:rsid w:val="007E2F47"/>
    <w:rsid w:val="007E3089"/>
    <w:rsid w:val="007E31FF"/>
    <w:rsid w:val="007E456B"/>
    <w:rsid w:val="007E4A40"/>
    <w:rsid w:val="007E518E"/>
    <w:rsid w:val="007E5AE2"/>
    <w:rsid w:val="007E62BB"/>
    <w:rsid w:val="007E62F0"/>
    <w:rsid w:val="007E7434"/>
    <w:rsid w:val="007E78F1"/>
    <w:rsid w:val="007E7B85"/>
    <w:rsid w:val="007F0DFD"/>
    <w:rsid w:val="007F1502"/>
    <w:rsid w:val="007F285C"/>
    <w:rsid w:val="007F28C6"/>
    <w:rsid w:val="007F2AD7"/>
    <w:rsid w:val="007F2C52"/>
    <w:rsid w:val="007F2FB0"/>
    <w:rsid w:val="007F31E1"/>
    <w:rsid w:val="007F348A"/>
    <w:rsid w:val="007F36CB"/>
    <w:rsid w:val="007F37F5"/>
    <w:rsid w:val="007F383A"/>
    <w:rsid w:val="007F3ACD"/>
    <w:rsid w:val="007F3DEC"/>
    <w:rsid w:val="007F4D0E"/>
    <w:rsid w:val="007F53F7"/>
    <w:rsid w:val="007F5988"/>
    <w:rsid w:val="007F5B8B"/>
    <w:rsid w:val="007F6823"/>
    <w:rsid w:val="007F6DC6"/>
    <w:rsid w:val="00801427"/>
    <w:rsid w:val="00801AA5"/>
    <w:rsid w:val="00802305"/>
    <w:rsid w:val="0080291B"/>
    <w:rsid w:val="00802AB8"/>
    <w:rsid w:val="008037BB"/>
    <w:rsid w:val="00803A45"/>
    <w:rsid w:val="008047C4"/>
    <w:rsid w:val="00804C2E"/>
    <w:rsid w:val="0080515B"/>
    <w:rsid w:val="00805464"/>
    <w:rsid w:val="00805479"/>
    <w:rsid w:val="00805EA0"/>
    <w:rsid w:val="00806B4D"/>
    <w:rsid w:val="00806E9C"/>
    <w:rsid w:val="00807B38"/>
    <w:rsid w:val="00807D89"/>
    <w:rsid w:val="00810792"/>
    <w:rsid w:val="00810F01"/>
    <w:rsid w:val="008133FE"/>
    <w:rsid w:val="00813ED6"/>
    <w:rsid w:val="008141DD"/>
    <w:rsid w:val="008142F2"/>
    <w:rsid w:val="00814619"/>
    <w:rsid w:val="00814BB4"/>
    <w:rsid w:val="00814F22"/>
    <w:rsid w:val="00814FE9"/>
    <w:rsid w:val="0081588D"/>
    <w:rsid w:val="00815B13"/>
    <w:rsid w:val="00815B93"/>
    <w:rsid w:val="00816292"/>
    <w:rsid w:val="008166D7"/>
    <w:rsid w:val="00816D5C"/>
    <w:rsid w:val="00817111"/>
    <w:rsid w:val="00820C07"/>
    <w:rsid w:val="00820D89"/>
    <w:rsid w:val="00821718"/>
    <w:rsid w:val="00821744"/>
    <w:rsid w:val="0082179B"/>
    <w:rsid w:val="00821E1A"/>
    <w:rsid w:val="00822044"/>
    <w:rsid w:val="0082262A"/>
    <w:rsid w:val="00822ABE"/>
    <w:rsid w:val="00823A6E"/>
    <w:rsid w:val="00823ED7"/>
    <w:rsid w:val="008241E4"/>
    <w:rsid w:val="00824334"/>
    <w:rsid w:val="00824A36"/>
    <w:rsid w:val="00825EB3"/>
    <w:rsid w:val="00825FD5"/>
    <w:rsid w:val="0082641A"/>
    <w:rsid w:val="00827323"/>
    <w:rsid w:val="008273A6"/>
    <w:rsid w:val="00827C08"/>
    <w:rsid w:val="00830450"/>
    <w:rsid w:val="00830744"/>
    <w:rsid w:val="008307B6"/>
    <w:rsid w:val="00830D39"/>
    <w:rsid w:val="00830FA3"/>
    <w:rsid w:val="008319C0"/>
    <w:rsid w:val="00831A46"/>
    <w:rsid w:val="00832028"/>
    <w:rsid w:val="00832234"/>
    <w:rsid w:val="00833008"/>
    <w:rsid w:val="0083330C"/>
    <w:rsid w:val="00833481"/>
    <w:rsid w:val="008338E9"/>
    <w:rsid w:val="00833923"/>
    <w:rsid w:val="00834DD5"/>
    <w:rsid w:val="00835304"/>
    <w:rsid w:val="008354BC"/>
    <w:rsid w:val="008356AD"/>
    <w:rsid w:val="00836625"/>
    <w:rsid w:val="00837072"/>
    <w:rsid w:val="008379DA"/>
    <w:rsid w:val="00837BAD"/>
    <w:rsid w:val="00840230"/>
    <w:rsid w:val="00840454"/>
    <w:rsid w:val="00840AA8"/>
    <w:rsid w:val="00840ACF"/>
    <w:rsid w:val="00841845"/>
    <w:rsid w:val="008426CE"/>
    <w:rsid w:val="00842D3D"/>
    <w:rsid w:val="00842D70"/>
    <w:rsid w:val="00843F9F"/>
    <w:rsid w:val="00844338"/>
    <w:rsid w:val="008444A7"/>
    <w:rsid w:val="008455F9"/>
    <w:rsid w:val="008458FD"/>
    <w:rsid w:val="00845A82"/>
    <w:rsid w:val="00845DB6"/>
    <w:rsid w:val="00845F50"/>
    <w:rsid w:val="00845F63"/>
    <w:rsid w:val="008466A8"/>
    <w:rsid w:val="0084682F"/>
    <w:rsid w:val="008468AF"/>
    <w:rsid w:val="00846B8F"/>
    <w:rsid w:val="00846DEE"/>
    <w:rsid w:val="00850935"/>
    <w:rsid w:val="00850D6E"/>
    <w:rsid w:val="00850F45"/>
    <w:rsid w:val="00851094"/>
    <w:rsid w:val="008512E0"/>
    <w:rsid w:val="0085178F"/>
    <w:rsid w:val="0085180E"/>
    <w:rsid w:val="008519EC"/>
    <w:rsid w:val="00851BEF"/>
    <w:rsid w:val="0085234D"/>
    <w:rsid w:val="00853271"/>
    <w:rsid w:val="00854549"/>
    <w:rsid w:val="0085456A"/>
    <w:rsid w:val="00854736"/>
    <w:rsid w:val="00854E73"/>
    <w:rsid w:val="00854EA9"/>
    <w:rsid w:val="008557C8"/>
    <w:rsid w:val="00855A72"/>
    <w:rsid w:val="00856490"/>
    <w:rsid w:val="00856678"/>
    <w:rsid w:val="00856703"/>
    <w:rsid w:val="00856C78"/>
    <w:rsid w:val="00856DE8"/>
    <w:rsid w:val="008570EB"/>
    <w:rsid w:val="0085777B"/>
    <w:rsid w:val="008601D2"/>
    <w:rsid w:val="00860314"/>
    <w:rsid w:val="008607B2"/>
    <w:rsid w:val="00860AED"/>
    <w:rsid w:val="00861155"/>
    <w:rsid w:val="00861157"/>
    <w:rsid w:val="0086146B"/>
    <w:rsid w:val="00861AF0"/>
    <w:rsid w:val="00861EEC"/>
    <w:rsid w:val="00861F32"/>
    <w:rsid w:val="0086256B"/>
    <w:rsid w:val="008639A2"/>
    <w:rsid w:val="00864482"/>
    <w:rsid w:val="00864563"/>
    <w:rsid w:val="00864722"/>
    <w:rsid w:val="008647F5"/>
    <w:rsid w:val="00864C5B"/>
    <w:rsid w:val="00864D20"/>
    <w:rsid w:val="00864DA0"/>
    <w:rsid w:val="00865269"/>
    <w:rsid w:val="00865A13"/>
    <w:rsid w:val="00865C4E"/>
    <w:rsid w:val="008664FD"/>
    <w:rsid w:val="0086684D"/>
    <w:rsid w:val="008670B8"/>
    <w:rsid w:val="0086720A"/>
    <w:rsid w:val="00867F37"/>
    <w:rsid w:val="00870270"/>
    <w:rsid w:val="0087093A"/>
    <w:rsid w:val="00870E0A"/>
    <w:rsid w:val="008719F9"/>
    <w:rsid w:val="00871F47"/>
    <w:rsid w:val="00872180"/>
    <w:rsid w:val="00872943"/>
    <w:rsid w:val="00872CDE"/>
    <w:rsid w:val="00873EAD"/>
    <w:rsid w:val="00875272"/>
    <w:rsid w:val="008752AB"/>
    <w:rsid w:val="00875869"/>
    <w:rsid w:val="00875D13"/>
    <w:rsid w:val="0087605C"/>
    <w:rsid w:val="00877578"/>
    <w:rsid w:val="00877606"/>
    <w:rsid w:val="0087782C"/>
    <w:rsid w:val="00877E60"/>
    <w:rsid w:val="008805B3"/>
    <w:rsid w:val="00880827"/>
    <w:rsid w:val="008808CB"/>
    <w:rsid w:val="00880D3F"/>
    <w:rsid w:val="00880DCC"/>
    <w:rsid w:val="00881A3D"/>
    <w:rsid w:val="00881CB5"/>
    <w:rsid w:val="00882517"/>
    <w:rsid w:val="008825B6"/>
    <w:rsid w:val="00882641"/>
    <w:rsid w:val="008826E4"/>
    <w:rsid w:val="0088304F"/>
    <w:rsid w:val="0088340E"/>
    <w:rsid w:val="00884349"/>
    <w:rsid w:val="008844BC"/>
    <w:rsid w:val="00884997"/>
    <w:rsid w:val="00884B26"/>
    <w:rsid w:val="00884CEE"/>
    <w:rsid w:val="00884D2C"/>
    <w:rsid w:val="00884FA0"/>
    <w:rsid w:val="0088513D"/>
    <w:rsid w:val="00885484"/>
    <w:rsid w:val="00886198"/>
    <w:rsid w:val="00886467"/>
    <w:rsid w:val="008867E8"/>
    <w:rsid w:val="00886FC9"/>
    <w:rsid w:val="0088760B"/>
    <w:rsid w:val="00887B5A"/>
    <w:rsid w:val="00887C6A"/>
    <w:rsid w:val="00887DC9"/>
    <w:rsid w:val="008900BC"/>
    <w:rsid w:val="008922E8"/>
    <w:rsid w:val="00892CCE"/>
    <w:rsid w:val="008936EC"/>
    <w:rsid w:val="008942A1"/>
    <w:rsid w:val="00894F7D"/>
    <w:rsid w:val="008951DA"/>
    <w:rsid w:val="008956AE"/>
    <w:rsid w:val="00895B19"/>
    <w:rsid w:val="00895DC2"/>
    <w:rsid w:val="00895DC6"/>
    <w:rsid w:val="00896193"/>
    <w:rsid w:val="008965FE"/>
    <w:rsid w:val="00896755"/>
    <w:rsid w:val="0089690E"/>
    <w:rsid w:val="00896BEE"/>
    <w:rsid w:val="00896E8C"/>
    <w:rsid w:val="008970C7"/>
    <w:rsid w:val="00897D21"/>
    <w:rsid w:val="00897D6A"/>
    <w:rsid w:val="008A113F"/>
    <w:rsid w:val="008A1DAC"/>
    <w:rsid w:val="008A2F4C"/>
    <w:rsid w:val="008A424D"/>
    <w:rsid w:val="008A44BB"/>
    <w:rsid w:val="008A50A1"/>
    <w:rsid w:val="008A5140"/>
    <w:rsid w:val="008A6C38"/>
    <w:rsid w:val="008A714A"/>
    <w:rsid w:val="008A73BF"/>
    <w:rsid w:val="008A773A"/>
    <w:rsid w:val="008A79F5"/>
    <w:rsid w:val="008A7B70"/>
    <w:rsid w:val="008B0125"/>
    <w:rsid w:val="008B0370"/>
    <w:rsid w:val="008B0B2A"/>
    <w:rsid w:val="008B1742"/>
    <w:rsid w:val="008B17BB"/>
    <w:rsid w:val="008B183A"/>
    <w:rsid w:val="008B2174"/>
    <w:rsid w:val="008B22EF"/>
    <w:rsid w:val="008B2F22"/>
    <w:rsid w:val="008B3149"/>
    <w:rsid w:val="008B3BA8"/>
    <w:rsid w:val="008B3BD7"/>
    <w:rsid w:val="008B4070"/>
    <w:rsid w:val="008B45B2"/>
    <w:rsid w:val="008B4661"/>
    <w:rsid w:val="008B4B90"/>
    <w:rsid w:val="008B56B7"/>
    <w:rsid w:val="008B5C4A"/>
    <w:rsid w:val="008B6150"/>
    <w:rsid w:val="008B65FA"/>
    <w:rsid w:val="008B660E"/>
    <w:rsid w:val="008B6C2A"/>
    <w:rsid w:val="008B6CB8"/>
    <w:rsid w:val="008B6CC0"/>
    <w:rsid w:val="008B7066"/>
    <w:rsid w:val="008B7514"/>
    <w:rsid w:val="008B751E"/>
    <w:rsid w:val="008B75F8"/>
    <w:rsid w:val="008C0591"/>
    <w:rsid w:val="008C08B8"/>
    <w:rsid w:val="008C0FFD"/>
    <w:rsid w:val="008C1E08"/>
    <w:rsid w:val="008C28A2"/>
    <w:rsid w:val="008C2BE8"/>
    <w:rsid w:val="008C3412"/>
    <w:rsid w:val="008C3CF7"/>
    <w:rsid w:val="008C3FBF"/>
    <w:rsid w:val="008C4229"/>
    <w:rsid w:val="008C43E4"/>
    <w:rsid w:val="008C46B4"/>
    <w:rsid w:val="008C4840"/>
    <w:rsid w:val="008C4FBB"/>
    <w:rsid w:val="008C6052"/>
    <w:rsid w:val="008C66F1"/>
    <w:rsid w:val="008C6963"/>
    <w:rsid w:val="008C6A08"/>
    <w:rsid w:val="008D121E"/>
    <w:rsid w:val="008D1712"/>
    <w:rsid w:val="008D2058"/>
    <w:rsid w:val="008D2126"/>
    <w:rsid w:val="008D2226"/>
    <w:rsid w:val="008D22C9"/>
    <w:rsid w:val="008D235C"/>
    <w:rsid w:val="008D25BF"/>
    <w:rsid w:val="008D2A9F"/>
    <w:rsid w:val="008D2F4E"/>
    <w:rsid w:val="008D33C5"/>
    <w:rsid w:val="008D3B77"/>
    <w:rsid w:val="008D3C71"/>
    <w:rsid w:val="008D4196"/>
    <w:rsid w:val="008D55B4"/>
    <w:rsid w:val="008D57C8"/>
    <w:rsid w:val="008D5922"/>
    <w:rsid w:val="008D5DEC"/>
    <w:rsid w:val="008D6714"/>
    <w:rsid w:val="008D67D4"/>
    <w:rsid w:val="008D6862"/>
    <w:rsid w:val="008D6E6F"/>
    <w:rsid w:val="008D6FC1"/>
    <w:rsid w:val="008D737E"/>
    <w:rsid w:val="008D7A23"/>
    <w:rsid w:val="008E0448"/>
    <w:rsid w:val="008E0618"/>
    <w:rsid w:val="008E093F"/>
    <w:rsid w:val="008E0E7A"/>
    <w:rsid w:val="008E11D7"/>
    <w:rsid w:val="008E1C13"/>
    <w:rsid w:val="008E1D93"/>
    <w:rsid w:val="008E255B"/>
    <w:rsid w:val="008E25B7"/>
    <w:rsid w:val="008E2982"/>
    <w:rsid w:val="008E2C4B"/>
    <w:rsid w:val="008E2C79"/>
    <w:rsid w:val="008E3362"/>
    <w:rsid w:val="008E3624"/>
    <w:rsid w:val="008E428B"/>
    <w:rsid w:val="008E4BC8"/>
    <w:rsid w:val="008E4C27"/>
    <w:rsid w:val="008E57AB"/>
    <w:rsid w:val="008E5932"/>
    <w:rsid w:val="008E5933"/>
    <w:rsid w:val="008E5A28"/>
    <w:rsid w:val="008E5DE4"/>
    <w:rsid w:val="008E62E1"/>
    <w:rsid w:val="008E6450"/>
    <w:rsid w:val="008E6CB2"/>
    <w:rsid w:val="008E7042"/>
    <w:rsid w:val="008E7628"/>
    <w:rsid w:val="008E76BB"/>
    <w:rsid w:val="008E7966"/>
    <w:rsid w:val="008F0DF8"/>
    <w:rsid w:val="008F0DFC"/>
    <w:rsid w:val="008F0EEF"/>
    <w:rsid w:val="008F13F7"/>
    <w:rsid w:val="008F1536"/>
    <w:rsid w:val="008F1598"/>
    <w:rsid w:val="008F18E9"/>
    <w:rsid w:val="008F1BF2"/>
    <w:rsid w:val="008F1E35"/>
    <w:rsid w:val="008F1FF6"/>
    <w:rsid w:val="008F21E4"/>
    <w:rsid w:val="008F2542"/>
    <w:rsid w:val="008F2E59"/>
    <w:rsid w:val="008F339F"/>
    <w:rsid w:val="008F343D"/>
    <w:rsid w:val="008F36F3"/>
    <w:rsid w:val="008F4669"/>
    <w:rsid w:val="008F475E"/>
    <w:rsid w:val="008F480A"/>
    <w:rsid w:val="008F4A3E"/>
    <w:rsid w:val="008F4AC0"/>
    <w:rsid w:val="008F5305"/>
    <w:rsid w:val="008F5636"/>
    <w:rsid w:val="008F6346"/>
    <w:rsid w:val="008F6844"/>
    <w:rsid w:val="008F6A0E"/>
    <w:rsid w:val="008F6C21"/>
    <w:rsid w:val="008F791B"/>
    <w:rsid w:val="008F7BBC"/>
    <w:rsid w:val="00900AEC"/>
    <w:rsid w:val="00901EDB"/>
    <w:rsid w:val="0090230B"/>
    <w:rsid w:val="00903012"/>
    <w:rsid w:val="0090304F"/>
    <w:rsid w:val="009032AF"/>
    <w:rsid w:val="00903B56"/>
    <w:rsid w:val="00903BE3"/>
    <w:rsid w:val="00903FE1"/>
    <w:rsid w:val="0090400F"/>
    <w:rsid w:val="009042CD"/>
    <w:rsid w:val="00904589"/>
    <w:rsid w:val="00904CA9"/>
    <w:rsid w:val="009053BF"/>
    <w:rsid w:val="00905559"/>
    <w:rsid w:val="009057F0"/>
    <w:rsid w:val="00905AA8"/>
    <w:rsid w:val="0090613E"/>
    <w:rsid w:val="009067E9"/>
    <w:rsid w:val="009071FB"/>
    <w:rsid w:val="0090720E"/>
    <w:rsid w:val="00907640"/>
    <w:rsid w:val="0090799B"/>
    <w:rsid w:val="00907D41"/>
    <w:rsid w:val="00907E0C"/>
    <w:rsid w:val="00910C93"/>
    <w:rsid w:val="00910F7D"/>
    <w:rsid w:val="00911346"/>
    <w:rsid w:val="009116A8"/>
    <w:rsid w:val="0091192B"/>
    <w:rsid w:val="00911A76"/>
    <w:rsid w:val="009125EA"/>
    <w:rsid w:val="009129D1"/>
    <w:rsid w:val="00912C24"/>
    <w:rsid w:val="00912C33"/>
    <w:rsid w:val="00912FF6"/>
    <w:rsid w:val="009134B9"/>
    <w:rsid w:val="00914968"/>
    <w:rsid w:val="00914F77"/>
    <w:rsid w:val="0091545A"/>
    <w:rsid w:val="00915E89"/>
    <w:rsid w:val="00915FFD"/>
    <w:rsid w:val="009179C4"/>
    <w:rsid w:val="00917FD2"/>
    <w:rsid w:val="00920640"/>
    <w:rsid w:val="00920BF5"/>
    <w:rsid w:val="00920D6D"/>
    <w:rsid w:val="00920E59"/>
    <w:rsid w:val="00921F71"/>
    <w:rsid w:val="0092219F"/>
    <w:rsid w:val="00922DE8"/>
    <w:rsid w:val="0092375C"/>
    <w:rsid w:val="00923B7B"/>
    <w:rsid w:val="0092430E"/>
    <w:rsid w:val="00924B40"/>
    <w:rsid w:val="009251CE"/>
    <w:rsid w:val="00925977"/>
    <w:rsid w:val="00925F40"/>
    <w:rsid w:val="00926043"/>
    <w:rsid w:val="0092620D"/>
    <w:rsid w:val="0092674C"/>
    <w:rsid w:val="00927310"/>
    <w:rsid w:val="00927636"/>
    <w:rsid w:val="00927A4B"/>
    <w:rsid w:val="00927D19"/>
    <w:rsid w:val="009304A4"/>
    <w:rsid w:val="009308EE"/>
    <w:rsid w:val="00930995"/>
    <w:rsid w:val="009315E8"/>
    <w:rsid w:val="00931A1C"/>
    <w:rsid w:val="00932FC0"/>
    <w:rsid w:val="009330AB"/>
    <w:rsid w:val="0093336F"/>
    <w:rsid w:val="00933FF0"/>
    <w:rsid w:val="00934425"/>
    <w:rsid w:val="009346F2"/>
    <w:rsid w:val="00934F7F"/>
    <w:rsid w:val="009351DE"/>
    <w:rsid w:val="009354B2"/>
    <w:rsid w:val="009359AD"/>
    <w:rsid w:val="00935A29"/>
    <w:rsid w:val="009361A4"/>
    <w:rsid w:val="00936A01"/>
    <w:rsid w:val="00936D77"/>
    <w:rsid w:val="0094057D"/>
    <w:rsid w:val="00941344"/>
    <w:rsid w:val="0094284B"/>
    <w:rsid w:val="00942933"/>
    <w:rsid w:val="00942C73"/>
    <w:rsid w:val="00943695"/>
    <w:rsid w:val="00943EB4"/>
    <w:rsid w:val="009441DD"/>
    <w:rsid w:val="009457BC"/>
    <w:rsid w:val="00945ADB"/>
    <w:rsid w:val="009462E8"/>
    <w:rsid w:val="0094721D"/>
    <w:rsid w:val="009475E9"/>
    <w:rsid w:val="0094777A"/>
    <w:rsid w:val="00947846"/>
    <w:rsid w:val="00947BC6"/>
    <w:rsid w:val="00947BDD"/>
    <w:rsid w:val="00947F53"/>
    <w:rsid w:val="00950901"/>
    <w:rsid w:val="00950959"/>
    <w:rsid w:val="0095099C"/>
    <w:rsid w:val="009514BF"/>
    <w:rsid w:val="009517E9"/>
    <w:rsid w:val="00951E56"/>
    <w:rsid w:val="009525E5"/>
    <w:rsid w:val="009529BA"/>
    <w:rsid w:val="009532D6"/>
    <w:rsid w:val="00953569"/>
    <w:rsid w:val="00953A75"/>
    <w:rsid w:val="00953FCC"/>
    <w:rsid w:val="00954627"/>
    <w:rsid w:val="00954A1E"/>
    <w:rsid w:val="00954C51"/>
    <w:rsid w:val="00955CD5"/>
    <w:rsid w:val="00955F60"/>
    <w:rsid w:val="00956336"/>
    <w:rsid w:val="00956623"/>
    <w:rsid w:val="00956B47"/>
    <w:rsid w:val="00956C43"/>
    <w:rsid w:val="00957811"/>
    <w:rsid w:val="00957C93"/>
    <w:rsid w:val="0096000F"/>
    <w:rsid w:val="00960239"/>
    <w:rsid w:val="009602BD"/>
    <w:rsid w:val="00960CF3"/>
    <w:rsid w:val="009617D0"/>
    <w:rsid w:val="00962C77"/>
    <w:rsid w:val="00963103"/>
    <w:rsid w:val="009640B3"/>
    <w:rsid w:val="009645A4"/>
    <w:rsid w:val="00964800"/>
    <w:rsid w:val="00965C1D"/>
    <w:rsid w:val="00965F78"/>
    <w:rsid w:val="009667C4"/>
    <w:rsid w:val="009703FA"/>
    <w:rsid w:val="0097058B"/>
    <w:rsid w:val="00970A5F"/>
    <w:rsid w:val="009714FA"/>
    <w:rsid w:val="00971791"/>
    <w:rsid w:val="00971C9B"/>
    <w:rsid w:val="00971ED9"/>
    <w:rsid w:val="009722CD"/>
    <w:rsid w:val="00972362"/>
    <w:rsid w:val="0097238D"/>
    <w:rsid w:val="009726B4"/>
    <w:rsid w:val="009735D2"/>
    <w:rsid w:val="00973CCD"/>
    <w:rsid w:val="00973CEF"/>
    <w:rsid w:val="00973D5C"/>
    <w:rsid w:val="009751B6"/>
    <w:rsid w:val="00976124"/>
    <w:rsid w:val="0097619F"/>
    <w:rsid w:val="009763F4"/>
    <w:rsid w:val="0097659A"/>
    <w:rsid w:val="00976D7D"/>
    <w:rsid w:val="00977795"/>
    <w:rsid w:val="00977A4B"/>
    <w:rsid w:val="00977C3F"/>
    <w:rsid w:val="009803B4"/>
    <w:rsid w:val="0098097D"/>
    <w:rsid w:val="00980A59"/>
    <w:rsid w:val="00980DB4"/>
    <w:rsid w:val="00980E7F"/>
    <w:rsid w:val="0098189A"/>
    <w:rsid w:val="009823D3"/>
    <w:rsid w:val="00982547"/>
    <w:rsid w:val="009827B8"/>
    <w:rsid w:val="00982A0B"/>
    <w:rsid w:val="00982AD5"/>
    <w:rsid w:val="00982FAD"/>
    <w:rsid w:val="009831D3"/>
    <w:rsid w:val="00983469"/>
    <w:rsid w:val="00983731"/>
    <w:rsid w:val="00984ABD"/>
    <w:rsid w:val="00984BDE"/>
    <w:rsid w:val="00984C89"/>
    <w:rsid w:val="009857EF"/>
    <w:rsid w:val="009859F9"/>
    <w:rsid w:val="00985DC1"/>
    <w:rsid w:val="00986200"/>
    <w:rsid w:val="0098631D"/>
    <w:rsid w:val="00986532"/>
    <w:rsid w:val="009905A3"/>
    <w:rsid w:val="009915DE"/>
    <w:rsid w:val="00991AA6"/>
    <w:rsid w:val="00991ABB"/>
    <w:rsid w:val="00991FC5"/>
    <w:rsid w:val="00992274"/>
    <w:rsid w:val="00992DF4"/>
    <w:rsid w:val="00992E8B"/>
    <w:rsid w:val="00992FBA"/>
    <w:rsid w:val="00992FF1"/>
    <w:rsid w:val="0099394A"/>
    <w:rsid w:val="00993DA3"/>
    <w:rsid w:val="009943AA"/>
    <w:rsid w:val="00994AEC"/>
    <w:rsid w:val="00994D20"/>
    <w:rsid w:val="00995232"/>
    <w:rsid w:val="009952F8"/>
    <w:rsid w:val="00995516"/>
    <w:rsid w:val="00995E01"/>
    <w:rsid w:val="0099620B"/>
    <w:rsid w:val="00996E17"/>
    <w:rsid w:val="009978F9"/>
    <w:rsid w:val="009A050D"/>
    <w:rsid w:val="009A16D8"/>
    <w:rsid w:val="009A17A4"/>
    <w:rsid w:val="009A1883"/>
    <w:rsid w:val="009A1D27"/>
    <w:rsid w:val="009A2194"/>
    <w:rsid w:val="009A34A9"/>
    <w:rsid w:val="009A388B"/>
    <w:rsid w:val="009A3A44"/>
    <w:rsid w:val="009A3D66"/>
    <w:rsid w:val="009A4427"/>
    <w:rsid w:val="009A4855"/>
    <w:rsid w:val="009A4C6D"/>
    <w:rsid w:val="009A5651"/>
    <w:rsid w:val="009A5A7C"/>
    <w:rsid w:val="009A6A53"/>
    <w:rsid w:val="009A6C4E"/>
    <w:rsid w:val="009A70FB"/>
    <w:rsid w:val="009A77AF"/>
    <w:rsid w:val="009A789E"/>
    <w:rsid w:val="009B07F9"/>
    <w:rsid w:val="009B087A"/>
    <w:rsid w:val="009B0E0D"/>
    <w:rsid w:val="009B0EFA"/>
    <w:rsid w:val="009B1271"/>
    <w:rsid w:val="009B1B5C"/>
    <w:rsid w:val="009B1F13"/>
    <w:rsid w:val="009B217E"/>
    <w:rsid w:val="009B2635"/>
    <w:rsid w:val="009B2664"/>
    <w:rsid w:val="009B35C9"/>
    <w:rsid w:val="009B3765"/>
    <w:rsid w:val="009B3BC1"/>
    <w:rsid w:val="009B42EC"/>
    <w:rsid w:val="009B47C2"/>
    <w:rsid w:val="009B483E"/>
    <w:rsid w:val="009B55EE"/>
    <w:rsid w:val="009B5850"/>
    <w:rsid w:val="009B5A89"/>
    <w:rsid w:val="009B5FC9"/>
    <w:rsid w:val="009B645B"/>
    <w:rsid w:val="009B65E8"/>
    <w:rsid w:val="009B680F"/>
    <w:rsid w:val="009B6B41"/>
    <w:rsid w:val="009B79BF"/>
    <w:rsid w:val="009B7C14"/>
    <w:rsid w:val="009C0131"/>
    <w:rsid w:val="009C03B4"/>
    <w:rsid w:val="009C08B2"/>
    <w:rsid w:val="009C08BC"/>
    <w:rsid w:val="009C0B3B"/>
    <w:rsid w:val="009C0EF5"/>
    <w:rsid w:val="009C0F47"/>
    <w:rsid w:val="009C164E"/>
    <w:rsid w:val="009C19F2"/>
    <w:rsid w:val="009C21B6"/>
    <w:rsid w:val="009C22AD"/>
    <w:rsid w:val="009C25F3"/>
    <w:rsid w:val="009C34E2"/>
    <w:rsid w:val="009C384E"/>
    <w:rsid w:val="009C3BC5"/>
    <w:rsid w:val="009C4853"/>
    <w:rsid w:val="009C4BB8"/>
    <w:rsid w:val="009C5308"/>
    <w:rsid w:val="009C554B"/>
    <w:rsid w:val="009C5972"/>
    <w:rsid w:val="009C6534"/>
    <w:rsid w:val="009C710A"/>
    <w:rsid w:val="009C71AF"/>
    <w:rsid w:val="009C74B1"/>
    <w:rsid w:val="009C7645"/>
    <w:rsid w:val="009C79A0"/>
    <w:rsid w:val="009C7A89"/>
    <w:rsid w:val="009C7CA2"/>
    <w:rsid w:val="009C7E9F"/>
    <w:rsid w:val="009D0DE2"/>
    <w:rsid w:val="009D116D"/>
    <w:rsid w:val="009D141D"/>
    <w:rsid w:val="009D14CF"/>
    <w:rsid w:val="009D1F56"/>
    <w:rsid w:val="009D2116"/>
    <w:rsid w:val="009D2A70"/>
    <w:rsid w:val="009D2D4B"/>
    <w:rsid w:val="009D2D9E"/>
    <w:rsid w:val="009D2EF8"/>
    <w:rsid w:val="009D3119"/>
    <w:rsid w:val="009D3462"/>
    <w:rsid w:val="009D3740"/>
    <w:rsid w:val="009D471F"/>
    <w:rsid w:val="009D5123"/>
    <w:rsid w:val="009D5439"/>
    <w:rsid w:val="009D55FA"/>
    <w:rsid w:val="009D7520"/>
    <w:rsid w:val="009E00A3"/>
    <w:rsid w:val="009E028D"/>
    <w:rsid w:val="009E0325"/>
    <w:rsid w:val="009E07DE"/>
    <w:rsid w:val="009E0D62"/>
    <w:rsid w:val="009E126D"/>
    <w:rsid w:val="009E1DD4"/>
    <w:rsid w:val="009E1E8F"/>
    <w:rsid w:val="009E1F21"/>
    <w:rsid w:val="009E207D"/>
    <w:rsid w:val="009E22AD"/>
    <w:rsid w:val="009E25CC"/>
    <w:rsid w:val="009E2836"/>
    <w:rsid w:val="009E3272"/>
    <w:rsid w:val="009E32DA"/>
    <w:rsid w:val="009E3332"/>
    <w:rsid w:val="009E35A7"/>
    <w:rsid w:val="009E3A32"/>
    <w:rsid w:val="009E48DC"/>
    <w:rsid w:val="009E4E18"/>
    <w:rsid w:val="009E5740"/>
    <w:rsid w:val="009E68BC"/>
    <w:rsid w:val="009E6932"/>
    <w:rsid w:val="009E6A73"/>
    <w:rsid w:val="009E6FB6"/>
    <w:rsid w:val="009E755A"/>
    <w:rsid w:val="009E7BCA"/>
    <w:rsid w:val="009F291F"/>
    <w:rsid w:val="009F3102"/>
    <w:rsid w:val="009F344C"/>
    <w:rsid w:val="009F3BF3"/>
    <w:rsid w:val="009F415F"/>
    <w:rsid w:val="009F4384"/>
    <w:rsid w:val="009F43D1"/>
    <w:rsid w:val="009F43F1"/>
    <w:rsid w:val="009F46C1"/>
    <w:rsid w:val="009F4E82"/>
    <w:rsid w:val="009F53EF"/>
    <w:rsid w:val="009F55C4"/>
    <w:rsid w:val="009F5D7A"/>
    <w:rsid w:val="009F5E97"/>
    <w:rsid w:val="009F61F2"/>
    <w:rsid w:val="009F67B8"/>
    <w:rsid w:val="009F6D02"/>
    <w:rsid w:val="009F7384"/>
    <w:rsid w:val="009F7835"/>
    <w:rsid w:val="00A00AD7"/>
    <w:rsid w:val="00A010EC"/>
    <w:rsid w:val="00A01678"/>
    <w:rsid w:val="00A023AA"/>
    <w:rsid w:val="00A02D56"/>
    <w:rsid w:val="00A02D71"/>
    <w:rsid w:val="00A0399D"/>
    <w:rsid w:val="00A039B2"/>
    <w:rsid w:val="00A042EE"/>
    <w:rsid w:val="00A04AF8"/>
    <w:rsid w:val="00A05258"/>
    <w:rsid w:val="00A05483"/>
    <w:rsid w:val="00A054F4"/>
    <w:rsid w:val="00A0553D"/>
    <w:rsid w:val="00A05979"/>
    <w:rsid w:val="00A05C19"/>
    <w:rsid w:val="00A06581"/>
    <w:rsid w:val="00A06AA6"/>
    <w:rsid w:val="00A06C4B"/>
    <w:rsid w:val="00A06DC5"/>
    <w:rsid w:val="00A073FE"/>
    <w:rsid w:val="00A07412"/>
    <w:rsid w:val="00A076D5"/>
    <w:rsid w:val="00A10DA9"/>
    <w:rsid w:val="00A1152F"/>
    <w:rsid w:val="00A11542"/>
    <w:rsid w:val="00A11598"/>
    <w:rsid w:val="00A11835"/>
    <w:rsid w:val="00A11B94"/>
    <w:rsid w:val="00A11BC1"/>
    <w:rsid w:val="00A11DCB"/>
    <w:rsid w:val="00A12204"/>
    <w:rsid w:val="00A125BF"/>
    <w:rsid w:val="00A1299E"/>
    <w:rsid w:val="00A12ABE"/>
    <w:rsid w:val="00A133F3"/>
    <w:rsid w:val="00A137EA"/>
    <w:rsid w:val="00A13ED2"/>
    <w:rsid w:val="00A145BF"/>
    <w:rsid w:val="00A1460B"/>
    <w:rsid w:val="00A1471A"/>
    <w:rsid w:val="00A1486F"/>
    <w:rsid w:val="00A14AF9"/>
    <w:rsid w:val="00A14DD2"/>
    <w:rsid w:val="00A15098"/>
    <w:rsid w:val="00A15B02"/>
    <w:rsid w:val="00A160CA"/>
    <w:rsid w:val="00A16EA9"/>
    <w:rsid w:val="00A17A76"/>
    <w:rsid w:val="00A17E79"/>
    <w:rsid w:val="00A20580"/>
    <w:rsid w:val="00A206E5"/>
    <w:rsid w:val="00A20BA4"/>
    <w:rsid w:val="00A223F0"/>
    <w:rsid w:val="00A22A82"/>
    <w:rsid w:val="00A23793"/>
    <w:rsid w:val="00A23A49"/>
    <w:rsid w:val="00A23C12"/>
    <w:rsid w:val="00A24487"/>
    <w:rsid w:val="00A2677F"/>
    <w:rsid w:val="00A26960"/>
    <w:rsid w:val="00A26B53"/>
    <w:rsid w:val="00A27A28"/>
    <w:rsid w:val="00A27CF0"/>
    <w:rsid w:val="00A3010B"/>
    <w:rsid w:val="00A30748"/>
    <w:rsid w:val="00A31BEA"/>
    <w:rsid w:val="00A31CD4"/>
    <w:rsid w:val="00A32356"/>
    <w:rsid w:val="00A3287E"/>
    <w:rsid w:val="00A33D86"/>
    <w:rsid w:val="00A34735"/>
    <w:rsid w:val="00A34AAA"/>
    <w:rsid w:val="00A35429"/>
    <w:rsid w:val="00A35543"/>
    <w:rsid w:val="00A35628"/>
    <w:rsid w:val="00A35C9F"/>
    <w:rsid w:val="00A3620D"/>
    <w:rsid w:val="00A36AEF"/>
    <w:rsid w:val="00A36CA7"/>
    <w:rsid w:val="00A36F12"/>
    <w:rsid w:val="00A374BA"/>
    <w:rsid w:val="00A37988"/>
    <w:rsid w:val="00A37F68"/>
    <w:rsid w:val="00A4015E"/>
    <w:rsid w:val="00A402BF"/>
    <w:rsid w:val="00A40DAC"/>
    <w:rsid w:val="00A40F71"/>
    <w:rsid w:val="00A41AE5"/>
    <w:rsid w:val="00A44B8B"/>
    <w:rsid w:val="00A45346"/>
    <w:rsid w:val="00A4535A"/>
    <w:rsid w:val="00A45B2B"/>
    <w:rsid w:val="00A460CB"/>
    <w:rsid w:val="00A4711E"/>
    <w:rsid w:val="00A4750F"/>
    <w:rsid w:val="00A47A94"/>
    <w:rsid w:val="00A5153B"/>
    <w:rsid w:val="00A51614"/>
    <w:rsid w:val="00A51FE5"/>
    <w:rsid w:val="00A523D8"/>
    <w:rsid w:val="00A527FE"/>
    <w:rsid w:val="00A529EC"/>
    <w:rsid w:val="00A52BA2"/>
    <w:rsid w:val="00A52CF0"/>
    <w:rsid w:val="00A534B9"/>
    <w:rsid w:val="00A537F9"/>
    <w:rsid w:val="00A53A31"/>
    <w:rsid w:val="00A54496"/>
    <w:rsid w:val="00A55200"/>
    <w:rsid w:val="00A55354"/>
    <w:rsid w:val="00A556BD"/>
    <w:rsid w:val="00A55BF3"/>
    <w:rsid w:val="00A55CAC"/>
    <w:rsid w:val="00A55E2D"/>
    <w:rsid w:val="00A55EA3"/>
    <w:rsid w:val="00A562C5"/>
    <w:rsid w:val="00A56838"/>
    <w:rsid w:val="00A56884"/>
    <w:rsid w:val="00A56B96"/>
    <w:rsid w:val="00A570FD"/>
    <w:rsid w:val="00A57947"/>
    <w:rsid w:val="00A57BFA"/>
    <w:rsid w:val="00A601E9"/>
    <w:rsid w:val="00A60499"/>
    <w:rsid w:val="00A604D0"/>
    <w:rsid w:val="00A60781"/>
    <w:rsid w:val="00A608CA"/>
    <w:rsid w:val="00A608EB"/>
    <w:rsid w:val="00A60FBF"/>
    <w:rsid w:val="00A617EC"/>
    <w:rsid w:val="00A62540"/>
    <w:rsid w:val="00A62552"/>
    <w:rsid w:val="00A62809"/>
    <w:rsid w:val="00A62C44"/>
    <w:rsid w:val="00A637DA"/>
    <w:rsid w:val="00A63B53"/>
    <w:rsid w:val="00A63B9F"/>
    <w:rsid w:val="00A63E31"/>
    <w:rsid w:val="00A63EDF"/>
    <w:rsid w:val="00A64179"/>
    <w:rsid w:val="00A6475A"/>
    <w:rsid w:val="00A65750"/>
    <w:rsid w:val="00A659FA"/>
    <w:rsid w:val="00A6645C"/>
    <w:rsid w:val="00A67172"/>
    <w:rsid w:val="00A6753F"/>
    <w:rsid w:val="00A679F5"/>
    <w:rsid w:val="00A707F0"/>
    <w:rsid w:val="00A70CC8"/>
    <w:rsid w:val="00A71261"/>
    <w:rsid w:val="00A717A5"/>
    <w:rsid w:val="00A7224D"/>
    <w:rsid w:val="00A7260E"/>
    <w:rsid w:val="00A72D1E"/>
    <w:rsid w:val="00A739D9"/>
    <w:rsid w:val="00A74591"/>
    <w:rsid w:val="00A74F70"/>
    <w:rsid w:val="00A756B4"/>
    <w:rsid w:val="00A757BF"/>
    <w:rsid w:val="00A76599"/>
    <w:rsid w:val="00A76A17"/>
    <w:rsid w:val="00A76C07"/>
    <w:rsid w:val="00A76E12"/>
    <w:rsid w:val="00A76EFE"/>
    <w:rsid w:val="00A80354"/>
    <w:rsid w:val="00A80384"/>
    <w:rsid w:val="00A80842"/>
    <w:rsid w:val="00A8093B"/>
    <w:rsid w:val="00A80AEE"/>
    <w:rsid w:val="00A80B2A"/>
    <w:rsid w:val="00A81384"/>
    <w:rsid w:val="00A814BD"/>
    <w:rsid w:val="00A816E6"/>
    <w:rsid w:val="00A81F16"/>
    <w:rsid w:val="00A82502"/>
    <w:rsid w:val="00A8270B"/>
    <w:rsid w:val="00A829FD"/>
    <w:rsid w:val="00A839C9"/>
    <w:rsid w:val="00A850D1"/>
    <w:rsid w:val="00A85565"/>
    <w:rsid w:val="00A86142"/>
    <w:rsid w:val="00A862A0"/>
    <w:rsid w:val="00A865F2"/>
    <w:rsid w:val="00A86BF4"/>
    <w:rsid w:val="00A86D28"/>
    <w:rsid w:val="00A8719C"/>
    <w:rsid w:val="00A8752E"/>
    <w:rsid w:val="00A90852"/>
    <w:rsid w:val="00A9092D"/>
    <w:rsid w:val="00A90F23"/>
    <w:rsid w:val="00A910C8"/>
    <w:rsid w:val="00A92694"/>
    <w:rsid w:val="00A92A39"/>
    <w:rsid w:val="00A92DAE"/>
    <w:rsid w:val="00A933F0"/>
    <w:rsid w:val="00A93E3A"/>
    <w:rsid w:val="00A94415"/>
    <w:rsid w:val="00A94448"/>
    <w:rsid w:val="00A95382"/>
    <w:rsid w:val="00A9570D"/>
    <w:rsid w:val="00A96004"/>
    <w:rsid w:val="00A96BF8"/>
    <w:rsid w:val="00A96E21"/>
    <w:rsid w:val="00A96FFA"/>
    <w:rsid w:val="00A971C3"/>
    <w:rsid w:val="00A97A79"/>
    <w:rsid w:val="00A97D18"/>
    <w:rsid w:val="00A97EF1"/>
    <w:rsid w:val="00AA1078"/>
    <w:rsid w:val="00AA1132"/>
    <w:rsid w:val="00AA1238"/>
    <w:rsid w:val="00AA16FF"/>
    <w:rsid w:val="00AA22BF"/>
    <w:rsid w:val="00AA256A"/>
    <w:rsid w:val="00AA2BEE"/>
    <w:rsid w:val="00AA2F7E"/>
    <w:rsid w:val="00AA319C"/>
    <w:rsid w:val="00AA330D"/>
    <w:rsid w:val="00AA400E"/>
    <w:rsid w:val="00AA42D0"/>
    <w:rsid w:val="00AA449C"/>
    <w:rsid w:val="00AA44A3"/>
    <w:rsid w:val="00AA468B"/>
    <w:rsid w:val="00AA4AA1"/>
    <w:rsid w:val="00AA4D34"/>
    <w:rsid w:val="00AA54CA"/>
    <w:rsid w:val="00AA5CCD"/>
    <w:rsid w:val="00AA66C8"/>
    <w:rsid w:val="00AA77B4"/>
    <w:rsid w:val="00AB035F"/>
    <w:rsid w:val="00AB0793"/>
    <w:rsid w:val="00AB0BF1"/>
    <w:rsid w:val="00AB10C1"/>
    <w:rsid w:val="00AB138A"/>
    <w:rsid w:val="00AB163C"/>
    <w:rsid w:val="00AB1798"/>
    <w:rsid w:val="00AB1D24"/>
    <w:rsid w:val="00AB1D7F"/>
    <w:rsid w:val="00AB1F49"/>
    <w:rsid w:val="00AB3546"/>
    <w:rsid w:val="00AB380D"/>
    <w:rsid w:val="00AB39E9"/>
    <w:rsid w:val="00AB3B48"/>
    <w:rsid w:val="00AB4335"/>
    <w:rsid w:val="00AB4362"/>
    <w:rsid w:val="00AB4733"/>
    <w:rsid w:val="00AB4C86"/>
    <w:rsid w:val="00AB5341"/>
    <w:rsid w:val="00AB57A4"/>
    <w:rsid w:val="00AB58D8"/>
    <w:rsid w:val="00AB5C78"/>
    <w:rsid w:val="00AB60AB"/>
    <w:rsid w:val="00AB62C2"/>
    <w:rsid w:val="00AB6757"/>
    <w:rsid w:val="00AB6C83"/>
    <w:rsid w:val="00AB6F34"/>
    <w:rsid w:val="00AB7455"/>
    <w:rsid w:val="00AB7D81"/>
    <w:rsid w:val="00AC0825"/>
    <w:rsid w:val="00AC0B39"/>
    <w:rsid w:val="00AC0C2D"/>
    <w:rsid w:val="00AC177D"/>
    <w:rsid w:val="00AC1C22"/>
    <w:rsid w:val="00AC1FEE"/>
    <w:rsid w:val="00AC25F5"/>
    <w:rsid w:val="00AC29C8"/>
    <w:rsid w:val="00AC2B4D"/>
    <w:rsid w:val="00AC2D6A"/>
    <w:rsid w:val="00AC3CE9"/>
    <w:rsid w:val="00AC3E3A"/>
    <w:rsid w:val="00AC4936"/>
    <w:rsid w:val="00AC4BE6"/>
    <w:rsid w:val="00AC4FE9"/>
    <w:rsid w:val="00AC5431"/>
    <w:rsid w:val="00AC54CC"/>
    <w:rsid w:val="00AC5AD2"/>
    <w:rsid w:val="00AC5DA1"/>
    <w:rsid w:val="00AC64DE"/>
    <w:rsid w:val="00AC74F6"/>
    <w:rsid w:val="00AC780A"/>
    <w:rsid w:val="00AC7B04"/>
    <w:rsid w:val="00AC7C40"/>
    <w:rsid w:val="00AC7D3B"/>
    <w:rsid w:val="00AD0145"/>
    <w:rsid w:val="00AD0713"/>
    <w:rsid w:val="00AD0FA5"/>
    <w:rsid w:val="00AD12CD"/>
    <w:rsid w:val="00AD1FF2"/>
    <w:rsid w:val="00AD22CE"/>
    <w:rsid w:val="00AD272E"/>
    <w:rsid w:val="00AD2745"/>
    <w:rsid w:val="00AD28D1"/>
    <w:rsid w:val="00AD2B0A"/>
    <w:rsid w:val="00AD2DC7"/>
    <w:rsid w:val="00AD3236"/>
    <w:rsid w:val="00AD32DB"/>
    <w:rsid w:val="00AD3522"/>
    <w:rsid w:val="00AD3B51"/>
    <w:rsid w:val="00AD3BCA"/>
    <w:rsid w:val="00AD495F"/>
    <w:rsid w:val="00AD4C54"/>
    <w:rsid w:val="00AD57C0"/>
    <w:rsid w:val="00AD6496"/>
    <w:rsid w:val="00AD667C"/>
    <w:rsid w:val="00AD6AC9"/>
    <w:rsid w:val="00AD7156"/>
    <w:rsid w:val="00AD76A5"/>
    <w:rsid w:val="00AD77A2"/>
    <w:rsid w:val="00AE0363"/>
    <w:rsid w:val="00AE1367"/>
    <w:rsid w:val="00AE2152"/>
    <w:rsid w:val="00AE2278"/>
    <w:rsid w:val="00AE247E"/>
    <w:rsid w:val="00AE2CDE"/>
    <w:rsid w:val="00AE2EC3"/>
    <w:rsid w:val="00AE38BB"/>
    <w:rsid w:val="00AE3F75"/>
    <w:rsid w:val="00AE4899"/>
    <w:rsid w:val="00AE48F3"/>
    <w:rsid w:val="00AE4F35"/>
    <w:rsid w:val="00AE5150"/>
    <w:rsid w:val="00AE58DE"/>
    <w:rsid w:val="00AE5D3A"/>
    <w:rsid w:val="00AE687B"/>
    <w:rsid w:val="00AE6924"/>
    <w:rsid w:val="00AE70B3"/>
    <w:rsid w:val="00AE7E45"/>
    <w:rsid w:val="00AF07B8"/>
    <w:rsid w:val="00AF0A67"/>
    <w:rsid w:val="00AF0B73"/>
    <w:rsid w:val="00AF0DFC"/>
    <w:rsid w:val="00AF14CC"/>
    <w:rsid w:val="00AF156E"/>
    <w:rsid w:val="00AF1769"/>
    <w:rsid w:val="00AF1E2A"/>
    <w:rsid w:val="00AF2E5E"/>
    <w:rsid w:val="00AF37FF"/>
    <w:rsid w:val="00AF3931"/>
    <w:rsid w:val="00AF3B4D"/>
    <w:rsid w:val="00AF3FB1"/>
    <w:rsid w:val="00AF4CE4"/>
    <w:rsid w:val="00AF4F87"/>
    <w:rsid w:val="00AF5230"/>
    <w:rsid w:val="00AF5494"/>
    <w:rsid w:val="00AF5600"/>
    <w:rsid w:val="00AF563C"/>
    <w:rsid w:val="00AF56C8"/>
    <w:rsid w:val="00AF5728"/>
    <w:rsid w:val="00AF5AB5"/>
    <w:rsid w:val="00AF5CE3"/>
    <w:rsid w:val="00AF5ED8"/>
    <w:rsid w:val="00AF691F"/>
    <w:rsid w:val="00AF7007"/>
    <w:rsid w:val="00AF7195"/>
    <w:rsid w:val="00AF751A"/>
    <w:rsid w:val="00AF79D8"/>
    <w:rsid w:val="00AF7BED"/>
    <w:rsid w:val="00B0047D"/>
    <w:rsid w:val="00B0068D"/>
    <w:rsid w:val="00B00BDF"/>
    <w:rsid w:val="00B00E5D"/>
    <w:rsid w:val="00B0100A"/>
    <w:rsid w:val="00B0131F"/>
    <w:rsid w:val="00B013E9"/>
    <w:rsid w:val="00B02356"/>
    <w:rsid w:val="00B0295D"/>
    <w:rsid w:val="00B029D2"/>
    <w:rsid w:val="00B030ED"/>
    <w:rsid w:val="00B0352D"/>
    <w:rsid w:val="00B03AB9"/>
    <w:rsid w:val="00B03B51"/>
    <w:rsid w:val="00B041C6"/>
    <w:rsid w:val="00B047BB"/>
    <w:rsid w:val="00B04822"/>
    <w:rsid w:val="00B04870"/>
    <w:rsid w:val="00B04C4E"/>
    <w:rsid w:val="00B054BA"/>
    <w:rsid w:val="00B0600A"/>
    <w:rsid w:val="00B066F5"/>
    <w:rsid w:val="00B06DAB"/>
    <w:rsid w:val="00B06F41"/>
    <w:rsid w:val="00B07267"/>
    <w:rsid w:val="00B072FB"/>
    <w:rsid w:val="00B07814"/>
    <w:rsid w:val="00B10B3E"/>
    <w:rsid w:val="00B111EE"/>
    <w:rsid w:val="00B11625"/>
    <w:rsid w:val="00B11A62"/>
    <w:rsid w:val="00B11FF2"/>
    <w:rsid w:val="00B13641"/>
    <w:rsid w:val="00B1440A"/>
    <w:rsid w:val="00B1447D"/>
    <w:rsid w:val="00B14C29"/>
    <w:rsid w:val="00B14C2D"/>
    <w:rsid w:val="00B14F6D"/>
    <w:rsid w:val="00B15020"/>
    <w:rsid w:val="00B15297"/>
    <w:rsid w:val="00B1609A"/>
    <w:rsid w:val="00B16579"/>
    <w:rsid w:val="00B16629"/>
    <w:rsid w:val="00B16EF2"/>
    <w:rsid w:val="00B1728B"/>
    <w:rsid w:val="00B17685"/>
    <w:rsid w:val="00B17798"/>
    <w:rsid w:val="00B17CD8"/>
    <w:rsid w:val="00B2007B"/>
    <w:rsid w:val="00B20509"/>
    <w:rsid w:val="00B205D7"/>
    <w:rsid w:val="00B20B04"/>
    <w:rsid w:val="00B20F03"/>
    <w:rsid w:val="00B21A3C"/>
    <w:rsid w:val="00B222B0"/>
    <w:rsid w:val="00B22A06"/>
    <w:rsid w:val="00B23C0D"/>
    <w:rsid w:val="00B24477"/>
    <w:rsid w:val="00B24516"/>
    <w:rsid w:val="00B24972"/>
    <w:rsid w:val="00B24BD1"/>
    <w:rsid w:val="00B25155"/>
    <w:rsid w:val="00B252E2"/>
    <w:rsid w:val="00B264B2"/>
    <w:rsid w:val="00B267BC"/>
    <w:rsid w:val="00B27996"/>
    <w:rsid w:val="00B3052C"/>
    <w:rsid w:val="00B30A54"/>
    <w:rsid w:val="00B31059"/>
    <w:rsid w:val="00B317ED"/>
    <w:rsid w:val="00B323EB"/>
    <w:rsid w:val="00B328F2"/>
    <w:rsid w:val="00B33CDF"/>
    <w:rsid w:val="00B347E2"/>
    <w:rsid w:val="00B3495D"/>
    <w:rsid w:val="00B34F36"/>
    <w:rsid w:val="00B3508B"/>
    <w:rsid w:val="00B3597F"/>
    <w:rsid w:val="00B36927"/>
    <w:rsid w:val="00B36B5B"/>
    <w:rsid w:val="00B37B6C"/>
    <w:rsid w:val="00B37C4E"/>
    <w:rsid w:val="00B40095"/>
    <w:rsid w:val="00B405CF"/>
    <w:rsid w:val="00B40797"/>
    <w:rsid w:val="00B40B42"/>
    <w:rsid w:val="00B40C42"/>
    <w:rsid w:val="00B412C1"/>
    <w:rsid w:val="00B41314"/>
    <w:rsid w:val="00B41327"/>
    <w:rsid w:val="00B41D86"/>
    <w:rsid w:val="00B42347"/>
    <w:rsid w:val="00B426DC"/>
    <w:rsid w:val="00B43A0E"/>
    <w:rsid w:val="00B43D1C"/>
    <w:rsid w:val="00B44FAC"/>
    <w:rsid w:val="00B45875"/>
    <w:rsid w:val="00B45F06"/>
    <w:rsid w:val="00B463D8"/>
    <w:rsid w:val="00B467EC"/>
    <w:rsid w:val="00B46996"/>
    <w:rsid w:val="00B47005"/>
    <w:rsid w:val="00B47A50"/>
    <w:rsid w:val="00B47CDA"/>
    <w:rsid w:val="00B47EB7"/>
    <w:rsid w:val="00B503AA"/>
    <w:rsid w:val="00B50FBE"/>
    <w:rsid w:val="00B515F4"/>
    <w:rsid w:val="00B51AE6"/>
    <w:rsid w:val="00B5205F"/>
    <w:rsid w:val="00B53531"/>
    <w:rsid w:val="00B538CE"/>
    <w:rsid w:val="00B538E3"/>
    <w:rsid w:val="00B53C79"/>
    <w:rsid w:val="00B53F97"/>
    <w:rsid w:val="00B54BC0"/>
    <w:rsid w:val="00B55302"/>
    <w:rsid w:val="00B5535F"/>
    <w:rsid w:val="00B557D3"/>
    <w:rsid w:val="00B565CB"/>
    <w:rsid w:val="00B56C0A"/>
    <w:rsid w:val="00B56EE5"/>
    <w:rsid w:val="00B57463"/>
    <w:rsid w:val="00B6035E"/>
    <w:rsid w:val="00B6071F"/>
    <w:rsid w:val="00B60786"/>
    <w:rsid w:val="00B608CD"/>
    <w:rsid w:val="00B60AE3"/>
    <w:rsid w:val="00B60BCC"/>
    <w:rsid w:val="00B6107A"/>
    <w:rsid w:val="00B618D2"/>
    <w:rsid w:val="00B629BA"/>
    <w:rsid w:val="00B632C1"/>
    <w:rsid w:val="00B63DCB"/>
    <w:rsid w:val="00B64265"/>
    <w:rsid w:val="00B64B1E"/>
    <w:rsid w:val="00B657CD"/>
    <w:rsid w:val="00B666D0"/>
    <w:rsid w:val="00B6689C"/>
    <w:rsid w:val="00B66DFC"/>
    <w:rsid w:val="00B67972"/>
    <w:rsid w:val="00B67EDC"/>
    <w:rsid w:val="00B70048"/>
    <w:rsid w:val="00B70424"/>
    <w:rsid w:val="00B70B4E"/>
    <w:rsid w:val="00B71770"/>
    <w:rsid w:val="00B71A11"/>
    <w:rsid w:val="00B73713"/>
    <w:rsid w:val="00B739CB"/>
    <w:rsid w:val="00B741A8"/>
    <w:rsid w:val="00B744CF"/>
    <w:rsid w:val="00B74738"/>
    <w:rsid w:val="00B749C9"/>
    <w:rsid w:val="00B74DC5"/>
    <w:rsid w:val="00B75016"/>
    <w:rsid w:val="00B751CF"/>
    <w:rsid w:val="00B75353"/>
    <w:rsid w:val="00B75A01"/>
    <w:rsid w:val="00B77496"/>
    <w:rsid w:val="00B7760B"/>
    <w:rsid w:val="00B808EF"/>
    <w:rsid w:val="00B80C02"/>
    <w:rsid w:val="00B8123D"/>
    <w:rsid w:val="00B818FE"/>
    <w:rsid w:val="00B825AC"/>
    <w:rsid w:val="00B825BC"/>
    <w:rsid w:val="00B82BD2"/>
    <w:rsid w:val="00B82DA1"/>
    <w:rsid w:val="00B8385F"/>
    <w:rsid w:val="00B83F7C"/>
    <w:rsid w:val="00B8441D"/>
    <w:rsid w:val="00B84A51"/>
    <w:rsid w:val="00B85E6A"/>
    <w:rsid w:val="00B86299"/>
    <w:rsid w:val="00B87504"/>
    <w:rsid w:val="00B8788B"/>
    <w:rsid w:val="00B87C59"/>
    <w:rsid w:val="00B87FBB"/>
    <w:rsid w:val="00B906B4"/>
    <w:rsid w:val="00B908E8"/>
    <w:rsid w:val="00B90F5E"/>
    <w:rsid w:val="00B91E4A"/>
    <w:rsid w:val="00B91F60"/>
    <w:rsid w:val="00B929E5"/>
    <w:rsid w:val="00B9396F"/>
    <w:rsid w:val="00B93B01"/>
    <w:rsid w:val="00B93B72"/>
    <w:rsid w:val="00B93E71"/>
    <w:rsid w:val="00B94859"/>
    <w:rsid w:val="00B94E4D"/>
    <w:rsid w:val="00B958A4"/>
    <w:rsid w:val="00B96302"/>
    <w:rsid w:val="00B966BE"/>
    <w:rsid w:val="00B96C6C"/>
    <w:rsid w:val="00B97587"/>
    <w:rsid w:val="00B97C1F"/>
    <w:rsid w:val="00BA0D9A"/>
    <w:rsid w:val="00BA0FB3"/>
    <w:rsid w:val="00BA139C"/>
    <w:rsid w:val="00BA14A9"/>
    <w:rsid w:val="00BA19E4"/>
    <w:rsid w:val="00BA1A43"/>
    <w:rsid w:val="00BA1C9B"/>
    <w:rsid w:val="00BA1D78"/>
    <w:rsid w:val="00BA220A"/>
    <w:rsid w:val="00BA2211"/>
    <w:rsid w:val="00BA2502"/>
    <w:rsid w:val="00BA256D"/>
    <w:rsid w:val="00BA28CA"/>
    <w:rsid w:val="00BA28FB"/>
    <w:rsid w:val="00BA2A3E"/>
    <w:rsid w:val="00BA3820"/>
    <w:rsid w:val="00BA3AA6"/>
    <w:rsid w:val="00BA4195"/>
    <w:rsid w:val="00BA47B3"/>
    <w:rsid w:val="00BA4810"/>
    <w:rsid w:val="00BA502F"/>
    <w:rsid w:val="00BA5B5B"/>
    <w:rsid w:val="00BA637E"/>
    <w:rsid w:val="00BB014E"/>
    <w:rsid w:val="00BB0517"/>
    <w:rsid w:val="00BB0531"/>
    <w:rsid w:val="00BB11C4"/>
    <w:rsid w:val="00BB1785"/>
    <w:rsid w:val="00BB1B1D"/>
    <w:rsid w:val="00BB2001"/>
    <w:rsid w:val="00BB209D"/>
    <w:rsid w:val="00BB21AC"/>
    <w:rsid w:val="00BB21CB"/>
    <w:rsid w:val="00BB2406"/>
    <w:rsid w:val="00BB2648"/>
    <w:rsid w:val="00BB29CD"/>
    <w:rsid w:val="00BB2A41"/>
    <w:rsid w:val="00BB2E19"/>
    <w:rsid w:val="00BB2EF2"/>
    <w:rsid w:val="00BB2F8E"/>
    <w:rsid w:val="00BB30AC"/>
    <w:rsid w:val="00BB3A0B"/>
    <w:rsid w:val="00BB4006"/>
    <w:rsid w:val="00BB40D2"/>
    <w:rsid w:val="00BB4416"/>
    <w:rsid w:val="00BB45B2"/>
    <w:rsid w:val="00BB45B7"/>
    <w:rsid w:val="00BB4A93"/>
    <w:rsid w:val="00BB4F06"/>
    <w:rsid w:val="00BB4F72"/>
    <w:rsid w:val="00BB5AC0"/>
    <w:rsid w:val="00BB689E"/>
    <w:rsid w:val="00BB6955"/>
    <w:rsid w:val="00BB6A2B"/>
    <w:rsid w:val="00BB7377"/>
    <w:rsid w:val="00BB784B"/>
    <w:rsid w:val="00BB7F05"/>
    <w:rsid w:val="00BC0468"/>
    <w:rsid w:val="00BC0753"/>
    <w:rsid w:val="00BC0E85"/>
    <w:rsid w:val="00BC0F0C"/>
    <w:rsid w:val="00BC1052"/>
    <w:rsid w:val="00BC2528"/>
    <w:rsid w:val="00BC3068"/>
    <w:rsid w:val="00BC3604"/>
    <w:rsid w:val="00BC3A06"/>
    <w:rsid w:val="00BC3D0D"/>
    <w:rsid w:val="00BC3F25"/>
    <w:rsid w:val="00BC46C9"/>
    <w:rsid w:val="00BC4B1A"/>
    <w:rsid w:val="00BC52D1"/>
    <w:rsid w:val="00BC540C"/>
    <w:rsid w:val="00BC584F"/>
    <w:rsid w:val="00BC5A7E"/>
    <w:rsid w:val="00BC5FE5"/>
    <w:rsid w:val="00BC61AA"/>
    <w:rsid w:val="00BC7AC3"/>
    <w:rsid w:val="00BD0174"/>
    <w:rsid w:val="00BD017D"/>
    <w:rsid w:val="00BD027C"/>
    <w:rsid w:val="00BD1690"/>
    <w:rsid w:val="00BD1EA5"/>
    <w:rsid w:val="00BD2020"/>
    <w:rsid w:val="00BD2F18"/>
    <w:rsid w:val="00BD36DA"/>
    <w:rsid w:val="00BD3974"/>
    <w:rsid w:val="00BD39B5"/>
    <w:rsid w:val="00BD40DE"/>
    <w:rsid w:val="00BD4688"/>
    <w:rsid w:val="00BD4859"/>
    <w:rsid w:val="00BD4E51"/>
    <w:rsid w:val="00BD4F44"/>
    <w:rsid w:val="00BD4FC3"/>
    <w:rsid w:val="00BD551A"/>
    <w:rsid w:val="00BD6A99"/>
    <w:rsid w:val="00BD6CCF"/>
    <w:rsid w:val="00BD708D"/>
    <w:rsid w:val="00BD74D4"/>
    <w:rsid w:val="00BE03C9"/>
    <w:rsid w:val="00BE0B62"/>
    <w:rsid w:val="00BE0DA1"/>
    <w:rsid w:val="00BE1D5D"/>
    <w:rsid w:val="00BE2A11"/>
    <w:rsid w:val="00BE2F3E"/>
    <w:rsid w:val="00BE3572"/>
    <w:rsid w:val="00BE396B"/>
    <w:rsid w:val="00BE4452"/>
    <w:rsid w:val="00BE4C27"/>
    <w:rsid w:val="00BE4E57"/>
    <w:rsid w:val="00BE59B3"/>
    <w:rsid w:val="00BE5A28"/>
    <w:rsid w:val="00BE5CFE"/>
    <w:rsid w:val="00BE5D30"/>
    <w:rsid w:val="00BE62AA"/>
    <w:rsid w:val="00BE65F2"/>
    <w:rsid w:val="00BE6B37"/>
    <w:rsid w:val="00BE6CA2"/>
    <w:rsid w:val="00BE78CD"/>
    <w:rsid w:val="00BE7EB2"/>
    <w:rsid w:val="00BF0513"/>
    <w:rsid w:val="00BF0686"/>
    <w:rsid w:val="00BF1DB7"/>
    <w:rsid w:val="00BF2144"/>
    <w:rsid w:val="00BF21EE"/>
    <w:rsid w:val="00BF2C15"/>
    <w:rsid w:val="00BF2CC2"/>
    <w:rsid w:val="00BF2E84"/>
    <w:rsid w:val="00BF3094"/>
    <w:rsid w:val="00BF3588"/>
    <w:rsid w:val="00BF36E9"/>
    <w:rsid w:val="00BF3FB2"/>
    <w:rsid w:val="00BF49FD"/>
    <w:rsid w:val="00BF524F"/>
    <w:rsid w:val="00BF52DE"/>
    <w:rsid w:val="00BF5CA7"/>
    <w:rsid w:val="00BF6454"/>
    <w:rsid w:val="00BF695D"/>
    <w:rsid w:val="00BF6F7D"/>
    <w:rsid w:val="00BF7C82"/>
    <w:rsid w:val="00C0078D"/>
    <w:rsid w:val="00C00C58"/>
    <w:rsid w:val="00C00DDA"/>
    <w:rsid w:val="00C017F9"/>
    <w:rsid w:val="00C018A3"/>
    <w:rsid w:val="00C01CD7"/>
    <w:rsid w:val="00C01D13"/>
    <w:rsid w:val="00C025FC"/>
    <w:rsid w:val="00C02618"/>
    <w:rsid w:val="00C0265B"/>
    <w:rsid w:val="00C02862"/>
    <w:rsid w:val="00C02A22"/>
    <w:rsid w:val="00C02E0D"/>
    <w:rsid w:val="00C02FCF"/>
    <w:rsid w:val="00C03292"/>
    <w:rsid w:val="00C03D31"/>
    <w:rsid w:val="00C04197"/>
    <w:rsid w:val="00C04364"/>
    <w:rsid w:val="00C047A8"/>
    <w:rsid w:val="00C05007"/>
    <w:rsid w:val="00C05A5A"/>
    <w:rsid w:val="00C05C4E"/>
    <w:rsid w:val="00C0612F"/>
    <w:rsid w:val="00C06136"/>
    <w:rsid w:val="00C06546"/>
    <w:rsid w:val="00C076CC"/>
    <w:rsid w:val="00C07B0E"/>
    <w:rsid w:val="00C100EC"/>
    <w:rsid w:val="00C10725"/>
    <w:rsid w:val="00C10CAA"/>
    <w:rsid w:val="00C10F3E"/>
    <w:rsid w:val="00C11328"/>
    <w:rsid w:val="00C1147F"/>
    <w:rsid w:val="00C11CCA"/>
    <w:rsid w:val="00C11D18"/>
    <w:rsid w:val="00C1207D"/>
    <w:rsid w:val="00C1221D"/>
    <w:rsid w:val="00C12566"/>
    <w:rsid w:val="00C12783"/>
    <w:rsid w:val="00C12CF3"/>
    <w:rsid w:val="00C12D65"/>
    <w:rsid w:val="00C141E1"/>
    <w:rsid w:val="00C145E7"/>
    <w:rsid w:val="00C148AF"/>
    <w:rsid w:val="00C14AC3"/>
    <w:rsid w:val="00C14BEA"/>
    <w:rsid w:val="00C14C9B"/>
    <w:rsid w:val="00C15049"/>
    <w:rsid w:val="00C15883"/>
    <w:rsid w:val="00C15934"/>
    <w:rsid w:val="00C15BCE"/>
    <w:rsid w:val="00C16411"/>
    <w:rsid w:val="00C16A49"/>
    <w:rsid w:val="00C16E22"/>
    <w:rsid w:val="00C16E5E"/>
    <w:rsid w:val="00C17175"/>
    <w:rsid w:val="00C17F91"/>
    <w:rsid w:val="00C17FDE"/>
    <w:rsid w:val="00C201F4"/>
    <w:rsid w:val="00C203A1"/>
    <w:rsid w:val="00C20540"/>
    <w:rsid w:val="00C206F0"/>
    <w:rsid w:val="00C206FF"/>
    <w:rsid w:val="00C20D3B"/>
    <w:rsid w:val="00C22155"/>
    <w:rsid w:val="00C226B7"/>
    <w:rsid w:val="00C22724"/>
    <w:rsid w:val="00C228B5"/>
    <w:rsid w:val="00C22C91"/>
    <w:rsid w:val="00C22DC6"/>
    <w:rsid w:val="00C22F00"/>
    <w:rsid w:val="00C231CB"/>
    <w:rsid w:val="00C233F5"/>
    <w:rsid w:val="00C23F79"/>
    <w:rsid w:val="00C240FB"/>
    <w:rsid w:val="00C2472C"/>
    <w:rsid w:val="00C24833"/>
    <w:rsid w:val="00C24E2D"/>
    <w:rsid w:val="00C252F1"/>
    <w:rsid w:val="00C2561C"/>
    <w:rsid w:val="00C25EC2"/>
    <w:rsid w:val="00C2644A"/>
    <w:rsid w:val="00C2675A"/>
    <w:rsid w:val="00C27267"/>
    <w:rsid w:val="00C27546"/>
    <w:rsid w:val="00C279E1"/>
    <w:rsid w:val="00C300D1"/>
    <w:rsid w:val="00C30383"/>
    <w:rsid w:val="00C305DC"/>
    <w:rsid w:val="00C3137F"/>
    <w:rsid w:val="00C3180E"/>
    <w:rsid w:val="00C31B56"/>
    <w:rsid w:val="00C31D22"/>
    <w:rsid w:val="00C3221E"/>
    <w:rsid w:val="00C32895"/>
    <w:rsid w:val="00C33038"/>
    <w:rsid w:val="00C33A2B"/>
    <w:rsid w:val="00C33A68"/>
    <w:rsid w:val="00C33D34"/>
    <w:rsid w:val="00C3425F"/>
    <w:rsid w:val="00C3427E"/>
    <w:rsid w:val="00C3437B"/>
    <w:rsid w:val="00C3444C"/>
    <w:rsid w:val="00C344F7"/>
    <w:rsid w:val="00C3468F"/>
    <w:rsid w:val="00C34C55"/>
    <w:rsid w:val="00C354BF"/>
    <w:rsid w:val="00C357EE"/>
    <w:rsid w:val="00C3585A"/>
    <w:rsid w:val="00C35A51"/>
    <w:rsid w:val="00C35D5C"/>
    <w:rsid w:val="00C36464"/>
    <w:rsid w:val="00C367A2"/>
    <w:rsid w:val="00C36B81"/>
    <w:rsid w:val="00C37641"/>
    <w:rsid w:val="00C37695"/>
    <w:rsid w:val="00C377B3"/>
    <w:rsid w:val="00C37836"/>
    <w:rsid w:val="00C37892"/>
    <w:rsid w:val="00C37CEF"/>
    <w:rsid w:val="00C403B9"/>
    <w:rsid w:val="00C40737"/>
    <w:rsid w:val="00C40D61"/>
    <w:rsid w:val="00C40FB1"/>
    <w:rsid w:val="00C413A8"/>
    <w:rsid w:val="00C41AB6"/>
    <w:rsid w:val="00C427FF"/>
    <w:rsid w:val="00C4282E"/>
    <w:rsid w:val="00C429BA"/>
    <w:rsid w:val="00C42CED"/>
    <w:rsid w:val="00C43578"/>
    <w:rsid w:val="00C43BDA"/>
    <w:rsid w:val="00C43D0A"/>
    <w:rsid w:val="00C43F9E"/>
    <w:rsid w:val="00C44558"/>
    <w:rsid w:val="00C4476A"/>
    <w:rsid w:val="00C44BAC"/>
    <w:rsid w:val="00C44C18"/>
    <w:rsid w:val="00C4596B"/>
    <w:rsid w:val="00C45DB4"/>
    <w:rsid w:val="00C45FD0"/>
    <w:rsid w:val="00C4624A"/>
    <w:rsid w:val="00C47A37"/>
    <w:rsid w:val="00C47CF2"/>
    <w:rsid w:val="00C50068"/>
    <w:rsid w:val="00C50222"/>
    <w:rsid w:val="00C506FA"/>
    <w:rsid w:val="00C51948"/>
    <w:rsid w:val="00C51AE6"/>
    <w:rsid w:val="00C5215B"/>
    <w:rsid w:val="00C52427"/>
    <w:rsid w:val="00C524B7"/>
    <w:rsid w:val="00C5313D"/>
    <w:rsid w:val="00C5431B"/>
    <w:rsid w:val="00C54471"/>
    <w:rsid w:val="00C54489"/>
    <w:rsid w:val="00C54788"/>
    <w:rsid w:val="00C55592"/>
    <w:rsid w:val="00C556EF"/>
    <w:rsid w:val="00C559C3"/>
    <w:rsid w:val="00C55B67"/>
    <w:rsid w:val="00C55C67"/>
    <w:rsid w:val="00C564F6"/>
    <w:rsid w:val="00C56C5C"/>
    <w:rsid w:val="00C57551"/>
    <w:rsid w:val="00C576ED"/>
    <w:rsid w:val="00C577B8"/>
    <w:rsid w:val="00C5796D"/>
    <w:rsid w:val="00C57F3C"/>
    <w:rsid w:val="00C6057C"/>
    <w:rsid w:val="00C61731"/>
    <w:rsid w:val="00C62105"/>
    <w:rsid w:val="00C624CD"/>
    <w:rsid w:val="00C62600"/>
    <w:rsid w:val="00C626D3"/>
    <w:rsid w:val="00C62D33"/>
    <w:rsid w:val="00C62F1A"/>
    <w:rsid w:val="00C62F85"/>
    <w:rsid w:val="00C62FD7"/>
    <w:rsid w:val="00C634A2"/>
    <w:rsid w:val="00C64071"/>
    <w:rsid w:val="00C642F6"/>
    <w:rsid w:val="00C64B7A"/>
    <w:rsid w:val="00C652EC"/>
    <w:rsid w:val="00C65F30"/>
    <w:rsid w:val="00C66717"/>
    <w:rsid w:val="00C669D3"/>
    <w:rsid w:val="00C66AF4"/>
    <w:rsid w:val="00C66F21"/>
    <w:rsid w:val="00C67316"/>
    <w:rsid w:val="00C7066E"/>
    <w:rsid w:val="00C70818"/>
    <w:rsid w:val="00C71357"/>
    <w:rsid w:val="00C7210F"/>
    <w:rsid w:val="00C73582"/>
    <w:rsid w:val="00C73A31"/>
    <w:rsid w:val="00C73D5F"/>
    <w:rsid w:val="00C75608"/>
    <w:rsid w:val="00C75EF3"/>
    <w:rsid w:val="00C76090"/>
    <w:rsid w:val="00C76315"/>
    <w:rsid w:val="00C7658B"/>
    <w:rsid w:val="00C7677D"/>
    <w:rsid w:val="00C76A91"/>
    <w:rsid w:val="00C76ADE"/>
    <w:rsid w:val="00C76B7C"/>
    <w:rsid w:val="00C76CFB"/>
    <w:rsid w:val="00C770D1"/>
    <w:rsid w:val="00C773AD"/>
    <w:rsid w:val="00C7751D"/>
    <w:rsid w:val="00C806DE"/>
    <w:rsid w:val="00C820F1"/>
    <w:rsid w:val="00C821FD"/>
    <w:rsid w:val="00C823D4"/>
    <w:rsid w:val="00C82986"/>
    <w:rsid w:val="00C8351E"/>
    <w:rsid w:val="00C839CD"/>
    <w:rsid w:val="00C83B90"/>
    <w:rsid w:val="00C842B3"/>
    <w:rsid w:val="00C8468A"/>
    <w:rsid w:val="00C84820"/>
    <w:rsid w:val="00C84992"/>
    <w:rsid w:val="00C84AB3"/>
    <w:rsid w:val="00C857A8"/>
    <w:rsid w:val="00C8646E"/>
    <w:rsid w:val="00C868C1"/>
    <w:rsid w:val="00C86DEC"/>
    <w:rsid w:val="00C87314"/>
    <w:rsid w:val="00C87488"/>
    <w:rsid w:val="00C87578"/>
    <w:rsid w:val="00C87F8A"/>
    <w:rsid w:val="00C87FCF"/>
    <w:rsid w:val="00C90252"/>
    <w:rsid w:val="00C9067C"/>
    <w:rsid w:val="00C9084C"/>
    <w:rsid w:val="00C90EBB"/>
    <w:rsid w:val="00C91433"/>
    <w:rsid w:val="00C9188B"/>
    <w:rsid w:val="00C91C62"/>
    <w:rsid w:val="00C9211C"/>
    <w:rsid w:val="00C924AA"/>
    <w:rsid w:val="00C926F9"/>
    <w:rsid w:val="00C92842"/>
    <w:rsid w:val="00C928E8"/>
    <w:rsid w:val="00C92E47"/>
    <w:rsid w:val="00C9321A"/>
    <w:rsid w:val="00C939E9"/>
    <w:rsid w:val="00C93D86"/>
    <w:rsid w:val="00C94C46"/>
    <w:rsid w:val="00C94EC8"/>
    <w:rsid w:val="00C9516E"/>
    <w:rsid w:val="00C95618"/>
    <w:rsid w:val="00C95B84"/>
    <w:rsid w:val="00C95B99"/>
    <w:rsid w:val="00C95FF9"/>
    <w:rsid w:val="00C960F0"/>
    <w:rsid w:val="00C964D1"/>
    <w:rsid w:val="00C96648"/>
    <w:rsid w:val="00C96A40"/>
    <w:rsid w:val="00C96C77"/>
    <w:rsid w:val="00C9741A"/>
    <w:rsid w:val="00C9799C"/>
    <w:rsid w:val="00C97D84"/>
    <w:rsid w:val="00CA00E0"/>
    <w:rsid w:val="00CA11FD"/>
    <w:rsid w:val="00CA14AE"/>
    <w:rsid w:val="00CA15C1"/>
    <w:rsid w:val="00CA1B60"/>
    <w:rsid w:val="00CA1CD1"/>
    <w:rsid w:val="00CA23D0"/>
    <w:rsid w:val="00CA2E16"/>
    <w:rsid w:val="00CA3381"/>
    <w:rsid w:val="00CA397E"/>
    <w:rsid w:val="00CA3992"/>
    <w:rsid w:val="00CA3BDD"/>
    <w:rsid w:val="00CA402A"/>
    <w:rsid w:val="00CA4085"/>
    <w:rsid w:val="00CA42EC"/>
    <w:rsid w:val="00CA4595"/>
    <w:rsid w:val="00CA480F"/>
    <w:rsid w:val="00CA595A"/>
    <w:rsid w:val="00CA5AA5"/>
    <w:rsid w:val="00CA5D44"/>
    <w:rsid w:val="00CA6131"/>
    <w:rsid w:val="00CA627E"/>
    <w:rsid w:val="00CA6889"/>
    <w:rsid w:val="00CA6BA8"/>
    <w:rsid w:val="00CA6BD2"/>
    <w:rsid w:val="00CA70B4"/>
    <w:rsid w:val="00CA7671"/>
    <w:rsid w:val="00CA7C26"/>
    <w:rsid w:val="00CA7DBF"/>
    <w:rsid w:val="00CB033E"/>
    <w:rsid w:val="00CB0534"/>
    <w:rsid w:val="00CB0745"/>
    <w:rsid w:val="00CB10A7"/>
    <w:rsid w:val="00CB16F2"/>
    <w:rsid w:val="00CB18AA"/>
    <w:rsid w:val="00CB1979"/>
    <w:rsid w:val="00CB19ED"/>
    <w:rsid w:val="00CB2357"/>
    <w:rsid w:val="00CB2426"/>
    <w:rsid w:val="00CB2569"/>
    <w:rsid w:val="00CB261E"/>
    <w:rsid w:val="00CB2D68"/>
    <w:rsid w:val="00CB2DC7"/>
    <w:rsid w:val="00CB31DE"/>
    <w:rsid w:val="00CB3490"/>
    <w:rsid w:val="00CB3C2E"/>
    <w:rsid w:val="00CB3D17"/>
    <w:rsid w:val="00CB4954"/>
    <w:rsid w:val="00CB4FD7"/>
    <w:rsid w:val="00CB5317"/>
    <w:rsid w:val="00CB60EC"/>
    <w:rsid w:val="00CB7515"/>
    <w:rsid w:val="00CB77F1"/>
    <w:rsid w:val="00CB78F0"/>
    <w:rsid w:val="00CB7990"/>
    <w:rsid w:val="00CB799A"/>
    <w:rsid w:val="00CB7BF2"/>
    <w:rsid w:val="00CC0131"/>
    <w:rsid w:val="00CC03B9"/>
    <w:rsid w:val="00CC0749"/>
    <w:rsid w:val="00CC0973"/>
    <w:rsid w:val="00CC136C"/>
    <w:rsid w:val="00CC1837"/>
    <w:rsid w:val="00CC21C7"/>
    <w:rsid w:val="00CC2CD2"/>
    <w:rsid w:val="00CC2E3E"/>
    <w:rsid w:val="00CC308E"/>
    <w:rsid w:val="00CC3958"/>
    <w:rsid w:val="00CC3D17"/>
    <w:rsid w:val="00CC44E1"/>
    <w:rsid w:val="00CC47EA"/>
    <w:rsid w:val="00CC493D"/>
    <w:rsid w:val="00CC5E92"/>
    <w:rsid w:val="00CC5F64"/>
    <w:rsid w:val="00CC676E"/>
    <w:rsid w:val="00CC7097"/>
    <w:rsid w:val="00CC7350"/>
    <w:rsid w:val="00CC743B"/>
    <w:rsid w:val="00CC787C"/>
    <w:rsid w:val="00CC7AF8"/>
    <w:rsid w:val="00CC7C10"/>
    <w:rsid w:val="00CD056F"/>
    <w:rsid w:val="00CD05C3"/>
    <w:rsid w:val="00CD097A"/>
    <w:rsid w:val="00CD1295"/>
    <w:rsid w:val="00CD19C8"/>
    <w:rsid w:val="00CD2106"/>
    <w:rsid w:val="00CD2AFF"/>
    <w:rsid w:val="00CD2C29"/>
    <w:rsid w:val="00CD2E1B"/>
    <w:rsid w:val="00CD2FF8"/>
    <w:rsid w:val="00CD310A"/>
    <w:rsid w:val="00CD31AD"/>
    <w:rsid w:val="00CD347B"/>
    <w:rsid w:val="00CD39E7"/>
    <w:rsid w:val="00CD4BBC"/>
    <w:rsid w:val="00CD4C37"/>
    <w:rsid w:val="00CD4F4A"/>
    <w:rsid w:val="00CD6745"/>
    <w:rsid w:val="00CD68D4"/>
    <w:rsid w:val="00CD6C24"/>
    <w:rsid w:val="00CD6E31"/>
    <w:rsid w:val="00CD6E6B"/>
    <w:rsid w:val="00CD7063"/>
    <w:rsid w:val="00CD71B6"/>
    <w:rsid w:val="00CD71CF"/>
    <w:rsid w:val="00CD7A1A"/>
    <w:rsid w:val="00CE0195"/>
    <w:rsid w:val="00CE01DE"/>
    <w:rsid w:val="00CE049A"/>
    <w:rsid w:val="00CE0594"/>
    <w:rsid w:val="00CE07D7"/>
    <w:rsid w:val="00CE17C2"/>
    <w:rsid w:val="00CE1A0F"/>
    <w:rsid w:val="00CE2708"/>
    <w:rsid w:val="00CE2B52"/>
    <w:rsid w:val="00CE2ECA"/>
    <w:rsid w:val="00CE36B4"/>
    <w:rsid w:val="00CE3829"/>
    <w:rsid w:val="00CE3866"/>
    <w:rsid w:val="00CE3E19"/>
    <w:rsid w:val="00CE42CD"/>
    <w:rsid w:val="00CE47FF"/>
    <w:rsid w:val="00CE5022"/>
    <w:rsid w:val="00CE51D2"/>
    <w:rsid w:val="00CE526E"/>
    <w:rsid w:val="00CE5AA9"/>
    <w:rsid w:val="00CE5AC5"/>
    <w:rsid w:val="00CE5E15"/>
    <w:rsid w:val="00CE5E31"/>
    <w:rsid w:val="00CE677C"/>
    <w:rsid w:val="00CE67E1"/>
    <w:rsid w:val="00CE6C0B"/>
    <w:rsid w:val="00CE6C44"/>
    <w:rsid w:val="00CE72CF"/>
    <w:rsid w:val="00CE7A30"/>
    <w:rsid w:val="00CF0277"/>
    <w:rsid w:val="00CF033F"/>
    <w:rsid w:val="00CF0791"/>
    <w:rsid w:val="00CF0807"/>
    <w:rsid w:val="00CF0843"/>
    <w:rsid w:val="00CF0C86"/>
    <w:rsid w:val="00CF13C3"/>
    <w:rsid w:val="00CF1530"/>
    <w:rsid w:val="00CF1531"/>
    <w:rsid w:val="00CF1B81"/>
    <w:rsid w:val="00CF1C91"/>
    <w:rsid w:val="00CF245E"/>
    <w:rsid w:val="00CF2C95"/>
    <w:rsid w:val="00CF2D17"/>
    <w:rsid w:val="00CF3628"/>
    <w:rsid w:val="00CF43A1"/>
    <w:rsid w:val="00CF4625"/>
    <w:rsid w:val="00CF48E0"/>
    <w:rsid w:val="00CF5710"/>
    <w:rsid w:val="00CF673D"/>
    <w:rsid w:val="00CF6AB8"/>
    <w:rsid w:val="00CF6D1C"/>
    <w:rsid w:val="00CF7252"/>
    <w:rsid w:val="00CF72C6"/>
    <w:rsid w:val="00CF755E"/>
    <w:rsid w:val="00CF78EE"/>
    <w:rsid w:val="00D00A16"/>
    <w:rsid w:val="00D00D50"/>
    <w:rsid w:val="00D00EEC"/>
    <w:rsid w:val="00D011DE"/>
    <w:rsid w:val="00D01B51"/>
    <w:rsid w:val="00D02084"/>
    <w:rsid w:val="00D0229F"/>
    <w:rsid w:val="00D031DD"/>
    <w:rsid w:val="00D03642"/>
    <w:rsid w:val="00D036F1"/>
    <w:rsid w:val="00D03732"/>
    <w:rsid w:val="00D03C79"/>
    <w:rsid w:val="00D03DF7"/>
    <w:rsid w:val="00D03E54"/>
    <w:rsid w:val="00D04235"/>
    <w:rsid w:val="00D04376"/>
    <w:rsid w:val="00D04558"/>
    <w:rsid w:val="00D04866"/>
    <w:rsid w:val="00D04881"/>
    <w:rsid w:val="00D04AD3"/>
    <w:rsid w:val="00D04AF0"/>
    <w:rsid w:val="00D04B90"/>
    <w:rsid w:val="00D05060"/>
    <w:rsid w:val="00D05F7F"/>
    <w:rsid w:val="00D064F2"/>
    <w:rsid w:val="00D06578"/>
    <w:rsid w:val="00D06C69"/>
    <w:rsid w:val="00D06D6C"/>
    <w:rsid w:val="00D06E0B"/>
    <w:rsid w:val="00D0772D"/>
    <w:rsid w:val="00D07A60"/>
    <w:rsid w:val="00D07A96"/>
    <w:rsid w:val="00D07CFB"/>
    <w:rsid w:val="00D07FD0"/>
    <w:rsid w:val="00D1066C"/>
    <w:rsid w:val="00D10C84"/>
    <w:rsid w:val="00D10ED7"/>
    <w:rsid w:val="00D10FD5"/>
    <w:rsid w:val="00D11D56"/>
    <w:rsid w:val="00D12418"/>
    <w:rsid w:val="00D12EA5"/>
    <w:rsid w:val="00D13BD2"/>
    <w:rsid w:val="00D1410B"/>
    <w:rsid w:val="00D14E63"/>
    <w:rsid w:val="00D1510D"/>
    <w:rsid w:val="00D16997"/>
    <w:rsid w:val="00D1739F"/>
    <w:rsid w:val="00D179CE"/>
    <w:rsid w:val="00D20097"/>
    <w:rsid w:val="00D20303"/>
    <w:rsid w:val="00D209F8"/>
    <w:rsid w:val="00D20A62"/>
    <w:rsid w:val="00D212A2"/>
    <w:rsid w:val="00D21A51"/>
    <w:rsid w:val="00D21AAF"/>
    <w:rsid w:val="00D2200B"/>
    <w:rsid w:val="00D2216C"/>
    <w:rsid w:val="00D223E8"/>
    <w:rsid w:val="00D227FD"/>
    <w:rsid w:val="00D22977"/>
    <w:rsid w:val="00D235EA"/>
    <w:rsid w:val="00D23715"/>
    <w:rsid w:val="00D24022"/>
    <w:rsid w:val="00D242B9"/>
    <w:rsid w:val="00D24814"/>
    <w:rsid w:val="00D24B25"/>
    <w:rsid w:val="00D24BAA"/>
    <w:rsid w:val="00D25794"/>
    <w:rsid w:val="00D2601A"/>
    <w:rsid w:val="00D262AA"/>
    <w:rsid w:val="00D27205"/>
    <w:rsid w:val="00D27AE6"/>
    <w:rsid w:val="00D300B5"/>
    <w:rsid w:val="00D306CF"/>
    <w:rsid w:val="00D30C07"/>
    <w:rsid w:val="00D30FCB"/>
    <w:rsid w:val="00D31645"/>
    <w:rsid w:val="00D31725"/>
    <w:rsid w:val="00D31828"/>
    <w:rsid w:val="00D32940"/>
    <w:rsid w:val="00D32DBB"/>
    <w:rsid w:val="00D33029"/>
    <w:rsid w:val="00D331B5"/>
    <w:rsid w:val="00D336A1"/>
    <w:rsid w:val="00D33905"/>
    <w:rsid w:val="00D339AD"/>
    <w:rsid w:val="00D33A5B"/>
    <w:rsid w:val="00D33DC3"/>
    <w:rsid w:val="00D33F12"/>
    <w:rsid w:val="00D340E7"/>
    <w:rsid w:val="00D3417C"/>
    <w:rsid w:val="00D34230"/>
    <w:rsid w:val="00D34C46"/>
    <w:rsid w:val="00D34EB9"/>
    <w:rsid w:val="00D34F11"/>
    <w:rsid w:val="00D35A33"/>
    <w:rsid w:val="00D35A77"/>
    <w:rsid w:val="00D36436"/>
    <w:rsid w:val="00D364BE"/>
    <w:rsid w:val="00D368CE"/>
    <w:rsid w:val="00D36F80"/>
    <w:rsid w:val="00D3707E"/>
    <w:rsid w:val="00D37097"/>
    <w:rsid w:val="00D37704"/>
    <w:rsid w:val="00D37F44"/>
    <w:rsid w:val="00D4112D"/>
    <w:rsid w:val="00D4118C"/>
    <w:rsid w:val="00D411C5"/>
    <w:rsid w:val="00D41596"/>
    <w:rsid w:val="00D41725"/>
    <w:rsid w:val="00D41B5D"/>
    <w:rsid w:val="00D42499"/>
    <w:rsid w:val="00D4295D"/>
    <w:rsid w:val="00D42D78"/>
    <w:rsid w:val="00D43575"/>
    <w:rsid w:val="00D44095"/>
    <w:rsid w:val="00D4425D"/>
    <w:rsid w:val="00D44347"/>
    <w:rsid w:val="00D446A7"/>
    <w:rsid w:val="00D454D3"/>
    <w:rsid w:val="00D4590A"/>
    <w:rsid w:val="00D45932"/>
    <w:rsid w:val="00D4612B"/>
    <w:rsid w:val="00D46793"/>
    <w:rsid w:val="00D46850"/>
    <w:rsid w:val="00D468C4"/>
    <w:rsid w:val="00D46F79"/>
    <w:rsid w:val="00D47C0A"/>
    <w:rsid w:val="00D47CC0"/>
    <w:rsid w:val="00D50010"/>
    <w:rsid w:val="00D50198"/>
    <w:rsid w:val="00D50965"/>
    <w:rsid w:val="00D50C60"/>
    <w:rsid w:val="00D5179A"/>
    <w:rsid w:val="00D517D3"/>
    <w:rsid w:val="00D51F46"/>
    <w:rsid w:val="00D531F8"/>
    <w:rsid w:val="00D5338A"/>
    <w:rsid w:val="00D539AF"/>
    <w:rsid w:val="00D53C7B"/>
    <w:rsid w:val="00D53E37"/>
    <w:rsid w:val="00D5447D"/>
    <w:rsid w:val="00D54CBA"/>
    <w:rsid w:val="00D55031"/>
    <w:rsid w:val="00D55E69"/>
    <w:rsid w:val="00D5631D"/>
    <w:rsid w:val="00D56B8D"/>
    <w:rsid w:val="00D5709A"/>
    <w:rsid w:val="00D604D3"/>
    <w:rsid w:val="00D607AF"/>
    <w:rsid w:val="00D60CA3"/>
    <w:rsid w:val="00D61045"/>
    <w:rsid w:val="00D61813"/>
    <w:rsid w:val="00D61980"/>
    <w:rsid w:val="00D62CD9"/>
    <w:rsid w:val="00D63451"/>
    <w:rsid w:val="00D63752"/>
    <w:rsid w:val="00D63772"/>
    <w:rsid w:val="00D63830"/>
    <w:rsid w:val="00D638A7"/>
    <w:rsid w:val="00D63DB1"/>
    <w:rsid w:val="00D63EA2"/>
    <w:rsid w:val="00D645FE"/>
    <w:rsid w:val="00D6497A"/>
    <w:rsid w:val="00D64CD6"/>
    <w:rsid w:val="00D65376"/>
    <w:rsid w:val="00D65547"/>
    <w:rsid w:val="00D65C9D"/>
    <w:rsid w:val="00D65F2C"/>
    <w:rsid w:val="00D6649A"/>
    <w:rsid w:val="00D664A0"/>
    <w:rsid w:val="00D6690A"/>
    <w:rsid w:val="00D66D37"/>
    <w:rsid w:val="00D67A23"/>
    <w:rsid w:val="00D70EE3"/>
    <w:rsid w:val="00D70EEC"/>
    <w:rsid w:val="00D71098"/>
    <w:rsid w:val="00D719D5"/>
    <w:rsid w:val="00D72422"/>
    <w:rsid w:val="00D725B2"/>
    <w:rsid w:val="00D728F9"/>
    <w:rsid w:val="00D729F5"/>
    <w:rsid w:val="00D72B34"/>
    <w:rsid w:val="00D7363F"/>
    <w:rsid w:val="00D751AD"/>
    <w:rsid w:val="00D754B1"/>
    <w:rsid w:val="00D75C35"/>
    <w:rsid w:val="00D761A9"/>
    <w:rsid w:val="00D764FE"/>
    <w:rsid w:val="00D76533"/>
    <w:rsid w:val="00D76DD5"/>
    <w:rsid w:val="00D76F54"/>
    <w:rsid w:val="00D77504"/>
    <w:rsid w:val="00D77609"/>
    <w:rsid w:val="00D77E2A"/>
    <w:rsid w:val="00D805B2"/>
    <w:rsid w:val="00D8061C"/>
    <w:rsid w:val="00D8064D"/>
    <w:rsid w:val="00D80B17"/>
    <w:rsid w:val="00D80C40"/>
    <w:rsid w:val="00D80FC5"/>
    <w:rsid w:val="00D8103D"/>
    <w:rsid w:val="00D811C6"/>
    <w:rsid w:val="00D81653"/>
    <w:rsid w:val="00D81E37"/>
    <w:rsid w:val="00D81F04"/>
    <w:rsid w:val="00D823D3"/>
    <w:rsid w:val="00D8269B"/>
    <w:rsid w:val="00D82928"/>
    <w:rsid w:val="00D82EB6"/>
    <w:rsid w:val="00D83EA3"/>
    <w:rsid w:val="00D84134"/>
    <w:rsid w:val="00D842FB"/>
    <w:rsid w:val="00D844B9"/>
    <w:rsid w:val="00D84725"/>
    <w:rsid w:val="00D84765"/>
    <w:rsid w:val="00D848F7"/>
    <w:rsid w:val="00D84D5D"/>
    <w:rsid w:val="00D85015"/>
    <w:rsid w:val="00D85534"/>
    <w:rsid w:val="00D8559A"/>
    <w:rsid w:val="00D85B3E"/>
    <w:rsid w:val="00D863AB"/>
    <w:rsid w:val="00D8648B"/>
    <w:rsid w:val="00D86BB4"/>
    <w:rsid w:val="00D86D41"/>
    <w:rsid w:val="00D86FFD"/>
    <w:rsid w:val="00D871E9"/>
    <w:rsid w:val="00D87417"/>
    <w:rsid w:val="00D87576"/>
    <w:rsid w:val="00D875BB"/>
    <w:rsid w:val="00D904FC"/>
    <w:rsid w:val="00D90540"/>
    <w:rsid w:val="00D9062A"/>
    <w:rsid w:val="00D90C51"/>
    <w:rsid w:val="00D911BF"/>
    <w:rsid w:val="00D91364"/>
    <w:rsid w:val="00D91762"/>
    <w:rsid w:val="00D920F1"/>
    <w:rsid w:val="00D92749"/>
    <w:rsid w:val="00D932A7"/>
    <w:rsid w:val="00D934D4"/>
    <w:rsid w:val="00D935FF"/>
    <w:rsid w:val="00D94357"/>
    <w:rsid w:val="00D94B68"/>
    <w:rsid w:val="00D9695A"/>
    <w:rsid w:val="00D97212"/>
    <w:rsid w:val="00D974D6"/>
    <w:rsid w:val="00D977DA"/>
    <w:rsid w:val="00D97D02"/>
    <w:rsid w:val="00DA019C"/>
    <w:rsid w:val="00DA0A83"/>
    <w:rsid w:val="00DA16A5"/>
    <w:rsid w:val="00DA1A41"/>
    <w:rsid w:val="00DA1AE4"/>
    <w:rsid w:val="00DA2684"/>
    <w:rsid w:val="00DA2963"/>
    <w:rsid w:val="00DA2E88"/>
    <w:rsid w:val="00DA334D"/>
    <w:rsid w:val="00DA3983"/>
    <w:rsid w:val="00DA3EF7"/>
    <w:rsid w:val="00DA44F0"/>
    <w:rsid w:val="00DA4CC9"/>
    <w:rsid w:val="00DA4E79"/>
    <w:rsid w:val="00DA4EFC"/>
    <w:rsid w:val="00DA587F"/>
    <w:rsid w:val="00DA5C2E"/>
    <w:rsid w:val="00DA5F0A"/>
    <w:rsid w:val="00DA6865"/>
    <w:rsid w:val="00DA755B"/>
    <w:rsid w:val="00DA7F0E"/>
    <w:rsid w:val="00DB0607"/>
    <w:rsid w:val="00DB08AA"/>
    <w:rsid w:val="00DB09A0"/>
    <w:rsid w:val="00DB09CF"/>
    <w:rsid w:val="00DB0DBB"/>
    <w:rsid w:val="00DB0DFF"/>
    <w:rsid w:val="00DB0F11"/>
    <w:rsid w:val="00DB18AB"/>
    <w:rsid w:val="00DB1E44"/>
    <w:rsid w:val="00DB209F"/>
    <w:rsid w:val="00DB2108"/>
    <w:rsid w:val="00DB2437"/>
    <w:rsid w:val="00DB28EF"/>
    <w:rsid w:val="00DB2BD3"/>
    <w:rsid w:val="00DB36E2"/>
    <w:rsid w:val="00DB3C9B"/>
    <w:rsid w:val="00DB3CE4"/>
    <w:rsid w:val="00DB3F85"/>
    <w:rsid w:val="00DB43B0"/>
    <w:rsid w:val="00DB4C2E"/>
    <w:rsid w:val="00DB50E2"/>
    <w:rsid w:val="00DB51A7"/>
    <w:rsid w:val="00DB599C"/>
    <w:rsid w:val="00DB6623"/>
    <w:rsid w:val="00DB6DB7"/>
    <w:rsid w:val="00DB72B0"/>
    <w:rsid w:val="00DB72D1"/>
    <w:rsid w:val="00DB77A9"/>
    <w:rsid w:val="00DB77EC"/>
    <w:rsid w:val="00DC0076"/>
    <w:rsid w:val="00DC0111"/>
    <w:rsid w:val="00DC050C"/>
    <w:rsid w:val="00DC0948"/>
    <w:rsid w:val="00DC0D66"/>
    <w:rsid w:val="00DC105A"/>
    <w:rsid w:val="00DC1EBF"/>
    <w:rsid w:val="00DC2930"/>
    <w:rsid w:val="00DC2D63"/>
    <w:rsid w:val="00DC40A2"/>
    <w:rsid w:val="00DC412C"/>
    <w:rsid w:val="00DC455C"/>
    <w:rsid w:val="00DC5C71"/>
    <w:rsid w:val="00DC5CBD"/>
    <w:rsid w:val="00DC5F13"/>
    <w:rsid w:val="00DC5F8B"/>
    <w:rsid w:val="00DC61CE"/>
    <w:rsid w:val="00DC644F"/>
    <w:rsid w:val="00DC659A"/>
    <w:rsid w:val="00DC6818"/>
    <w:rsid w:val="00DC6FDA"/>
    <w:rsid w:val="00DC76B8"/>
    <w:rsid w:val="00DC7718"/>
    <w:rsid w:val="00DC7A4B"/>
    <w:rsid w:val="00DC7BED"/>
    <w:rsid w:val="00DD0A52"/>
    <w:rsid w:val="00DD1251"/>
    <w:rsid w:val="00DD1520"/>
    <w:rsid w:val="00DD1CF3"/>
    <w:rsid w:val="00DD37EA"/>
    <w:rsid w:val="00DD4244"/>
    <w:rsid w:val="00DD42BC"/>
    <w:rsid w:val="00DD435A"/>
    <w:rsid w:val="00DD44B1"/>
    <w:rsid w:val="00DD56C0"/>
    <w:rsid w:val="00DD5B25"/>
    <w:rsid w:val="00DD5D59"/>
    <w:rsid w:val="00DD6147"/>
    <w:rsid w:val="00DD65AB"/>
    <w:rsid w:val="00DD65ED"/>
    <w:rsid w:val="00DD6A32"/>
    <w:rsid w:val="00DD6F0B"/>
    <w:rsid w:val="00DD7445"/>
    <w:rsid w:val="00DD79DD"/>
    <w:rsid w:val="00DE03C8"/>
    <w:rsid w:val="00DE05A7"/>
    <w:rsid w:val="00DE0658"/>
    <w:rsid w:val="00DE068B"/>
    <w:rsid w:val="00DE0BFF"/>
    <w:rsid w:val="00DE0EDA"/>
    <w:rsid w:val="00DE0F69"/>
    <w:rsid w:val="00DE102F"/>
    <w:rsid w:val="00DE13BF"/>
    <w:rsid w:val="00DE158B"/>
    <w:rsid w:val="00DE161B"/>
    <w:rsid w:val="00DE2753"/>
    <w:rsid w:val="00DE2F2F"/>
    <w:rsid w:val="00DE35B2"/>
    <w:rsid w:val="00DE3814"/>
    <w:rsid w:val="00DE4185"/>
    <w:rsid w:val="00DE421A"/>
    <w:rsid w:val="00DE4255"/>
    <w:rsid w:val="00DE46CF"/>
    <w:rsid w:val="00DE473B"/>
    <w:rsid w:val="00DE4CF7"/>
    <w:rsid w:val="00DE5257"/>
    <w:rsid w:val="00DE538D"/>
    <w:rsid w:val="00DE5EAF"/>
    <w:rsid w:val="00DE5F77"/>
    <w:rsid w:val="00DE6116"/>
    <w:rsid w:val="00DE615F"/>
    <w:rsid w:val="00DE73ED"/>
    <w:rsid w:val="00DE7450"/>
    <w:rsid w:val="00DE74EF"/>
    <w:rsid w:val="00DE76CC"/>
    <w:rsid w:val="00DE77AA"/>
    <w:rsid w:val="00DE78CB"/>
    <w:rsid w:val="00DF1394"/>
    <w:rsid w:val="00DF169F"/>
    <w:rsid w:val="00DF1ACF"/>
    <w:rsid w:val="00DF20C1"/>
    <w:rsid w:val="00DF21D8"/>
    <w:rsid w:val="00DF288D"/>
    <w:rsid w:val="00DF2B9B"/>
    <w:rsid w:val="00DF34A1"/>
    <w:rsid w:val="00DF3C0D"/>
    <w:rsid w:val="00DF3D25"/>
    <w:rsid w:val="00DF410B"/>
    <w:rsid w:val="00DF4CC6"/>
    <w:rsid w:val="00DF4DAB"/>
    <w:rsid w:val="00DF536C"/>
    <w:rsid w:val="00DF5563"/>
    <w:rsid w:val="00DF584B"/>
    <w:rsid w:val="00DF5C1A"/>
    <w:rsid w:val="00DF639F"/>
    <w:rsid w:val="00DF6B36"/>
    <w:rsid w:val="00DF71AA"/>
    <w:rsid w:val="00E005CE"/>
    <w:rsid w:val="00E0068F"/>
    <w:rsid w:val="00E00BC9"/>
    <w:rsid w:val="00E0135F"/>
    <w:rsid w:val="00E0146D"/>
    <w:rsid w:val="00E0148D"/>
    <w:rsid w:val="00E01643"/>
    <w:rsid w:val="00E018FE"/>
    <w:rsid w:val="00E01C7C"/>
    <w:rsid w:val="00E01CED"/>
    <w:rsid w:val="00E01FB5"/>
    <w:rsid w:val="00E0201B"/>
    <w:rsid w:val="00E020FE"/>
    <w:rsid w:val="00E023BB"/>
    <w:rsid w:val="00E025CA"/>
    <w:rsid w:val="00E02D51"/>
    <w:rsid w:val="00E02ECF"/>
    <w:rsid w:val="00E03257"/>
    <w:rsid w:val="00E03374"/>
    <w:rsid w:val="00E03BB2"/>
    <w:rsid w:val="00E04411"/>
    <w:rsid w:val="00E045F8"/>
    <w:rsid w:val="00E0507B"/>
    <w:rsid w:val="00E0640C"/>
    <w:rsid w:val="00E0693F"/>
    <w:rsid w:val="00E06B5A"/>
    <w:rsid w:val="00E06DBB"/>
    <w:rsid w:val="00E07049"/>
    <w:rsid w:val="00E0728E"/>
    <w:rsid w:val="00E0794E"/>
    <w:rsid w:val="00E104DC"/>
    <w:rsid w:val="00E10662"/>
    <w:rsid w:val="00E10BEF"/>
    <w:rsid w:val="00E10C69"/>
    <w:rsid w:val="00E1195C"/>
    <w:rsid w:val="00E11D89"/>
    <w:rsid w:val="00E11FFE"/>
    <w:rsid w:val="00E13199"/>
    <w:rsid w:val="00E144B3"/>
    <w:rsid w:val="00E14B5B"/>
    <w:rsid w:val="00E14CBA"/>
    <w:rsid w:val="00E15523"/>
    <w:rsid w:val="00E15963"/>
    <w:rsid w:val="00E166F5"/>
    <w:rsid w:val="00E16C96"/>
    <w:rsid w:val="00E16DCC"/>
    <w:rsid w:val="00E17D23"/>
    <w:rsid w:val="00E17DC4"/>
    <w:rsid w:val="00E202A0"/>
    <w:rsid w:val="00E206B5"/>
    <w:rsid w:val="00E2099A"/>
    <w:rsid w:val="00E20AE1"/>
    <w:rsid w:val="00E20B65"/>
    <w:rsid w:val="00E20E86"/>
    <w:rsid w:val="00E21947"/>
    <w:rsid w:val="00E22064"/>
    <w:rsid w:val="00E22599"/>
    <w:rsid w:val="00E22924"/>
    <w:rsid w:val="00E22A33"/>
    <w:rsid w:val="00E23103"/>
    <w:rsid w:val="00E232C9"/>
    <w:rsid w:val="00E24062"/>
    <w:rsid w:val="00E240C7"/>
    <w:rsid w:val="00E24428"/>
    <w:rsid w:val="00E24F73"/>
    <w:rsid w:val="00E255A6"/>
    <w:rsid w:val="00E25E23"/>
    <w:rsid w:val="00E25FDC"/>
    <w:rsid w:val="00E26B89"/>
    <w:rsid w:val="00E26BCB"/>
    <w:rsid w:val="00E26BDF"/>
    <w:rsid w:val="00E26C3E"/>
    <w:rsid w:val="00E26DD3"/>
    <w:rsid w:val="00E272AE"/>
    <w:rsid w:val="00E27390"/>
    <w:rsid w:val="00E279B5"/>
    <w:rsid w:val="00E27A87"/>
    <w:rsid w:val="00E30398"/>
    <w:rsid w:val="00E30CFE"/>
    <w:rsid w:val="00E30E64"/>
    <w:rsid w:val="00E31157"/>
    <w:rsid w:val="00E31F7B"/>
    <w:rsid w:val="00E3213F"/>
    <w:rsid w:val="00E321F0"/>
    <w:rsid w:val="00E322B8"/>
    <w:rsid w:val="00E323A2"/>
    <w:rsid w:val="00E32556"/>
    <w:rsid w:val="00E3263B"/>
    <w:rsid w:val="00E3281A"/>
    <w:rsid w:val="00E3299E"/>
    <w:rsid w:val="00E3436A"/>
    <w:rsid w:val="00E349BA"/>
    <w:rsid w:val="00E35A72"/>
    <w:rsid w:val="00E35D4D"/>
    <w:rsid w:val="00E3681D"/>
    <w:rsid w:val="00E36B14"/>
    <w:rsid w:val="00E36F15"/>
    <w:rsid w:val="00E3716A"/>
    <w:rsid w:val="00E3726D"/>
    <w:rsid w:val="00E3761C"/>
    <w:rsid w:val="00E4051B"/>
    <w:rsid w:val="00E4074A"/>
    <w:rsid w:val="00E4135E"/>
    <w:rsid w:val="00E41440"/>
    <w:rsid w:val="00E41E31"/>
    <w:rsid w:val="00E4238C"/>
    <w:rsid w:val="00E42981"/>
    <w:rsid w:val="00E436C2"/>
    <w:rsid w:val="00E43AA4"/>
    <w:rsid w:val="00E45246"/>
    <w:rsid w:val="00E455E5"/>
    <w:rsid w:val="00E4568B"/>
    <w:rsid w:val="00E45693"/>
    <w:rsid w:val="00E45A82"/>
    <w:rsid w:val="00E45AB1"/>
    <w:rsid w:val="00E45F36"/>
    <w:rsid w:val="00E46381"/>
    <w:rsid w:val="00E464CA"/>
    <w:rsid w:val="00E46856"/>
    <w:rsid w:val="00E46AE6"/>
    <w:rsid w:val="00E46BF6"/>
    <w:rsid w:val="00E4703D"/>
    <w:rsid w:val="00E473BE"/>
    <w:rsid w:val="00E5054F"/>
    <w:rsid w:val="00E50EDD"/>
    <w:rsid w:val="00E512BF"/>
    <w:rsid w:val="00E5234D"/>
    <w:rsid w:val="00E525E4"/>
    <w:rsid w:val="00E52C20"/>
    <w:rsid w:val="00E532AE"/>
    <w:rsid w:val="00E533C8"/>
    <w:rsid w:val="00E534D3"/>
    <w:rsid w:val="00E53523"/>
    <w:rsid w:val="00E53A90"/>
    <w:rsid w:val="00E53E78"/>
    <w:rsid w:val="00E54AED"/>
    <w:rsid w:val="00E54C28"/>
    <w:rsid w:val="00E5548D"/>
    <w:rsid w:val="00E55C1F"/>
    <w:rsid w:val="00E561A4"/>
    <w:rsid w:val="00E56DA5"/>
    <w:rsid w:val="00E56E65"/>
    <w:rsid w:val="00E57415"/>
    <w:rsid w:val="00E578CE"/>
    <w:rsid w:val="00E57D3F"/>
    <w:rsid w:val="00E604A1"/>
    <w:rsid w:val="00E606CC"/>
    <w:rsid w:val="00E607E0"/>
    <w:rsid w:val="00E62381"/>
    <w:rsid w:val="00E62BF3"/>
    <w:rsid w:val="00E62C3C"/>
    <w:rsid w:val="00E62C64"/>
    <w:rsid w:val="00E632CD"/>
    <w:rsid w:val="00E63968"/>
    <w:rsid w:val="00E64140"/>
    <w:rsid w:val="00E64CB1"/>
    <w:rsid w:val="00E64DF7"/>
    <w:rsid w:val="00E6518F"/>
    <w:rsid w:val="00E65301"/>
    <w:rsid w:val="00E65922"/>
    <w:rsid w:val="00E6598A"/>
    <w:rsid w:val="00E66196"/>
    <w:rsid w:val="00E66BB6"/>
    <w:rsid w:val="00E66EAE"/>
    <w:rsid w:val="00E67B0B"/>
    <w:rsid w:val="00E706E8"/>
    <w:rsid w:val="00E70936"/>
    <w:rsid w:val="00E70D0D"/>
    <w:rsid w:val="00E70E72"/>
    <w:rsid w:val="00E71835"/>
    <w:rsid w:val="00E71E7C"/>
    <w:rsid w:val="00E71F39"/>
    <w:rsid w:val="00E72642"/>
    <w:rsid w:val="00E72703"/>
    <w:rsid w:val="00E72737"/>
    <w:rsid w:val="00E7331B"/>
    <w:rsid w:val="00E735F8"/>
    <w:rsid w:val="00E73E60"/>
    <w:rsid w:val="00E74D4C"/>
    <w:rsid w:val="00E74E74"/>
    <w:rsid w:val="00E74FCD"/>
    <w:rsid w:val="00E751CC"/>
    <w:rsid w:val="00E75977"/>
    <w:rsid w:val="00E75A53"/>
    <w:rsid w:val="00E75EC0"/>
    <w:rsid w:val="00E76273"/>
    <w:rsid w:val="00E76FE0"/>
    <w:rsid w:val="00E7763A"/>
    <w:rsid w:val="00E778A4"/>
    <w:rsid w:val="00E77C32"/>
    <w:rsid w:val="00E77E4F"/>
    <w:rsid w:val="00E80324"/>
    <w:rsid w:val="00E8042B"/>
    <w:rsid w:val="00E8044A"/>
    <w:rsid w:val="00E8045E"/>
    <w:rsid w:val="00E807B6"/>
    <w:rsid w:val="00E80E84"/>
    <w:rsid w:val="00E81487"/>
    <w:rsid w:val="00E81D04"/>
    <w:rsid w:val="00E8297A"/>
    <w:rsid w:val="00E83028"/>
    <w:rsid w:val="00E834B9"/>
    <w:rsid w:val="00E83772"/>
    <w:rsid w:val="00E839A5"/>
    <w:rsid w:val="00E844A2"/>
    <w:rsid w:val="00E845EF"/>
    <w:rsid w:val="00E8474F"/>
    <w:rsid w:val="00E84CD0"/>
    <w:rsid w:val="00E84F67"/>
    <w:rsid w:val="00E8529D"/>
    <w:rsid w:val="00E85C42"/>
    <w:rsid w:val="00E85EFB"/>
    <w:rsid w:val="00E8679E"/>
    <w:rsid w:val="00E86D79"/>
    <w:rsid w:val="00E87241"/>
    <w:rsid w:val="00E873B2"/>
    <w:rsid w:val="00E875C5"/>
    <w:rsid w:val="00E87E02"/>
    <w:rsid w:val="00E87EC3"/>
    <w:rsid w:val="00E90296"/>
    <w:rsid w:val="00E903B7"/>
    <w:rsid w:val="00E90D83"/>
    <w:rsid w:val="00E9152F"/>
    <w:rsid w:val="00E91D0C"/>
    <w:rsid w:val="00E9242E"/>
    <w:rsid w:val="00E928CB"/>
    <w:rsid w:val="00E92938"/>
    <w:rsid w:val="00E9326A"/>
    <w:rsid w:val="00E93306"/>
    <w:rsid w:val="00E9455D"/>
    <w:rsid w:val="00E949FD"/>
    <w:rsid w:val="00E94E5C"/>
    <w:rsid w:val="00E95A23"/>
    <w:rsid w:val="00E9772D"/>
    <w:rsid w:val="00E97B40"/>
    <w:rsid w:val="00EA05BD"/>
    <w:rsid w:val="00EA0828"/>
    <w:rsid w:val="00EA0E6A"/>
    <w:rsid w:val="00EA13A1"/>
    <w:rsid w:val="00EA18E7"/>
    <w:rsid w:val="00EA1940"/>
    <w:rsid w:val="00EA19FB"/>
    <w:rsid w:val="00EA1AD6"/>
    <w:rsid w:val="00EA26A6"/>
    <w:rsid w:val="00EA4223"/>
    <w:rsid w:val="00EA46E7"/>
    <w:rsid w:val="00EA5578"/>
    <w:rsid w:val="00EA56A0"/>
    <w:rsid w:val="00EA59B2"/>
    <w:rsid w:val="00EA5AC7"/>
    <w:rsid w:val="00EA6656"/>
    <w:rsid w:val="00EA6904"/>
    <w:rsid w:val="00EA6B53"/>
    <w:rsid w:val="00EA6B5B"/>
    <w:rsid w:val="00EA6FCE"/>
    <w:rsid w:val="00EB0C55"/>
    <w:rsid w:val="00EB0E68"/>
    <w:rsid w:val="00EB112E"/>
    <w:rsid w:val="00EB1192"/>
    <w:rsid w:val="00EB1A07"/>
    <w:rsid w:val="00EB1D9C"/>
    <w:rsid w:val="00EB1F0B"/>
    <w:rsid w:val="00EB2422"/>
    <w:rsid w:val="00EB25EE"/>
    <w:rsid w:val="00EB29E8"/>
    <w:rsid w:val="00EB41E7"/>
    <w:rsid w:val="00EB45F9"/>
    <w:rsid w:val="00EB462F"/>
    <w:rsid w:val="00EB47E5"/>
    <w:rsid w:val="00EB487F"/>
    <w:rsid w:val="00EB4AF5"/>
    <w:rsid w:val="00EB4DF2"/>
    <w:rsid w:val="00EB53B3"/>
    <w:rsid w:val="00EB54CB"/>
    <w:rsid w:val="00EB580A"/>
    <w:rsid w:val="00EB581A"/>
    <w:rsid w:val="00EB5E10"/>
    <w:rsid w:val="00EB5F08"/>
    <w:rsid w:val="00EB623F"/>
    <w:rsid w:val="00EB7095"/>
    <w:rsid w:val="00EB70BB"/>
    <w:rsid w:val="00EB7470"/>
    <w:rsid w:val="00EB7CCF"/>
    <w:rsid w:val="00EB7D87"/>
    <w:rsid w:val="00EC0047"/>
    <w:rsid w:val="00EC07B4"/>
    <w:rsid w:val="00EC354D"/>
    <w:rsid w:val="00EC4094"/>
    <w:rsid w:val="00EC4519"/>
    <w:rsid w:val="00EC4710"/>
    <w:rsid w:val="00EC4C7E"/>
    <w:rsid w:val="00EC4EC9"/>
    <w:rsid w:val="00EC5ED7"/>
    <w:rsid w:val="00EC6097"/>
    <w:rsid w:val="00EC647E"/>
    <w:rsid w:val="00EC677F"/>
    <w:rsid w:val="00EC6878"/>
    <w:rsid w:val="00EC6C29"/>
    <w:rsid w:val="00EC6C64"/>
    <w:rsid w:val="00EC6DA3"/>
    <w:rsid w:val="00EC797E"/>
    <w:rsid w:val="00EC79C8"/>
    <w:rsid w:val="00EC7AA0"/>
    <w:rsid w:val="00EC7DDE"/>
    <w:rsid w:val="00EC7E29"/>
    <w:rsid w:val="00EC7EE1"/>
    <w:rsid w:val="00ED08F7"/>
    <w:rsid w:val="00ED0BCF"/>
    <w:rsid w:val="00ED10C3"/>
    <w:rsid w:val="00ED12A8"/>
    <w:rsid w:val="00ED1E5A"/>
    <w:rsid w:val="00ED1E61"/>
    <w:rsid w:val="00ED2084"/>
    <w:rsid w:val="00ED234D"/>
    <w:rsid w:val="00ED2CBE"/>
    <w:rsid w:val="00ED34FC"/>
    <w:rsid w:val="00ED358E"/>
    <w:rsid w:val="00ED3953"/>
    <w:rsid w:val="00ED39AC"/>
    <w:rsid w:val="00ED3FBB"/>
    <w:rsid w:val="00ED705F"/>
    <w:rsid w:val="00ED79E0"/>
    <w:rsid w:val="00ED7C47"/>
    <w:rsid w:val="00ED7D16"/>
    <w:rsid w:val="00ED7FBF"/>
    <w:rsid w:val="00EE0DB9"/>
    <w:rsid w:val="00EE102B"/>
    <w:rsid w:val="00EE12D2"/>
    <w:rsid w:val="00EE1AF9"/>
    <w:rsid w:val="00EE1C7F"/>
    <w:rsid w:val="00EE1FC7"/>
    <w:rsid w:val="00EE219E"/>
    <w:rsid w:val="00EE2417"/>
    <w:rsid w:val="00EE256A"/>
    <w:rsid w:val="00EE2789"/>
    <w:rsid w:val="00EE2979"/>
    <w:rsid w:val="00EE3F4D"/>
    <w:rsid w:val="00EE3F64"/>
    <w:rsid w:val="00EE4640"/>
    <w:rsid w:val="00EE4835"/>
    <w:rsid w:val="00EE4B2E"/>
    <w:rsid w:val="00EE5018"/>
    <w:rsid w:val="00EE56CC"/>
    <w:rsid w:val="00EE61F8"/>
    <w:rsid w:val="00EE65D7"/>
    <w:rsid w:val="00EE6C64"/>
    <w:rsid w:val="00EE793E"/>
    <w:rsid w:val="00EE79CB"/>
    <w:rsid w:val="00EF0BEA"/>
    <w:rsid w:val="00EF0C75"/>
    <w:rsid w:val="00EF1CA2"/>
    <w:rsid w:val="00EF1D4B"/>
    <w:rsid w:val="00EF24E5"/>
    <w:rsid w:val="00EF2A58"/>
    <w:rsid w:val="00EF2CDD"/>
    <w:rsid w:val="00EF2F50"/>
    <w:rsid w:val="00EF2F8F"/>
    <w:rsid w:val="00EF30C4"/>
    <w:rsid w:val="00EF32AF"/>
    <w:rsid w:val="00EF342F"/>
    <w:rsid w:val="00EF3683"/>
    <w:rsid w:val="00EF368C"/>
    <w:rsid w:val="00EF3CFE"/>
    <w:rsid w:val="00EF44F7"/>
    <w:rsid w:val="00EF4590"/>
    <w:rsid w:val="00EF5536"/>
    <w:rsid w:val="00EF571D"/>
    <w:rsid w:val="00EF58D7"/>
    <w:rsid w:val="00EF5935"/>
    <w:rsid w:val="00EF5C81"/>
    <w:rsid w:val="00EF612D"/>
    <w:rsid w:val="00EF61B0"/>
    <w:rsid w:val="00EF643E"/>
    <w:rsid w:val="00EF64D8"/>
    <w:rsid w:val="00EF6AD6"/>
    <w:rsid w:val="00EF6E48"/>
    <w:rsid w:val="00EF6F42"/>
    <w:rsid w:val="00EF6F87"/>
    <w:rsid w:val="00EF72EC"/>
    <w:rsid w:val="00EF742E"/>
    <w:rsid w:val="00EF7600"/>
    <w:rsid w:val="00EF7785"/>
    <w:rsid w:val="00EF78E4"/>
    <w:rsid w:val="00EF79D3"/>
    <w:rsid w:val="00F002ED"/>
    <w:rsid w:val="00F00D09"/>
    <w:rsid w:val="00F01060"/>
    <w:rsid w:val="00F01221"/>
    <w:rsid w:val="00F01859"/>
    <w:rsid w:val="00F01916"/>
    <w:rsid w:val="00F01ADD"/>
    <w:rsid w:val="00F01B19"/>
    <w:rsid w:val="00F01E72"/>
    <w:rsid w:val="00F026FD"/>
    <w:rsid w:val="00F030A1"/>
    <w:rsid w:val="00F030DA"/>
    <w:rsid w:val="00F03C87"/>
    <w:rsid w:val="00F03DBC"/>
    <w:rsid w:val="00F04163"/>
    <w:rsid w:val="00F04312"/>
    <w:rsid w:val="00F0449A"/>
    <w:rsid w:val="00F04BE4"/>
    <w:rsid w:val="00F0573B"/>
    <w:rsid w:val="00F059A9"/>
    <w:rsid w:val="00F065CE"/>
    <w:rsid w:val="00F07339"/>
    <w:rsid w:val="00F105FF"/>
    <w:rsid w:val="00F1095D"/>
    <w:rsid w:val="00F11469"/>
    <w:rsid w:val="00F116C7"/>
    <w:rsid w:val="00F117C6"/>
    <w:rsid w:val="00F120B8"/>
    <w:rsid w:val="00F12547"/>
    <w:rsid w:val="00F12815"/>
    <w:rsid w:val="00F1293E"/>
    <w:rsid w:val="00F12F07"/>
    <w:rsid w:val="00F1372E"/>
    <w:rsid w:val="00F1378E"/>
    <w:rsid w:val="00F13838"/>
    <w:rsid w:val="00F13947"/>
    <w:rsid w:val="00F151F5"/>
    <w:rsid w:val="00F15AB1"/>
    <w:rsid w:val="00F15DBE"/>
    <w:rsid w:val="00F16A80"/>
    <w:rsid w:val="00F16CA2"/>
    <w:rsid w:val="00F16DFB"/>
    <w:rsid w:val="00F1733F"/>
    <w:rsid w:val="00F17D29"/>
    <w:rsid w:val="00F204D4"/>
    <w:rsid w:val="00F20BDC"/>
    <w:rsid w:val="00F21865"/>
    <w:rsid w:val="00F22478"/>
    <w:rsid w:val="00F23828"/>
    <w:rsid w:val="00F23A3C"/>
    <w:rsid w:val="00F24400"/>
    <w:rsid w:val="00F24536"/>
    <w:rsid w:val="00F24BDF"/>
    <w:rsid w:val="00F25484"/>
    <w:rsid w:val="00F25601"/>
    <w:rsid w:val="00F25F28"/>
    <w:rsid w:val="00F26598"/>
    <w:rsid w:val="00F26723"/>
    <w:rsid w:val="00F2711D"/>
    <w:rsid w:val="00F273E8"/>
    <w:rsid w:val="00F27B36"/>
    <w:rsid w:val="00F27C08"/>
    <w:rsid w:val="00F27E40"/>
    <w:rsid w:val="00F27FD5"/>
    <w:rsid w:val="00F30395"/>
    <w:rsid w:val="00F30767"/>
    <w:rsid w:val="00F310DB"/>
    <w:rsid w:val="00F316E2"/>
    <w:rsid w:val="00F3191E"/>
    <w:rsid w:val="00F31D11"/>
    <w:rsid w:val="00F32490"/>
    <w:rsid w:val="00F32564"/>
    <w:rsid w:val="00F3310D"/>
    <w:rsid w:val="00F33780"/>
    <w:rsid w:val="00F339CA"/>
    <w:rsid w:val="00F342AA"/>
    <w:rsid w:val="00F34CDA"/>
    <w:rsid w:val="00F35171"/>
    <w:rsid w:val="00F3525C"/>
    <w:rsid w:val="00F35550"/>
    <w:rsid w:val="00F36617"/>
    <w:rsid w:val="00F36702"/>
    <w:rsid w:val="00F36F12"/>
    <w:rsid w:val="00F36F57"/>
    <w:rsid w:val="00F3733A"/>
    <w:rsid w:val="00F37BD3"/>
    <w:rsid w:val="00F37CBF"/>
    <w:rsid w:val="00F37DD8"/>
    <w:rsid w:val="00F37ECE"/>
    <w:rsid w:val="00F4042F"/>
    <w:rsid w:val="00F40546"/>
    <w:rsid w:val="00F40B0E"/>
    <w:rsid w:val="00F414A8"/>
    <w:rsid w:val="00F4171F"/>
    <w:rsid w:val="00F41C7C"/>
    <w:rsid w:val="00F41D94"/>
    <w:rsid w:val="00F41E44"/>
    <w:rsid w:val="00F41E56"/>
    <w:rsid w:val="00F42BDE"/>
    <w:rsid w:val="00F42C60"/>
    <w:rsid w:val="00F430C1"/>
    <w:rsid w:val="00F43314"/>
    <w:rsid w:val="00F44151"/>
    <w:rsid w:val="00F441F5"/>
    <w:rsid w:val="00F442DF"/>
    <w:rsid w:val="00F445CE"/>
    <w:rsid w:val="00F446A0"/>
    <w:rsid w:val="00F449AF"/>
    <w:rsid w:val="00F44BFB"/>
    <w:rsid w:val="00F45019"/>
    <w:rsid w:val="00F4512A"/>
    <w:rsid w:val="00F453F5"/>
    <w:rsid w:val="00F45AC5"/>
    <w:rsid w:val="00F464FE"/>
    <w:rsid w:val="00F469B4"/>
    <w:rsid w:val="00F46CBC"/>
    <w:rsid w:val="00F46EAD"/>
    <w:rsid w:val="00F477F5"/>
    <w:rsid w:val="00F50068"/>
    <w:rsid w:val="00F5042B"/>
    <w:rsid w:val="00F511B5"/>
    <w:rsid w:val="00F5177B"/>
    <w:rsid w:val="00F51DB3"/>
    <w:rsid w:val="00F5220A"/>
    <w:rsid w:val="00F52478"/>
    <w:rsid w:val="00F526F6"/>
    <w:rsid w:val="00F52A16"/>
    <w:rsid w:val="00F52A50"/>
    <w:rsid w:val="00F52A5B"/>
    <w:rsid w:val="00F52FBB"/>
    <w:rsid w:val="00F53838"/>
    <w:rsid w:val="00F53871"/>
    <w:rsid w:val="00F541E5"/>
    <w:rsid w:val="00F54CBE"/>
    <w:rsid w:val="00F54DD9"/>
    <w:rsid w:val="00F5545F"/>
    <w:rsid w:val="00F55BE3"/>
    <w:rsid w:val="00F55F99"/>
    <w:rsid w:val="00F56505"/>
    <w:rsid w:val="00F56684"/>
    <w:rsid w:val="00F575DF"/>
    <w:rsid w:val="00F578BD"/>
    <w:rsid w:val="00F578C9"/>
    <w:rsid w:val="00F578FC"/>
    <w:rsid w:val="00F57AD8"/>
    <w:rsid w:val="00F57F72"/>
    <w:rsid w:val="00F60600"/>
    <w:rsid w:val="00F607E1"/>
    <w:rsid w:val="00F60B54"/>
    <w:rsid w:val="00F60B9B"/>
    <w:rsid w:val="00F60D06"/>
    <w:rsid w:val="00F612E3"/>
    <w:rsid w:val="00F61723"/>
    <w:rsid w:val="00F617A5"/>
    <w:rsid w:val="00F61875"/>
    <w:rsid w:val="00F6264C"/>
    <w:rsid w:val="00F62C7D"/>
    <w:rsid w:val="00F62E11"/>
    <w:rsid w:val="00F633C0"/>
    <w:rsid w:val="00F6450E"/>
    <w:rsid w:val="00F64B05"/>
    <w:rsid w:val="00F64F67"/>
    <w:rsid w:val="00F65029"/>
    <w:rsid w:val="00F661ED"/>
    <w:rsid w:val="00F668D3"/>
    <w:rsid w:val="00F66B20"/>
    <w:rsid w:val="00F66B71"/>
    <w:rsid w:val="00F675F9"/>
    <w:rsid w:val="00F67869"/>
    <w:rsid w:val="00F7022D"/>
    <w:rsid w:val="00F7024C"/>
    <w:rsid w:val="00F704EF"/>
    <w:rsid w:val="00F7080F"/>
    <w:rsid w:val="00F70A01"/>
    <w:rsid w:val="00F7161C"/>
    <w:rsid w:val="00F71A17"/>
    <w:rsid w:val="00F72689"/>
    <w:rsid w:val="00F72866"/>
    <w:rsid w:val="00F7319A"/>
    <w:rsid w:val="00F734EB"/>
    <w:rsid w:val="00F73A36"/>
    <w:rsid w:val="00F73B9A"/>
    <w:rsid w:val="00F73C76"/>
    <w:rsid w:val="00F73EDA"/>
    <w:rsid w:val="00F73FF0"/>
    <w:rsid w:val="00F74BAD"/>
    <w:rsid w:val="00F74D75"/>
    <w:rsid w:val="00F74FD4"/>
    <w:rsid w:val="00F7515C"/>
    <w:rsid w:val="00F76392"/>
    <w:rsid w:val="00F763C9"/>
    <w:rsid w:val="00F7666E"/>
    <w:rsid w:val="00F768B4"/>
    <w:rsid w:val="00F772E1"/>
    <w:rsid w:val="00F77645"/>
    <w:rsid w:val="00F80344"/>
    <w:rsid w:val="00F806D9"/>
    <w:rsid w:val="00F80887"/>
    <w:rsid w:val="00F80AA5"/>
    <w:rsid w:val="00F81088"/>
    <w:rsid w:val="00F816C9"/>
    <w:rsid w:val="00F81ED9"/>
    <w:rsid w:val="00F823B6"/>
    <w:rsid w:val="00F83541"/>
    <w:rsid w:val="00F842F7"/>
    <w:rsid w:val="00F84508"/>
    <w:rsid w:val="00F84FC8"/>
    <w:rsid w:val="00F85A55"/>
    <w:rsid w:val="00F863B6"/>
    <w:rsid w:val="00F8641C"/>
    <w:rsid w:val="00F86580"/>
    <w:rsid w:val="00F86ABE"/>
    <w:rsid w:val="00F87546"/>
    <w:rsid w:val="00F87975"/>
    <w:rsid w:val="00F87A23"/>
    <w:rsid w:val="00F9044A"/>
    <w:rsid w:val="00F9083D"/>
    <w:rsid w:val="00F91471"/>
    <w:rsid w:val="00F91ADF"/>
    <w:rsid w:val="00F927F8"/>
    <w:rsid w:val="00F937CB"/>
    <w:rsid w:val="00F938C1"/>
    <w:rsid w:val="00F93E54"/>
    <w:rsid w:val="00F9426D"/>
    <w:rsid w:val="00F944CC"/>
    <w:rsid w:val="00F949B3"/>
    <w:rsid w:val="00F94CC8"/>
    <w:rsid w:val="00F95F17"/>
    <w:rsid w:val="00F96185"/>
    <w:rsid w:val="00F96346"/>
    <w:rsid w:val="00F966A7"/>
    <w:rsid w:val="00F96DA5"/>
    <w:rsid w:val="00F97C15"/>
    <w:rsid w:val="00F97E15"/>
    <w:rsid w:val="00F97FF5"/>
    <w:rsid w:val="00FA029A"/>
    <w:rsid w:val="00FA02B0"/>
    <w:rsid w:val="00FA033E"/>
    <w:rsid w:val="00FA044C"/>
    <w:rsid w:val="00FA05EA"/>
    <w:rsid w:val="00FA0693"/>
    <w:rsid w:val="00FA0DA9"/>
    <w:rsid w:val="00FA0E68"/>
    <w:rsid w:val="00FA12BE"/>
    <w:rsid w:val="00FA151D"/>
    <w:rsid w:val="00FA151E"/>
    <w:rsid w:val="00FA1A09"/>
    <w:rsid w:val="00FA1F6E"/>
    <w:rsid w:val="00FA2C43"/>
    <w:rsid w:val="00FA3258"/>
    <w:rsid w:val="00FA3267"/>
    <w:rsid w:val="00FA3760"/>
    <w:rsid w:val="00FA39A3"/>
    <w:rsid w:val="00FA3A18"/>
    <w:rsid w:val="00FA3FFC"/>
    <w:rsid w:val="00FA493E"/>
    <w:rsid w:val="00FA4B0F"/>
    <w:rsid w:val="00FA5D62"/>
    <w:rsid w:val="00FA5F88"/>
    <w:rsid w:val="00FA652F"/>
    <w:rsid w:val="00FA6579"/>
    <w:rsid w:val="00FA6781"/>
    <w:rsid w:val="00FA7399"/>
    <w:rsid w:val="00FA77E6"/>
    <w:rsid w:val="00FA7A72"/>
    <w:rsid w:val="00FB0272"/>
    <w:rsid w:val="00FB0686"/>
    <w:rsid w:val="00FB07EA"/>
    <w:rsid w:val="00FB0AFB"/>
    <w:rsid w:val="00FB0DC1"/>
    <w:rsid w:val="00FB117B"/>
    <w:rsid w:val="00FB1382"/>
    <w:rsid w:val="00FB1688"/>
    <w:rsid w:val="00FB1AEE"/>
    <w:rsid w:val="00FB1C5C"/>
    <w:rsid w:val="00FB1FB8"/>
    <w:rsid w:val="00FB1FE7"/>
    <w:rsid w:val="00FB219C"/>
    <w:rsid w:val="00FB22D7"/>
    <w:rsid w:val="00FB29B6"/>
    <w:rsid w:val="00FB2FAD"/>
    <w:rsid w:val="00FB3522"/>
    <w:rsid w:val="00FB3A81"/>
    <w:rsid w:val="00FB3FAF"/>
    <w:rsid w:val="00FB402A"/>
    <w:rsid w:val="00FB420F"/>
    <w:rsid w:val="00FB488F"/>
    <w:rsid w:val="00FB5039"/>
    <w:rsid w:val="00FB516A"/>
    <w:rsid w:val="00FB5E84"/>
    <w:rsid w:val="00FB5F78"/>
    <w:rsid w:val="00FB63E4"/>
    <w:rsid w:val="00FB6867"/>
    <w:rsid w:val="00FB68A2"/>
    <w:rsid w:val="00FB6B63"/>
    <w:rsid w:val="00FB73D7"/>
    <w:rsid w:val="00FB74B4"/>
    <w:rsid w:val="00FC00E3"/>
    <w:rsid w:val="00FC0407"/>
    <w:rsid w:val="00FC0C62"/>
    <w:rsid w:val="00FC1B63"/>
    <w:rsid w:val="00FC2F8B"/>
    <w:rsid w:val="00FC372A"/>
    <w:rsid w:val="00FC3B85"/>
    <w:rsid w:val="00FC3D84"/>
    <w:rsid w:val="00FC4075"/>
    <w:rsid w:val="00FC4148"/>
    <w:rsid w:val="00FC429D"/>
    <w:rsid w:val="00FC4790"/>
    <w:rsid w:val="00FC48FF"/>
    <w:rsid w:val="00FC4A76"/>
    <w:rsid w:val="00FC4E3B"/>
    <w:rsid w:val="00FC4EA5"/>
    <w:rsid w:val="00FC5279"/>
    <w:rsid w:val="00FC57AB"/>
    <w:rsid w:val="00FC5960"/>
    <w:rsid w:val="00FC7686"/>
    <w:rsid w:val="00FC7885"/>
    <w:rsid w:val="00FD00C8"/>
    <w:rsid w:val="00FD010F"/>
    <w:rsid w:val="00FD0C54"/>
    <w:rsid w:val="00FD17F9"/>
    <w:rsid w:val="00FD1C3C"/>
    <w:rsid w:val="00FD1DD6"/>
    <w:rsid w:val="00FD25AF"/>
    <w:rsid w:val="00FD2639"/>
    <w:rsid w:val="00FD2845"/>
    <w:rsid w:val="00FD292F"/>
    <w:rsid w:val="00FD2B63"/>
    <w:rsid w:val="00FD2C17"/>
    <w:rsid w:val="00FD3031"/>
    <w:rsid w:val="00FD30F4"/>
    <w:rsid w:val="00FD3483"/>
    <w:rsid w:val="00FD43A6"/>
    <w:rsid w:val="00FD46F4"/>
    <w:rsid w:val="00FD4D02"/>
    <w:rsid w:val="00FD5295"/>
    <w:rsid w:val="00FD62F8"/>
    <w:rsid w:val="00FD6F19"/>
    <w:rsid w:val="00FD7932"/>
    <w:rsid w:val="00FD7939"/>
    <w:rsid w:val="00FD79AC"/>
    <w:rsid w:val="00FD79E3"/>
    <w:rsid w:val="00FD79F3"/>
    <w:rsid w:val="00FD7A59"/>
    <w:rsid w:val="00FD7A95"/>
    <w:rsid w:val="00FD7CFD"/>
    <w:rsid w:val="00FE0239"/>
    <w:rsid w:val="00FE0611"/>
    <w:rsid w:val="00FE08A2"/>
    <w:rsid w:val="00FE0C7C"/>
    <w:rsid w:val="00FE0FE2"/>
    <w:rsid w:val="00FE1350"/>
    <w:rsid w:val="00FE15F2"/>
    <w:rsid w:val="00FE185F"/>
    <w:rsid w:val="00FE1AF6"/>
    <w:rsid w:val="00FE2306"/>
    <w:rsid w:val="00FE29CE"/>
    <w:rsid w:val="00FE2CC4"/>
    <w:rsid w:val="00FE3474"/>
    <w:rsid w:val="00FE379B"/>
    <w:rsid w:val="00FE3B50"/>
    <w:rsid w:val="00FE4040"/>
    <w:rsid w:val="00FE41D6"/>
    <w:rsid w:val="00FE4B7B"/>
    <w:rsid w:val="00FE5B10"/>
    <w:rsid w:val="00FE7A23"/>
    <w:rsid w:val="00FE7D2C"/>
    <w:rsid w:val="00FE7FF8"/>
    <w:rsid w:val="00FF01D1"/>
    <w:rsid w:val="00FF02D2"/>
    <w:rsid w:val="00FF0343"/>
    <w:rsid w:val="00FF0878"/>
    <w:rsid w:val="00FF13E9"/>
    <w:rsid w:val="00FF1513"/>
    <w:rsid w:val="00FF1773"/>
    <w:rsid w:val="00FF1B89"/>
    <w:rsid w:val="00FF1F6C"/>
    <w:rsid w:val="00FF2367"/>
    <w:rsid w:val="00FF2A21"/>
    <w:rsid w:val="00FF2A43"/>
    <w:rsid w:val="00FF34A2"/>
    <w:rsid w:val="00FF3B0E"/>
    <w:rsid w:val="00FF4ABE"/>
    <w:rsid w:val="00FF4F71"/>
    <w:rsid w:val="00FF5416"/>
    <w:rsid w:val="00FF5611"/>
    <w:rsid w:val="00FF5718"/>
    <w:rsid w:val="00FF5E08"/>
    <w:rsid w:val="00FF63E2"/>
    <w:rsid w:val="00FF663C"/>
    <w:rsid w:val="00FF67DF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92797"/>
  <w15:docId w15:val="{8D19A0B1-C28D-4E9E-93DB-A251435F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825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qFormat/>
    <w:rsid w:val="006E68D1"/>
    <w:pPr>
      <w:tabs>
        <w:tab w:val="num" w:pos="0"/>
      </w:tabs>
      <w:suppressAutoHyphens/>
      <w:ind w:left="1296" w:hanging="1296"/>
      <w:outlineLvl w:val="6"/>
    </w:pPr>
    <w:rPr>
      <w:rFonts w:ascii="Calibri" w:hAnsi="Calibri"/>
      <w:b/>
      <w:smallCaps/>
      <w:color w:val="C0504D"/>
      <w:spacing w:val="10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56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561C"/>
  </w:style>
  <w:style w:type="paragraph" w:styleId="Rodap">
    <w:name w:val="footer"/>
    <w:basedOn w:val="Normal"/>
    <w:link w:val="RodapChar"/>
    <w:uiPriority w:val="99"/>
    <w:unhideWhenUsed/>
    <w:rsid w:val="00C256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561C"/>
  </w:style>
  <w:style w:type="paragraph" w:styleId="SemEspaamento">
    <w:name w:val="No Spacing"/>
    <w:uiPriority w:val="1"/>
    <w:qFormat/>
    <w:rsid w:val="00C25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itcar">
    <w:name w:val="citcar"/>
    <w:basedOn w:val="Normal"/>
    <w:uiPriority w:val="99"/>
    <w:rsid w:val="00C2561C"/>
    <w:pPr>
      <w:widowControl w:val="0"/>
      <w:spacing w:line="240" w:lineRule="exact"/>
      <w:ind w:left="1134" w:right="1134"/>
      <w:jc w:val="both"/>
    </w:pPr>
    <w:rPr>
      <w:sz w:val="26"/>
      <w:szCs w:val="26"/>
    </w:rPr>
  </w:style>
  <w:style w:type="character" w:styleId="RefernciaIntensa">
    <w:name w:val="Intense Reference"/>
    <w:basedOn w:val="Fontepargpadro"/>
    <w:uiPriority w:val="32"/>
    <w:qFormat/>
    <w:rsid w:val="00C2561C"/>
    <w:rPr>
      <w:b/>
      <w:bCs/>
      <w:smallCaps/>
      <w:color w:val="C0504D" w:themeColor="accent2"/>
      <w:spacing w:val="5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4B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B1A"/>
    <w:rPr>
      <w:rFonts w:ascii="Tahoma" w:hAnsi="Tahoma" w:cs="Tahoma"/>
      <w:sz w:val="16"/>
      <w:szCs w:val="16"/>
    </w:rPr>
  </w:style>
  <w:style w:type="paragraph" w:styleId="PargrafodaLista">
    <w:name w:val="List Paragraph"/>
    <w:aliases w:val="CITAÇÃO"/>
    <w:basedOn w:val="Normal"/>
    <w:link w:val="PargrafodaListaChar"/>
    <w:uiPriority w:val="34"/>
    <w:qFormat/>
    <w:rsid w:val="00574388"/>
    <w:pPr>
      <w:ind w:left="720"/>
      <w:contextualSpacing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D934D4"/>
    <w:pPr>
      <w:spacing w:before="100" w:beforeAutospacing="1" w:after="100" w:afterAutospacing="1"/>
    </w:pPr>
    <w:rPr>
      <w:rFonts w:eastAsiaTheme="minorEastAsi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8754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8754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8754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8754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8754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87546"/>
    <w:rPr>
      <w:vertAlign w:val="superscript"/>
    </w:rPr>
  </w:style>
  <w:style w:type="character" w:customStyle="1" w:styleId="Ttulo7Char">
    <w:name w:val="Título 7 Char"/>
    <w:basedOn w:val="Fontepargpadro"/>
    <w:link w:val="Ttulo7"/>
    <w:uiPriority w:val="99"/>
    <w:rsid w:val="006E68D1"/>
    <w:rPr>
      <w:rFonts w:ascii="Calibri" w:eastAsia="Times New Roman" w:hAnsi="Calibri" w:cs="Times New Roman"/>
      <w:b/>
      <w:smallCaps/>
      <w:color w:val="C0504D"/>
      <w:spacing w:val="10"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4456A5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208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085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08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8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085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825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BA47B3"/>
    <w:pPr>
      <w:keepLines/>
      <w:tabs>
        <w:tab w:val="left" w:pos="851"/>
      </w:tabs>
      <w:spacing w:before="120" w:after="120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BA47B3"/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uiPriority w:val="99"/>
    <w:locked/>
    <w:rsid w:val="00C7658B"/>
    <w:rPr>
      <w:rFonts w:ascii="Times New Roman" w:eastAsia="Times New Roman" w:hAnsi="Times New Roman" w:cs="Times New Roman"/>
      <w:lang w:eastAsia="pt-BR"/>
    </w:rPr>
  </w:style>
  <w:style w:type="character" w:styleId="nfase">
    <w:name w:val="Emphasis"/>
    <w:basedOn w:val="Fontepargpadro"/>
    <w:uiPriority w:val="20"/>
    <w:qFormat/>
    <w:rsid w:val="00D339AD"/>
    <w:rPr>
      <w:i/>
      <w:iCs/>
    </w:rPr>
  </w:style>
  <w:style w:type="character" w:customStyle="1" w:styleId="TtulodaFiguraChar">
    <w:name w:val="Título da Figura Char"/>
    <w:basedOn w:val="Fontepargpadro"/>
    <w:link w:val="TtulodaFigura"/>
    <w:uiPriority w:val="99"/>
    <w:locked/>
    <w:rsid w:val="00A05979"/>
    <w:rPr>
      <w:rFonts w:ascii="Arial" w:hAnsi="Arial"/>
      <w:caps/>
      <w:szCs w:val="24"/>
    </w:rPr>
  </w:style>
  <w:style w:type="paragraph" w:customStyle="1" w:styleId="TtulodaFigura">
    <w:name w:val="Título da Figura"/>
    <w:basedOn w:val="Normal"/>
    <w:next w:val="Normal"/>
    <w:link w:val="TtulodaFiguraChar"/>
    <w:uiPriority w:val="99"/>
    <w:rsid w:val="00A05979"/>
    <w:pPr>
      <w:keepNext/>
      <w:keepLines/>
      <w:numPr>
        <w:numId w:val="6"/>
      </w:numPr>
      <w:spacing w:before="240" w:after="240"/>
      <w:jc w:val="both"/>
    </w:pPr>
    <w:rPr>
      <w:rFonts w:ascii="Arial" w:hAnsi="Arial"/>
      <w:caps/>
    </w:rPr>
  </w:style>
  <w:style w:type="table" w:styleId="Tabelacomgrade">
    <w:name w:val="Table Grid"/>
    <w:basedOn w:val="Tabelanormal"/>
    <w:uiPriority w:val="59"/>
    <w:rsid w:val="00976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CITAÇÃO Char"/>
    <w:link w:val="PargrafodaLista"/>
    <w:uiPriority w:val="34"/>
    <w:locked/>
    <w:rsid w:val="00617AA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object">
    <w:name w:val="object"/>
    <w:basedOn w:val="Fontepargpadro"/>
    <w:rsid w:val="0058149E"/>
  </w:style>
  <w:style w:type="character" w:customStyle="1" w:styleId="Cardettulo2">
    <w:name w:val="Car de título 2"/>
    <w:basedOn w:val="Fontepargpadro"/>
    <w:link w:val="ttulo20"/>
    <w:uiPriority w:val="1"/>
    <w:qFormat/>
    <w:locked/>
    <w:rsid w:val="00BB4F72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ttulo20">
    <w:name w:val="título 2"/>
    <w:basedOn w:val="Normal"/>
    <w:next w:val="Normal"/>
    <w:link w:val="Cardettulo2"/>
    <w:uiPriority w:val="1"/>
    <w:qFormat/>
    <w:rsid w:val="00BB4F72"/>
    <w:pPr>
      <w:keepNext/>
      <w:keepLines/>
      <w:spacing w:before="240" w:line="33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customStyle="1" w:styleId="markedcontent">
    <w:name w:val="markedcontent"/>
    <w:basedOn w:val="Fontepargpadro"/>
    <w:rsid w:val="00B73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tb246\DFS-TELEBRAS\ARQUIVOS\2400-GFC\02%20-%20CONTABILIDADE\01%20-%20DEMONSTRA&#199;&#213;ES%20CONT&#193;BEIS\08%20-%20BASE%20RELAT&#211;RIO%20DE%20COMENT&#193;RIOS\2025\Trimestral\4T25\Gr&#225;fico%20Evolu&#231;&#227;o%20da%20Receita%20L&#237;quida_4T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tb246\DFS-TELEBRAS\ARQUIVOS\2400-GFC\02%20-%20CONTABILIDADE\01%20-%20DEMONSTRA&#199;&#213;ES%20CONT&#193;BEIS\08%20-%20BASE%20RELAT&#211;RIO%20DE%20COMENT&#193;RIOS\2025\Trimestral\4T25\Gr&#225;fico%20Evolu&#231;&#227;o%20da%20Receita%20L&#237;quida_4T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tb246\DFS-TELEBRAS\ARQUIVOS\2400-GFC\02%20-%20CONTABILIDADE\01%20-%20DEMONSTRA&#199;&#213;ES%20CONT&#193;BEIS\08%20-%20BASE%20RELAT&#211;RIO%20DE%20COMENT&#193;RIOS\2025\Trimestral\4T25\Gr&#225;ficos%20Gerais_4T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tb246\DFS-TELEBRAS\ARQUIVOS\2400-GFC\02%20-%20CONTABILIDADE\01%20-%20DEMONSTRA&#199;&#213;ES%20CONT&#193;BEIS\08%20-%20BASE%20RELAT&#211;RIO%20DE%20COMENT&#193;RIOS\2025\Trimestral\4T25\Gr&#225;fico%20Ebitda_4T2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tb246\DFS-TELEBRAS\ARQUIVOS\2400-GFC\02%20-%20CONTABILIDADE\01%20-%20DEMONSTRA&#199;&#213;ES%20CONT&#193;BEIS\08%20-%20BASE%20RELAT&#211;RIO%20DE%20COMENT&#193;RIOS\2025\Trimestral\4T25\Base%20das%20Informa&#231;&#245;es%20do%20Relat&#243;rio%20de%20Desempenho_4T2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tb246\DFS-TELEBRAS\ARQUIVOS\2400-GFC\02%20-%20CONTABILIDADE\01%20-%20DEMONSTRA&#199;&#213;ES%20CONT&#193;BEIS\08%20-%20BASE%20RELAT&#211;RIO%20DE%20COMENT&#193;RIOS\2025\Trimestral\4T25\Base%20das%20Informa&#231;&#245;es%20do%20Relat&#243;rio%20de%20Desempenho_4T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113243761996161E-2"/>
          <c:y val="0.189873417721519"/>
          <c:w val="0.95777351247600773"/>
          <c:h val="0.6710126582278480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FFFF"/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07C-4EDD-B2EF-1A5F68C57C21}"/>
              </c:ext>
            </c:extLst>
          </c:dPt>
          <c:dPt>
            <c:idx val="5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07C-4EDD-B2EF-1A5F68C57C21}"/>
              </c:ext>
            </c:extLst>
          </c:dPt>
          <c:dPt>
            <c:idx val="6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F07C-4EDD-B2EF-1A5F68C57C21}"/>
              </c:ext>
            </c:extLst>
          </c:dPt>
          <c:dPt>
            <c:idx val="7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F07C-4EDD-B2EF-1A5F68C57C21}"/>
              </c:ext>
            </c:extLst>
          </c:dPt>
          <c:dPt>
            <c:idx val="9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F07C-4EDD-B2EF-1A5F68C57C21}"/>
              </c:ext>
            </c:extLst>
          </c:dPt>
          <c:dLbls>
            <c:numFmt formatCode="_(* #,##0_);_(* \(#,##0\);_(* &quot;-     &quot;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'2T25MM'!$A$433:$A$442</c:f>
              <c:strCache>
                <c:ptCount val="10"/>
                <c:pt idx="0">
                  <c:v>1T24</c:v>
                </c:pt>
                <c:pt idx="1">
                  <c:v>2T24</c:v>
                </c:pt>
                <c:pt idx="2">
                  <c:v>3T24</c:v>
                </c:pt>
                <c:pt idx="3">
                  <c:v>4T24</c:v>
                </c:pt>
                <c:pt idx="4">
                  <c:v>1T25</c:v>
                </c:pt>
                <c:pt idx="5">
                  <c:v>2T25</c:v>
                </c:pt>
                <c:pt idx="6">
                  <c:v>3T25</c:v>
                </c:pt>
                <c:pt idx="7">
                  <c:v>4T25</c:v>
                </c:pt>
                <c:pt idx="8">
                  <c:v>2024</c:v>
                </c:pt>
                <c:pt idx="9">
                  <c:v>2025</c:v>
                </c:pt>
              </c:strCache>
            </c:strRef>
          </c:cat>
          <c:val>
            <c:numRef>
              <c:f>'2T25MM'!$B$433:$B$442</c:f>
              <c:numCache>
                <c:formatCode>_(* #,##0_);_(* \(#,##0\);_(* "-"??_);_(@_)</c:formatCode>
                <c:ptCount val="10"/>
                <c:pt idx="0">
                  <c:v>78561</c:v>
                </c:pt>
                <c:pt idx="1">
                  <c:v>99800</c:v>
                </c:pt>
                <c:pt idx="2">
                  <c:v>104400</c:v>
                </c:pt>
                <c:pt idx="3">
                  <c:v>131600</c:v>
                </c:pt>
                <c:pt idx="4">
                  <c:v>114387</c:v>
                </c:pt>
                <c:pt idx="5">
                  <c:v>109928</c:v>
                </c:pt>
                <c:pt idx="6">
                  <c:v>106140</c:v>
                </c:pt>
                <c:pt idx="7">
                  <c:v>160550</c:v>
                </c:pt>
                <c:pt idx="8">
                  <c:v>414315</c:v>
                </c:pt>
                <c:pt idx="9">
                  <c:v>491009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07C-4EDD-B2EF-1A5F68C57C2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54163583"/>
        <c:axId val="1754154015"/>
      </c:barChart>
      <c:catAx>
        <c:axId val="1754163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754154015"/>
        <c:crosses val="autoZero"/>
        <c:auto val="1"/>
        <c:lblAlgn val="ctr"/>
        <c:lblOffset val="100"/>
        <c:noMultiLvlLbl val="0"/>
      </c:catAx>
      <c:valAx>
        <c:axId val="1754154015"/>
        <c:scaling>
          <c:orientation val="minMax"/>
        </c:scaling>
        <c:delete val="1"/>
        <c:axPos val="l"/>
        <c:numFmt formatCode="_(* #,##0_);_(* \(#,##0\);_(* &quot;-&quot;??_);_(@_)" sourceLinked="1"/>
        <c:majorTickMark val="none"/>
        <c:minorTickMark val="none"/>
        <c:tickLblPos val="nextTo"/>
        <c:crossAx val="17541635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0.18055555555555552"/>
          <c:w val="0.93888888888888888"/>
          <c:h val="0.66118839311752697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'2T25'!$B$250:$B$256</c:f>
              <c:strCache>
                <c:ptCount val="7"/>
                <c:pt idx="0">
                  <c:v>2024</c:v>
                </c:pt>
                <c:pt idx="1">
                  <c:v>SCM (Internet)</c:v>
                </c:pt>
                <c:pt idx="2">
                  <c:v>Alugueis e Locações</c:v>
                </c:pt>
                <c:pt idx="3">
                  <c:v>Compart. Receita</c:v>
                </c:pt>
                <c:pt idx="4">
                  <c:v>Serv. Valor Adicionado</c:v>
                </c:pt>
                <c:pt idx="5">
                  <c:v>Outras Receitas</c:v>
                </c:pt>
                <c:pt idx="6">
                  <c:v>2025</c:v>
                </c:pt>
              </c:strCache>
            </c:strRef>
          </c:cat>
          <c:val>
            <c:numRef>
              <c:f>'2T25'!$C$250:$C$256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9D72-46E8-BF3A-822888318B22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9D72-46E8-BF3A-822888318B22}"/>
              </c:ext>
            </c:extLst>
          </c:dPt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9D72-46E8-BF3A-822888318B22}"/>
              </c:ext>
            </c:extLst>
          </c:dPt>
          <c:dPt>
            <c:idx val="2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9D72-46E8-BF3A-822888318B22}"/>
              </c:ext>
            </c:extLst>
          </c:dPt>
          <c:dPt>
            <c:idx val="3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9D72-46E8-BF3A-822888318B22}"/>
              </c:ext>
            </c:extLst>
          </c:dPt>
          <c:dPt>
            <c:idx val="4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9D72-46E8-BF3A-822888318B22}"/>
              </c:ext>
            </c:extLst>
          </c:dPt>
          <c:dPt>
            <c:idx val="5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9D72-46E8-BF3A-822888318B22}"/>
              </c:ext>
            </c:extLst>
          </c:dPt>
          <c:dPt>
            <c:idx val="6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9D72-46E8-BF3A-822888318B22}"/>
              </c:ext>
            </c:extLst>
          </c:dPt>
          <c:dLbls>
            <c:dLbl>
              <c:idx val="0"/>
              <c:layout>
                <c:manualLayout>
                  <c:x val="-7.8959314976284026E-4"/>
                  <c:y val="-0.3019591810950366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D72-46E8-BF3A-822888318B2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D72-46E8-BF3A-822888318B22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D72-46E8-BF3A-822888318B2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D72-46E8-BF3A-822888318B2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D72-46E8-BF3A-822888318B22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D72-46E8-BF3A-822888318B22}"/>
                </c:ext>
              </c:extLst>
            </c:dLbl>
            <c:dLbl>
              <c:idx val="6"/>
              <c:layout>
                <c:manualLayout>
                  <c:x val="0"/>
                  <c:y val="-0.347571590294831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D72-46E8-BF3A-822888318B22}"/>
                </c:ext>
              </c:extLst>
            </c:dLbl>
            <c:numFmt formatCode="_(* #,##0_);_(* \(#,##0\);_(* &quot;-     &quot;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'2T25'!$B$250:$B$256</c:f>
              <c:strCache>
                <c:ptCount val="7"/>
                <c:pt idx="0">
                  <c:v>2024</c:v>
                </c:pt>
                <c:pt idx="1">
                  <c:v>SCM (Internet)</c:v>
                </c:pt>
                <c:pt idx="2">
                  <c:v>Alugueis e Locações</c:v>
                </c:pt>
                <c:pt idx="3">
                  <c:v>Compart. Receita</c:v>
                </c:pt>
                <c:pt idx="4">
                  <c:v>Serv. Valor Adicionado</c:v>
                </c:pt>
                <c:pt idx="5">
                  <c:v>Outras Receitas</c:v>
                </c:pt>
                <c:pt idx="6">
                  <c:v>2025</c:v>
                </c:pt>
              </c:strCache>
            </c:strRef>
          </c:cat>
          <c:val>
            <c:numRef>
              <c:f>'2T25'!$D$250:$D$256</c:f>
              <c:numCache>
                <c:formatCode>#,##0</c:formatCode>
                <c:ptCount val="7"/>
                <c:pt idx="0">
                  <c:v>462391</c:v>
                </c:pt>
                <c:pt idx="1">
                  <c:v>462391</c:v>
                </c:pt>
                <c:pt idx="2">
                  <c:v>538924</c:v>
                </c:pt>
                <c:pt idx="3">
                  <c:v>535712</c:v>
                </c:pt>
                <c:pt idx="4">
                  <c:v>535712</c:v>
                </c:pt>
                <c:pt idx="5">
                  <c:v>538361</c:v>
                </c:pt>
                <c:pt idx="6">
                  <c:v>540908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9D72-46E8-BF3A-822888318B22}"/>
            </c:ext>
          </c:extLst>
        </c:ser>
        <c:ser>
          <c:idx val="2"/>
          <c:order val="2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9D72-46E8-BF3A-822888318B22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9D72-46E8-BF3A-822888318B22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9D72-46E8-BF3A-822888318B22}"/>
              </c:ext>
            </c:extLst>
          </c:dPt>
          <c:dLbls>
            <c:dLbl>
              <c:idx val="1"/>
              <c:layout>
                <c:manualLayout>
                  <c:x val="3.542211299134328E-3"/>
                  <c:y val="-8.1309389381858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D72-46E8-BF3A-822888318B22}"/>
                </c:ext>
              </c:extLst>
            </c:dLbl>
            <c:dLbl>
              <c:idx val="2"/>
              <c:layout>
                <c:manualLayout>
                  <c:x val="-8.8807136764012219E-17"/>
                  <c:y val="-3.7892250997375511E-2"/>
                </c:manualLayout>
              </c:layout>
              <c:numFmt formatCode="_(* #,##0_);_(* \(#,##0\);_(* &quot;-     &quot;_);_(@_)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697649972003495E-2"/>
                      <c:h val="0.1011014486699857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9D72-46E8-BF3A-822888318B22}"/>
                </c:ext>
              </c:extLst>
            </c:dLbl>
            <c:dLbl>
              <c:idx val="3"/>
              <c:layout>
                <c:manualLayout>
                  <c:x val="-8.8807136764012219E-17"/>
                  <c:y val="-3.6716323168687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D72-46E8-BF3A-822888318B22}"/>
                </c:ext>
              </c:extLst>
            </c:dLbl>
            <c:dLbl>
              <c:idx val="4"/>
              <c:layout>
                <c:manualLayout>
                  <c:x val="-1.9880715705766867E-3"/>
                  <c:y val="-5.4700864517731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D72-46E8-BF3A-822888318B22}"/>
                </c:ext>
              </c:extLst>
            </c:dLbl>
            <c:dLbl>
              <c:idx val="5"/>
              <c:layout>
                <c:manualLayout>
                  <c:x val="-8.8807136764012219E-17"/>
                  <c:y val="-4.86456690555392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D72-46E8-BF3A-822888318B22}"/>
                </c:ext>
              </c:extLst>
            </c:dLbl>
            <c:numFmt formatCode="_(* #,##0_);_(* \(#,##0\);_(* &quot;-     &quot;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'2T25'!$B$250:$B$256</c:f>
              <c:strCache>
                <c:ptCount val="7"/>
                <c:pt idx="0">
                  <c:v>2024</c:v>
                </c:pt>
                <c:pt idx="1">
                  <c:v>SCM (Internet)</c:v>
                </c:pt>
                <c:pt idx="2">
                  <c:v>Alugueis e Locações</c:v>
                </c:pt>
                <c:pt idx="3">
                  <c:v>Compart. Receita</c:v>
                </c:pt>
                <c:pt idx="4">
                  <c:v>Serv. Valor Adicionado</c:v>
                </c:pt>
                <c:pt idx="5">
                  <c:v>Outras Receitas</c:v>
                </c:pt>
                <c:pt idx="6">
                  <c:v>2025</c:v>
                </c:pt>
              </c:strCache>
            </c:strRef>
          </c:cat>
          <c:val>
            <c:numRef>
              <c:f>'2T25'!$E$250:$E$256</c:f>
              <c:numCache>
                <c:formatCode>General</c:formatCode>
                <c:ptCount val="7"/>
                <c:pt idx="1">
                  <c:v>76533</c:v>
                </c:pt>
                <c:pt idx="2">
                  <c:v>1464</c:v>
                </c:pt>
                <c:pt idx="3">
                  <c:v>3212</c:v>
                </c:pt>
                <c:pt idx="4">
                  <c:v>6382</c:v>
                </c:pt>
                <c:pt idx="5">
                  <c:v>2649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9D72-46E8-BF3A-822888318B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527318112"/>
        <c:axId val="751303696"/>
      </c:barChart>
      <c:catAx>
        <c:axId val="52731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751303696"/>
        <c:crosses val="autoZero"/>
        <c:auto val="1"/>
        <c:lblAlgn val="ctr"/>
        <c:lblOffset val="100"/>
        <c:noMultiLvlLbl val="0"/>
      </c:catAx>
      <c:valAx>
        <c:axId val="7513036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27318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spPr>
            <a:noFill/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79F-4972-9F8F-2895B3D7163C}"/>
              </c:ext>
            </c:extLst>
          </c:dPt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79F-4972-9F8F-2895B3D7163C}"/>
              </c:ext>
            </c:extLst>
          </c:dPt>
          <c:dPt>
            <c:idx val="2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79F-4972-9F8F-2895B3D7163C}"/>
              </c:ext>
            </c:extLst>
          </c:dPt>
          <c:dPt>
            <c:idx val="3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379F-4972-9F8F-2895B3D7163C}"/>
              </c:ext>
            </c:extLst>
          </c:dPt>
          <c:dPt>
            <c:idx val="4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379F-4972-9F8F-2895B3D7163C}"/>
              </c:ext>
            </c:extLst>
          </c:dPt>
          <c:dPt>
            <c:idx val="5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379F-4972-9F8F-2895B3D7163C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379F-4972-9F8F-2895B3D7163C}"/>
              </c:ext>
            </c:extLst>
          </c:dPt>
          <c:dLbls>
            <c:dLbl>
              <c:idx val="0"/>
              <c:layout>
                <c:manualLayout>
                  <c:x val="0"/>
                  <c:y val="-0.333281813382456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9F-4972-9F8F-2895B3D7163C}"/>
                </c:ext>
              </c:extLst>
            </c:dLbl>
            <c:dLbl>
              <c:idx val="6"/>
              <c:layout>
                <c:manualLayout>
                  <c:x val="2.3405897792187743E-3"/>
                  <c:y val="-0.338800420705534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79F-4972-9F8F-2895B3D716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Custos_Desp_Op_4T23!$C$84:$C$90</c:f>
              <c:strCache>
                <c:ptCount val="7"/>
                <c:pt idx="0">
                  <c:v>2024</c:v>
                </c:pt>
                <c:pt idx="1">
                  <c:v>Serviços de Terceiros</c:v>
                </c:pt>
                <c:pt idx="2">
                  <c:v>Meios de Conexão e Transmissão</c:v>
                </c:pt>
                <c:pt idx="3">
                  <c:v>Pessoal</c:v>
                </c:pt>
                <c:pt idx="4">
                  <c:v>Aluguel, Locações e Seguros</c:v>
                </c:pt>
                <c:pt idx="5">
                  <c:v>Outros Custos e Despesas</c:v>
                </c:pt>
                <c:pt idx="6">
                  <c:v>2025</c:v>
                </c:pt>
              </c:strCache>
            </c:strRef>
          </c:cat>
          <c:val>
            <c:numRef>
              <c:f>Custos_Desp_Op_4T23!$D$84:$D$90</c:f>
              <c:numCache>
                <c:formatCode>_-* #,##0_-;\-* #,##0_-;_-* "-"??_-;_-@_-</c:formatCode>
                <c:ptCount val="7"/>
                <c:pt idx="0" formatCode="#,##0_%_);\(#,##0\)_%;#,##0_%_);@_%_)">
                  <c:v>483668</c:v>
                </c:pt>
                <c:pt idx="1">
                  <c:v>462921</c:v>
                </c:pt>
                <c:pt idx="2">
                  <c:v>462921</c:v>
                </c:pt>
                <c:pt idx="3">
                  <c:v>498223</c:v>
                </c:pt>
                <c:pt idx="4">
                  <c:v>506555</c:v>
                </c:pt>
                <c:pt idx="5">
                  <c:v>508157</c:v>
                </c:pt>
                <c:pt idx="6" formatCode="#,##0_%_);\(#,##0\)_%;#,##0_%_);@_%_)">
                  <c:v>519739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79F-4972-9F8F-2895B3D7163C}"/>
            </c:ext>
          </c:extLst>
        </c:ser>
        <c:ser>
          <c:idx val="1"/>
          <c:order val="1"/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0000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0-379F-4972-9F8F-2895B3D7163C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2-379F-4972-9F8F-2895B3D7163C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4-379F-4972-9F8F-2895B3D7163C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6-379F-4972-9F8F-2895B3D7163C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8-379F-4972-9F8F-2895B3D7163C}"/>
              </c:ext>
            </c:extLst>
          </c:dPt>
          <c:dLbls>
            <c:dLbl>
              <c:idx val="1"/>
              <c:layout>
                <c:manualLayout>
                  <c:x val="-4.7704233750745376E-3"/>
                  <c:y val="-6.5040650406504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79F-4972-9F8F-2895B3D7163C}"/>
                </c:ext>
              </c:extLst>
            </c:dLbl>
            <c:dLbl>
              <c:idx val="2"/>
              <c:layout>
                <c:manualLayout>
                  <c:x val="0"/>
                  <c:y val="-6.211149426578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79F-4972-9F8F-2895B3D7163C}"/>
                </c:ext>
              </c:extLst>
            </c:dLbl>
            <c:dLbl>
              <c:idx val="3"/>
              <c:layout>
                <c:manualLayout>
                  <c:x val="-7.1894594304112904E-17"/>
                  <c:y val="-5.5241479291622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79F-4972-9F8F-2895B3D7163C}"/>
                </c:ext>
              </c:extLst>
            </c:dLbl>
            <c:dLbl>
              <c:idx val="4"/>
              <c:layout>
                <c:manualLayout>
                  <c:x val="-7.1894594304112904E-17"/>
                  <c:y val="-5.0699226077482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79F-4972-9F8F-2895B3D7163C}"/>
                </c:ext>
              </c:extLst>
            </c:dLbl>
            <c:dLbl>
              <c:idx val="5"/>
              <c:layout>
                <c:manualLayout>
                  <c:x val="8.5819176348970349E-17"/>
                  <c:y val="-5.89304368337695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379F-4972-9F8F-2895B3D716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Custos_Desp_Op_4T23!$C$84:$C$90</c:f>
              <c:strCache>
                <c:ptCount val="7"/>
                <c:pt idx="0">
                  <c:v>2024</c:v>
                </c:pt>
                <c:pt idx="1">
                  <c:v>Serviços de Terceiros</c:v>
                </c:pt>
                <c:pt idx="2">
                  <c:v>Meios de Conexão e Transmissão</c:v>
                </c:pt>
                <c:pt idx="3">
                  <c:v>Pessoal</c:v>
                </c:pt>
                <c:pt idx="4">
                  <c:v>Aluguel, Locações e Seguros</c:v>
                </c:pt>
                <c:pt idx="5">
                  <c:v>Outros Custos e Despesas</c:v>
                </c:pt>
                <c:pt idx="6">
                  <c:v>2025</c:v>
                </c:pt>
              </c:strCache>
            </c:strRef>
          </c:cat>
          <c:val>
            <c:numRef>
              <c:f>Custos_Desp_Op_4T23!$E$84:$E$90</c:f>
              <c:numCache>
                <c:formatCode>#,##0</c:formatCode>
                <c:ptCount val="7"/>
                <c:pt idx="1">
                  <c:v>20747</c:v>
                </c:pt>
                <c:pt idx="2">
                  <c:v>35302</c:v>
                </c:pt>
                <c:pt idx="3">
                  <c:v>8332</c:v>
                </c:pt>
                <c:pt idx="4">
                  <c:v>11582</c:v>
                </c:pt>
                <c:pt idx="5">
                  <c:v>1602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379F-4972-9F8F-2895B3D7163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774685088"/>
        <c:axId val="774685416"/>
      </c:barChart>
      <c:catAx>
        <c:axId val="774685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774685416"/>
        <c:crosses val="autoZero"/>
        <c:auto val="1"/>
        <c:lblAlgn val="ctr"/>
        <c:lblOffset val="100"/>
        <c:noMultiLvlLbl val="0"/>
      </c:catAx>
      <c:valAx>
        <c:axId val="774685416"/>
        <c:scaling>
          <c:orientation val="minMax"/>
          <c:min val="50"/>
        </c:scaling>
        <c:delete val="1"/>
        <c:axPos val="l"/>
        <c:numFmt formatCode="#,##0_%_);\(#,##0\)_%;#,##0_%_);@_%_)" sourceLinked="1"/>
        <c:majorTickMark val="none"/>
        <c:minorTickMark val="none"/>
        <c:tickLblPos val="nextTo"/>
        <c:crossAx val="77468508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 sz="900" b="1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619183795579329E-2"/>
          <c:y val="4.2758455193100862E-2"/>
          <c:w val="0.95773294908741591"/>
          <c:h val="0.74761113845144356"/>
        </c:manualLayout>
      </c:layout>
      <c:barChart>
        <c:barDir val="col"/>
        <c:grouping val="stacked"/>
        <c:varyColors val="0"/>
        <c:ser>
          <c:idx val="0"/>
          <c:order val="0"/>
          <c:spPr>
            <a:noFill/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1089564383795041E-3"/>
                  <c:y val="5.7291666666666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DA-481E-920E-9B0622483CF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DA-481E-920E-9B0622483CF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DA-481E-920E-9B0622483CF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DA-481E-920E-9B0622483CF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DA-481E-920E-9B0622483CF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DA-481E-920E-9B0622483CF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0DA-481E-920E-9B0622483CF4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0DA-481E-920E-9B0622483C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'3T25MM'!$A$51:$A$59</c:f>
              <c:strCache>
                <c:ptCount val="9"/>
                <c:pt idx="0">
                  <c:v>2024</c:v>
                </c:pt>
                <c:pt idx="1">
                  <c:v>Receita           Líquida</c:v>
                </c:pt>
                <c:pt idx="2">
                  <c:v>Subvenções Recebidas</c:v>
                </c:pt>
                <c:pt idx="3">
                  <c:v>Pessoal</c:v>
                </c:pt>
                <c:pt idx="4">
                  <c:v>Meios Conexão e Transmissão</c:v>
                </c:pt>
                <c:pt idx="5">
                  <c:v>Alugueis / Seguros</c:v>
                </c:pt>
                <c:pt idx="6">
                  <c:v>Serviços de         Terceiros</c:v>
                </c:pt>
                <c:pt idx="7">
                  <c:v>Outras                Despesas /          Receitas</c:v>
                </c:pt>
                <c:pt idx="8">
                  <c:v>2025</c:v>
                </c:pt>
              </c:strCache>
            </c:strRef>
          </c:cat>
          <c:val>
            <c:numRef>
              <c:f>'3T25MM'!$B$51:$B$59</c:f>
              <c:numCache>
                <c:formatCode>_(* #,##0_);_(* \(#,##0\);_(* "-"??_);_(@_)</c:formatCode>
                <c:ptCount val="9"/>
                <c:pt idx="1">
                  <c:v>95106</c:v>
                </c:pt>
                <c:pt idx="2">
                  <c:v>171800</c:v>
                </c:pt>
                <c:pt idx="3">
                  <c:v>420340</c:v>
                </c:pt>
                <c:pt idx="4">
                  <c:v>385038</c:v>
                </c:pt>
                <c:pt idx="5">
                  <c:v>373456</c:v>
                </c:pt>
                <c:pt idx="6">
                  <c:v>373456</c:v>
                </c:pt>
                <c:pt idx="7">
                  <c:v>379456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0DA-481E-920E-9B0622483CF4}"/>
            </c:ext>
          </c:extLst>
        </c:ser>
        <c:ser>
          <c:idx val="1"/>
          <c:order val="1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B0DA-481E-920E-9B0622483CF4}"/>
              </c:ext>
            </c:extLst>
          </c:dPt>
          <c:dPt>
            <c:idx val="1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B0DA-481E-920E-9B0622483CF4}"/>
              </c:ext>
            </c:extLst>
          </c:dPt>
          <c:dPt>
            <c:idx val="2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B0DA-481E-920E-9B0622483CF4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0-B0DA-481E-920E-9B0622483CF4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2-B0DA-481E-920E-9B0622483CF4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4-B0DA-481E-920E-9B0622483CF4}"/>
              </c:ext>
            </c:extLst>
          </c:dPt>
          <c:dPt>
            <c:idx val="6"/>
            <c:invertIfNegative val="0"/>
            <c:bubble3D val="0"/>
            <c:spPr>
              <a:solidFill>
                <a:srgbClr val="0000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6-B0DA-481E-920E-9B0622483CF4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8-B0DA-481E-920E-9B0622483CF4}"/>
              </c:ext>
            </c:extLst>
          </c:dPt>
          <c:dLbls>
            <c:dLbl>
              <c:idx val="0"/>
              <c:layout>
                <c:manualLayout>
                  <c:x val="5.5676678859078543E-4"/>
                  <c:y val="-0.112527559055118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0DA-481E-920E-9B0622483CF4}"/>
                </c:ext>
              </c:extLst>
            </c:dLbl>
            <c:dLbl>
              <c:idx val="1"/>
              <c:layout>
                <c:manualLayout>
                  <c:x val="2.9932971765256858E-3"/>
                  <c:y val="-9.7185397279885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0DA-481E-920E-9B0622483CF4}"/>
                </c:ext>
              </c:extLst>
            </c:dLbl>
            <c:dLbl>
              <c:idx val="2"/>
              <c:layout>
                <c:manualLayout>
                  <c:x val="-8.5369406055364715E-3"/>
                  <c:y val="-0.222041517537580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0DA-481E-920E-9B0622483CF4}"/>
                </c:ext>
              </c:extLst>
            </c:dLbl>
            <c:dLbl>
              <c:idx val="3"/>
              <c:layout>
                <c:manualLayout>
                  <c:x val="1.9069412662090007E-3"/>
                  <c:y val="-4.11270579813886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0DA-481E-920E-9B0622483CF4}"/>
                </c:ext>
              </c:extLst>
            </c:dLbl>
            <c:dLbl>
              <c:idx val="4"/>
              <c:layout>
                <c:manualLayout>
                  <c:x val="-5.7179319442945747E-17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0DA-481E-920E-9B0622483CF4}"/>
                </c:ext>
              </c:extLst>
            </c:dLbl>
            <c:dLbl>
              <c:idx val="5"/>
              <c:layout>
                <c:manualLayout>
                  <c:x val="-3.8237926208881338E-3"/>
                  <c:y val="-4.6063350035790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0DA-481E-920E-9B0622483CF4}"/>
                </c:ext>
              </c:extLst>
            </c:dLbl>
            <c:dLbl>
              <c:idx val="6"/>
              <c:layout>
                <c:manualLayout>
                  <c:x val="0"/>
                  <c:y val="-4.6969577666428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0DA-481E-920E-9B0622483CF4}"/>
                </c:ext>
              </c:extLst>
            </c:dLbl>
            <c:dLbl>
              <c:idx val="7"/>
              <c:layout>
                <c:manualLayout>
                  <c:x val="-1.9069412662090007E-3"/>
                  <c:y val="-4.1216535433070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0DA-481E-920E-9B0622483CF4}"/>
                </c:ext>
              </c:extLst>
            </c:dLbl>
            <c:dLbl>
              <c:idx val="8"/>
              <c:layout>
                <c:manualLayout>
                  <c:x val="-8.8590184808134688E-5"/>
                  <c:y val="-0.317269863994273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0DA-481E-920E-9B0622483CF4}"/>
                </c:ext>
              </c:extLst>
            </c:dLbl>
            <c:numFmt formatCode="_(* #,##0_);_(* \(#,##0\);_(* &quot;-&quot;_);_(@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'3T25MM'!$A$51:$A$59</c:f>
              <c:strCache>
                <c:ptCount val="9"/>
                <c:pt idx="0">
                  <c:v>2024</c:v>
                </c:pt>
                <c:pt idx="1">
                  <c:v>Receita           Líquida</c:v>
                </c:pt>
                <c:pt idx="2">
                  <c:v>Subvenções Recebidas</c:v>
                </c:pt>
                <c:pt idx="3">
                  <c:v>Pessoal</c:v>
                </c:pt>
                <c:pt idx="4">
                  <c:v>Meios Conexão e Transmissão</c:v>
                </c:pt>
                <c:pt idx="5">
                  <c:v>Alugueis / Seguros</c:v>
                </c:pt>
                <c:pt idx="6">
                  <c:v>Serviços de         Terceiros</c:v>
                </c:pt>
                <c:pt idx="7">
                  <c:v>Outras                Despesas /          Receitas</c:v>
                </c:pt>
                <c:pt idx="8">
                  <c:v>2025</c:v>
                </c:pt>
              </c:strCache>
            </c:strRef>
          </c:cat>
          <c:val>
            <c:numRef>
              <c:f>'3T25MM'!$C$51:$C$59</c:f>
              <c:numCache>
                <c:formatCode>_(* #,##0_);_(* \(#,##0\);_(* "-"??_);_(@_)</c:formatCode>
                <c:ptCount val="9"/>
                <c:pt idx="0">
                  <c:v>95106</c:v>
                </c:pt>
                <c:pt idx="1">
                  <c:v>76694</c:v>
                </c:pt>
                <c:pt idx="2">
                  <c:v>248540</c:v>
                </c:pt>
                <c:pt idx="3">
                  <c:v>8332</c:v>
                </c:pt>
                <c:pt idx="4">
                  <c:v>35302</c:v>
                </c:pt>
                <c:pt idx="5">
                  <c:v>11582</c:v>
                </c:pt>
                <c:pt idx="6">
                  <c:v>20747</c:v>
                </c:pt>
                <c:pt idx="7">
                  <c:v>12653</c:v>
                </c:pt>
                <c:pt idx="8">
                  <c:v>373218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B0DA-481E-920E-9B0622483CF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572863880"/>
        <c:axId val="572868800"/>
      </c:barChart>
      <c:catAx>
        <c:axId val="572863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72868800"/>
        <c:crosses val="autoZero"/>
        <c:auto val="1"/>
        <c:lblAlgn val="ctr"/>
        <c:lblOffset val="100"/>
        <c:tickLblSkip val="1"/>
        <c:noMultiLvlLbl val="0"/>
      </c:catAx>
      <c:valAx>
        <c:axId val="572868800"/>
        <c:scaling>
          <c:orientation val="minMax"/>
        </c:scaling>
        <c:delete val="1"/>
        <c:axPos val="l"/>
        <c:numFmt formatCode="_(* #,##0_);_(* \(#,##0\);_(* &quot;-&quot;??_);_(@_)" sourceLinked="1"/>
        <c:majorTickMark val="none"/>
        <c:minorTickMark val="none"/>
        <c:tickLblPos val="nextTo"/>
        <c:crossAx val="572863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1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370478983382209E-2"/>
          <c:y val="6.5821000999410392E-2"/>
          <c:w val="0.956989247311828"/>
          <c:h val="0.70324202039800787"/>
        </c:manualLayout>
      </c:layout>
      <c:lineChart>
        <c:grouping val="standard"/>
        <c:varyColors val="0"/>
        <c:ser>
          <c:idx val="0"/>
          <c:order val="0"/>
          <c:tx>
            <c:strRef>
              <c:f>'Dívida Líquida (2)'!$A$122</c:f>
              <c:strCache>
                <c:ptCount val="1"/>
                <c:pt idx="0">
                  <c:v>Dívida Bruta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FFC000"/>
              </a:solidFill>
              <a:ln w="9525">
                <a:solidFill>
                  <a:srgbClr val="FFC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3841642228739003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DF-4FDE-A1E1-3F1E0FF9D6B0}"/>
                </c:ext>
              </c:extLst>
            </c:dLbl>
            <c:dLbl>
              <c:idx val="1"/>
              <c:layout>
                <c:manualLayout>
                  <c:x val="-5.4644828435347251E-2"/>
                  <c:y val="5.5968654475811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DF-4FDE-A1E1-3F1E0FF9D6B0}"/>
                </c:ext>
              </c:extLst>
            </c:dLbl>
            <c:dLbl>
              <c:idx val="2"/>
              <c:layout>
                <c:manualLayout>
                  <c:x val="0"/>
                  <c:y val="-1.8890200708382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DF-4FDE-A1E1-3F1E0FF9D6B0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'Dívida Líquida (2)'!$C$121:$E$121</c:f>
              <c:strCache>
                <c:ptCount val="3"/>
                <c:pt idx="0">
                  <c:v>Dez/23</c:v>
                </c:pt>
                <c:pt idx="1">
                  <c:v>Dez/24</c:v>
                </c:pt>
                <c:pt idx="2">
                  <c:v>Dez/25</c:v>
                </c:pt>
              </c:strCache>
              <c:extLst/>
            </c:strRef>
          </c:cat>
          <c:val>
            <c:numRef>
              <c:f>'Dívida Líquida (2)'!$C$122:$E$122</c:f>
              <c:numCache>
                <c:formatCode>#,##0_);\(#,##0\);_(* "-"_)</c:formatCode>
                <c:ptCount val="3"/>
                <c:pt idx="0">
                  <c:v>237163</c:v>
                </c:pt>
                <c:pt idx="1">
                  <c:v>174605</c:v>
                </c:pt>
                <c:pt idx="2">
                  <c:v>19879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3-58DF-4FDE-A1E1-3F1E0FF9D6B0}"/>
            </c:ext>
          </c:extLst>
        </c:ser>
        <c:ser>
          <c:idx val="1"/>
          <c:order val="1"/>
          <c:tx>
            <c:strRef>
              <c:f>'Dívida Líquida (2)'!$A$123</c:f>
              <c:strCache>
                <c:ptCount val="1"/>
                <c:pt idx="0">
                  <c:v>Caixa e Equival. de Caixa e Aplic. Financeiras (Garantias)</c:v>
                </c:pt>
              </c:strCache>
            </c:strRef>
          </c:tx>
          <c:spPr>
            <a:ln w="28575" cap="rnd">
              <a:solidFill>
                <a:srgbClr val="75F6F9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75F6F9"/>
              </a:solidFill>
              <a:ln w="9525">
                <a:solidFill>
                  <a:srgbClr val="75F6F9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5381534281508598E-2"/>
                  <c:y val="-4.53662300476903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8DF-4FDE-A1E1-3F1E0FF9D6B0}"/>
                </c:ext>
              </c:extLst>
            </c:dLbl>
            <c:dLbl>
              <c:idx val="1"/>
              <c:layout>
                <c:manualLayout>
                  <c:x val="-6.3136979499184218E-2"/>
                  <c:y val="-4.6296296296296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8DF-4FDE-A1E1-3F1E0FF9D6B0}"/>
                </c:ext>
              </c:extLst>
            </c:dLbl>
            <c:dLbl>
              <c:idx val="2"/>
              <c:layout>
                <c:manualLayout>
                  <c:x val="-5.7531384244625212E-3"/>
                  <c:y val="-1.0281400775316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8DF-4FDE-A1E1-3F1E0FF9D6B0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'Dívida Líquida (2)'!$C$121:$E$121</c:f>
              <c:strCache>
                <c:ptCount val="3"/>
                <c:pt idx="0">
                  <c:v>Dez/23</c:v>
                </c:pt>
                <c:pt idx="1">
                  <c:v>Dez/24</c:v>
                </c:pt>
                <c:pt idx="2">
                  <c:v>Dez/25</c:v>
                </c:pt>
              </c:strCache>
              <c:extLst/>
            </c:strRef>
          </c:cat>
          <c:val>
            <c:numRef>
              <c:f>'Dívida Líquida (2)'!$C$123:$E$123</c:f>
              <c:numCache>
                <c:formatCode>#,##0_);\(#,##0\);_(* "-"_)</c:formatCode>
                <c:ptCount val="3"/>
                <c:pt idx="0">
                  <c:v>389281</c:v>
                </c:pt>
                <c:pt idx="1">
                  <c:v>414408</c:v>
                </c:pt>
                <c:pt idx="2">
                  <c:v>559896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7-58DF-4FDE-A1E1-3F1E0FF9D6B0}"/>
            </c:ext>
          </c:extLst>
        </c:ser>
        <c:ser>
          <c:idx val="2"/>
          <c:order val="2"/>
          <c:tx>
            <c:strRef>
              <c:f>'Dívida Líquida (2)'!$A$124</c:f>
              <c:strCache>
                <c:ptCount val="1"/>
                <c:pt idx="0">
                  <c:v>Dívida Líquida </c:v>
                </c:pt>
              </c:strCache>
            </c:strRef>
          </c:tx>
          <c:spPr>
            <a:ln w="28575" cap="rnd">
              <a:solidFill>
                <a:srgbClr val="0000FF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0000FF"/>
              </a:solidFill>
              <a:ln w="9525">
                <a:solidFill>
                  <a:srgbClr val="0000FF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10340576707087816"/>
                  <c:y val="4.0579825291355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8DF-4FDE-A1E1-3F1E0FF9D6B0}"/>
                </c:ext>
              </c:extLst>
            </c:dLbl>
            <c:dLbl>
              <c:idx val="1"/>
              <c:layout>
                <c:manualLayout>
                  <c:x val="-5.3974746399943249E-2"/>
                  <c:y val="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8DF-4FDE-A1E1-3F1E0FF9D6B0}"/>
                </c:ext>
              </c:extLst>
            </c:dLbl>
            <c:dLbl>
              <c:idx val="2"/>
              <c:layout>
                <c:manualLayout>
                  <c:x val="-1.8621973929236499E-3"/>
                  <c:y val="2.3148148148148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8DF-4FDE-A1E1-3F1E0FF9D6B0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'Dívida Líquida (2)'!$C$121:$E$121</c:f>
              <c:strCache>
                <c:ptCount val="3"/>
                <c:pt idx="0">
                  <c:v>Dez/23</c:v>
                </c:pt>
                <c:pt idx="1">
                  <c:v>Dez/24</c:v>
                </c:pt>
                <c:pt idx="2">
                  <c:v>Dez/25</c:v>
                </c:pt>
              </c:strCache>
              <c:extLst/>
            </c:strRef>
          </c:cat>
          <c:val>
            <c:numRef>
              <c:f>'Dívida Líquida (2)'!$C$124:$E$124</c:f>
              <c:numCache>
                <c:formatCode>#,##0_);\(#,##0\);_(* "-"_)</c:formatCode>
                <c:ptCount val="3"/>
                <c:pt idx="0">
                  <c:v>-152118</c:v>
                </c:pt>
                <c:pt idx="1">
                  <c:v>-239803</c:v>
                </c:pt>
                <c:pt idx="2">
                  <c:v>-540017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B-58DF-4FDE-A1E1-3F1E0FF9D6B0}"/>
            </c:ext>
          </c:extLst>
        </c:ser>
        <c:ser>
          <c:idx val="3"/>
          <c:order val="3"/>
          <c:tx>
            <c:strRef>
              <c:f>'Dívida Líquida (2)'!$A$125</c:f>
              <c:strCache>
                <c:ptCount val="1"/>
                <c:pt idx="0">
                  <c:v>EBITDA Anualizada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7114421508122301E-2"/>
                  <c:y val="3.2407407407407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8DF-4FDE-A1E1-3F1E0FF9D6B0}"/>
                </c:ext>
              </c:extLst>
            </c:dLbl>
            <c:dLbl>
              <c:idx val="1"/>
              <c:layout>
                <c:manualLayout>
                  <c:x val="-6.1059658732589776E-2"/>
                  <c:y val="-2.7742628825671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8DF-4FDE-A1E1-3F1E0FF9D6B0}"/>
                </c:ext>
              </c:extLst>
            </c:dLbl>
            <c:dLbl>
              <c:idx val="2"/>
              <c:layout>
                <c:manualLayout>
                  <c:x val="2.8616155918195687E-3"/>
                  <c:y val="3.78733650029283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8DF-4FDE-A1E1-3F1E0FF9D6B0}"/>
                </c:ext>
              </c:extLst>
            </c:dLbl>
            <c:numFmt formatCode="#,##0_);\(#,##0\);_(* &quot;-&quot;_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'Dívida Líquida (2)'!$C$121:$E$121</c:f>
              <c:strCache>
                <c:ptCount val="3"/>
                <c:pt idx="0">
                  <c:v>Dez/23</c:v>
                </c:pt>
                <c:pt idx="1">
                  <c:v>Dez/24</c:v>
                </c:pt>
                <c:pt idx="2">
                  <c:v>Dez/25</c:v>
                </c:pt>
              </c:strCache>
              <c:extLst/>
            </c:strRef>
          </c:cat>
          <c:val>
            <c:numRef>
              <c:f>'Dívida Líquida (2)'!$C$125:$E$125</c:f>
              <c:numCache>
                <c:formatCode>#,##0_);\(#,##0\);_(* "-"_)</c:formatCode>
                <c:ptCount val="3"/>
                <c:pt idx="0">
                  <c:v>186134.38619000002</c:v>
                </c:pt>
                <c:pt idx="1">
                  <c:v>288539.06182999996</c:v>
                </c:pt>
                <c:pt idx="2">
                  <c:v>510803.99641000002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F-58DF-4FDE-A1E1-3F1E0FF9D6B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48792112"/>
        <c:axId val="948792528"/>
      </c:lineChart>
      <c:catAx>
        <c:axId val="948792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948792528"/>
        <c:crosses val="autoZero"/>
        <c:auto val="1"/>
        <c:lblAlgn val="ctr"/>
        <c:lblOffset val="100"/>
        <c:noMultiLvlLbl val="0"/>
      </c:catAx>
      <c:valAx>
        <c:axId val="948792528"/>
        <c:scaling>
          <c:orientation val="minMax"/>
        </c:scaling>
        <c:delete val="1"/>
        <c:axPos val="l"/>
        <c:numFmt formatCode="#,##0_);\(#,##0\);_(* &quot;-&quot;_)" sourceLinked="1"/>
        <c:majorTickMark val="none"/>
        <c:minorTickMark val="none"/>
        <c:tickLblPos val="nextTo"/>
        <c:crossAx val="948792112"/>
        <c:crossesAt val="41640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3821014308695284E-2"/>
          <c:y val="0.79643181219447945"/>
          <c:w val="0.97524141593737734"/>
          <c:h val="0.175790433259039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132796780684104E-2"/>
          <c:y val="0.2554517133956386"/>
          <c:w val="0.95573440643863183"/>
          <c:h val="0.6076012461059190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643-4933-A93D-D26B16B1EAC6}"/>
              </c:ext>
            </c:extLst>
          </c:dPt>
          <c:dPt>
            <c:idx val="1"/>
            <c:invertIfNegative val="0"/>
            <c:bubble3D val="0"/>
            <c:spPr>
              <a:solidFill>
                <a:srgbClr val="0000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643-4933-A93D-D26B16B1EAC6}"/>
              </c:ext>
            </c:extLst>
          </c:dPt>
          <c:dPt>
            <c:idx val="2"/>
            <c:invertIfNegative val="0"/>
            <c:bubble3D val="0"/>
            <c:spPr>
              <a:solidFill>
                <a:srgbClr val="0000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643-4933-A93D-D26B16B1EAC6}"/>
              </c:ext>
            </c:extLst>
          </c:dPt>
          <c:dPt>
            <c:idx val="3"/>
            <c:invertIfNegative val="0"/>
            <c:bubble3D val="0"/>
            <c:spPr>
              <a:solidFill>
                <a:srgbClr val="00FF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A643-4933-A93D-D26B16B1EAC6}"/>
              </c:ext>
            </c:extLst>
          </c:dPt>
          <c:dPt>
            <c:idx val="4"/>
            <c:invertIfNegative val="0"/>
            <c:bubble3D val="0"/>
            <c:spPr>
              <a:solidFill>
                <a:srgbClr val="0000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A643-4933-A93D-D26B16B1EAC6}"/>
              </c:ext>
            </c:extLst>
          </c:dPt>
          <c:dPt>
            <c:idx val="5"/>
            <c:invertIfNegative val="0"/>
            <c:bubble3D val="0"/>
            <c:spPr>
              <a:solidFill>
                <a:srgbClr val="0000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A643-4933-A93D-D26B16B1EAC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'CAPEX ACC'!$Q$12:$Q$17</c:f>
              <c:strCache>
                <c:ptCount val="6"/>
                <c:pt idx="0">
                  <c:v>4T24</c:v>
                </c:pt>
                <c:pt idx="1">
                  <c:v>3T25</c:v>
                </c:pt>
                <c:pt idx="2">
                  <c:v>4T25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strCache>
            </c:strRef>
          </c:cat>
          <c:val>
            <c:numRef>
              <c:f>'CAPEX ACC'!$R$12:$R$17</c:f>
              <c:numCache>
                <c:formatCode>_(* #,##0_);_(* \(#,##0\);_(* "-     "_);_(@_)</c:formatCode>
                <c:ptCount val="6"/>
                <c:pt idx="0">
                  <c:v>8842</c:v>
                </c:pt>
                <c:pt idx="1">
                  <c:v>20598</c:v>
                </c:pt>
                <c:pt idx="2">
                  <c:v>15370</c:v>
                </c:pt>
                <c:pt idx="3" formatCode="_(* #,##0_);_(* \(#,##0\);_(* &quot;-&quot;??_);_(@_)">
                  <c:v>116690</c:v>
                </c:pt>
                <c:pt idx="4" formatCode="_(* #,##0_);_(* \(#,##0\);_(* &quot;-&quot;??_);_(@_)">
                  <c:v>55968</c:v>
                </c:pt>
                <c:pt idx="5" formatCode="_(* #,##0_);_(* \(#,##0\);_(* &quot;-&quot;??_);_(@_)">
                  <c:v>52527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643-4933-A93D-D26B16B1EAC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76153535"/>
        <c:axId val="476152095"/>
      </c:barChart>
      <c:catAx>
        <c:axId val="4761535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476152095"/>
        <c:crosses val="autoZero"/>
        <c:auto val="1"/>
        <c:lblAlgn val="ctr"/>
        <c:lblOffset val="100"/>
        <c:noMultiLvlLbl val="0"/>
      </c:catAx>
      <c:valAx>
        <c:axId val="476152095"/>
        <c:scaling>
          <c:orientation val="minMax"/>
        </c:scaling>
        <c:delete val="1"/>
        <c:axPos val="l"/>
        <c:numFmt formatCode="_(* #,##0_);_(* \(#,##0\);_(* &quot;-     &quot;_);_(@_)" sourceLinked="1"/>
        <c:majorTickMark val="none"/>
        <c:minorTickMark val="none"/>
        <c:tickLblPos val="nextTo"/>
        <c:crossAx val="4761535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b="1"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5E4B1-D797-454B-9F83-3BB2DCE6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19</Pages>
  <Words>6049</Words>
  <Characters>35064</Characters>
  <Application>Microsoft Office Word</Application>
  <DocSecurity>0</DocSecurity>
  <Lines>2945</Lines>
  <Paragraphs>1841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Gilson Souza dos Santos</dc:creator>
  <cp:lastModifiedBy>tB</cp:lastModifiedBy>
  <cp:revision>10</cp:revision>
  <cp:lastPrinted>2025-05-06T14:40:00Z</cp:lastPrinted>
  <dcterms:created xsi:type="dcterms:W3CDTF">2026-02-05T18:04:00Z</dcterms:created>
  <dcterms:modified xsi:type="dcterms:W3CDTF">2026-03-06T17:43:00Z</dcterms:modified>
</cp:coreProperties>
</file>