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F82BF01" w14:textId="0218D9DB" w:rsidR="00EE740F" w:rsidRPr="00212531" w:rsidRDefault="00EE740F" w:rsidP="00FC16CF">
      <w:pPr>
        <w:rPr>
          <w:rFonts w:cs="Arial"/>
        </w:rPr>
      </w:pPr>
      <w:r w:rsidRPr="00212531">
        <w:rPr>
          <w:rFonts w:cs="Arial"/>
          <w:noProof/>
          <w:lang w:eastAsia="pt-BR"/>
        </w:rPr>
        <mc:AlternateContent>
          <mc:Choice Requires="wps">
            <w:drawing>
              <wp:anchor distT="0" distB="0" distL="114300" distR="114300" simplePos="0" relativeHeight="251658240" behindDoc="1" locked="0" layoutInCell="1" allowOverlap="1" wp14:anchorId="496CF51E" wp14:editId="2CBA7245">
                <wp:simplePos x="0" y="0"/>
                <wp:positionH relativeFrom="page">
                  <wp:posOffset>9525</wp:posOffset>
                </wp:positionH>
                <wp:positionV relativeFrom="paragraph">
                  <wp:posOffset>-1124585</wp:posOffset>
                </wp:positionV>
                <wp:extent cx="7724140" cy="11303000"/>
                <wp:effectExtent l="0" t="0" r="0" b="0"/>
                <wp:wrapNone/>
                <wp:docPr id="35" name="Retângulo 35"/>
                <wp:cNvGraphicFramePr/>
                <a:graphic xmlns:a="http://schemas.openxmlformats.org/drawingml/2006/main">
                  <a:graphicData uri="http://schemas.microsoft.com/office/word/2010/wordprocessingShape">
                    <wps:wsp>
                      <wps:cNvSpPr/>
                      <wps:spPr>
                        <a:xfrm>
                          <a:off x="0" y="0"/>
                          <a:ext cx="7724140" cy="11303000"/>
                        </a:xfrm>
                        <a:prstGeom prst="rect">
                          <a:avLst/>
                        </a:prstGeom>
                        <a:solidFill>
                          <a:srgbClr val="2249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ADD41" id="Retângulo 35" o:spid="_x0000_s1026" style="position:absolute;margin-left:.75pt;margin-top:-88.55pt;width:608.2pt;height:89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" fillcolor="#22498e" stroked="f" strokeweight="2pt">
                <w10:wrap anchorx="page"/>
              </v:rect>
            </w:pict>
          </mc:Fallback>
        </mc:AlternateContent>
      </w:r>
      <w:r w:rsidRPr="00212531">
        <w:rPr>
          <w:rFonts w:cs="Arial"/>
          <w:noProof/>
          <w:lang w:eastAsia="pt-BR"/>
        </w:rPr>
        <w:drawing>
          <wp:anchor distT="0" distB="0" distL="114300" distR="114300" simplePos="0" relativeHeight="251658243" behindDoc="0" locked="0" layoutInCell="1" allowOverlap="1" wp14:anchorId="64767166" wp14:editId="2EE93690">
            <wp:simplePos x="0" y="0"/>
            <wp:positionH relativeFrom="column">
              <wp:posOffset>-251460</wp:posOffset>
            </wp:positionH>
            <wp:positionV relativeFrom="paragraph">
              <wp:posOffset>-110490</wp:posOffset>
            </wp:positionV>
            <wp:extent cx="1866900" cy="379997"/>
            <wp:effectExtent l="0" t="0" r="0" b="1270"/>
            <wp:wrapNone/>
            <wp:docPr id="15" name="Gráfico 5">
              <a:extLst xmlns:a="http://schemas.openxmlformats.org/drawingml/2006/main">
                <a:ext uri="{FF2B5EF4-FFF2-40B4-BE49-F238E27FC236}">
                  <a16:creationId xmlns:a16="http://schemas.microsoft.com/office/drawing/2014/main" id="{1A0FD0EE-D614-449B-B0CC-CB342FD01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5">
                      <a:extLst>
                        <a:ext uri="{FF2B5EF4-FFF2-40B4-BE49-F238E27FC236}">
                          <a16:creationId xmlns:a16="http://schemas.microsoft.com/office/drawing/2014/main" id="{1A0FD0EE-D614-449B-B0CC-CB342FD0152C}"/>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
                        </a:ext>
                      </a:extLst>
                    </a:blip>
                    <a:stretch>
                      <a:fillRect/>
                    </a:stretch>
                  </pic:blipFill>
                  <pic:spPr>
                    <a:xfrm>
                      <a:off x="0" y="0"/>
                      <a:ext cx="1866900" cy="379997"/>
                    </a:xfrm>
                    <a:prstGeom prst="rect">
                      <a:avLst/>
                    </a:prstGeom>
                  </pic:spPr>
                </pic:pic>
              </a:graphicData>
            </a:graphic>
            <wp14:sizeRelH relativeFrom="margin">
              <wp14:pctWidth>0</wp14:pctWidth>
            </wp14:sizeRelH>
            <wp14:sizeRelV relativeFrom="margin">
              <wp14:pctHeight>0</wp14:pctHeight>
            </wp14:sizeRelV>
          </wp:anchor>
        </w:drawing>
      </w:r>
      <w:r w:rsidRPr="00212531">
        <w:rPr>
          <w:rFonts w:cs="Arial"/>
          <w:noProof/>
          <w:lang w:eastAsia="pt-BR"/>
        </w:rPr>
        <w:drawing>
          <wp:anchor distT="0" distB="0" distL="114300" distR="114300" simplePos="0" relativeHeight="251658241" behindDoc="0" locked="0" layoutInCell="1" allowOverlap="1" wp14:anchorId="43DF0A5A" wp14:editId="602A85BE">
            <wp:simplePos x="0" y="0"/>
            <wp:positionH relativeFrom="page">
              <wp:posOffset>1978660</wp:posOffset>
            </wp:positionH>
            <wp:positionV relativeFrom="paragraph">
              <wp:posOffset>-780415</wp:posOffset>
            </wp:positionV>
            <wp:extent cx="5778500" cy="8891270"/>
            <wp:effectExtent l="0" t="0" r="0" b="0"/>
            <wp:wrapNone/>
            <wp:docPr id="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pic:cNvPicPr>
                      <a:picLocks noChangeAspect="1"/>
                    </pic:cNvPicPr>
                  </pic:nvPicPr>
                  <pic:blipFill rotWithShape="1">
                    <a:blip r:embed="rId14" cstate="hqprint">
                      <a:extLst>
                        <a:ext uri="{28A0092B-C50C-407E-A947-70E740481C1C}">
                          <a14:useLocalDpi xmlns:a14="http://schemas.microsoft.com/office/drawing/2010/main" val="0"/>
                        </a:ext>
                      </a:extLst>
                    </a:blip>
                    <a:srcRect t="23355" r="39649" b="8508"/>
                    <a:stretch/>
                  </pic:blipFill>
                  <pic:spPr bwMode="auto">
                    <a:xfrm>
                      <a:off x="0" y="0"/>
                      <a:ext cx="5778500" cy="8891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E66094" w14:textId="77777777" w:rsidR="00EE740F" w:rsidRPr="00212531" w:rsidRDefault="00EE740F" w:rsidP="00EE740F">
      <w:pPr>
        <w:spacing w:line="276" w:lineRule="auto"/>
        <w:rPr>
          <w:rFonts w:cs="Arial"/>
        </w:rPr>
      </w:pPr>
    </w:p>
    <w:p w14:paraId="3213F817" w14:textId="77777777" w:rsidR="00EE740F" w:rsidRPr="00212531" w:rsidRDefault="00EE740F" w:rsidP="00EE740F">
      <w:pPr>
        <w:spacing w:line="276" w:lineRule="auto"/>
        <w:rPr>
          <w:rFonts w:cs="Arial"/>
        </w:rPr>
      </w:pPr>
    </w:p>
    <w:p w14:paraId="43215A87" w14:textId="77777777" w:rsidR="00EE740F" w:rsidRPr="00212531" w:rsidRDefault="00EE740F" w:rsidP="00EE740F">
      <w:pPr>
        <w:spacing w:line="276" w:lineRule="auto"/>
        <w:rPr>
          <w:rFonts w:cs="Arial"/>
        </w:rPr>
      </w:pPr>
    </w:p>
    <w:p w14:paraId="719AD484" w14:textId="77777777" w:rsidR="00EE740F" w:rsidRPr="00212531" w:rsidRDefault="00EE740F" w:rsidP="00EE740F">
      <w:pPr>
        <w:spacing w:line="276" w:lineRule="auto"/>
        <w:rPr>
          <w:rFonts w:cs="Arial"/>
        </w:rPr>
      </w:pPr>
    </w:p>
    <w:p w14:paraId="5BD7C63C" w14:textId="77777777" w:rsidR="00EE740F" w:rsidRPr="00212531" w:rsidRDefault="00EE740F" w:rsidP="00EE740F">
      <w:pPr>
        <w:spacing w:line="276" w:lineRule="auto"/>
        <w:rPr>
          <w:rFonts w:cs="Arial"/>
        </w:rPr>
      </w:pPr>
    </w:p>
    <w:p w14:paraId="7FDCD66B" w14:textId="77777777" w:rsidR="00EE740F" w:rsidRPr="00212531" w:rsidRDefault="00EE740F" w:rsidP="00EE740F">
      <w:pPr>
        <w:spacing w:line="276" w:lineRule="auto"/>
        <w:rPr>
          <w:rFonts w:cs="Arial"/>
        </w:rPr>
      </w:pPr>
    </w:p>
    <w:p w14:paraId="561AB2EB" w14:textId="77777777" w:rsidR="00EE740F" w:rsidRPr="00212531" w:rsidRDefault="00EE740F" w:rsidP="00EE740F">
      <w:pPr>
        <w:spacing w:line="276" w:lineRule="auto"/>
        <w:rPr>
          <w:rFonts w:cs="Arial"/>
        </w:rPr>
      </w:pPr>
    </w:p>
    <w:p w14:paraId="594EB883" w14:textId="77777777" w:rsidR="00EE740F" w:rsidRPr="00212531" w:rsidRDefault="00EE740F" w:rsidP="00EE740F">
      <w:pPr>
        <w:spacing w:line="276" w:lineRule="auto"/>
        <w:rPr>
          <w:rFonts w:cs="Arial"/>
        </w:rPr>
      </w:pPr>
    </w:p>
    <w:p w14:paraId="5856B77F" w14:textId="77777777" w:rsidR="00EE740F" w:rsidRPr="00212531" w:rsidRDefault="00EE740F" w:rsidP="00EE740F">
      <w:pPr>
        <w:spacing w:line="276" w:lineRule="auto"/>
        <w:rPr>
          <w:rFonts w:cs="Arial"/>
        </w:rPr>
      </w:pPr>
    </w:p>
    <w:p w14:paraId="76C90339" w14:textId="77777777" w:rsidR="00EE740F" w:rsidRPr="00212531" w:rsidRDefault="00EE740F" w:rsidP="00EE740F">
      <w:pPr>
        <w:spacing w:line="276" w:lineRule="auto"/>
        <w:rPr>
          <w:rFonts w:cs="Arial"/>
        </w:rPr>
      </w:pPr>
    </w:p>
    <w:p w14:paraId="188DA3C9" w14:textId="77777777" w:rsidR="00EE740F" w:rsidRPr="00212531" w:rsidRDefault="00EE740F" w:rsidP="00EE740F">
      <w:pPr>
        <w:spacing w:line="276" w:lineRule="auto"/>
        <w:rPr>
          <w:rFonts w:cs="Arial"/>
        </w:rPr>
      </w:pPr>
    </w:p>
    <w:p w14:paraId="0CD11616" w14:textId="77777777" w:rsidR="00EE740F" w:rsidRPr="00212531" w:rsidRDefault="00EE740F" w:rsidP="00EE740F">
      <w:pPr>
        <w:spacing w:line="276" w:lineRule="auto"/>
        <w:rPr>
          <w:rFonts w:cs="Arial"/>
        </w:rPr>
      </w:pPr>
    </w:p>
    <w:p w14:paraId="4C490915" w14:textId="77777777" w:rsidR="00EE740F" w:rsidRPr="00212531" w:rsidRDefault="00EE740F" w:rsidP="00EE740F">
      <w:pPr>
        <w:spacing w:line="276" w:lineRule="auto"/>
        <w:rPr>
          <w:rFonts w:cs="Arial"/>
        </w:rPr>
      </w:pPr>
    </w:p>
    <w:p w14:paraId="28EE4239" w14:textId="77777777" w:rsidR="00EE740F" w:rsidRPr="00212531" w:rsidRDefault="00EE740F" w:rsidP="00EE740F">
      <w:pPr>
        <w:spacing w:line="276" w:lineRule="auto"/>
        <w:rPr>
          <w:rFonts w:cs="Arial"/>
        </w:rPr>
      </w:pPr>
    </w:p>
    <w:p w14:paraId="576F4525" w14:textId="77777777" w:rsidR="00EE740F" w:rsidRPr="00212531" w:rsidRDefault="00EE740F" w:rsidP="00EE740F">
      <w:pPr>
        <w:spacing w:line="276" w:lineRule="auto"/>
        <w:rPr>
          <w:rFonts w:cs="Arial"/>
        </w:rPr>
      </w:pPr>
    </w:p>
    <w:p w14:paraId="62BC7E5F" w14:textId="77777777" w:rsidR="00EE740F" w:rsidRPr="00212531" w:rsidRDefault="00EE740F" w:rsidP="00EE740F">
      <w:pPr>
        <w:spacing w:line="276" w:lineRule="auto"/>
        <w:rPr>
          <w:rFonts w:cs="Arial"/>
        </w:rPr>
      </w:pPr>
      <w:r w:rsidRPr="00212531">
        <w:rPr>
          <w:rFonts w:cs="Arial"/>
          <w:noProof/>
          <w:lang w:eastAsia="pt-BR"/>
        </w:rPr>
        <mc:AlternateContent>
          <mc:Choice Requires="wps">
            <w:drawing>
              <wp:anchor distT="0" distB="0" distL="114300" distR="114300" simplePos="0" relativeHeight="251658242" behindDoc="0" locked="0" layoutInCell="1" allowOverlap="1" wp14:anchorId="689CBAAE" wp14:editId="48B787B9">
                <wp:simplePos x="0" y="0"/>
                <wp:positionH relativeFrom="margin">
                  <wp:posOffset>-1080135</wp:posOffset>
                </wp:positionH>
                <wp:positionV relativeFrom="paragraph">
                  <wp:posOffset>210915</wp:posOffset>
                </wp:positionV>
                <wp:extent cx="7548880" cy="2268747"/>
                <wp:effectExtent l="0" t="0" r="0" b="0"/>
                <wp:wrapNone/>
                <wp:docPr id="2" name="Título 1">
                  <a:extLst xmlns:a="http://schemas.openxmlformats.org/drawingml/2006/main">
                    <a:ext uri="{FF2B5EF4-FFF2-40B4-BE49-F238E27FC236}">
                      <a16:creationId xmlns:a16="http://schemas.microsoft.com/office/drawing/2014/main" id="{C3D4DF85-86C4-44C2-AA7F-175557BAA5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8880" cy="2268747"/>
                        </a:xfrm>
                        <a:prstGeom prst="rect">
                          <a:avLst/>
                        </a:prstGeom>
                        <a:noFill/>
                      </wps:spPr>
                      <wps:txbx>
                        <w:txbxContent>
                          <w:p w14:paraId="268DBCCB" w14:textId="77777777" w:rsidR="00AC3993" w:rsidRDefault="00AC3993" w:rsidP="00E33F88">
                            <w:pPr>
                              <w:spacing w:line="240" w:lineRule="auto"/>
                              <w:jc w:val="center"/>
                              <w:rPr>
                                <w:rFonts w:ascii="Calibri" w:hAnsi="Calibri" w:cs="Calibri"/>
                                <w:b/>
                                <w:bCs/>
                                <w:color w:val="FFFFFF" w:themeColor="background1"/>
                                <w:sz w:val="48"/>
                                <w:szCs w:val="48"/>
                              </w:rPr>
                            </w:pPr>
                          </w:p>
                          <w:p w14:paraId="26906D06" w14:textId="11F8AA77" w:rsidR="00AC3993" w:rsidRPr="00C16074" w:rsidRDefault="00AC3993" w:rsidP="00E33F88">
                            <w:pPr>
                              <w:spacing w:line="240" w:lineRule="auto"/>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RELATÓRIO DA ADMINISTRAÇÃO</w:t>
                            </w:r>
                          </w:p>
                          <w:p w14:paraId="0DB33847" w14:textId="2DA1B33E" w:rsidR="00AC3993" w:rsidRPr="00C16074" w:rsidRDefault="00AC3993" w:rsidP="00E33F88">
                            <w:pPr>
                              <w:spacing w:line="240" w:lineRule="auto"/>
                              <w:jc w:val="center"/>
                              <w:rPr>
                                <w:rFonts w:ascii="Calibri" w:hAnsi="Calibri" w:cs="Calibri"/>
                                <w:color w:val="95B3D7" w:themeColor="accent1" w:themeTint="99"/>
                                <w:sz w:val="48"/>
                                <w:szCs w:val="48"/>
                              </w:rPr>
                            </w:pPr>
                            <w:r>
                              <w:rPr>
                                <w:rFonts w:ascii="Calibri" w:hAnsi="Calibri" w:cs="Calibri"/>
                                <w:color w:val="95B3D7" w:themeColor="accent1" w:themeTint="99"/>
                                <w:sz w:val="48"/>
                                <w:szCs w:val="48"/>
                              </w:rPr>
                              <w:t>2024</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type w14:anchorId="689CBAAE" id="_x0000_t202" coordsize="21600,21600" o:spt="202" path="m,l,21600r21600,l21600,xe">
                <v:stroke joinstyle="miter"/>
                <v:path gradientshapeok="t" o:connecttype="rect"/>
              </v:shapetype>
              <v:shape id="Título 1" o:spid="_x0000_s1026" type="#_x0000_t202" style="position:absolute;left:0;text-align:left;margin-left:-85.05pt;margin-top:16.6pt;width:594.4pt;height:178.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" filled="f" stroked="f">
                <v:path arrowok="t"/>
                <v:textbox>
                  <w:txbxContent>
                    <w:p w14:paraId="268DBCCB" w14:textId="77777777" w:rsidR="00AC3993" w:rsidRDefault="00AC3993" w:rsidP="00E33F88">
                      <w:pPr>
                        <w:spacing w:line="240" w:lineRule="auto"/>
                        <w:jc w:val="center"/>
                        <w:rPr>
                          <w:rFonts w:ascii="Calibri" w:hAnsi="Calibri" w:cs="Calibri"/>
                          <w:b/>
                          <w:bCs/>
                          <w:color w:val="FFFFFF" w:themeColor="background1"/>
                          <w:sz w:val="48"/>
                          <w:szCs w:val="48"/>
                        </w:rPr>
                      </w:pPr>
                    </w:p>
                    <w:p w14:paraId="26906D06" w14:textId="11F8AA77" w:rsidR="00AC3993" w:rsidRPr="00C16074" w:rsidRDefault="00AC3993" w:rsidP="00E33F88">
                      <w:pPr>
                        <w:spacing w:line="240" w:lineRule="auto"/>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RELATÓRIO DA ADMINISTRAÇÃO</w:t>
                      </w:r>
                    </w:p>
                    <w:p w14:paraId="0DB33847" w14:textId="2DA1B33E" w:rsidR="00AC3993" w:rsidRPr="00C16074" w:rsidRDefault="00AC3993" w:rsidP="00E33F88">
                      <w:pPr>
                        <w:spacing w:line="240" w:lineRule="auto"/>
                        <w:jc w:val="center"/>
                        <w:rPr>
                          <w:rFonts w:ascii="Calibri" w:hAnsi="Calibri" w:cs="Calibri"/>
                          <w:color w:val="95B3D7" w:themeColor="accent1" w:themeTint="99"/>
                          <w:sz w:val="48"/>
                          <w:szCs w:val="48"/>
                        </w:rPr>
                      </w:pPr>
                      <w:r>
                        <w:rPr>
                          <w:rFonts w:ascii="Calibri" w:hAnsi="Calibri" w:cs="Calibri"/>
                          <w:color w:val="95B3D7" w:themeColor="accent1" w:themeTint="99"/>
                          <w:sz w:val="48"/>
                          <w:szCs w:val="48"/>
                        </w:rPr>
                        <w:t>2024</w:t>
                      </w:r>
                    </w:p>
                  </w:txbxContent>
                </v:textbox>
                <w10:wrap anchorx="margin"/>
              </v:shape>
            </w:pict>
          </mc:Fallback>
        </mc:AlternateContent>
      </w:r>
    </w:p>
    <w:p w14:paraId="7448EBDC" w14:textId="77777777" w:rsidR="00EE740F" w:rsidRPr="00212531" w:rsidRDefault="00EE740F" w:rsidP="00EE740F">
      <w:pPr>
        <w:spacing w:line="276" w:lineRule="auto"/>
        <w:rPr>
          <w:rFonts w:cs="Arial"/>
        </w:rPr>
      </w:pPr>
    </w:p>
    <w:p w14:paraId="2C8D3F99" w14:textId="77777777" w:rsidR="00EE740F" w:rsidRPr="00212531" w:rsidRDefault="00EE740F" w:rsidP="00EE740F">
      <w:pPr>
        <w:spacing w:line="276" w:lineRule="auto"/>
        <w:rPr>
          <w:rFonts w:cs="Arial"/>
          <w:b/>
          <w:bCs/>
        </w:rPr>
      </w:pPr>
    </w:p>
    <w:p w14:paraId="41CDA0FB" w14:textId="77777777" w:rsidR="00EE740F" w:rsidRPr="00212531" w:rsidRDefault="00EE740F" w:rsidP="00EE740F">
      <w:pPr>
        <w:spacing w:line="276" w:lineRule="auto"/>
        <w:rPr>
          <w:rFonts w:cs="Arial"/>
          <w:b/>
          <w:bCs/>
        </w:rPr>
      </w:pPr>
    </w:p>
    <w:p w14:paraId="08A59334" w14:textId="77777777" w:rsidR="00EE740F" w:rsidRPr="00212531" w:rsidRDefault="00EE740F" w:rsidP="00EE740F">
      <w:pPr>
        <w:spacing w:line="276" w:lineRule="auto"/>
        <w:rPr>
          <w:rFonts w:cs="Arial"/>
          <w:b/>
          <w:bCs/>
        </w:rPr>
      </w:pPr>
    </w:p>
    <w:p w14:paraId="530CF972" w14:textId="77777777" w:rsidR="00EE740F" w:rsidRPr="00212531" w:rsidRDefault="00EE740F" w:rsidP="00EE740F">
      <w:pPr>
        <w:spacing w:line="276" w:lineRule="auto"/>
        <w:rPr>
          <w:rFonts w:cs="Arial"/>
          <w:b/>
          <w:bCs/>
        </w:rPr>
      </w:pPr>
    </w:p>
    <w:p w14:paraId="33CA7629" w14:textId="77777777" w:rsidR="00EE740F" w:rsidRPr="00212531" w:rsidRDefault="00EE740F" w:rsidP="00EE740F">
      <w:pPr>
        <w:spacing w:line="276" w:lineRule="auto"/>
        <w:rPr>
          <w:rFonts w:cs="Arial"/>
          <w:b/>
          <w:bCs/>
        </w:rPr>
      </w:pPr>
    </w:p>
    <w:p w14:paraId="78E15849" w14:textId="77777777" w:rsidR="00023362" w:rsidRDefault="00023362" w:rsidP="00270C8A">
      <w:pPr>
        <w:spacing w:before="0" w:after="0"/>
        <w:rPr>
          <w:rFonts w:cstheme="minorHAnsi"/>
          <w:b/>
          <w:bCs/>
        </w:rPr>
      </w:pPr>
    </w:p>
    <w:p w14:paraId="0E1D4800" w14:textId="77777777" w:rsidR="00023362" w:rsidRDefault="00023362" w:rsidP="00270C8A">
      <w:pPr>
        <w:spacing w:before="0" w:after="0"/>
        <w:rPr>
          <w:rFonts w:cstheme="minorHAnsi"/>
          <w:b/>
          <w:bCs/>
        </w:rPr>
      </w:pPr>
    </w:p>
    <w:p w14:paraId="76395427" w14:textId="77777777" w:rsidR="00023362" w:rsidRDefault="00023362" w:rsidP="00270C8A">
      <w:pPr>
        <w:spacing w:before="0" w:after="0"/>
        <w:rPr>
          <w:rFonts w:cstheme="minorHAnsi"/>
          <w:b/>
          <w:bCs/>
        </w:rPr>
      </w:pPr>
    </w:p>
    <w:p w14:paraId="61C5CBA9" w14:textId="77777777" w:rsidR="00023362" w:rsidRDefault="00023362" w:rsidP="00270C8A">
      <w:pPr>
        <w:spacing w:before="0" w:after="0"/>
        <w:rPr>
          <w:rFonts w:cstheme="minorHAnsi"/>
          <w:b/>
          <w:bCs/>
        </w:rPr>
      </w:pPr>
    </w:p>
    <w:p w14:paraId="02BF2115" w14:textId="6769D2B8" w:rsidR="00786C81" w:rsidRPr="00270C8A" w:rsidRDefault="00786C81" w:rsidP="00270C8A">
      <w:pPr>
        <w:spacing w:before="0" w:after="0"/>
        <w:rPr>
          <w:rFonts w:cstheme="minorHAnsi"/>
          <w:b/>
          <w:bCs/>
        </w:rPr>
      </w:pPr>
      <w:r w:rsidRPr="00270C8A">
        <w:rPr>
          <w:rFonts w:cstheme="minorHAnsi"/>
          <w:b/>
          <w:bCs/>
        </w:rPr>
        <w:t>TELECOMUNICAÇÕES BRASILEIRAS S</w:t>
      </w:r>
      <w:r w:rsidR="0088177F">
        <w:rPr>
          <w:rFonts w:cstheme="minorHAnsi"/>
          <w:b/>
          <w:bCs/>
        </w:rPr>
        <w:t>.</w:t>
      </w:r>
      <w:r w:rsidRPr="00270C8A">
        <w:rPr>
          <w:rFonts w:cstheme="minorHAnsi"/>
          <w:b/>
          <w:bCs/>
        </w:rPr>
        <w:t>A</w:t>
      </w:r>
      <w:r w:rsidR="0088177F">
        <w:rPr>
          <w:rFonts w:cstheme="minorHAnsi"/>
          <w:b/>
          <w:bCs/>
        </w:rPr>
        <w:t>.</w:t>
      </w:r>
      <w:r w:rsidRPr="00270C8A">
        <w:rPr>
          <w:rFonts w:cstheme="minorHAnsi"/>
          <w:b/>
          <w:bCs/>
        </w:rPr>
        <w:t xml:space="preserve"> - </w:t>
      </w:r>
      <w:r w:rsidR="00F73477" w:rsidRPr="00270C8A">
        <w:rPr>
          <w:rFonts w:cstheme="minorHAnsi"/>
          <w:b/>
          <w:bCs/>
        </w:rPr>
        <w:t>TELEBRAS</w:t>
      </w:r>
    </w:p>
    <w:p w14:paraId="17640068" w14:textId="77777777" w:rsidR="00CE535B" w:rsidRPr="00270C8A" w:rsidRDefault="00CE535B" w:rsidP="00270C8A">
      <w:pPr>
        <w:spacing w:before="0" w:after="0"/>
        <w:rPr>
          <w:rFonts w:cstheme="minorHAnsi"/>
        </w:rPr>
      </w:pPr>
    </w:p>
    <w:p w14:paraId="2C0F2024" w14:textId="6C5ECAD7" w:rsidR="00786C81" w:rsidRPr="00270C8A" w:rsidRDefault="00786C81" w:rsidP="00270C8A">
      <w:pPr>
        <w:spacing w:before="0" w:after="0"/>
        <w:rPr>
          <w:rStyle w:val="A3"/>
          <w:rFonts w:cstheme="minorHAnsi"/>
          <w:b/>
          <w:color w:val="002060"/>
          <w:sz w:val="24"/>
          <w:szCs w:val="24"/>
        </w:rPr>
      </w:pPr>
      <w:r w:rsidRPr="00270C8A">
        <w:rPr>
          <w:rStyle w:val="A3"/>
          <w:rFonts w:cstheme="minorHAnsi"/>
          <w:b/>
          <w:color w:val="002060"/>
          <w:sz w:val="24"/>
          <w:szCs w:val="24"/>
        </w:rPr>
        <w:t xml:space="preserve">PRESIDENTE </w:t>
      </w:r>
    </w:p>
    <w:p w14:paraId="0C4D3025" w14:textId="1D681790" w:rsidR="003807F5" w:rsidRPr="00270C8A" w:rsidRDefault="002E0A1C" w:rsidP="00270C8A">
      <w:pPr>
        <w:spacing w:before="0" w:after="0"/>
        <w:rPr>
          <w:rFonts w:cstheme="minorHAnsi"/>
        </w:rPr>
      </w:pPr>
      <w:r>
        <w:rPr>
          <w:rStyle w:val="A3"/>
          <w:rFonts w:cstheme="minorHAnsi"/>
          <w:color w:val="002060"/>
          <w:sz w:val="24"/>
          <w:szCs w:val="24"/>
        </w:rPr>
        <w:t>Frederico de Siqueira Filho</w:t>
      </w:r>
    </w:p>
    <w:p w14:paraId="0C75073E" w14:textId="77777777" w:rsidR="007106DF" w:rsidRPr="00270C8A" w:rsidRDefault="007106DF" w:rsidP="00270C8A">
      <w:pPr>
        <w:spacing w:before="0" w:after="0"/>
        <w:rPr>
          <w:rFonts w:cstheme="minorHAnsi"/>
        </w:rPr>
      </w:pPr>
    </w:p>
    <w:p w14:paraId="60EFF671" w14:textId="4B7C747B" w:rsidR="007106DF" w:rsidRPr="00270C8A" w:rsidRDefault="007106DF" w:rsidP="00270C8A">
      <w:pPr>
        <w:spacing w:before="0" w:after="0"/>
        <w:rPr>
          <w:rStyle w:val="A3"/>
          <w:rFonts w:cstheme="minorHAnsi"/>
          <w:b/>
          <w:color w:val="002060"/>
          <w:sz w:val="24"/>
          <w:szCs w:val="24"/>
        </w:rPr>
      </w:pPr>
      <w:r w:rsidRPr="00270C8A">
        <w:rPr>
          <w:rStyle w:val="A3"/>
          <w:rFonts w:cstheme="minorHAnsi"/>
          <w:b/>
          <w:color w:val="002060"/>
          <w:sz w:val="24"/>
          <w:szCs w:val="24"/>
        </w:rPr>
        <w:t>DIRETOR</w:t>
      </w:r>
      <w:r w:rsidR="002E0A1C">
        <w:rPr>
          <w:rStyle w:val="A3"/>
          <w:rFonts w:cstheme="minorHAnsi"/>
          <w:b/>
          <w:color w:val="002060"/>
          <w:sz w:val="24"/>
          <w:szCs w:val="24"/>
        </w:rPr>
        <w:t>A</w:t>
      </w:r>
      <w:r w:rsidRPr="00270C8A">
        <w:rPr>
          <w:rStyle w:val="A3"/>
          <w:rFonts w:cstheme="minorHAnsi"/>
          <w:b/>
          <w:color w:val="002060"/>
          <w:sz w:val="24"/>
          <w:szCs w:val="24"/>
        </w:rPr>
        <w:t xml:space="preserve"> ADMINIST</w:t>
      </w:r>
      <w:r w:rsidR="00B01896">
        <w:rPr>
          <w:rStyle w:val="A3"/>
          <w:rFonts w:cstheme="minorHAnsi"/>
          <w:b/>
          <w:color w:val="002060"/>
          <w:sz w:val="24"/>
          <w:szCs w:val="24"/>
        </w:rPr>
        <w:t>R</w:t>
      </w:r>
      <w:r w:rsidRPr="00270C8A">
        <w:rPr>
          <w:rStyle w:val="A3"/>
          <w:rFonts w:cstheme="minorHAnsi"/>
          <w:b/>
          <w:color w:val="002060"/>
          <w:sz w:val="24"/>
          <w:szCs w:val="24"/>
        </w:rPr>
        <w:t>ATIV</w:t>
      </w:r>
      <w:r w:rsidR="002E0A1C">
        <w:rPr>
          <w:rStyle w:val="A3"/>
          <w:rFonts w:cstheme="minorHAnsi"/>
          <w:b/>
          <w:color w:val="002060"/>
          <w:sz w:val="24"/>
          <w:szCs w:val="24"/>
        </w:rPr>
        <w:t>A</w:t>
      </w:r>
      <w:r w:rsidRPr="00270C8A">
        <w:rPr>
          <w:rStyle w:val="A3"/>
          <w:rFonts w:cstheme="minorHAnsi"/>
          <w:b/>
          <w:color w:val="002060"/>
          <w:sz w:val="24"/>
          <w:szCs w:val="24"/>
        </w:rPr>
        <w:t>-FINANCEIR</w:t>
      </w:r>
      <w:r w:rsidR="002E0A1C">
        <w:rPr>
          <w:rStyle w:val="A3"/>
          <w:rFonts w:cstheme="minorHAnsi"/>
          <w:b/>
          <w:color w:val="002060"/>
          <w:sz w:val="24"/>
          <w:szCs w:val="24"/>
        </w:rPr>
        <w:t>A E RELAÇÕES COM INVESTIDORES</w:t>
      </w:r>
    </w:p>
    <w:p w14:paraId="6A4FBA87" w14:textId="3211C787" w:rsidR="005E1A4D" w:rsidRPr="00270C8A" w:rsidRDefault="002E0A1C" w:rsidP="005E1A4D">
      <w:pPr>
        <w:spacing w:before="0" w:after="0"/>
        <w:rPr>
          <w:rStyle w:val="A3"/>
          <w:rFonts w:cstheme="minorHAnsi"/>
          <w:color w:val="002060"/>
          <w:sz w:val="24"/>
          <w:szCs w:val="24"/>
          <w:lang w:eastAsia="pt-BR"/>
        </w:rPr>
      </w:pPr>
      <w:r>
        <w:rPr>
          <w:rStyle w:val="A3"/>
          <w:rFonts w:cstheme="minorHAnsi"/>
          <w:color w:val="002060"/>
          <w:sz w:val="24"/>
          <w:szCs w:val="24"/>
          <w:lang w:eastAsia="pt-BR"/>
        </w:rPr>
        <w:t>Tatiana Rúbia Melo Miranda</w:t>
      </w:r>
    </w:p>
    <w:p w14:paraId="2EBD724B" w14:textId="4A4126F1" w:rsidR="007106DF" w:rsidRDefault="007106DF" w:rsidP="00270C8A">
      <w:pPr>
        <w:spacing w:before="0" w:after="0"/>
        <w:rPr>
          <w:rFonts w:cstheme="minorHAnsi"/>
        </w:rPr>
      </w:pPr>
    </w:p>
    <w:p w14:paraId="00B03FE9" w14:textId="77777777" w:rsidR="002E0A1C" w:rsidRPr="00270C8A" w:rsidRDefault="002E0A1C" w:rsidP="002E0A1C">
      <w:pPr>
        <w:spacing w:before="0" w:after="0"/>
        <w:rPr>
          <w:rStyle w:val="A3"/>
          <w:rFonts w:cstheme="minorHAnsi"/>
          <w:b/>
          <w:color w:val="002060"/>
          <w:sz w:val="24"/>
          <w:szCs w:val="24"/>
        </w:rPr>
      </w:pPr>
      <w:r w:rsidRPr="00270C8A">
        <w:rPr>
          <w:rStyle w:val="A3"/>
          <w:rFonts w:cstheme="minorHAnsi"/>
          <w:b/>
          <w:color w:val="002060"/>
          <w:sz w:val="24"/>
          <w:szCs w:val="24"/>
        </w:rPr>
        <w:t>DIRETOR TÉCNICO-OPERACIONAL</w:t>
      </w:r>
    </w:p>
    <w:p w14:paraId="04907729" w14:textId="303FEFE6" w:rsidR="002E0A1C" w:rsidRPr="00270C8A" w:rsidRDefault="002E0A1C" w:rsidP="002E0A1C">
      <w:pPr>
        <w:spacing w:before="0" w:after="0"/>
        <w:rPr>
          <w:rStyle w:val="A3"/>
          <w:rFonts w:cstheme="minorHAnsi"/>
          <w:color w:val="002060"/>
          <w:sz w:val="24"/>
          <w:szCs w:val="24"/>
          <w:lang w:eastAsia="pt-BR"/>
        </w:rPr>
      </w:pPr>
      <w:r>
        <w:rPr>
          <w:rStyle w:val="A3"/>
          <w:rFonts w:cstheme="minorHAnsi"/>
          <w:color w:val="002060"/>
          <w:sz w:val="24"/>
          <w:szCs w:val="24"/>
          <w:lang w:eastAsia="pt-BR"/>
        </w:rPr>
        <w:t>Nauro Luiz Scheufler</w:t>
      </w:r>
    </w:p>
    <w:p w14:paraId="407FC4DE" w14:textId="77777777" w:rsidR="002E0A1C" w:rsidRPr="00270C8A" w:rsidRDefault="002E0A1C" w:rsidP="00270C8A">
      <w:pPr>
        <w:spacing w:before="0" w:after="0"/>
        <w:rPr>
          <w:rFonts w:cstheme="minorHAnsi"/>
        </w:rPr>
      </w:pPr>
    </w:p>
    <w:p w14:paraId="79BC5D58" w14:textId="1D9A3413" w:rsidR="008901DA" w:rsidRPr="00270C8A" w:rsidRDefault="008901DA" w:rsidP="00270C8A">
      <w:pPr>
        <w:spacing w:before="0" w:after="0"/>
        <w:rPr>
          <w:rStyle w:val="A3"/>
          <w:rFonts w:cstheme="minorHAnsi"/>
          <w:b/>
          <w:color w:val="002060"/>
          <w:sz w:val="24"/>
          <w:szCs w:val="24"/>
        </w:rPr>
      </w:pPr>
      <w:r w:rsidRPr="00270C8A">
        <w:rPr>
          <w:rStyle w:val="A3"/>
          <w:rFonts w:cstheme="minorHAnsi"/>
          <w:b/>
          <w:color w:val="002060"/>
          <w:sz w:val="24"/>
          <w:szCs w:val="24"/>
        </w:rPr>
        <w:t>DIRETOR COMERCIAL</w:t>
      </w:r>
    </w:p>
    <w:p w14:paraId="4A560263" w14:textId="2BD839D5" w:rsidR="008901DA" w:rsidRPr="00270C8A" w:rsidRDefault="002E0A1C" w:rsidP="00270C8A">
      <w:pPr>
        <w:spacing w:before="0" w:after="0"/>
        <w:rPr>
          <w:rFonts w:cstheme="minorHAnsi"/>
        </w:rPr>
      </w:pPr>
      <w:r>
        <w:rPr>
          <w:rFonts w:cstheme="minorHAnsi"/>
        </w:rPr>
        <w:t>Levi Figueiredo</w:t>
      </w:r>
    </w:p>
    <w:p w14:paraId="60A66EE6" w14:textId="331A601A" w:rsidR="008901DA" w:rsidRPr="00270C8A" w:rsidRDefault="008901DA" w:rsidP="00270C8A">
      <w:pPr>
        <w:spacing w:before="0" w:after="0"/>
        <w:rPr>
          <w:rStyle w:val="A3"/>
          <w:rFonts w:cstheme="minorHAnsi"/>
          <w:b/>
          <w:color w:val="002060"/>
          <w:sz w:val="24"/>
          <w:szCs w:val="24"/>
          <w:lang w:eastAsia="pt-BR"/>
        </w:rPr>
      </w:pPr>
    </w:p>
    <w:p w14:paraId="226221B1" w14:textId="0D4BF9B5" w:rsidR="007106DF" w:rsidRPr="00270C8A" w:rsidRDefault="007106DF" w:rsidP="00270C8A">
      <w:pPr>
        <w:spacing w:before="0" w:after="0"/>
        <w:rPr>
          <w:rStyle w:val="A3"/>
          <w:rFonts w:cstheme="minorHAnsi"/>
          <w:b/>
          <w:color w:val="002060"/>
          <w:sz w:val="24"/>
          <w:szCs w:val="24"/>
        </w:rPr>
      </w:pPr>
      <w:r w:rsidRPr="00270C8A">
        <w:rPr>
          <w:rStyle w:val="A3"/>
          <w:rFonts w:cstheme="minorHAnsi"/>
          <w:b/>
          <w:color w:val="002060"/>
          <w:sz w:val="24"/>
          <w:szCs w:val="24"/>
        </w:rPr>
        <w:t>DIRETOR DE GOVERNANÇA</w:t>
      </w:r>
    </w:p>
    <w:p w14:paraId="1859060E" w14:textId="0CF2BC41" w:rsidR="007106DF" w:rsidRPr="00270C8A" w:rsidRDefault="002E0A1C" w:rsidP="00270C8A">
      <w:pPr>
        <w:spacing w:before="0" w:after="0"/>
        <w:rPr>
          <w:rStyle w:val="A3"/>
          <w:rFonts w:cstheme="minorHAnsi"/>
          <w:color w:val="002060"/>
          <w:sz w:val="24"/>
          <w:szCs w:val="24"/>
          <w:lang w:eastAsia="pt-BR"/>
        </w:rPr>
      </w:pPr>
      <w:r>
        <w:rPr>
          <w:rStyle w:val="A3"/>
          <w:rFonts w:cstheme="minorHAnsi"/>
          <w:color w:val="002060"/>
          <w:sz w:val="24"/>
          <w:szCs w:val="24"/>
          <w:lang w:eastAsia="pt-BR"/>
        </w:rPr>
        <w:t>Wallyson Lemos dos Reis Oliveira</w:t>
      </w:r>
    </w:p>
    <w:p w14:paraId="2A4A15D7" w14:textId="22B9ED24" w:rsidR="00354116" w:rsidRPr="00270C8A" w:rsidRDefault="00354116" w:rsidP="00035BEE">
      <w:pPr>
        <w:spacing w:line="276" w:lineRule="auto"/>
        <w:rPr>
          <w:rStyle w:val="A3"/>
          <w:rFonts w:cstheme="minorHAnsi"/>
          <w:color w:val="002060"/>
          <w:sz w:val="24"/>
          <w:szCs w:val="24"/>
          <w:highlight w:val="yellow"/>
          <w:lang w:eastAsia="pt-BR"/>
        </w:rPr>
      </w:pPr>
    </w:p>
    <w:p w14:paraId="51CB38AC" w14:textId="7C49F9F8" w:rsidR="00875E77" w:rsidRPr="00270C8A" w:rsidRDefault="00875E77" w:rsidP="00035BEE">
      <w:pPr>
        <w:spacing w:line="276" w:lineRule="auto"/>
        <w:rPr>
          <w:rStyle w:val="A3"/>
          <w:rFonts w:cstheme="minorHAnsi"/>
          <w:color w:val="002060"/>
          <w:sz w:val="24"/>
          <w:szCs w:val="24"/>
          <w:highlight w:val="yellow"/>
          <w:lang w:eastAsia="pt-BR"/>
        </w:rPr>
      </w:pPr>
    </w:p>
    <w:p w14:paraId="3D0796FB" w14:textId="6737E6A2" w:rsidR="00875E77" w:rsidRPr="00270C8A" w:rsidRDefault="00875E77" w:rsidP="00035BEE">
      <w:pPr>
        <w:spacing w:line="276" w:lineRule="auto"/>
        <w:rPr>
          <w:rStyle w:val="A3"/>
          <w:rFonts w:cstheme="minorHAnsi"/>
          <w:color w:val="002060"/>
          <w:sz w:val="24"/>
          <w:szCs w:val="24"/>
          <w:highlight w:val="yellow"/>
          <w:lang w:eastAsia="pt-BR"/>
        </w:rPr>
      </w:pPr>
    </w:p>
    <w:p w14:paraId="6697D1AE" w14:textId="6953F193" w:rsidR="00875E77" w:rsidRPr="00270C8A" w:rsidRDefault="00875E77" w:rsidP="00035BEE">
      <w:pPr>
        <w:spacing w:line="276" w:lineRule="auto"/>
        <w:rPr>
          <w:rStyle w:val="A3"/>
          <w:rFonts w:cstheme="minorHAnsi"/>
          <w:color w:val="002060"/>
          <w:sz w:val="24"/>
          <w:szCs w:val="24"/>
          <w:highlight w:val="yellow"/>
          <w:lang w:eastAsia="pt-BR"/>
        </w:rPr>
      </w:pPr>
    </w:p>
    <w:p w14:paraId="763A852E" w14:textId="41FC5448" w:rsidR="00151706" w:rsidRDefault="00151706" w:rsidP="00035BEE">
      <w:pPr>
        <w:spacing w:line="276" w:lineRule="auto"/>
        <w:rPr>
          <w:rStyle w:val="A3"/>
          <w:rFonts w:cstheme="minorHAnsi"/>
          <w:color w:val="002060"/>
          <w:sz w:val="24"/>
          <w:szCs w:val="24"/>
          <w:highlight w:val="yellow"/>
          <w:lang w:eastAsia="pt-BR"/>
        </w:rPr>
      </w:pPr>
    </w:p>
    <w:p w14:paraId="79E007FE" w14:textId="1014A2F4" w:rsidR="001B6DF6" w:rsidRPr="00270C8A" w:rsidRDefault="001B6DF6" w:rsidP="00035BEE">
      <w:pPr>
        <w:spacing w:line="276" w:lineRule="auto"/>
        <w:rPr>
          <w:rStyle w:val="A3"/>
          <w:rFonts w:cstheme="minorHAnsi"/>
          <w:color w:val="002060"/>
          <w:sz w:val="24"/>
          <w:szCs w:val="24"/>
          <w:highlight w:val="yellow"/>
          <w:lang w:eastAsia="pt-BR"/>
        </w:rPr>
      </w:pPr>
    </w:p>
    <w:p w14:paraId="0688930A" w14:textId="3849FCF0" w:rsidR="000A5B07" w:rsidRPr="00270C8A" w:rsidRDefault="00685B03" w:rsidP="00035BEE">
      <w:pPr>
        <w:pStyle w:val="Pa5"/>
        <w:spacing w:line="276" w:lineRule="auto"/>
        <w:rPr>
          <w:rStyle w:val="A3"/>
          <w:rFonts w:asciiTheme="minorHAnsi" w:hAnsiTheme="minorHAnsi" w:cstheme="minorHAnsi"/>
          <w:b/>
          <w:color w:val="002060"/>
          <w:sz w:val="24"/>
          <w:szCs w:val="24"/>
        </w:rPr>
      </w:pPr>
      <w:r w:rsidRPr="00270C8A">
        <w:rPr>
          <w:rStyle w:val="A3"/>
          <w:rFonts w:asciiTheme="minorHAnsi" w:hAnsiTheme="minorHAnsi" w:cstheme="minorHAnsi"/>
          <w:b/>
          <w:color w:val="002060"/>
          <w:sz w:val="24"/>
          <w:szCs w:val="24"/>
        </w:rPr>
        <w:t xml:space="preserve">CONSOLIDADO </w:t>
      </w:r>
      <w:r w:rsidR="000A5B07" w:rsidRPr="00270C8A">
        <w:rPr>
          <w:rStyle w:val="A3"/>
          <w:rFonts w:asciiTheme="minorHAnsi" w:hAnsiTheme="minorHAnsi" w:cstheme="minorHAnsi"/>
          <w:b/>
          <w:color w:val="002060"/>
          <w:sz w:val="24"/>
          <w:szCs w:val="24"/>
        </w:rPr>
        <w:t xml:space="preserve">POR </w:t>
      </w:r>
    </w:p>
    <w:p w14:paraId="407DA86C" w14:textId="64427728" w:rsidR="00354116" w:rsidRPr="00270C8A" w:rsidRDefault="004A6356" w:rsidP="00035BEE">
      <w:pPr>
        <w:pStyle w:val="Default"/>
        <w:spacing w:line="276" w:lineRule="auto"/>
        <w:ind w:firstLine="1"/>
        <w:rPr>
          <w:rFonts w:asciiTheme="minorHAnsi" w:hAnsiTheme="minorHAnsi" w:cstheme="minorHAnsi"/>
          <w:color w:val="002060"/>
        </w:rPr>
      </w:pPr>
      <w:r w:rsidRPr="00270C8A">
        <w:rPr>
          <w:rFonts w:asciiTheme="minorHAnsi" w:hAnsiTheme="minorHAnsi" w:cstheme="minorHAnsi"/>
          <w:color w:val="002060"/>
        </w:rPr>
        <w:t>Alex Luiz Martins Matheus da Rocha</w:t>
      </w:r>
      <w:r w:rsidR="000056B7">
        <w:rPr>
          <w:rFonts w:asciiTheme="minorHAnsi" w:hAnsiTheme="minorHAnsi" w:cstheme="minorHAnsi"/>
          <w:color w:val="002060"/>
        </w:rPr>
        <w:t xml:space="preserve"> – Especialista em Gest</w:t>
      </w:r>
      <w:r w:rsidR="00296699">
        <w:rPr>
          <w:rFonts w:asciiTheme="minorHAnsi" w:hAnsiTheme="minorHAnsi" w:cstheme="minorHAnsi"/>
          <w:color w:val="002060"/>
        </w:rPr>
        <w:t>ão de Telecomunicações</w:t>
      </w:r>
    </w:p>
    <w:p w14:paraId="6B6CB3DE" w14:textId="77777777" w:rsidR="00EC6E3D" w:rsidRPr="00270C8A" w:rsidRDefault="00EC6E3D" w:rsidP="00035BEE">
      <w:pPr>
        <w:pStyle w:val="Default"/>
        <w:spacing w:line="276" w:lineRule="auto"/>
        <w:ind w:firstLine="1"/>
        <w:rPr>
          <w:rFonts w:asciiTheme="minorHAnsi" w:hAnsiTheme="minorHAnsi" w:cstheme="minorHAnsi"/>
          <w:color w:val="002060"/>
        </w:rPr>
      </w:pPr>
    </w:p>
    <w:p w14:paraId="4462C584" w14:textId="58B94AA9" w:rsidR="00EC6E3D" w:rsidRPr="00270C8A" w:rsidRDefault="00D1220E" w:rsidP="00035BEE">
      <w:pPr>
        <w:pStyle w:val="Pa5"/>
        <w:spacing w:line="276" w:lineRule="auto"/>
        <w:rPr>
          <w:rStyle w:val="A3"/>
          <w:rFonts w:asciiTheme="minorHAnsi" w:hAnsiTheme="minorHAnsi" w:cstheme="minorHAnsi"/>
          <w:b/>
          <w:color w:val="002060"/>
          <w:sz w:val="24"/>
          <w:szCs w:val="24"/>
        </w:rPr>
      </w:pPr>
      <w:r w:rsidRPr="00270C8A">
        <w:rPr>
          <w:rStyle w:val="A3"/>
          <w:rFonts w:asciiTheme="minorHAnsi" w:hAnsiTheme="minorHAnsi" w:cstheme="minorHAnsi"/>
          <w:b/>
          <w:color w:val="002060"/>
          <w:sz w:val="24"/>
          <w:szCs w:val="24"/>
        </w:rPr>
        <w:t>REVISA</w:t>
      </w:r>
      <w:r w:rsidR="00EC6E3D" w:rsidRPr="00270C8A">
        <w:rPr>
          <w:rStyle w:val="A3"/>
          <w:rFonts w:asciiTheme="minorHAnsi" w:hAnsiTheme="minorHAnsi" w:cstheme="minorHAnsi"/>
          <w:b/>
          <w:color w:val="002060"/>
          <w:sz w:val="24"/>
          <w:szCs w:val="24"/>
        </w:rPr>
        <w:t xml:space="preserve">DO POR </w:t>
      </w:r>
    </w:p>
    <w:p w14:paraId="2DF1123B" w14:textId="428F0064" w:rsidR="00EC6E3D" w:rsidRPr="00270C8A" w:rsidRDefault="00EC6E3D" w:rsidP="00035BEE">
      <w:pPr>
        <w:pStyle w:val="Default"/>
        <w:spacing w:line="276" w:lineRule="auto"/>
        <w:ind w:firstLine="1"/>
        <w:rPr>
          <w:rFonts w:asciiTheme="minorHAnsi" w:hAnsiTheme="minorHAnsi" w:cstheme="minorHAnsi"/>
          <w:color w:val="002060"/>
        </w:rPr>
      </w:pPr>
      <w:r w:rsidRPr="00270C8A">
        <w:rPr>
          <w:rFonts w:asciiTheme="minorHAnsi" w:hAnsiTheme="minorHAnsi" w:cstheme="minorHAnsi"/>
          <w:color w:val="002060"/>
        </w:rPr>
        <w:t>Eduardo Masashi Sasaki</w:t>
      </w:r>
      <w:r w:rsidR="005007BB">
        <w:rPr>
          <w:rFonts w:asciiTheme="minorHAnsi" w:hAnsiTheme="minorHAnsi" w:cstheme="minorHAnsi"/>
          <w:color w:val="002060"/>
        </w:rPr>
        <w:t xml:space="preserve"> – Coordenador de Gestão Empresarial</w:t>
      </w:r>
    </w:p>
    <w:p w14:paraId="77EDB741" w14:textId="54B0B78E" w:rsidR="00296699" w:rsidRDefault="00E26B8D">
      <w:pPr>
        <w:pStyle w:val="Default"/>
        <w:spacing w:line="276" w:lineRule="auto"/>
        <w:ind w:firstLine="1"/>
        <w:rPr>
          <w:rFonts w:asciiTheme="minorHAnsi" w:hAnsiTheme="minorHAnsi" w:cstheme="minorHAnsi"/>
          <w:color w:val="002060"/>
          <w:szCs w:val="18"/>
        </w:rPr>
      </w:pPr>
      <w:r>
        <w:rPr>
          <w:rFonts w:asciiTheme="minorHAnsi" w:hAnsiTheme="minorHAnsi" w:cstheme="minorHAnsi"/>
          <w:color w:val="002060"/>
          <w:szCs w:val="18"/>
        </w:rPr>
        <w:t>Leandro Neves de Oliveira Bando</w:t>
      </w:r>
      <w:r w:rsidR="00243314">
        <w:rPr>
          <w:rFonts w:asciiTheme="minorHAnsi" w:hAnsiTheme="minorHAnsi" w:cstheme="minorHAnsi"/>
          <w:color w:val="002060"/>
          <w:szCs w:val="18"/>
        </w:rPr>
        <w:t xml:space="preserve"> – Gerente de Gestão Empresarial</w:t>
      </w:r>
    </w:p>
    <w:p w14:paraId="0ED7A30A" w14:textId="77777777" w:rsidR="00296699" w:rsidRPr="00BC107A" w:rsidRDefault="00296699">
      <w:pPr>
        <w:pStyle w:val="Default"/>
        <w:spacing w:line="276" w:lineRule="auto"/>
        <w:ind w:firstLine="1"/>
        <w:rPr>
          <w:rFonts w:asciiTheme="minorHAnsi" w:hAnsiTheme="minorHAnsi" w:cstheme="minorHAnsi"/>
          <w:color w:val="002060"/>
          <w:szCs w:val="18"/>
        </w:rPr>
      </w:pPr>
    </w:p>
    <w:p w14:paraId="07FC8A81" w14:textId="2C84250D" w:rsidR="000D379F" w:rsidRPr="00C00EF0" w:rsidRDefault="000D379F" w:rsidP="00C00EF0">
      <w:pPr>
        <w:pStyle w:val="Ttulo1"/>
        <w:ind w:left="858" w:hanging="858"/>
        <w:rPr>
          <w:szCs w:val="26"/>
        </w:rPr>
      </w:pPr>
      <w:bookmarkStart w:id="1" w:name="_Toc191641862"/>
      <w:bookmarkStart w:id="2" w:name="_Toc124080447"/>
      <w:r w:rsidRPr="00C00EF0">
        <w:rPr>
          <w:szCs w:val="26"/>
        </w:rPr>
        <w:lastRenderedPageBreak/>
        <w:t>Mensagem da Administração</w:t>
      </w:r>
      <w:bookmarkEnd w:id="1"/>
    </w:p>
    <w:p w14:paraId="326DE868" w14:textId="3E8FADB4" w:rsidR="00E1371C" w:rsidRPr="00E1371C" w:rsidRDefault="00E1371C" w:rsidP="00E1371C">
      <w:pPr>
        <w:spacing w:line="276" w:lineRule="auto"/>
        <w:rPr>
          <w:sz w:val="22"/>
          <w:szCs w:val="22"/>
        </w:rPr>
      </w:pPr>
      <w:r>
        <w:rPr>
          <w:sz w:val="22"/>
          <w:szCs w:val="22"/>
        </w:rPr>
        <w:t xml:space="preserve">O ano de </w:t>
      </w:r>
      <w:r w:rsidRPr="00E1371C">
        <w:rPr>
          <w:sz w:val="22"/>
          <w:szCs w:val="22"/>
        </w:rPr>
        <w:t>2024 foi marcado por desafios e conquistas para a Telebras, consolidando-se como peça fundamental</w:t>
      </w:r>
      <w:r>
        <w:rPr>
          <w:sz w:val="22"/>
          <w:szCs w:val="22"/>
        </w:rPr>
        <w:t xml:space="preserve"> </w:t>
      </w:r>
      <w:r w:rsidRPr="00E1371C">
        <w:rPr>
          <w:sz w:val="22"/>
          <w:szCs w:val="22"/>
        </w:rPr>
        <w:t>na conectividade do Brasil, tanto em tempos de normalidade qu</w:t>
      </w:r>
      <w:r>
        <w:rPr>
          <w:sz w:val="22"/>
          <w:szCs w:val="22"/>
        </w:rPr>
        <w:t xml:space="preserve">anto em situações emergenciais. </w:t>
      </w:r>
      <w:r w:rsidRPr="00E1371C">
        <w:rPr>
          <w:sz w:val="22"/>
          <w:szCs w:val="22"/>
        </w:rPr>
        <w:t xml:space="preserve">Celebramos 52 anos de existência reafirmando nosso compromisso com </w:t>
      </w:r>
      <w:r>
        <w:rPr>
          <w:sz w:val="22"/>
          <w:szCs w:val="22"/>
        </w:rPr>
        <w:t xml:space="preserve">a inclusão digital, a segurança </w:t>
      </w:r>
      <w:r w:rsidRPr="00E1371C">
        <w:rPr>
          <w:sz w:val="22"/>
          <w:szCs w:val="22"/>
        </w:rPr>
        <w:t>das comunicações estratégicas e a prestação de serviços essenciais à população.</w:t>
      </w:r>
    </w:p>
    <w:p w14:paraId="6EA5EAEC" w14:textId="419996C0" w:rsidR="00E1371C" w:rsidRPr="00E1371C" w:rsidRDefault="00E1371C" w:rsidP="00E1371C">
      <w:pPr>
        <w:spacing w:line="276" w:lineRule="auto"/>
        <w:rPr>
          <w:sz w:val="22"/>
          <w:szCs w:val="22"/>
        </w:rPr>
      </w:pPr>
      <w:r w:rsidRPr="00E1371C">
        <w:rPr>
          <w:sz w:val="22"/>
          <w:szCs w:val="22"/>
        </w:rPr>
        <w:t>Sob a responsabilidade de implementar as Políticas Públicas de Tel</w:t>
      </w:r>
      <w:r>
        <w:rPr>
          <w:sz w:val="22"/>
          <w:szCs w:val="22"/>
        </w:rPr>
        <w:t xml:space="preserve">ecomunicações, designadas pelos </w:t>
      </w:r>
      <w:r w:rsidRPr="00E1371C">
        <w:rPr>
          <w:sz w:val="22"/>
          <w:szCs w:val="22"/>
        </w:rPr>
        <w:t>Decretos nº 9.612/2018, nº 10.799/2021 e nº 11.299/2022, focamos no planejamen</w:t>
      </w:r>
      <w:r>
        <w:rPr>
          <w:sz w:val="22"/>
          <w:szCs w:val="22"/>
        </w:rPr>
        <w:t xml:space="preserve">to da gestão da </w:t>
      </w:r>
      <w:r w:rsidRPr="00E1371C">
        <w:rPr>
          <w:sz w:val="22"/>
          <w:szCs w:val="22"/>
        </w:rPr>
        <w:t xml:space="preserve">Rede Privativa do Governo Federal. Este planejamento é crucial para </w:t>
      </w:r>
      <w:r>
        <w:rPr>
          <w:sz w:val="22"/>
          <w:szCs w:val="22"/>
        </w:rPr>
        <w:t xml:space="preserve">a segurança das informações e </w:t>
      </w:r>
      <w:r w:rsidRPr="00E1371C">
        <w:rPr>
          <w:sz w:val="22"/>
          <w:szCs w:val="22"/>
        </w:rPr>
        <w:t>efici</w:t>
      </w:r>
      <w:r>
        <w:rPr>
          <w:sz w:val="22"/>
          <w:szCs w:val="22"/>
        </w:rPr>
        <w:t>ência na comunicação dentro da Administração P</w:t>
      </w:r>
      <w:r w:rsidRPr="00E1371C">
        <w:rPr>
          <w:sz w:val="22"/>
          <w:szCs w:val="22"/>
        </w:rPr>
        <w:t>ública.</w:t>
      </w:r>
    </w:p>
    <w:p w14:paraId="1E936F4C" w14:textId="7CD4E731" w:rsidR="00E1371C" w:rsidRPr="00E1371C" w:rsidRDefault="00E1371C" w:rsidP="00E1371C">
      <w:pPr>
        <w:spacing w:line="276" w:lineRule="auto"/>
        <w:rPr>
          <w:sz w:val="22"/>
          <w:szCs w:val="22"/>
        </w:rPr>
      </w:pPr>
      <w:r w:rsidRPr="00E1371C">
        <w:rPr>
          <w:sz w:val="22"/>
          <w:szCs w:val="22"/>
        </w:rPr>
        <w:t>Um grande avanço em 2024 foi o fortalecimento do Programa Governo Eletrônico – Se</w:t>
      </w:r>
      <w:r>
        <w:rPr>
          <w:sz w:val="22"/>
          <w:szCs w:val="22"/>
        </w:rPr>
        <w:t xml:space="preserve">rviço de </w:t>
      </w:r>
      <w:r w:rsidRPr="00E1371C">
        <w:rPr>
          <w:sz w:val="22"/>
          <w:szCs w:val="22"/>
        </w:rPr>
        <w:t>Atendimento ao Cidadão (GESAC). Com a renovação do contrato p</w:t>
      </w:r>
      <w:r>
        <w:rPr>
          <w:sz w:val="22"/>
          <w:szCs w:val="22"/>
        </w:rPr>
        <w:t xml:space="preserve">elo Ministério das Comunicações </w:t>
      </w:r>
      <w:r w:rsidRPr="00E1371C">
        <w:rPr>
          <w:sz w:val="22"/>
          <w:szCs w:val="22"/>
        </w:rPr>
        <w:t>em 2023, a Telebras seguiu como executora do programa, viabilizando</w:t>
      </w:r>
      <w:r>
        <w:rPr>
          <w:sz w:val="22"/>
          <w:szCs w:val="22"/>
        </w:rPr>
        <w:t xml:space="preserve"> pontos de acesso à internet em </w:t>
      </w:r>
      <w:r w:rsidRPr="00E1371C">
        <w:rPr>
          <w:sz w:val="22"/>
          <w:szCs w:val="22"/>
        </w:rPr>
        <w:t xml:space="preserve">regiões remotas, com demanda </w:t>
      </w:r>
      <w:r>
        <w:rPr>
          <w:sz w:val="22"/>
          <w:szCs w:val="22"/>
        </w:rPr>
        <w:t xml:space="preserve">superior a </w:t>
      </w:r>
      <w:r w:rsidRPr="00E1371C">
        <w:rPr>
          <w:sz w:val="22"/>
          <w:szCs w:val="22"/>
        </w:rPr>
        <w:t xml:space="preserve">11 mil pontos. </w:t>
      </w:r>
    </w:p>
    <w:p w14:paraId="2586380E" w14:textId="15216203" w:rsidR="00E1371C" w:rsidRPr="00E1371C" w:rsidRDefault="00E1371C" w:rsidP="00E1371C">
      <w:pPr>
        <w:spacing w:line="276" w:lineRule="auto"/>
        <w:rPr>
          <w:sz w:val="22"/>
          <w:szCs w:val="22"/>
        </w:rPr>
      </w:pPr>
      <w:r w:rsidRPr="00E1371C">
        <w:rPr>
          <w:sz w:val="22"/>
          <w:szCs w:val="22"/>
        </w:rPr>
        <w:t>Além de levar inclusão digital à população, a Telebras des</w:t>
      </w:r>
      <w:r>
        <w:rPr>
          <w:sz w:val="22"/>
          <w:szCs w:val="22"/>
        </w:rPr>
        <w:t xml:space="preserve">empenha um papel estratégico na </w:t>
      </w:r>
      <w:r w:rsidRPr="00E1371C">
        <w:rPr>
          <w:sz w:val="22"/>
          <w:szCs w:val="22"/>
        </w:rPr>
        <w:t>infraestrutura do país ao garantir o funcionamento de serviços essenciais po</w:t>
      </w:r>
      <w:r>
        <w:rPr>
          <w:sz w:val="22"/>
          <w:szCs w:val="22"/>
        </w:rPr>
        <w:t xml:space="preserve">r meio de sua rede de </w:t>
      </w:r>
      <w:r w:rsidRPr="00E1371C">
        <w:rPr>
          <w:sz w:val="22"/>
          <w:szCs w:val="22"/>
        </w:rPr>
        <w:t>telecomunicações. Atualmente, somos responsáveis pela conectivi</w:t>
      </w:r>
      <w:r>
        <w:rPr>
          <w:sz w:val="22"/>
          <w:szCs w:val="22"/>
        </w:rPr>
        <w:t xml:space="preserve">dade de órgãos como o Instituto </w:t>
      </w:r>
      <w:r w:rsidRPr="00E1371C">
        <w:rPr>
          <w:sz w:val="22"/>
          <w:szCs w:val="22"/>
        </w:rPr>
        <w:t>Nacional do Seguro Social (INSS), o Instituto Chico Mendes de Conserv</w:t>
      </w:r>
      <w:r>
        <w:rPr>
          <w:sz w:val="22"/>
          <w:szCs w:val="22"/>
        </w:rPr>
        <w:t xml:space="preserve">ação da Biodiversidade (ICMBio) </w:t>
      </w:r>
      <w:r w:rsidRPr="00E1371C">
        <w:rPr>
          <w:sz w:val="22"/>
          <w:szCs w:val="22"/>
        </w:rPr>
        <w:t>e o Ministério do Trabalho.</w:t>
      </w:r>
    </w:p>
    <w:p w14:paraId="4715C6D7" w14:textId="56257AB4" w:rsidR="00E1371C" w:rsidRPr="00E1371C" w:rsidRDefault="00E1371C" w:rsidP="00E1371C">
      <w:pPr>
        <w:spacing w:line="276" w:lineRule="auto"/>
        <w:rPr>
          <w:sz w:val="22"/>
          <w:szCs w:val="22"/>
        </w:rPr>
      </w:pPr>
      <w:r w:rsidRPr="00E1371C">
        <w:rPr>
          <w:sz w:val="22"/>
          <w:szCs w:val="22"/>
        </w:rPr>
        <w:t>Em julho de 2024, foi publicado o Decreto nº 12.124, regulamen</w:t>
      </w:r>
      <w:r>
        <w:rPr>
          <w:sz w:val="22"/>
          <w:szCs w:val="22"/>
        </w:rPr>
        <w:t xml:space="preserve">tando a Lei nº 14.744, de 30 de </w:t>
      </w:r>
      <w:r w:rsidRPr="00E1371C">
        <w:rPr>
          <w:sz w:val="22"/>
          <w:szCs w:val="22"/>
        </w:rPr>
        <w:t xml:space="preserve">novembro de 2023, que estabeleceu preferência para a Telebras </w:t>
      </w:r>
      <w:r>
        <w:rPr>
          <w:sz w:val="22"/>
          <w:szCs w:val="22"/>
        </w:rPr>
        <w:t xml:space="preserve">nas contratações de serviços de </w:t>
      </w:r>
      <w:r w:rsidRPr="00E1371C">
        <w:rPr>
          <w:sz w:val="22"/>
          <w:szCs w:val="22"/>
        </w:rPr>
        <w:t xml:space="preserve">telecomunicações pelos órgãos públicos federais. Essa medida otimiza o acesso </w:t>
      </w:r>
      <w:r>
        <w:rPr>
          <w:sz w:val="22"/>
          <w:szCs w:val="22"/>
        </w:rPr>
        <w:t xml:space="preserve">da administração </w:t>
      </w:r>
      <w:r w:rsidRPr="00E1371C">
        <w:rPr>
          <w:sz w:val="22"/>
          <w:szCs w:val="22"/>
        </w:rPr>
        <w:t>pública a soluções de conectividade confiáveis, revertendo-se em benefícios diretos para a sociedade.</w:t>
      </w:r>
    </w:p>
    <w:p w14:paraId="61992AC3" w14:textId="7616D3BA" w:rsidR="00E1371C" w:rsidRPr="00E1371C" w:rsidRDefault="00E1371C" w:rsidP="00E1371C">
      <w:pPr>
        <w:spacing w:line="276" w:lineRule="auto"/>
        <w:rPr>
          <w:sz w:val="22"/>
          <w:szCs w:val="22"/>
        </w:rPr>
      </w:pPr>
      <w:r w:rsidRPr="00E1371C">
        <w:rPr>
          <w:sz w:val="22"/>
          <w:szCs w:val="22"/>
        </w:rPr>
        <w:t>O decreto definiu que os órgãos e entidades da administração pú</w:t>
      </w:r>
      <w:r>
        <w:rPr>
          <w:sz w:val="22"/>
          <w:szCs w:val="22"/>
        </w:rPr>
        <w:t xml:space="preserve">blica federal devem consultar a </w:t>
      </w:r>
      <w:r w:rsidRPr="00E1371C">
        <w:rPr>
          <w:sz w:val="22"/>
          <w:szCs w:val="22"/>
        </w:rPr>
        <w:t>Telebras sobre a disponibilidade e interesse na prestação dos serviços</w:t>
      </w:r>
      <w:r>
        <w:rPr>
          <w:sz w:val="22"/>
          <w:szCs w:val="22"/>
        </w:rPr>
        <w:t xml:space="preserve"> antes de realizar contratações de serviços de telecomunicações </w:t>
      </w:r>
      <w:r w:rsidRPr="00E1371C">
        <w:rPr>
          <w:sz w:val="22"/>
          <w:szCs w:val="22"/>
        </w:rPr>
        <w:t>com outras empresas</w:t>
      </w:r>
      <w:r>
        <w:rPr>
          <w:sz w:val="22"/>
          <w:szCs w:val="22"/>
        </w:rPr>
        <w:t>.</w:t>
      </w:r>
    </w:p>
    <w:p w14:paraId="213BD5F2" w14:textId="20354A4E" w:rsidR="00E1371C" w:rsidRPr="00E1371C" w:rsidRDefault="00E1371C" w:rsidP="00E1371C">
      <w:pPr>
        <w:spacing w:line="276" w:lineRule="auto"/>
        <w:rPr>
          <w:sz w:val="22"/>
          <w:szCs w:val="22"/>
        </w:rPr>
      </w:pPr>
      <w:r w:rsidRPr="00E1371C">
        <w:rPr>
          <w:sz w:val="22"/>
          <w:szCs w:val="22"/>
        </w:rPr>
        <w:t>Nossa atuação também foi essencial em momentos críticos. Diante</w:t>
      </w:r>
      <w:r>
        <w:rPr>
          <w:sz w:val="22"/>
          <w:szCs w:val="22"/>
        </w:rPr>
        <w:t xml:space="preserve"> das enchentes que devastaram o </w:t>
      </w:r>
      <w:r w:rsidRPr="00E1371C">
        <w:rPr>
          <w:sz w:val="22"/>
          <w:szCs w:val="22"/>
        </w:rPr>
        <w:t>Rio Grande do Sul, a Telebras respondeu prontamente, garantind</w:t>
      </w:r>
      <w:r>
        <w:rPr>
          <w:sz w:val="22"/>
          <w:szCs w:val="22"/>
        </w:rPr>
        <w:t xml:space="preserve">o conectividade emergencial por </w:t>
      </w:r>
      <w:r w:rsidRPr="00E1371C">
        <w:rPr>
          <w:sz w:val="22"/>
          <w:szCs w:val="22"/>
        </w:rPr>
        <w:t>meio das antenas satelitais transportáveis (T3SAT). Essa infraestrutura</w:t>
      </w:r>
      <w:r>
        <w:rPr>
          <w:sz w:val="22"/>
          <w:szCs w:val="22"/>
        </w:rPr>
        <w:t xml:space="preserve"> foi crucial para a comunicação </w:t>
      </w:r>
      <w:r w:rsidRPr="00E1371C">
        <w:rPr>
          <w:sz w:val="22"/>
          <w:szCs w:val="22"/>
        </w:rPr>
        <w:t>de equipes de resgate, hospitais de campanha e abrigos temp</w:t>
      </w:r>
      <w:r>
        <w:rPr>
          <w:sz w:val="22"/>
          <w:szCs w:val="22"/>
        </w:rPr>
        <w:t xml:space="preserve">orários, além de possibilitar o </w:t>
      </w:r>
      <w:r w:rsidRPr="00E1371C">
        <w:rPr>
          <w:sz w:val="22"/>
          <w:szCs w:val="22"/>
        </w:rPr>
        <w:t>atendimento à população de serviços fundamentais.</w:t>
      </w:r>
    </w:p>
    <w:p w14:paraId="442D5FFF" w14:textId="1270919C" w:rsidR="009A4F94" w:rsidRPr="00C00EF0" w:rsidRDefault="00E1371C" w:rsidP="00C00EF0">
      <w:pPr>
        <w:spacing w:line="276" w:lineRule="auto"/>
        <w:rPr>
          <w:sz w:val="22"/>
          <w:szCs w:val="22"/>
        </w:rPr>
      </w:pPr>
      <w:r w:rsidRPr="00C00EF0">
        <w:rPr>
          <w:sz w:val="22"/>
          <w:szCs w:val="22"/>
        </w:rPr>
        <w:t>Seguimos avançando, impulsionados por inovação e compromisso social, promovendo conectividade confiável e de qualidade para todo o Brasil.</w:t>
      </w:r>
    </w:p>
    <w:p w14:paraId="4AE23861" w14:textId="55D50371" w:rsidR="00E4499D" w:rsidRPr="00C00EF0" w:rsidRDefault="009A4F94" w:rsidP="009A4F94">
      <w:pPr>
        <w:spacing w:line="276" w:lineRule="auto"/>
        <w:rPr>
          <w:rFonts w:ascii="FiraSans-Light" w:hAnsi="FiraSans-Light" w:cs="FiraSans-Light"/>
          <w:color w:val="706E6E"/>
          <w:sz w:val="22"/>
          <w:szCs w:val="22"/>
          <w:lang w:eastAsia="pt-BR"/>
        </w:rPr>
      </w:pPr>
      <w:r w:rsidRPr="00C00EF0">
        <w:rPr>
          <w:sz w:val="22"/>
          <w:szCs w:val="22"/>
        </w:rPr>
        <w:t>Atenciosamente,</w:t>
      </w:r>
    </w:p>
    <w:p w14:paraId="5CDA0D6A" w14:textId="459A1154" w:rsidR="00E16A29" w:rsidRPr="00C00EF0" w:rsidRDefault="008367E4" w:rsidP="006A5D46">
      <w:pPr>
        <w:spacing w:line="276" w:lineRule="auto"/>
        <w:jc w:val="right"/>
        <w:rPr>
          <w:rFonts w:cs="Arial"/>
          <w:b/>
          <w:sz w:val="22"/>
        </w:rPr>
      </w:pPr>
      <w:r w:rsidRPr="00C00EF0">
        <w:rPr>
          <w:rFonts w:cs="Arial"/>
          <w:b/>
        </w:rPr>
        <w:t>A Administração</w:t>
      </w:r>
    </w:p>
    <w:p w14:paraId="51924544" w14:textId="3D26E7A8" w:rsidR="00171EBB" w:rsidRPr="005371E9" w:rsidRDefault="005F0BD1" w:rsidP="00327B0F">
      <w:pPr>
        <w:pStyle w:val="Ttulo1"/>
        <w:ind w:left="858" w:hanging="858"/>
        <w:rPr>
          <w:szCs w:val="26"/>
        </w:rPr>
      </w:pPr>
      <w:bookmarkStart w:id="3" w:name="_Toc191641863"/>
      <w:r w:rsidRPr="005371E9">
        <w:rPr>
          <w:szCs w:val="26"/>
        </w:rPr>
        <w:lastRenderedPageBreak/>
        <w:t xml:space="preserve">Perfil de </w:t>
      </w:r>
      <w:r w:rsidR="00591DF5" w:rsidRPr="005371E9">
        <w:rPr>
          <w:szCs w:val="26"/>
        </w:rPr>
        <w:t>Atuação</w:t>
      </w:r>
      <w:bookmarkEnd w:id="3"/>
    </w:p>
    <w:p w14:paraId="308EF6FE" w14:textId="038EC98B" w:rsidR="00296699" w:rsidRDefault="003807F5" w:rsidP="006050AE">
      <w:pPr>
        <w:spacing w:line="240" w:lineRule="auto"/>
        <w:rPr>
          <w:sz w:val="22"/>
          <w:szCs w:val="22"/>
        </w:rPr>
      </w:pPr>
      <w:r w:rsidRPr="005371E9">
        <w:rPr>
          <w:sz w:val="22"/>
          <w:szCs w:val="22"/>
        </w:rPr>
        <w:t xml:space="preserve">A Telecomunicações Brasileiras S.A. – Telebras, sediada no Setor de Indústrias Gráficas </w:t>
      </w:r>
      <w:r w:rsidR="001B4D02" w:rsidRPr="005371E9">
        <w:rPr>
          <w:sz w:val="22"/>
          <w:szCs w:val="22"/>
        </w:rPr>
        <w:t>–</w:t>
      </w:r>
      <w:r w:rsidRPr="005371E9">
        <w:rPr>
          <w:sz w:val="22"/>
          <w:szCs w:val="22"/>
        </w:rPr>
        <w:t xml:space="preserve"> SIG</w:t>
      </w:r>
      <w:r w:rsidR="001B4D02" w:rsidRPr="005371E9">
        <w:rPr>
          <w:sz w:val="22"/>
          <w:szCs w:val="22"/>
        </w:rPr>
        <w:t>, q</w:t>
      </w:r>
      <w:r w:rsidR="00BC107A" w:rsidRPr="005371E9">
        <w:rPr>
          <w:sz w:val="22"/>
          <w:szCs w:val="22"/>
        </w:rPr>
        <w:t xml:space="preserve">uadra </w:t>
      </w:r>
      <w:r w:rsidRPr="005371E9">
        <w:rPr>
          <w:sz w:val="22"/>
          <w:szCs w:val="22"/>
        </w:rPr>
        <w:t xml:space="preserve">4, </w:t>
      </w:r>
      <w:r w:rsidR="001B4D02" w:rsidRPr="005371E9">
        <w:rPr>
          <w:sz w:val="22"/>
          <w:szCs w:val="22"/>
        </w:rPr>
        <w:t>l</w:t>
      </w:r>
      <w:r w:rsidRPr="005371E9">
        <w:rPr>
          <w:sz w:val="22"/>
          <w:szCs w:val="22"/>
        </w:rPr>
        <w:t>otes 75, 83, 125 e 175</w:t>
      </w:r>
      <w:r w:rsidR="001B4D02" w:rsidRPr="005371E9">
        <w:rPr>
          <w:sz w:val="22"/>
          <w:szCs w:val="22"/>
        </w:rPr>
        <w:t>, b</w:t>
      </w:r>
      <w:r w:rsidRPr="005371E9">
        <w:rPr>
          <w:sz w:val="22"/>
          <w:szCs w:val="22"/>
        </w:rPr>
        <w:t xml:space="preserve">loco A, </w:t>
      </w:r>
      <w:r w:rsidR="001B4D02" w:rsidRPr="005371E9">
        <w:rPr>
          <w:sz w:val="22"/>
          <w:szCs w:val="22"/>
        </w:rPr>
        <w:t>s</w:t>
      </w:r>
      <w:r w:rsidRPr="005371E9">
        <w:rPr>
          <w:sz w:val="22"/>
          <w:szCs w:val="22"/>
        </w:rPr>
        <w:t>alas 211 a 224, Edifício Capital Financial Center</w:t>
      </w:r>
      <w:r w:rsidR="001B4D02" w:rsidRPr="005371E9">
        <w:rPr>
          <w:sz w:val="22"/>
          <w:szCs w:val="22"/>
        </w:rPr>
        <w:t>,</w:t>
      </w:r>
      <w:r w:rsidRPr="005371E9">
        <w:rPr>
          <w:sz w:val="22"/>
          <w:szCs w:val="22"/>
        </w:rPr>
        <w:t xml:space="preserve"> CEP 70610-440</w:t>
      </w:r>
      <w:r w:rsidR="001B4D02" w:rsidRPr="005371E9">
        <w:rPr>
          <w:sz w:val="22"/>
          <w:szCs w:val="22"/>
        </w:rPr>
        <w:t>,</w:t>
      </w:r>
      <w:r w:rsidRPr="005371E9">
        <w:rPr>
          <w:sz w:val="22"/>
          <w:szCs w:val="22"/>
        </w:rPr>
        <w:t xml:space="preserve"> Brasília-DF, inscrita no CNPJ sob o nº 00.336.701/0001-04, é uma sociedade de economia mista e de capital aberto, listada na Bolsa de Valores B3, vinculada ao Ministério das Comunicações</w:t>
      </w:r>
      <w:r w:rsidR="00296699">
        <w:rPr>
          <w:sz w:val="22"/>
          <w:szCs w:val="22"/>
        </w:rPr>
        <w:t>.</w:t>
      </w:r>
    </w:p>
    <w:p w14:paraId="5FC1CEE7" w14:textId="18EDF2B5" w:rsidR="003807F5" w:rsidRPr="005371E9" w:rsidRDefault="00296699" w:rsidP="006050AE">
      <w:pPr>
        <w:spacing w:line="240" w:lineRule="auto"/>
        <w:rPr>
          <w:sz w:val="22"/>
          <w:szCs w:val="22"/>
        </w:rPr>
      </w:pPr>
      <w:r>
        <w:rPr>
          <w:sz w:val="22"/>
          <w:szCs w:val="22"/>
        </w:rPr>
        <w:t>C</w:t>
      </w:r>
      <w:r w:rsidR="003807F5" w:rsidRPr="005371E9">
        <w:rPr>
          <w:sz w:val="22"/>
          <w:szCs w:val="22"/>
        </w:rPr>
        <w:t>onstituída em 9</w:t>
      </w:r>
      <w:r w:rsidR="006573AA" w:rsidRPr="005371E9">
        <w:rPr>
          <w:sz w:val="22"/>
          <w:szCs w:val="22"/>
        </w:rPr>
        <w:t xml:space="preserve"> de novembro de </w:t>
      </w:r>
      <w:r w:rsidR="003807F5" w:rsidRPr="005371E9">
        <w:rPr>
          <w:sz w:val="22"/>
          <w:szCs w:val="22"/>
        </w:rPr>
        <w:t xml:space="preserve">1972, de acordo com a Lei nº 5.792, </w:t>
      </w:r>
      <w:r w:rsidR="007F366B" w:rsidRPr="005371E9">
        <w:rPr>
          <w:sz w:val="22"/>
          <w:szCs w:val="22"/>
        </w:rPr>
        <w:t xml:space="preserve">de </w:t>
      </w:r>
      <w:r w:rsidR="003807F5" w:rsidRPr="005371E9">
        <w:rPr>
          <w:sz w:val="22"/>
          <w:szCs w:val="22"/>
        </w:rPr>
        <w:t xml:space="preserve">1972, </w:t>
      </w:r>
      <w:r>
        <w:rPr>
          <w:sz w:val="22"/>
          <w:szCs w:val="22"/>
        </w:rPr>
        <w:t xml:space="preserve">é Telebras é empresa </w:t>
      </w:r>
      <w:r w:rsidR="003807F5" w:rsidRPr="005371E9">
        <w:rPr>
          <w:sz w:val="22"/>
          <w:szCs w:val="22"/>
        </w:rPr>
        <w:t xml:space="preserve">autorizada pela ANATEL para a prestação do Serviço de Comunicação Multimídia, por meio do Termo PVST/SPV </w:t>
      </w:r>
      <w:r w:rsidR="00B97547" w:rsidRPr="005371E9">
        <w:rPr>
          <w:sz w:val="22"/>
          <w:szCs w:val="22"/>
        </w:rPr>
        <w:t>n</w:t>
      </w:r>
      <w:r w:rsidR="003807F5" w:rsidRPr="005371E9">
        <w:rPr>
          <w:sz w:val="22"/>
          <w:szCs w:val="22"/>
        </w:rPr>
        <w:t xml:space="preserve">º 118/2011, publicado no </w:t>
      </w:r>
      <w:r w:rsidR="006573AA" w:rsidRPr="005371E9">
        <w:rPr>
          <w:sz w:val="22"/>
          <w:szCs w:val="22"/>
        </w:rPr>
        <w:t>Diário Oficial da União</w:t>
      </w:r>
      <w:r w:rsidR="003807F5" w:rsidRPr="005371E9">
        <w:rPr>
          <w:sz w:val="22"/>
          <w:szCs w:val="22"/>
        </w:rPr>
        <w:t xml:space="preserve"> em 7</w:t>
      </w:r>
      <w:r w:rsidR="006573AA" w:rsidRPr="005371E9">
        <w:rPr>
          <w:sz w:val="22"/>
          <w:szCs w:val="22"/>
        </w:rPr>
        <w:t xml:space="preserve"> de </w:t>
      </w:r>
      <w:r w:rsidR="00FE4A12" w:rsidRPr="005371E9">
        <w:rPr>
          <w:sz w:val="22"/>
          <w:szCs w:val="22"/>
        </w:rPr>
        <w:t xml:space="preserve">abril de </w:t>
      </w:r>
      <w:r w:rsidR="003807F5" w:rsidRPr="005371E9">
        <w:rPr>
          <w:sz w:val="22"/>
          <w:szCs w:val="22"/>
        </w:rPr>
        <w:t xml:space="preserve">2011. </w:t>
      </w:r>
    </w:p>
    <w:p w14:paraId="431AD7D0" w14:textId="501A3F99" w:rsidR="008D2103" w:rsidRPr="005371E9" w:rsidRDefault="00A2364E" w:rsidP="006050AE">
      <w:pPr>
        <w:spacing w:line="240" w:lineRule="auto"/>
        <w:rPr>
          <w:sz w:val="22"/>
          <w:szCs w:val="22"/>
        </w:rPr>
      </w:pPr>
      <w:r w:rsidRPr="005371E9">
        <w:rPr>
          <w:sz w:val="22"/>
          <w:szCs w:val="22"/>
        </w:rPr>
        <w:t>Em</w:t>
      </w:r>
      <w:r w:rsidR="00B262FA" w:rsidRPr="005371E9">
        <w:rPr>
          <w:sz w:val="22"/>
          <w:szCs w:val="22"/>
        </w:rPr>
        <w:t xml:space="preserve"> conformidade com a </w:t>
      </w:r>
      <w:r w:rsidR="00EC37DF" w:rsidRPr="005371E9">
        <w:rPr>
          <w:sz w:val="22"/>
          <w:szCs w:val="22"/>
        </w:rPr>
        <w:t xml:space="preserve">Lei nº 13.978/2020, </w:t>
      </w:r>
      <w:r w:rsidR="00B262FA" w:rsidRPr="005371E9">
        <w:rPr>
          <w:sz w:val="22"/>
          <w:szCs w:val="22"/>
        </w:rPr>
        <w:t>Lei Orçamentária Anual, a Telebras foi incluída no Orçamento Fiscal e da Seguridade Social (OFSS)</w:t>
      </w:r>
      <w:r w:rsidR="003807F5" w:rsidRPr="005371E9">
        <w:rPr>
          <w:sz w:val="22"/>
          <w:szCs w:val="22"/>
        </w:rPr>
        <w:t xml:space="preserve">, </w:t>
      </w:r>
      <w:r w:rsidR="00B262FA" w:rsidRPr="005371E9">
        <w:rPr>
          <w:sz w:val="22"/>
          <w:szCs w:val="22"/>
        </w:rPr>
        <w:t xml:space="preserve">passando a ser classificada </w:t>
      </w:r>
      <w:r w:rsidR="003807F5" w:rsidRPr="005371E9">
        <w:rPr>
          <w:sz w:val="22"/>
          <w:szCs w:val="22"/>
        </w:rPr>
        <w:t>como empresa estatal dependente</w:t>
      </w:r>
      <w:r w:rsidR="00B262FA" w:rsidRPr="005371E9">
        <w:rPr>
          <w:sz w:val="22"/>
          <w:szCs w:val="22"/>
        </w:rPr>
        <w:t xml:space="preserve">. </w:t>
      </w:r>
    </w:p>
    <w:p w14:paraId="17BF2B92" w14:textId="0C8865A0" w:rsidR="00936A81" w:rsidRPr="005371E9" w:rsidRDefault="00F93E95" w:rsidP="00225729">
      <w:pPr>
        <w:spacing w:line="240" w:lineRule="auto"/>
        <w:rPr>
          <w:sz w:val="22"/>
        </w:rPr>
      </w:pPr>
      <w:r w:rsidRPr="005371E9">
        <w:rPr>
          <w:sz w:val="22"/>
        </w:rPr>
        <w:t>E</w:t>
      </w:r>
      <w:r w:rsidR="007529ED" w:rsidRPr="005371E9">
        <w:rPr>
          <w:sz w:val="22"/>
        </w:rPr>
        <w:t xml:space="preserve">m consonância com suas atribuições legais, a Telebras atua como agente </w:t>
      </w:r>
      <w:r w:rsidR="00C61BE2" w:rsidRPr="005371E9">
        <w:rPr>
          <w:sz w:val="22"/>
        </w:rPr>
        <w:t xml:space="preserve">executor de políticas públicas de telecomunicações </w:t>
      </w:r>
      <w:r w:rsidR="00163F7D" w:rsidRPr="005371E9">
        <w:rPr>
          <w:sz w:val="22"/>
        </w:rPr>
        <w:t>visando à</w:t>
      </w:r>
      <w:r w:rsidR="007529ED" w:rsidRPr="005371E9">
        <w:rPr>
          <w:sz w:val="22"/>
        </w:rPr>
        <w:t xml:space="preserve"> inclusão digital do</w:t>
      </w:r>
      <w:r w:rsidR="00463D41" w:rsidRPr="005371E9">
        <w:rPr>
          <w:sz w:val="22"/>
        </w:rPr>
        <w:t>s</w:t>
      </w:r>
      <w:r w:rsidR="007529ED" w:rsidRPr="005371E9">
        <w:rPr>
          <w:sz w:val="22"/>
        </w:rPr>
        <w:t xml:space="preserve"> </w:t>
      </w:r>
      <w:r w:rsidR="002D5924" w:rsidRPr="005371E9">
        <w:rPr>
          <w:sz w:val="22"/>
        </w:rPr>
        <w:t>cidadã</w:t>
      </w:r>
      <w:r w:rsidR="00463D41" w:rsidRPr="005371E9">
        <w:rPr>
          <w:sz w:val="22"/>
        </w:rPr>
        <w:t>os</w:t>
      </w:r>
      <w:r w:rsidR="007529ED" w:rsidRPr="005371E9">
        <w:rPr>
          <w:sz w:val="22"/>
        </w:rPr>
        <w:t>, com o propósito de levar conectividade e internet de alta capacidade e excelente qualidade às localidades não atendidas ou com baixo atendimento, bem como atender às demandas de soluções em serviços de conexão para a Administração Pública, cumprindo sua função social.</w:t>
      </w:r>
      <w:r w:rsidR="00AF1311" w:rsidRPr="005371E9">
        <w:rPr>
          <w:sz w:val="22"/>
        </w:rPr>
        <w:t xml:space="preserve"> Adicionalmente, a Telebras foi designada para gerir exclusivamente a Rede Privativa de Comunicação da Administração Pública Federal (RPCAPF), conforme estipulado pelo Decreto nº 11.299/2022. Essa responsabilidade reforça ainda mais nosso papel fundamental na implementação das políticas públicas de telecomunicações.</w:t>
      </w:r>
    </w:p>
    <w:p w14:paraId="6180CABC" w14:textId="66A8101F" w:rsidR="00485275" w:rsidRPr="005371E9" w:rsidRDefault="004F69B4" w:rsidP="00485275">
      <w:pPr>
        <w:spacing w:line="240" w:lineRule="auto"/>
        <w:rPr>
          <w:sz w:val="22"/>
        </w:rPr>
      </w:pPr>
      <w:r w:rsidRPr="005371E9">
        <w:rPr>
          <w:sz w:val="22"/>
        </w:rPr>
        <w:t>Em 202</w:t>
      </w:r>
      <w:r w:rsidR="001855A6">
        <w:rPr>
          <w:sz w:val="22"/>
        </w:rPr>
        <w:t>4</w:t>
      </w:r>
      <w:r w:rsidRPr="005371E9">
        <w:rPr>
          <w:sz w:val="22"/>
        </w:rPr>
        <w:t>, a Telebras atualizou suas diretrizes estratégicas ao aprovar o Plano Estratégico Institucional para o período de 202</w:t>
      </w:r>
      <w:r w:rsidR="001855A6">
        <w:rPr>
          <w:sz w:val="22"/>
        </w:rPr>
        <w:t>5</w:t>
      </w:r>
      <w:r w:rsidRPr="005371E9">
        <w:rPr>
          <w:sz w:val="22"/>
        </w:rPr>
        <w:t xml:space="preserve"> a 20</w:t>
      </w:r>
      <w:r w:rsidR="001855A6">
        <w:rPr>
          <w:sz w:val="22"/>
        </w:rPr>
        <w:t>30</w:t>
      </w:r>
      <w:r w:rsidRPr="005371E9">
        <w:rPr>
          <w:sz w:val="22"/>
        </w:rPr>
        <w:t xml:space="preserve">. Essa atualização </w:t>
      </w:r>
      <w:r w:rsidR="00296699">
        <w:rPr>
          <w:sz w:val="22"/>
        </w:rPr>
        <w:t xml:space="preserve">direcionará </w:t>
      </w:r>
      <w:r w:rsidRPr="005371E9">
        <w:rPr>
          <w:sz w:val="22"/>
        </w:rPr>
        <w:t>os esforços essenciais para a implementação das políticas públicas de telecomunicações. Com essas ações, espera-se atender às expectativas da sociedade, bem como satisfazer as demandas dos clientes e dos acionistas, tanto majoritários quanto minoritários</w:t>
      </w:r>
      <w:r w:rsidR="00485275" w:rsidRPr="005371E9">
        <w:rPr>
          <w:sz w:val="22"/>
        </w:rPr>
        <w:t xml:space="preserve">. </w:t>
      </w:r>
    </w:p>
    <w:p w14:paraId="462F938F" w14:textId="6AFEA733" w:rsidR="0005617E" w:rsidRPr="00F93CDB" w:rsidRDefault="00B26549" w:rsidP="00E247E0">
      <w:pPr>
        <w:pStyle w:val="Ttulo1"/>
        <w:ind w:left="567" w:hanging="567"/>
      </w:pPr>
      <w:bookmarkStart w:id="4" w:name="_Toc191641864"/>
      <w:bookmarkEnd w:id="2"/>
      <w:r w:rsidRPr="00F93CDB">
        <w:t>Finanças</w:t>
      </w:r>
      <w:bookmarkEnd w:id="4"/>
    </w:p>
    <w:p w14:paraId="5997C0F2" w14:textId="7E76A652" w:rsidR="007E748F" w:rsidRPr="00D44CF4" w:rsidRDefault="007E748F" w:rsidP="00B31BE8">
      <w:pPr>
        <w:pStyle w:val="Ttulo2"/>
        <w:tabs>
          <w:tab w:val="left" w:pos="1843"/>
        </w:tabs>
        <w:spacing w:before="240" w:after="240" w:line="276" w:lineRule="auto"/>
        <w:ind w:left="567" w:hanging="567"/>
      </w:pPr>
      <w:bookmarkStart w:id="5" w:name="_Toc159256953"/>
      <w:bookmarkStart w:id="6" w:name="_Toc159258211"/>
      <w:bookmarkStart w:id="7" w:name="_Toc191641865"/>
      <w:bookmarkEnd w:id="5"/>
      <w:bookmarkEnd w:id="6"/>
      <w:r w:rsidRPr="00D44CF4">
        <w:t>Estrutura Patrimonial da Companhia – Principais Rubricas</w:t>
      </w:r>
      <w:bookmarkEnd w:id="7"/>
    </w:p>
    <w:p w14:paraId="2CB3D29F" w14:textId="24373CC7" w:rsidR="003E0246" w:rsidRDefault="003E0246" w:rsidP="00087F48">
      <w:pPr>
        <w:spacing w:line="240" w:lineRule="auto"/>
        <w:rPr>
          <w:rFonts w:eastAsia="Arial"/>
          <w:sz w:val="22"/>
        </w:rPr>
      </w:pPr>
      <w:r w:rsidRPr="00D44CF4">
        <w:rPr>
          <w:rFonts w:eastAsia="Arial"/>
          <w:sz w:val="22"/>
        </w:rPr>
        <w:t>O comportamento das principais rubricas patrimoniais entre os anos de 202</w:t>
      </w:r>
      <w:r w:rsidR="00D44CF4">
        <w:rPr>
          <w:rFonts w:eastAsia="Arial"/>
          <w:sz w:val="22"/>
        </w:rPr>
        <w:t>2</w:t>
      </w:r>
      <w:r w:rsidRPr="00D44CF4">
        <w:rPr>
          <w:rFonts w:eastAsia="Arial"/>
          <w:sz w:val="22"/>
        </w:rPr>
        <w:t xml:space="preserve"> a 202</w:t>
      </w:r>
      <w:r w:rsidR="00D44CF4">
        <w:rPr>
          <w:rFonts w:eastAsia="Arial"/>
          <w:sz w:val="22"/>
        </w:rPr>
        <w:t>4</w:t>
      </w:r>
      <w:r w:rsidRPr="00D44CF4">
        <w:rPr>
          <w:rFonts w:eastAsia="Arial"/>
          <w:sz w:val="22"/>
        </w:rPr>
        <w:t xml:space="preserve"> e as explicações acerca das principais variações estão apresentados a seguir: </w:t>
      </w:r>
    </w:p>
    <w:tbl>
      <w:tblPr>
        <w:tblW w:w="5000" w:type="pct"/>
        <w:tblCellMar>
          <w:left w:w="70" w:type="dxa"/>
          <w:right w:w="70" w:type="dxa"/>
        </w:tblCellMar>
        <w:tblLook w:val="04A0" w:firstRow="1" w:lastRow="0" w:firstColumn="1" w:lastColumn="0" w:noHBand="0" w:noVBand="1"/>
      </w:tblPr>
      <w:tblGrid>
        <w:gridCol w:w="2009"/>
        <w:gridCol w:w="808"/>
        <w:gridCol w:w="683"/>
        <w:gridCol w:w="647"/>
        <w:gridCol w:w="647"/>
        <w:gridCol w:w="808"/>
        <w:gridCol w:w="683"/>
        <w:gridCol w:w="648"/>
        <w:gridCol w:w="648"/>
        <w:gridCol w:w="808"/>
        <w:gridCol w:w="683"/>
      </w:tblGrid>
      <w:tr w:rsidR="00D44CF4" w:rsidRPr="00D44CF4" w14:paraId="13D51036" w14:textId="77777777" w:rsidTr="00D44CF4">
        <w:trPr>
          <w:trHeight w:val="238"/>
        </w:trPr>
        <w:tc>
          <w:tcPr>
            <w:tcW w:w="1108" w:type="pct"/>
            <w:tcBorders>
              <w:top w:val="nil"/>
              <w:left w:val="nil"/>
              <w:bottom w:val="nil"/>
              <w:right w:val="nil"/>
            </w:tcBorders>
            <w:shd w:val="clear" w:color="auto" w:fill="auto"/>
            <w:noWrap/>
            <w:vAlign w:val="center"/>
            <w:hideMark/>
          </w:tcPr>
          <w:p w14:paraId="1DC7188C" w14:textId="77777777" w:rsidR="00D44CF4" w:rsidRPr="00D44CF4" w:rsidRDefault="00D44CF4" w:rsidP="00D44CF4">
            <w:pPr>
              <w:tabs>
                <w:tab w:val="clear" w:pos="851"/>
              </w:tabs>
              <w:spacing w:before="0" w:after="0" w:line="240" w:lineRule="auto"/>
              <w:jc w:val="left"/>
              <w:rPr>
                <w:rFonts w:ascii="Arial" w:hAnsi="Arial" w:cs="Arial"/>
                <w:b/>
                <w:bCs/>
                <w:color w:val="538DD5"/>
                <w:sz w:val="15"/>
                <w:szCs w:val="15"/>
                <w:lang w:eastAsia="pt-BR"/>
              </w:rPr>
            </w:pPr>
            <w:r w:rsidRPr="00D44CF4">
              <w:rPr>
                <w:rFonts w:ascii="Arial" w:hAnsi="Arial" w:cs="Arial"/>
                <w:b/>
                <w:bCs/>
                <w:color w:val="538DD5"/>
                <w:sz w:val="15"/>
                <w:szCs w:val="15"/>
                <w:lang w:eastAsia="pt-BR"/>
              </w:rPr>
              <w:t>R$ mil</w:t>
            </w:r>
          </w:p>
        </w:tc>
        <w:tc>
          <w:tcPr>
            <w:tcW w:w="1178" w:type="pct"/>
            <w:gridSpan w:val="3"/>
            <w:tcBorders>
              <w:top w:val="nil"/>
              <w:left w:val="nil"/>
              <w:bottom w:val="nil"/>
              <w:right w:val="nil"/>
            </w:tcBorders>
            <w:shd w:val="clear" w:color="auto" w:fill="auto"/>
            <w:noWrap/>
            <w:vAlign w:val="center"/>
            <w:hideMark/>
          </w:tcPr>
          <w:p w14:paraId="7A057CA9" w14:textId="77777777" w:rsidR="00D44CF4" w:rsidRPr="00D44CF4" w:rsidRDefault="00D44CF4" w:rsidP="00D44CF4">
            <w:pPr>
              <w:tabs>
                <w:tab w:val="clear" w:pos="851"/>
              </w:tabs>
              <w:spacing w:before="0" w:after="0" w:line="240" w:lineRule="auto"/>
              <w:jc w:val="left"/>
              <w:rPr>
                <w:rFonts w:ascii="Arial" w:hAnsi="Arial" w:cs="Arial"/>
                <w:b/>
                <w:bCs/>
                <w:color w:val="538DD5"/>
                <w:sz w:val="15"/>
                <w:szCs w:val="15"/>
                <w:lang w:eastAsia="pt-BR"/>
              </w:rPr>
            </w:pPr>
            <w:r w:rsidRPr="00D44CF4">
              <w:rPr>
                <w:rFonts w:ascii="Arial" w:hAnsi="Arial" w:cs="Arial"/>
                <w:b/>
                <w:bCs/>
                <w:color w:val="538DD5"/>
                <w:sz w:val="15"/>
                <w:szCs w:val="15"/>
                <w:lang w:eastAsia="pt-BR"/>
              </w:rPr>
              <w:t>Exercícios findos em:</w:t>
            </w:r>
          </w:p>
        </w:tc>
        <w:tc>
          <w:tcPr>
            <w:tcW w:w="357" w:type="pct"/>
            <w:tcBorders>
              <w:top w:val="nil"/>
              <w:left w:val="nil"/>
              <w:bottom w:val="nil"/>
              <w:right w:val="nil"/>
            </w:tcBorders>
            <w:shd w:val="clear" w:color="auto" w:fill="auto"/>
            <w:noWrap/>
            <w:vAlign w:val="center"/>
            <w:hideMark/>
          </w:tcPr>
          <w:p w14:paraId="3F8C5C60" w14:textId="77777777" w:rsidR="00D44CF4" w:rsidRPr="00D44CF4" w:rsidRDefault="00D44CF4" w:rsidP="00D44CF4">
            <w:pPr>
              <w:tabs>
                <w:tab w:val="clear" w:pos="851"/>
              </w:tabs>
              <w:spacing w:before="0" w:after="0" w:line="240" w:lineRule="auto"/>
              <w:jc w:val="left"/>
              <w:rPr>
                <w:rFonts w:ascii="Arial" w:hAnsi="Arial" w:cs="Arial"/>
                <w:b/>
                <w:bCs/>
                <w:color w:val="538DD5"/>
                <w:sz w:val="15"/>
                <w:szCs w:val="15"/>
                <w:lang w:eastAsia="pt-BR"/>
              </w:rPr>
            </w:pPr>
          </w:p>
        </w:tc>
        <w:tc>
          <w:tcPr>
            <w:tcW w:w="445" w:type="pct"/>
            <w:tcBorders>
              <w:top w:val="nil"/>
              <w:left w:val="nil"/>
              <w:bottom w:val="nil"/>
              <w:right w:val="nil"/>
            </w:tcBorders>
            <w:shd w:val="clear" w:color="auto" w:fill="auto"/>
            <w:noWrap/>
            <w:vAlign w:val="bottom"/>
            <w:hideMark/>
          </w:tcPr>
          <w:p w14:paraId="06C0A7D2" w14:textId="77777777" w:rsidR="00D44CF4" w:rsidRPr="00D44CF4" w:rsidRDefault="00D44CF4" w:rsidP="00D44CF4">
            <w:pPr>
              <w:tabs>
                <w:tab w:val="clear" w:pos="851"/>
              </w:tabs>
              <w:spacing w:before="0" w:after="0" w:line="240" w:lineRule="auto"/>
              <w:jc w:val="left"/>
              <w:rPr>
                <w:rFonts w:ascii="Times New Roman" w:hAnsi="Times New Roman"/>
                <w:color w:val="auto"/>
                <w:sz w:val="15"/>
                <w:szCs w:val="15"/>
                <w:lang w:eastAsia="pt-BR"/>
              </w:rPr>
            </w:pPr>
          </w:p>
        </w:tc>
        <w:tc>
          <w:tcPr>
            <w:tcW w:w="376" w:type="pct"/>
            <w:tcBorders>
              <w:top w:val="nil"/>
              <w:left w:val="nil"/>
              <w:bottom w:val="nil"/>
              <w:right w:val="nil"/>
            </w:tcBorders>
            <w:shd w:val="clear" w:color="auto" w:fill="auto"/>
            <w:noWrap/>
            <w:vAlign w:val="bottom"/>
            <w:hideMark/>
          </w:tcPr>
          <w:p w14:paraId="27F2C7B5" w14:textId="77777777" w:rsidR="00D44CF4" w:rsidRPr="00D44CF4" w:rsidRDefault="00D44CF4" w:rsidP="00D44CF4">
            <w:pPr>
              <w:tabs>
                <w:tab w:val="clear" w:pos="851"/>
              </w:tabs>
              <w:spacing w:before="0" w:after="0" w:line="240" w:lineRule="auto"/>
              <w:jc w:val="left"/>
              <w:rPr>
                <w:rFonts w:ascii="Times New Roman" w:hAnsi="Times New Roman"/>
                <w:color w:val="auto"/>
                <w:sz w:val="15"/>
                <w:szCs w:val="15"/>
                <w:lang w:eastAsia="pt-BR"/>
              </w:rPr>
            </w:pPr>
          </w:p>
        </w:tc>
        <w:tc>
          <w:tcPr>
            <w:tcW w:w="357" w:type="pct"/>
            <w:tcBorders>
              <w:top w:val="nil"/>
              <w:left w:val="nil"/>
              <w:bottom w:val="nil"/>
              <w:right w:val="nil"/>
            </w:tcBorders>
            <w:shd w:val="clear" w:color="auto" w:fill="auto"/>
            <w:noWrap/>
            <w:vAlign w:val="bottom"/>
            <w:hideMark/>
          </w:tcPr>
          <w:p w14:paraId="27E428DF" w14:textId="77777777" w:rsidR="00D44CF4" w:rsidRPr="00D44CF4" w:rsidRDefault="00D44CF4" w:rsidP="00D44CF4">
            <w:pPr>
              <w:tabs>
                <w:tab w:val="clear" w:pos="851"/>
              </w:tabs>
              <w:spacing w:before="0" w:after="0" w:line="240" w:lineRule="auto"/>
              <w:jc w:val="left"/>
              <w:rPr>
                <w:rFonts w:ascii="Times New Roman" w:hAnsi="Times New Roman"/>
                <w:color w:val="auto"/>
                <w:sz w:val="15"/>
                <w:szCs w:val="15"/>
                <w:lang w:eastAsia="pt-BR"/>
              </w:rPr>
            </w:pPr>
          </w:p>
        </w:tc>
        <w:tc>
          <w:tcPr>
            <w:tcW w:w="357" w:type="pct"/>
            <w:tcBorders>
              <w:top w:val="nil"/>
              <w:left w:val="nil"/>
              <w:bottom w:val="single" w:sz="8" w:space="0" w:color="8DB4E2"/>
              <w:right w:val="nil"/>
            </w:tcBorders>
            <w:shd w:val="clear" w:color="auto" w:fill="auto"/>
            <w:noWrap/>
            <w:vAlign w:val="center"/>
            <w:hideMark/>
          </w:tcPr>
          <w:p w14:paraId="7700BCBD" w14:textId="77777777" w:rsidR="00D44CF4" w:rsidRPr="00D44CF4" w:rsidRDefault="00D44CF4" w:rsidP="00D44CF4">
            <w:pPr>
              <w:tabs>
                <w:tab w:val="clear" w:pos="851"/>
              </w:tabs>
              <w:spacing w:before="0" w:after="0" w:line="240" w:lineRule="auto"/>
              <w:jc w:val="left"/>
              <w:rPr>
                <w:rFonts w:ascii="Arial" w:hAnsi="Arial" w:cs="Arial"/>
                <w:b/>
                <w:bCs/>
                <w:color w:val="538DD5"/>
                <w:sz w:val="15"/>
                <w:szCs w:val="15"/>
                <w:lang w:eastAsia="pt-BR"/>
              </w:rPr>
            </w:pPr>
            <w:r w:rsidRPr="00D44CF4">
              <w:rPr>
                <w:rFonts w:ascii="Arial" w:hAnsi="Arial" w:cs="Arial"/>
                <w:b/>
                <w:bCs/>
                <w:color w:val="538DD5"/>
                <w:sz w:val="15"/>
                <w:szCs w:val="15"/>
                <w:lang w:eastAsia="pt-BR"/>
              </w:rPr>
              <w:t> </w:t>
            </w:r>
          </w:p>
        </w:tc>
        <w:tc>
          <w:tcPr>
            <w:tcW w:w="445" w:type="pct"/>
            <w:tcBorders>
              <w:top w:val="nil"/>
              <w:left w:val="nil"/>
              <w:bottom w:val="single" w:sz="8" w:space="0" w:color="8DB4E2"/>
              <w:right w:val="nil"/>
            </w:tcBorders>
            <w:shd w:val="clear" w:color="auto" w:fill="auto"/>
            <w:noWrap/>
            <w:vAlign w:val="center"/>
            <w:hideMark/>
          </w:tcPr>
          <w:p w14:paraId="725594AB" w14:textId="77777777" w:rsidR="00D44CF4" w:rsidRPr="00D44CF4" w:rsidRDefault="00D44CF4" w:rsidP="00D44CF4">
            <w:pPr>
              <w:tabs>
                <w:tab w:val="clear" w:pos="851"/>
              </w:tabs>
              <w:spacing w:before="0" w:after="0" w:line="240" w:lineRule="auto"/>
              <w:jc w:val="left"/>
              <w:rPr>
                <w:rFonts w:ascii="Arial" w:hAnsi="Arial" w:cs="Arial"/>
                <w:b/>
                <w:bCs/>
                <w:color w:val="538DD5"/>
                <w:sz w:val="15"/>
                <w:szCs w:val="15"/>
                <w:lang w:eastAsia="pt-BR"/>
              </w:rPr>
            </w:pPr>
            <w:r w:rsidRPr="00D44CF4">
              <w:rPr>
                <w:rFonts w:ascii="Arial" w:hAnsi="Arial" w:cs="Arial"/>
                <w:b/>
                <w:bCs/>
                <w:color w:val="538DD5"/>
                <w:sz w:val="15"/>
                <w:szCs w:val="15"/>
                <w:lang w:eastAsia="pt-BR"/>
              </w:rPr>
              <w:t> </w:t>
            </w:r>
          </w:p>
        </w:tc>
        <w:tc>
          <w:tcPr>
            <w:tcW w:w="376" w:type="pct"/>
            <w:tcBorders>
              <w:top w:val="nil"/>
              <w:left w:val="nil"/>
              <w:bottom w:val="nil"/>
              <w:right w:val="nil"/>
            </w:tcBorders>
            <w:shd w:val="clear" w:color="auto" w:fill="auto"/>
            <w:noWrap/>
            <w:vAlign w:val="bottom"/>
            <w:hideMark/>
          </w:tcPr>
          <w:p w14:paraId="5835679E" w14:textId="77777777" w:rsidR="00D44CF4" w:rsidRPr="00D44CF4" w:rsidRDefault="00D44CF4" w:rsidP="00D44CF4">
            <w:pPr>
              <w:tabs>
                <w:tab w:val="clear" w:pos="851"/>
              </w:tabs>
              <w:spacing w:before="0" w:after="0" w:line="240" w:lineRule="auto"/>
              <w:jc w:val="left"/>
              <w:rPr>
                <w:rFonts w:ascii="Arial" w:hAnsi="Arial" w:cs="Arial"/>
                <w:b/>
                <w:bCs/>
                <w:color w:val="538DD5"/>
                <w:sz w:val="15"/>
                <w:szCs w:val="15"/>
                <w:lang w:eastAsia="pt-BR"/>
              </w:rPr>
            </w:pPr>
          </w:p>
        </w:tc>
      </w:tr>
      <w:tr w:rsidR="00D44CF4" w:rsidRPr="00D44CF4" w14:paraId="1B24CD58" w14:textId="77777777" w:rsidTr="00D44CF4">
        <w:trPr>
          <w:trHeight w:val="238"/>
        </w:trPr>
        <w:tc>
          <w:tcPr>
            <w:tcW w:w="1108" w:type="pct"/>
            <w:tcBorders>
              <w:top w:val="nil"/>
              <w:left w:val="nil"/>
              <w:bottom w:val="nil"/>
              <w:right w:val="nil"/>
            </w:tcBorders>
            <w:shd w:val="clear" w:color="auto" w:fill="auto"/>
            <w:noWrap/>
            <w:vAlign w:val="center"/>
            <w:hideMark/>
          </w:tcPr>
          <w:p w14:paraId="6FDBAC19" w14:textId="77777777" w:rsidR="00D44CF4" w:rsidRPr="00D44CF4" w:rsidRDefault="00D44CF4" w:rsidP="00D44CF4">
            <w:pPr>
              <w:tabs>
                <w:tab w:val="clear" w:pos="851"/>
              </w:tabs>
              <w:spacing w:before="0" w:after="0" w:line="240" w:lineRule="auto"/>
              <w:jc w:val="left"/>
              <w:rPr>
                <w:rFonts w:ascii="Times New Roman" w:hAnsi="Times New Roman"/>
                <w:color w:val="auto"/>
                <w:sz w:val="15"/>
                <w:szCs w:val="15"/>
                <w:lang w:eastAsia="pt-BR"/>
              </w:rPr>
            </w:pPr>
          </w:p>
        </w:tc>
        <w:tc>
          <w:tcPr>
            <w:tcW w:w="445" w:type="pct"/>
            <w:tcBorders>
              <w:top w:val="single" w:sz="8" w:space="0" w:color="8DB4E2"/>
              <w:left w:val="nil"/>
              <w:bottom w:val="single" w:sz="8" w:space="0" w:color="8DB4E2"/>
              <w:right w:val="nil"/>
            </w:tcBorders>
            <w:shd w:val="clear" w:color="auto" w:fill="auto"/>
            <w:noWrap/>
            <w:vAlign w:val="center"/>
            <w:hideMark/>
          </w:tcPr>
          <w:p w14:paraId="59663C08" w14:textId="77777777" w:rsidR="00D44CF4" w:rsidRPr="00D44CF4" w:rsidRDefault="00D44CF4" w:rsidP="00D44CF4">
            <w:pPr>
              <w:tabs>
                <w:tab w:val="clear" w:pos="851"/>
              </w:tabs>
              <w:spacing w:before="0" w:after="0" w:line="240" w:lineRule="auto"/>
              <w:jc w:val="right"/>
              <w:rPr>
                <w:rFonts w:ascii="Arial" w:hAnsi="Arial" w:cs="Arial"/>
                <w:b/>
                <w:bCs/>
                <w:color w:val="538DD5"/>
                <w:sz w:val="15"/>
                <w:szCs w:val="15"/>
                <w:lang w:eastAsia="pt-BR"/>
              </w:rPr>
            </w:pPr>
            <w:r w:rsidRPr="00D44CF4">
              <w:rPr>
                <w:rFonts w:ascii="Arial" w:hAnsi="Arial" w:cs="Arial"/>
                <w:b/>
                <w:bCs/>
                <w:color w:val="538DD5"/>
                <w:sz w:val="15"/>
                <w:szCs w:val="15"/>
                <w:lang w:eastAsia="pt-BR"/>
              </w:rPr>
              <w:t> </w:t>
            </w:r>
          </w:p>
        </w:tc>
        <w:tc>
          <w:tcPr>
            <w:tcW w:w="376" w:type="pct"/>
            <w:tcBorders>
              <w:top w:val="single" w:sz="8" w:space="0" w:color="8DB4E2"/>
              <w:left w:val="nil"/>
              <w:bottom w:val="single" w:sz="8" w:space="0" w:color="8DB4E2"/>
              <w:right w:val="nil"/>
            </w:tcBorders>
            <w:shd w:val="clear" w:color="auto" w:fill="auto"/>
            <w:noWrap/>
            <w:vAlign w:val="center"/>
            <w:hideMark/>
          </w:tcPr>
          <w:p w14:paraId="4219EFF9" w14:textId="77777777" w:rsidR="00D44CF4" w:rsidRPr="00D44CF4" w:rsidRDefault="00D44CF4" w:rsidP="00D44CF4">
            <w:pPr>
              <w:tabs>
                <w:tab w:val="clear" w:pos="851"/>
              </w:tabs>
              <w:spacing w:before="0" w:after="0" w:line="240" w:lineRule="auto"/>
              <w:jc w:val="right"/>
              <w:rPr>
                <w:rFonts w:ascii="Arial" w:hAnsi="Arial" w:cs="Arial"/>
                <w:b/>
                <w:bCs/>
                <w:color w:val="538DD5"/>
                <w:sz w:val="15"/>
                <w:szCs w:val="15"/>
                <w:lang w:eastAsia="pt-BR"/>
              </w:rPr>
            </w:pPr>
            <w:r w:rsidRPr="00D44CF4">
              <w:rPr>
                <w:rFonts w:ascii="Arial" w:hAnsi="Arial" w:cs="Arial"/>
                <w:b/>
                <w:bCs/>
                <w:color w:val="538DD5"/>
                <w:sz w:val="15"/>
                <w:szCs w:val="15"/>
                <w:lang w:eastAsia="pt-BR"/>
              </w:rPr>
              <w:t> </w:t>
            </w:r>
          </w:p>
        </w:tc>
        <w:tc>
          <w:tcPr>
            <w:tcW w:w="357" w:type="pct"/>
            <w:tcBorders>
              <w:top w:val="single" w:sz="8" w:space="0" w:color="8DB4E2"/>
              <w:left w:val="nil"/>
              <w:bottom w:val="single" w:sz="8" w:space="0" w:color="8DB4E2"/>
              <w:right w:val="nil"/>
            </w:tcBorders>
            <w:shd w:val="clear" w:color="auto" w:fill="auto"/>
            <w:noWrap/>
            <w:vAlign w:val="center"/>
            <w:hideMark/>
          </w:tcPr>
          <w:p w14:paraId="781800F7" w14:textId="77777777" w:rsidR="00D44CF4" w:rsidRPr="00D44CF4" w:rsidRDefault="00D44CF4" w:rsidP="00D44CF4">
            <w:pPr>
              <w:tabs>
                <w:tab w:val="clear" w:pos="851"/>
              </w:tabs>
              <w:spacing w:before="0" w:after="0" w:line="240" w:lineRule="auto"/>
              <w:jc w:val="right"/>
              <w:rPr>
                <w:rFonts w:ascii="Arial" w:hAnsi="Arial" w:cs="Arial"/>
                <w:b/>
                <w:bCs/>
                <w:color w:val="538DD5"/>
                <w:sz w:val="15"/>
                <w:szCs w:val="15"/>
                <w:lang w:eastAsia="pt-BR"/>
              </w:rPr>
            </w:pPr>
            <w:r w:rsidRPr="00D44CF4">
              <w:rPr>
                <w:rFonts w:ascii="Arial" w:hAnsi="Arial" w:cs="Arial"/>
                <w:b/>
                <w:bCs/>
                <w:color w:val="538DD5"/>
                <w:sz w:val="15"/>
                <w:szCs w:val="15"/>
                <w:lang w:eastAsia="pt-BR"/>
              </w:rPr>
              <w:t> </w:t>
            </w:r>
          </w:p>
        </w:tc>
        <w:tc>
          <w:tcPr>
            <w:tcW w:w="357" w:type="pct"/>
            <w:tcBorders>
              <w:top w:val="single" w:sz="8" w:space="0" w:color="8DB4E2"/>
              <w:left w:val="nil"/>
              <w:bottom w:val="single" w:sz="8" w:space="0" w:color="8DB4E2"/>
              <w:right w:val="single" w:sz="8" w:space="0" w:color="8DB4E2"/>
            </w:tcBorders>
            <w:shd w:val="clear" w:color="auto" w:fill="auto"/>
            <w:noWrap/>
            <w:vAlign w:val="center"/>
            <w:hideMark/>
          </w:tcPr>
          <w:p w14:paraId="4BE9F7F2" w14:textId="77777777" w:rsidR="00D44CF4" w:rsidRPr="00D44CF4" w:rsidRDefault="00D44CF4" w:rsidP="00D44CF4">
            <w:pPr>
              <w:tabs>
                <w:tab w:val="clear" w:pos="851"/>
              </w:tabs>
              <w:spacing w:before="0" w:after="0" w:line="240" w:lineRule="auto"/>
              <w:jc w:val="right"/>
              <w:rPr>
                <w:rFonts w:ascii="Arial" w:hAnsi="Arial" w:cs="Arial"/>
                <w:b/>
                <w:bCs/>
                <w:color w:val="538DD5"/>
                <w:sz w:val="15"/>
                <w:szCs w:val="15"/>
                <w:lang w:eastAsia="pt-BR"/>
              </w:rPr>
            </w:pPr>
            <w:r w:rsidRPr="00D44CF4">
              <w:rPr>
                <w:rFonts w:ascii="Arial" w:hAnsi="Arial" w:cs="Arial"/>
                <w:b/>
                <w:bCs/>
                <w:color w:val="538DD5"/>
                <w:sz w:val="15"/>
                <w:szCs w:val="15"/>
                <w:lang w:eastAsia="pt-BR"/>
              </w:rPr>
              <w:t>2024</w:t>
            </w:r>
          </w:p>
        </w:tc>
        <w:tc>
          <w:tcPr>
            <w:tcW w:w="445" w:type="pct"/>
            <w:tcBorders>
              <w:top w:val="single" w:sz="8" w:space="0" w:color="8DB4E2"/>
              <w:left w:val="nil"/>
              <w:bottom w:val="single" w:sz="8" w:space="0" w:color="8DB4E2"/>
              <w:right w:val="nil"/>
            </w:tcBorders>
            <w:shd w:val="clear" w:color="auto" w:fill="auto"/>
            <w:noWrap/>
            <w:vAlign w:val="center"/>
            <w:hideMark/>
          </w:tcPr>
          <w:p w14:paraId="69D9CE43" w14:textId="77777777" w:rsidR="00D44CF4" w:rsidRPr="00D44CF4" w:rsidRDefault="00D44CF4" w:rsidP="00D44CF4">
            <w:pPr>
              <w:tabs>
                <w:tab w:val="clear" w:pos="851"/>
              </w:tabs>
              <w:spacing w:before="0" w:after="0" w:line="240" w:lineRule="auto"/>
              <w:jc w:val="right"/>
              <w:rPr>
                <w:rFonts w:ascii="Arial" w:hAnsi="Arial" w:cs="Arial"/>
                <w:b/>
                <w:bCs/>
                <w:color w:val="538DD5"/>
                <w:sz w:val="15"/>
                <w:szCs w:val="15"/>
                <w:lang w:eastAsia="pt-BR"/>
              </w:rPr>
            </w:pPr>
            <w:r w:rsidRPr="00D44CF4">
              <w:rPr>
                <w:rFonts w:ascii="Arial" w:hAnsi="Arial" w:cs="Arial"/>
                <w:b/>
                <w:bCs/>
                <w:color w:val="538DD5"/>
                <w:sz w:val="15"/>
                <w:szCs w:val="15"/>
                <w:lang w:eastAsia="pt-BR"/>
              </w:rPr>
              <w:t> </w:t>
            </w:r>
          </w:p>
        </w:tc>
        <w:tc>
          <w:tcPr>
            <w:tcW w:w="376" w:type="pct"/>
            <w:tcBorders>
              <w:top w:val="single" w:sz="8" w:space="0" w:color="8DB4E2"/>
              <w:left w:val="nil"/>
              <w:bottom w:val="single" w:sz="8" w:space="0" w:color="8DB4E2"/>
              <w:right w:val="nil"/>
            </w:tcBorders>
            <w:shd w:val="clear" w:color="auto" w:fill="auto"/>
            <w:noWrap/>
            <w:vAlign w:val="center"/>
            <w:hideMark/>
          </w:tcPr>
          <w:p w14:paraId="63CAC7E4" w14:textId="77777777" w:rsidR="00D44CF4" w:rsidRPr="00D44CF4" w:rsidRDefault="00D44CF4" w:rsidP="00D44CF4">
            <w:pPr>
              <w:tabs>
                <w:tab w:val="clear" w:pos="851"/>
              </w:tabs>
              <w:spacing w:before="0" w:after="0" w:line="240" w:lineRule="auto"/>
              <w:jc w:val="right"/>
              <w:rPr>
                <w:rFonts w:ascii="Arial" w:hAnsi="Arial" w:cs="Arial"/>
                <w:b/>
                <w:bCs/>
                <w:color w:val="538DD5"/>
                <w:sz w:val="15"/>
                <w:szCs w:val="15"/>
                <w:lang w:eastAsia="pt-BR"/>
              </w:rPr>
            </w:pPr>
            <w:r w:rsidRPr="00D44CF4">
              <w:rPr>
                <w:rFonts w:ascii="Arial" w:hAnsi="Arial" w:cs="Arial"/>
                <w:b/>
                <w:bCs/>
                <w:color w:val="538DD5"/>
                <w:sz w:val="15"/>
                <w:szCs w:val="15"/>
                <w:lang w:eastAsia="pt-BR"/>
              </w:rPr>
              <w:t> </w:t>
            </w:r>
          </w:p>
        </w:tc>
        <w:tc>
          <w:tcPr>
            <w:tcW w:w="357" w:type="pct"/>
            <w:tcBorders>
              <w:top w:val="single" w:sz="8" w:space="0" w:color="8DB4E2"/>
              <w:left w:val="nil"/>
              <w:bottom w:val="single" w:sz="8" w:space="0" w:color="8DB4E2"/>
              <w:right w:val="nil"/>
            </w:tcBorders>
            <w:shd w:val="clear" w:color="auto" w:fill="auto"/>
            <w:noWrap/>
            <w:vAlign w:val="center"/>
            <w:hideMark/>
          </w:tcPr>
          <w:p w14:paraId="756350B7" w14:textId="77777777" w:rsidR="00D44CF4" w:rsidRPr="00D44CF4" w:rsidRDefault="00D44CF4" w:rsidP="00D44CF4">
            <w:pPr>
              <w:tabs>
                <w:tab w:val="clear" w:pos="851"/>
              </w:tabs>
              <w:spacing w:before="0" w:after="0" w:line="240" w:lineRule="auto"/>
              <w:jc w:val="right"/>
              <w:rPr>
                <w:rFonts w:ascii="Arial" w:hAnsi="Arial" w:cs="Arial"/>
                <w:b/>
                <w:bCs/>
                <w:color w:val="538DD5"/>
                <w:sz w:val="15"/>
                <w:szCs w:val="15"/>
                <w:lang w:eastAsia="pt-BR"/>
              </w:rPr>
            </w:pPr>
            <w:r w:rsidRPr="00D44CF4">
              <w:rPr>
                <w:rFonts w:ascii="Arial" w:hAnsi="Arial" w:cs="Arial"/>
                <w:b/>
                <w:bCs/>
                <w:color w:val="538DD5"/>
                <w:sz w:val="15"/>
                <w:szCs w:val="15"/>
                <w:lang w:eastAsia="pt-BR"/>
              </w:rPr>
              <w:t> </w:t>
            </w:r>
          </w:p>
        </w:tc>
        <w:tc>
          <w:tcPr>
            <w:tcW w:w="357" w:type="pct"/>
            <w:tcBorders>
              <w:top w:val="nil"/>
              <w:left w:val="nil"/>
              <w:bottom w:val="single" w:sz="8" w:space="0" w:color="8DB4E2"/>
              <w:right w:val="single" w:sz="8" w:space="0" w:color="8DB4E2"/>
            </w:tcBorders>
            <w:shd w:val="clear" w:color="auto" w:fill="auto"/>
            <w:noWrap/>
            <w:vAlign w:val="center"/>
            <w:hideMark/>
          </w:tcPr>
          <w:p w14:paraId="7E1C62FB" w14:textId="77777777" w:rsidR="00D44CF4" w:rsidRPr="00D44CF4" w:rsidRDefault="00D44CF4" w:rsidP="00D44CF4">
            <w:pPr>
              <w:tabs>
                <w:tab w:val="clear" w:pos="851"/>
              </w:tabs>
              <w:spacing w:before="0" w:after="0" w:line="240" w:lineRule="auto"/>
              <w:jc w:val="right"/>
              <w:rPr>
                <w:rFonts w:ascii="Arial" w:hAnsi="Arial" w:cs="Arial"/>
                <w:b/>
                <w:bCs/>
                <w:color w:val="538DD5"/>
                <w:sz w:val="15"/>
                <w:szCs w:val="15"/>
                <w:lang w:eastAsia="pt-BR"/>
              </w:rPr>
            </w:pPr>
            <w:r w:rsidRPr="00D44CF4">
              <w:rPr>
                <w:rFonts w:ascii="Arial" w:hAnsi="Arial" w:cs="Arial"/>
                <w:b/>
                <w:bCs/>
                <w:color w:val="538DD5"/>
                <w:sz w:val="15"/>
                <w:szCs w:val="15"/>
                <w:lang w:eastAsia="pt-BR"/>
              </w:rPr>
              <w:t>2023</w:t>
            </w:r>
          </w:p>
        </w:tc>
        <w:tc>
          <w:tcPr>
            <w:tcW w:w="445" w:type="pct"/>
            <w:tcBorders>
              <w:top w:val="nil"/>
              <w:left w:val="nil"/>
              <w:bottom w:val="single" w:sz="8" w:space="0" w:color="8DB4E2"/>
              <w:right w:val="nil"/>
            </w:tcBorders>
            <w:shd w:val="clear" w:color="auto" w:fill="auto"/>
            <w:noWrap/>
            <w:vAlign w:val="center"/>
            <w:hideMark/>
          </w:tcPr>
          <w:p w14:paraId="220E239B" w14:textId="77777777" w:rsidR="00D44CF4" w:rsidRPr="00D44CF4" w:rsidRDefault="00D44CF4" w:rsidP="00D44CF4">
            <w:pPr>
              <w:tabs>
                <w:tab w:val="clear" w:pos="851"/>
              </w:tabs>
              <w:spacing w:before="0" w:after="0" w:line="240" w:lineRule="auto"/>
              <w:jc w:val="right"/>
              <w:rPr>
                <w:rFonts w:ascii="Arial" w:hAnsi="Arial" w:cs="Arial"/>
                <w:b/>
                <w:bCs/>
                <w:color w:val="538DD5"/>
                <w:sz w:val="15"/>
                <w:szCs w:val="15"/>
                <w:lang w:eastAsia="pt-BR"/>
              </w:rPr>
            </w:pPr>
            <w:r w:rsidRPr="00D44CF4">
              <w:rPr>
                <w:rFonts w:ascii="Arial" w:hAnsi="Arial" w:cs="Arial"/>
                <w:b/>
                <w:bCs/>
                <w:color w:val="538DD5"/>
                <w:sz w:val="15"/>
                <w:szCs w:val="15"/>
                <w:lang w:eastAsia="pt-BR"/>
              </w:rPr>
              <w:t> </w:t>
            </w:r>
          </w:p>
        </w:tc>
        <w:tc>
          <w:tcPr>
            <w:tcW w:w="376" w:type="pct"/>
            <w:tcBorders>
              <w:top w:val="single" w:sz="8" w:space="0" w:color="8DB4E2"/>
              <w:left w:val="nil"/>
              <w:bottom w:val="single" w:sz="8" w:space="0" w:color="8DB4E2"/>
              <w:right w:val="nil"/>
            </w:tcBorders>
            <w:shd w:val="clear" w:color="auto" w:fill="auto"/>
            <w:noWrap/>
            <w:vAlign w:val="center"/>
            <w:hideMark/>
          </w:tcPr>
          <w:p w14:paraId="1378C4DB" w14:textId="77777777" w:rsidR="00D44CF4" w:rsidRPr="00D44CF4" w:rsidRDefault="00D44CF4" w:rsidP="00D44CF4">
            <w:pPr>
              <w:tabs>
                <w:tab w:val="clear" w:pos="851"/>
              </w:tabs>
              <w:spacing w:before="0" w:after="0" w:line="240" w:lineRule="auto"/>
              <w:jc w:val="right"/>
              <w:rPr>
                <w:rFonts w:ascii="Arial" w:hAnsi="Arial" w:cs="Arial"/>
                <w:b/>
                <w:bCs/>
                <w:color w:val="538DD5"/>
                <w:sz w:val="15"/>
                <w:szCs w:val="15"/>
                <w:lang w:eastAsia="pt-BR"/>
              </w:rPr>
            </w:pPr>
            <w:r w:rsidRPr="00D44CF4">
              <w:rPr>
                <w:rFonts w:ascii="Arial" w:hAnsi="Arial" w:cs="Arial"/>
                <w:b/>
                <w:bCs/>
                <w:color w:val="538DD5"/>
                <w:sz w:val="15"/>
                <w:szCs w:val="15"/>
                <w:lang w:eastAsia="pt-BR"/>
              </w:rPr>
              <w:t>2022</w:t>
            </w:r>
          </w:p>
        </w:tc>
      </w:tr>
      <w:tr w:rsidR="00D44CF4" w:rsidRPr="00D44CF4" w14:paraId="0B760752" w14:textId="77777777" w:rsidTr="00D44CF4">
        <w:trPr>
          <w:trHeight w:val="238"/>
        </w:trPr>
        <w:tc>
          <w:tcPr>
            <w:tcW w:w="1108" w:type="pct"/>
            <w:tcBorders>
              <w:top w:val="nil"/>
              <w:left w:val="nil"/>
              <w:bottom w:val="single" w:sz="8" w:space="0" w:color="8DB4E2"/>
              <w:right w:val="nil"/>
            </w:tcBorders>
            <w:shd w:val="clear" w:color="auto" w:fill="auto"/>
            <w:noWrap/>
            <w:vAlign w:val="center"/>
            <w:hideMark/>
          </w:tcPr>
          <w:p w14:paraId="6DE65CE4" w14:textId="77777777" w:rsidR="00D44CF4" w:rsidRPr="00D44CF4" w:rsidRDefault="00D44CF4" w:rsidP="00D44CF4">
            <w:pPr>
              <w:tabs>
                <w:tab w:val="clear" w:pos="851"/>
              </w:tabs>
              <w:spacing w:before="0" w:after="0" w:line="240" w:lineRule="auto"/>
              <w:jc w:val="left"/>
              <w:rPr>
                <w:rFonts w:ascii="Arial" w:hAnsi="Arial" w:cs="Arial"/>
                <w:b/>
                <w:bCs/>
                <w:color w:val="538DD5"/>
                <w:sz w:val="15"/>
                <w:szCs w:val="15"/>
                <w:lang w:eastAsia="pt-BR"/>
              </w:rPr>
            </w:pPr>
            <w:r w:rsidRPr="00D44CF4">
              <w:rPr>
                <w:rFonts w:ascii="Arial" w:hAnsi="Arial" w:cs="Arial"/>
                <w:b/>
                <w:bCs/>
                <w:color w:val="538DD5"/>
                <w:sz w:val="15"/>
                <w:szCs w:val="15"/>
                <w:lang w:eastAsia="pt-BR"/>
              </w:rPr>
              <w:t>Rubricas</w:t>
            </w:r>
          </w:p>
        </w:tc>
        <w:tc>
          <w:tcPr>
            <w:tcW w:w="445" w:type="pct"/>
            <w:tcBorders>
              <w:top w:val="nil"/>
              <w:left w:val="nil"/>
              <w:bottom w:val="single" w:sz="8" w:space="0" w:color="8DB4E2"/>
              <w:right w:val="nil"/>
            </w:tcBorders>
            <w:shd w:val="clear" w:color="auto" w:fill="auto"/>
            <w:noWrap/>
            <w:vAlign w:val="center"/>
            <w:hideMark/>
          </w:tcPr>
          <w:p w14:paraId="39869250" w14:textId="77777777" w:rsidR="00D44CF4" w:rsidRPr="00D44CF4" w:rsidRDefault="00D44CF4" w:rsidP="00D44CF4">
            <w:pPr>
              <w:tabs>
                <w:tab w:val="clear" w:pos="851"/>
              </w:tabs>
              <w:spacing w:before="0" w:after="0" w:line="240" w:lineRule="auto"/>
              <w:jc w:val="right"/>
              <w:rPr>
                <w:rFonts w:ascii="Arial" w:hAnsi="Arial" w:cs="Arial"/>
                <w:b/>
                <w:bCs/>
                <w:color w:val="538DD5"/>
                <w:sz w:val="15"/>
                <w:szCs w:val="15"/>
                <w:lang w:eastAsia="pt-BR"/>
              </w:rPr>
            </w:pPr>
            <w:r w:rsidRPr="00D44CF4">
              <w:rPr>
                <w:rFonts w:ascii="Arial" w:hAnsi="Arial" w:cs="Arial"/>
                <w:b/>
                <w:bCs/>
                <w:color w:val="538DD5"/>
                <w:sz w:val="15"/>
                <w:szCs w:val="15"/>
                <w:lang w:eastAsia="pt-BR"/>
              </w:rPr>
              <w:t>Valor</w:t>
            </w:r>
          </w:p>
        </w:tc>
        <w:tc>
          <w:tcPr>
            <w:tcW w:w="376" w:type="pct"/>
            <w:tcBorders>
              <w:top w:val="nil"/>
              <w:left w:val="nil"/>
              <w:bottom w:val="single" w:sz="8" w:space="0" w:color="8DB4E2"/>
              <w:right w:val="nil"/>
            </w:tcBorders>
            <w:shd w:val="clear" w:color="auto" w:fill="auto"/>
            <w:noWrap/>
            <w:vAlign w:val="center"/>
            <w:hideMark/>
          </w:tcPr>
          <w:p w14:paraId="7AA7C7B9" w14:textId="77777777" w:rsidR="00D44CF4" w:rsidRPr="00D44CF4" w:rsidRDefault="00D44CF4" w:rsidP="00D44CF4">
            <w:pPr>
              <w:tabs>
                <w:tab w:val="clear" w:pos="851"/>
              </w:tabs>
              <w:spacing w:before="0" w:after="0" w:line="240" w:lineRule="auto"/>
              <w:jc w:val="right"/>
              <w:rPr>
                <w:rFonts w:ascii="Arial" w:hAnsi="Arial" w:cs="Arial"/>
                <w:b/>
                <w:bCs/>
                <w:color w:val="538DD5"/>
                <w:sz w:val="15"/>
                <w:szCs w:val="15"/>
                <w:lang w:eastAsia="pt-BR"/>
              </w:rPr>
            </w:pPr>
            <w:r w:rsidRPr="00D44CF4">
              <w:rPr>
                <w:rFonts w:ascii="Arial" w:hAnsi="Arial" w:cs="Arial"/>
                <w:b/>
                <w:bCs/>
                <w:color w:val="538DD5"/>
                <w:sz w:val="15"/>
                <w:szCs w:val="15"/>
                <w:lang w:eastAsia="pt-BR"/>
              </w:rPr>
              <w:t xml:space="preserve"> AV% </w:t>
            </w:r>
          </w:p>
        </w:tc>
        <w:tc>
          <w:tcPr>
            <w:tcW w:w="357" w:type="pct"/>
            <w:tcBorders>
              <w:top w:val="nil"/>
              <w:left w:val="nil"/>
              <w:bottom w:val="single" w:sz="8" w:space="0" w:color="8DB4E2"/>
              <w:right w:val="nil"/>
            </w:tcBorders>
            <w:shd w:val="clear" w:color="auto" w:fill="auto"/>
            <w:vAlign w:val="center"/>
            <w:hideMark/>
          </w:tcPr>
          <w:p w14:paraId="11A5FB0C" w14:textId="77777777" w:rsidR="00D44CF4" w:rsidRPr="00D44CF4" w:rsidRDefault="00D44CF4" w:rsidP="00D44CF4">
            <w:pPr>
              <w:tabs>
                <w:tab w:val="clear" w:pos="851"/>
              </w:tabs>
              <w:spacing w:before="0" w:after="0" w:line="240" w:lineRule="auto"/>
              <w:jc w:val="center"/>
              <w:rPr>
                <w:rFonts w:ascii="Arial" w:hAnsi="Arial" w:cs="Arial"/>
                <w:b/>
                <w:bCs/>
                <w:color w:val="538DD5"/>
                <w:sz w:val="15"/>
                <w:szCs w:val="15"/>
                <w:lang w:eastAsia="pt-BR"/>
              </w:rPr>
            </w:pPr>
            <w:r w:rsidRPr="00D44CF4">
              <w:rPr>
                <w:rFonts w:ascii="Arial" w:hAnsi="Arial" w:cs="Arial"/>
                <w:b/>
                <w:bCs/>
                <w:color w:val="538DD5"/>
                <w:sz w:val="15"/>
                <w:szCs w:val="15"/>
                <w:lang w:eastAsia="pt-BR"/>
              </w:rPr>
              <w:t xml:space="preserve"> AH% - 2023</w:t>
            </w:r>
          </w:p>
        </w:tc>
        <w:tc>
          <w:tcPr>
            <w:tcW w:w="357" w:type="pct"/>
            <w:tcBorders>
              <w:top w:val="nil"/>
              <w:left w:val="nil"/>
              <w:bottom w:val="single" w:sz="8" w:space="0" w:color="8DB4E2"/>
              <w:right w:val="single" w:sz="8" w:space="0" w:color="8DB4E2"/>
            </w:tcBorders>
            <w:shd w:val="clear" w:color="auto" w:fill="auto"/>
            <w:vAlign w:val="center"/>
            <w:hideMark/>
          </w:tcPr>
          <w:p w14:paraId="279CB222" w14:textId="77777777" w:rsidR="00D44CF4" w:rsidRPr="00D44CF4" w:rsidRDefault="00D44CF4" w:rsidP="00D44CF4">
            <w:pPr>
              <w:tabs>
                <w:tab w:val="clear" w:pos="851"/>
              </w:tabs>
              <w:spacing w:before="0" w:after="0" w:line="240" w:lineRule="auto"/>
              <w:jc w:val="center"/>
              <w:rPr>
                <w:rFonts w:ascii="Arial" w:hAnsi="Arial" w:cs="Arial"/>
                <w:b/>
                <w:bCs/>
                <w:color w:val="538DD5"/>
                <w:sz w:val="15"/>
                <w:szCs w:val="15"/>
                <w:lang w:eastAsia="pt-BR"/>
              </w:rPr>
            </w:pPr>
            <w:r w:rsidRPr="00D44CF4">
              <w:rPr>
                <w:rFonts w:ascii="Arial" w:hAnsi="Arial" w:cs="Arial"/>
                <w:b/>
                <w:bCs/>
                <w:color w:val="538DD5"/>
                <w:sz w:val="15"/>
                <w:szCs w:val="15"/>
                <w:lang w:eastAsia="pt-BR"/>
              </w:rPr>
              <w:t xml:space="preserve"> AH% - 2022</w:t>
            </w:r>
          </w:p>
        </w:tc>
        <w:tc>
          <w:tcPr>
            <w:tcW w:w="445" w:type="pct"/>
            <w:tcBorders>
              <w:top w:val="nil"/>
              <w:left w:val="nil"/>
              <w:bottom w:val="single" w:sz="8" w:space="0" w:color="8DB4E2"/>
              <w:right w:val="nil"/>
            </w:tcBorders>
            <w:shd w:val="clear" w:color="auto" w:fill="auto"/>
            <w:noWrap/>
            <w:vAlign w:val="center"/>
            <w:hideMark/>
          </w:tcPr>
          <w:p w14:paraId="416A93B9" w14:textId="77777777" w:rsidR="00D44CF4" w:rsidRPr="00D44CF4" w:rsidRDefault="00D44CF4" w:rsidP="00D44CF4">
            <w:pPr>
              <w:tabs>
                <w:tab w:val="clear" w:pos="851"/>
              </w:tabs>
              <w:spacing w:before="0" w:after="0" w:line="240" w:lineRule="auto"/>
              <w:jc w:val="right"/>
              <w:rPr>
                <w:rFonts w:ascii="Arial" w:hAnsi="Arial" w:cs="Arial"/>
                <w:b/>
                <w:bCs/>
                <w:color w:val="538DD5"/>
                <w:sz w:val="15"/>
                <w:szCs w:val="15"/>
                <w:lang w:eastAsia="pt-BR"/>
              </w:rPr>
            </w:pPr>
            <w:r w:rsidRPr="00D44CF4">
              <w:rPr>
                <w:rFonts w:ascii="Arial" w:hAnsi="Arial" w:cs="Arial"/>
                <w:b/>
                <w:bCs/>
                <w:color w:val="538DD5"/>
                <w:sz w:val="15"/>
                <w:szCs w:val="15"/>
                <w:lang w:eastAsia="pt-BR"/>
              </w:rPr>
              <w:t>Valor</w:t>
            </w:r>
          </w:p>
        </w:tc>
        <w:tc>
          <w:tcPr>
            <w:tcW w:w="376" w:type="pct"/>
            <w:tcBorders>
              <w:top w:val="nil"/>
              <w:left w:val="nil"/>
              <w:bottom w:val="single" w:sz="8" w:space="0" w:color="8DB4E2"/>
              <w:right w:val="nil"/>
            </w:tcBorders>
            <w:shd w:val="clear" w:color="auto" w:fill="auto"/>
            <w:noWrap/>
            <w:vAlign w:val="center"/>
            <w:hideMark/>
          </w:tcPr>
          <w:p w14:paraId="30B20416" w14:textId="77777777" w:rsidR="00D44CF4" w:rsidRPr="00D44CF4" w:rsidRDefault="00D44CF4" w:rsidP="00D44CF4">
            <w:pPr>
              <w:tabs>
                <w:tab w:val="clear" w:pos="851"/>
              </w:tabs>
              <w:spacing w:before="0" w:after="0" w:line="240" w:lineRule="auto"/>
              <w:jc w:val="right"/>
              <w:rPr>
                <w:rFonts w:ascii="Arial" w:hAnsi="Arial" w:cs="Arial"/>
                <w:b/>
                <w:bCs/>
                <w:color w:val="538DD5"/>
                <w:sz w:val="15"/>
                <w:szCs w:val="15"/>
                <w:lang w:eastAsia="pt-BR"/>
              </w:rPr>
            </w:pPr>
            <w:r w:rsidRPr="00D44CF4">
              <w:rPr>
                <w:rFonts w:ascii="Arial" w:hAnsi="Arial" w:cs="Arial"/>
                <w:b/>
                <w:bCs/>
                <w:color w:val="538DD5"/>
                <w:sz w:val="15"/>
                <w:szCs w:val="15"/>
                <w:lang w:eastAsia="pt-BR"/>
              </w:rPr>
              <w:t xml:space="preserve"> AV% </w:t>
            </w:r>
          </w:p>
        </w:tc>
        <w:tc>
          <w:tcPr>
            <w:tcW w:w="357" w:type="pct"/>
            <w:tcBorders>
              <w:top w:val="nil"/>
              <w:left w:val="nil"/>
              <w:bottom w:val="single" w:sz="8" w:space="0" w:color="8DB4E2"/>
              <w:right w:val="nil"/>
            </w:tcBorders>
            <w:shd w:val="clear" w:color="auto" w:fill="auto"/>
            <w:vAlign w:val="center"/>
            <w:hideMark/>
          </w:tcPr>
          <w:p w14:paraId="38539EB4" w14:textId="77777777" w:rsidR="00D44CF4" w:rsidRPr="00D44CF4" w:rsidRDefault="00D44CF4" w:rsidP="00D44CF4">
            <w:pPr>
              <w:tabs>
                <w:tab w:val="clear" w:pos="851"/>
              </w:tabs>
              <w:spacing w:before="0" w:after="0" w:line="240" w:lineRule="auto"/>
              <w:jc w:val="center"/>
              <w:rPr>
                <w:rFonts w:ascii="Arial" w:hAnsi="Arial" w:cs="Arial"/>
                <w:b/>
                <w:bCs/>
                <w:color w:val="538DD5"/>
                <w:sz w:val="15"/>
                <w:szCs w:val="15"/>
                <w:lang w:eastAsia="pt-BR"/>
              </w:rPr>
            </w:pPr>
            <w:r w:rsidRPr="00D44CF4">
              <w:rPr>
                <w:rFonts w:ascii="Arial" w:hAnsi="Arial" w:cs="Arial"/>
                <w:b/>
                <w:bCs/>
                <w:color w:val="538DD5"/>
                <w:sz w:val="15"/>
                <w:szCs w:val="15"/>
                <w:lang w:eastAsia="pt-BR"/>
              </w:rPr>
              <w:t xml:space="preserve"> AH% - 2022</w:t>
            </w:r>
          </w:p>
        </w:tc>
        <w:tc>
          <w:tcPr>
            <w:tcW w:w="357" w:type="pct"/>
            <w:tcBorders>
              <w:top w:val="nil"/>
              <w:left w:val="nil"/>
              <w:bottom w:val="single" w:sz="8" w:space="0" w:color="8DB4E2"/>
              <w:right w:val="single" w:sz="8" w:space="0" w:color="8DB4E2"/>
            </w:tcBorders>
            <w:shd w:val="clear" w:color="auto" w:fill="auto"/>
            <w:vAlign w:val="center"/>
            <w:hideMark/>
          </w:tcPr>
          <w:p w14:paraId="7AFC29A4" w14:textId="77777777" w:rsidR="00D44CF4" w:rsidRPr="00D44CF4" w:rsidRDefault="00D44CF4" w:rsidP="00D44CF4">
            <w:pPr>
              <w:tabs>
                <w:tab w:val="clear" w:pos="851"/>
              </w:tabs>
              <w:spacing w:before="0" w:after="0" w:line="240" w:lineRule="auto"/>
              <w:jc w:val="center"/>
              <w:rPr>
                <w:rFonts w:ascii="Arial" w:hAnsi="Arial" w:cs="Arial"/>
                <w:b/>
                <w:bCs/>
                <w:color w:val="538DD5"/>
                <w:sz w:val="15"/>
                <w:szCs w:val="15"/>
                <w:lang w:eastAsia="pt-BR"/>
              </w:rPr>
            </w:pPr>
            <w:r w:rsidRPr="00D44CF4">
              <w:rPr>
                <w:rFonts w:ascii="Arial" w:hAnsi="Arial" w:cs="Arial"/>
                <w:b/>
                <w:bCs/>
                <w:color w:val="538DD5"/>
                <w:sz w:val="15"/>
                <w:szCs w:val="15"/>
                <w:lang w:eastAsia="pt-BR"/>
              </w:rPr>
              <w:t xml:space="preserve"> AH% - 2021</w:t>
            </w:r>
          </w:p>
        </w:tc>
        <w:tc>
          <w:tcPr>
            <w:tcW w:w="445" w:type="pct"/>
            <w:tcBorders>
              <w:top w:val="nil"/>
              <w:left w:val="nil"/>
              <w:bottom w:val="single" w:sz="8" w:space="0" w:color="8DB4E2"/>
              <w:right w:val="nil"/>
            </w:tcBorders>
            <w:shd w:val="clear" w:color="auto" w:fill="auto"/>
            <w:noWrap/>
            <w:vAlign w:val="center"/>
            <w:hideMark/>
          </w:tcPr>
          <w:p w14:paraId="36D67902" w14:textId="77777777" w:rsidR="00D44CF4" w:rsidRPr="00D44CF4" w:rsidRDefault="00D44CF4" w:rsidP="00D44CF4">
            <w:pPr>
              <w:tabs>
                <w:tab w:val="clear" w:pos="851"/>
              </w:tabs>
              <w:spacing w:before="0" w:after="0" w:line="240" w:lineRule="auto"/>
              <w:jc w:val="right"/>
              <w:rPr>
                <w:rFonts w:ascii="Arial" w:hAnsi="Arial" w:cs="Arial"/>
                <w:b/>
                <w:bCs/>
                <w:color w:val="538DD5"/>
                <w:sz w:val="15"/>
                <w:szCs w:val="15"/>
                <w:lang w:eastAsia="pt-BR"/>
              </w:rPr>
            </w:pPr>
            <w:r w:rsidRPr="00D44CF4">
              <w:rPr>
                <w:rFonts w:ascii="Arial" w:hAnsi="Arial" w:cs="Arial"/>
                <w:b/>
                <w:bCs/>
                <w:color w:val="538DD5"/>
                <w:sz w:val="15"/>
                <w:szCs w:val="15"/>
                <w:lang w:eastAsia="pt-BR"/>
              </w:rPr>
              <w:t>Valor</w:t>
            </w:r>
          </w:p>
        </w:tc>
        <w:tc>
          <w:tcPr>
            <w:tcW w:w="376" w:type="pct"/>
            <w:tcBorders>
              <w:top w:val="nil"/>
              <w:left w:val="nil"/>
              <w:bottom w:val="single" w:sz="8" w:space="0" w:color="8DB4E2"/>
              <w:right w:val="nil"/>
            </w:tcBorders>
            <w:shd w:val="clear" w:color="auto" w:fill="auto"/>
            <w:noWrap/>
            <w:vAlign w:val="center"/>
            <w:hideMark/>
          </w:tcPr>
          <w:p w14:paraId="5CED0217" w14:textId="77777777" w:rsidR="00D44CF4" w:rsidRPr="00D44CF4" w:rsidRDefault="00D44CF4" w:rsidP="00D44CF4">
            <w:pPr>
              <w:tabs>
                <w:tab w:val="clear" w:pos="851"/>
              </w:tabs>
              <w:spacing w:before="0" w:after="0" w:line="240" w:lineRule="auto"/>
              <w:jc w:val="right"/>
              <w:rPr>
                <w:rFonts w:ascii="Arial" w:hAnsi="Arial" w:cs="Arial"/>
                <w:b/>
                <w:bCs/>
                <w:color w:val="538DD5"/>
                <w:sz w:val="15"/>
                <w:szCs w:val="15"/>
                <w:lang w:eastAsia="pt-BR"/>
              </w:rPr>
            </w:pPr>
            <w:r w:rsidRPr="00D44CF4">
              <w:rPr>
                <w:rFonts w:ascii="Arial" w:hAnsi="Arial" w:cs="Arial"/>
                <w:b/>
                <w:bCs/>
                <w:color w:val="538DD5"/>
                <w:sz w:val="15"/>
                <w:szCs w:val="15"/>
                <w:lang w:eastAsia="pt-BR"/>
              </w:rPr>
              <w:t xml:space="preserve"> AV% </w:t>
            </w:r>
          </w:p>
        </w:tc>
      </w:tr>
      <w:tr w:rsidR="00D44CF4" w:rsidRPr="00D44CF4" w14:paraId="19B5E177" w14:textId="77777777" w:rsidTr="00D44CF4">
        <w:trPr>
          <w:trHeight w:val="238"/>
        </w:trPr>
        <w:tc>
          <w:tcPr>
            <w:tcW w:w="1108" w:type="pct"/>
            <w:tcBorders>
              <w:top w:val="nil"/>
              <w:left w:val="nil"/>
              <w:bottom w:val="nil"/>
              <w:right w:val="nil"/>
            </w:tcBorders>
            <w:shd w:val="clear" w:color="auto" w:fill="auto"/>
            <w:noWrap/>
            <w:vAlign w:val="center"/>
            <w:hideMark/>
          </w:tcPr>
          <w:p w14:paraId="4A039BE5" w14:textId="77777777" w:rsidR="00D44CF4" w:rsidRPr="00D44CF4" w:rsidRDefault="00D44CF4" w:rsidP="00D44CF4">
            <w:pPr>
              <w:tabs>
                <w:tab w:val="clear" w:pos="851"/>
              </w:tabs>
              <w:spacing w:before="0" w:after="0" w:line="240" w:lineRule="auto"/>
              <w:jc w:val="left"/>
              <w:rPr>
                <w:rFonts w:ascii="Arial" w:hAnsi="Arial" w:cs="Arial"/>
                <w:color w:val="000000"/>
                <w:sz w:val="15"/>
                <w:szCs w:val="15"/>
                <w:lang w:eastAsia="pt-BR"/>
              </w:rPr>
            </w:pPr>
            <w:r w:rsidRPr="00D44CF4">
              <w:rPr>
                <w:rFonts w:ascii="Arial" w:hAnsi="Arial" w:cs="Arial"/>
                <w:color w:val="000000"/>
                <w:sz w:val="15"/>
                <w:szCs w:val="15"/>
                <w:lang w:eastAsia="pt-BR"/>
              </w:rPr>
              <w:t>Ativo Circulante</w:t>
            </w:r>
          </w:p>
        </w:tc>
        <w:tc>
          <w:tcPr>
            <w:tcW w:w="445" w:type="pct"/>
            <w:tcBorders>
              <w:top w:val="nil"/>
              <w:left w:val="nil"/>
              <w:bottom w:val="nil"/>
              <w:right w:val="nil"/>
            </w:tcBorders>
            <w:shd w:val="clear" w:color="auto" w:fill="auto"/>
            <w:noWrap/>
            <w:vAlign w:val="center"/>
            <w:hideMark/>
          </w:tcPr>
          <w:p w14:paraId="0780887F"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1.776.003</w:t>
            </w:r>
          </w:p>
        </w:tc>
        <w:tc>
          <w:tcPr>
            <w:tcW w:w="376" w:type="pct"/>
            <w:tcBorders>
              <w:top w:val="nil"/>
              <w:left w:val="nil"/>
              <w:bottom w:val="nil"/>
              <w:right w:val="nil"/>
            </w:tcBorders>
            <w:shd w:val="clear" w:color="auto" w:fill="auto"/>
            <w:noWrap/>
            <w:vAlign w:val="center"/>
            <w:hideMark/>
          </w:tcPr>
          <w:p w14:paraId="69011D9E"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43,4%</w:t>
            </w:r>
          </w:p>
        </w:tc>
        <w:tc>
          <w:tcPr>
            <w:tcW w:w="357" w:type="pct"/>
            <w:tcBorders>
              <w:top w:val="nil"/>
              <w:left w:val="nil"/>
              <w:bottom w:val="nil"/>
              <w:right w:val="nil"/>
            </w:tcBorders>
            <w:shd w:val="clear" w:color="auto" w:fill="auto"/>
            <w:noWrap/>
            <w:vAlign w:val="center"/>
            <w:hideMark/>
          </w:tcPr>
          <w:p w14:paraId="6ADA1A0D"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10,5%</w:t>
            </w:r>
          </w:p>
        </w:tc>
        <w:tc>
          <w:tcPr>
            <w:tcW w:w="357" w:type="pct"/>
            <w:tcBorders>
              <w:top w:val="nil"/>
              <w:left w:val="nil"/>
              <w:bottom w:val="nil"/>
              <w:right w:val="single" w:sz="8" w:space="0" w:color="8DB4E2"/>
            </w:tcBorders>
            <w:shd w:val="clear" w:color="auto" w:fill="auto"/>
            <w:noWrap/>
            <w:vAlign w:val="center"/>
            <w:hideMark/>
          </w:tcPr>
          <w:p w14:paraId="4C2654E4"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16,2%</w:t>
            </w:r>
          </w:p>
        </w:tc>
        <w:tc>
          <w:tcPr>
            <w:tcW w:w="445" w:type="pct"/>
            <w:tcBorders>
              <w:top w:val="nil"/>
              <w:left w:val="nil"/>
              <w:bottom w:val="nil"/>
              <w:right w:val="nil"/>
            </w:tcBorders>
            <w:shd w:val="clear" w:color="auto" w:fill="auto"/>
            <w:noWrap/>
            <w:vAlign w:val="center"/>
            <w:hideMark/>
          </w:tcPr>
          <w:p w14:paraId="75938584"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1.607.349</w:t>
            </w:r>
          </w:p>
        </w:tc>
        <w:tc>
          <w:tcPr>
            <w:tcW w:w="376" w:type="pct"/>
            <w:tcBorders>
              <w:top w:val="nil"/>
              <w:left w:val="nil"/>
              <w:bottom w:val="nil"/>
              <w:right w:val="nil"/>
            </w:tcBorders>
            <w:shd w:val="clear" w:color="auto" w:fill="auto"/>
            <w:noWrap/>
            <w:vAlign w:val="center"/>
            <w:hideMark/>
          </w:tcPr>
          <w:p w14:paraId="37761F3A"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40,1%</w:t>
            </w:r>
          </w:p>
        </w:tc>
        <w:tc>
          <w:tcPr>
            <w:tcW w:w="357" w:type="pct"/>
            <w:tcBorders>
              <w:top w:val="nil"/>
              <w:left w:val="nil"/>
              <w:bottom w:val="nil"/>
              <w:right w:val="nil"/>
            </w:tcBorders>
            <w:shd w:val="clear" w:color="auto" w:fill="auto"/>
            <w:noWrap/>
            <w:vAlign w:val="center"/>
            <w:hideMark/>
          </w:tcPr>
          <w:p w14:paraId="4998BABA"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5,1%</w:t>
            </w:r>
          </w:p>
        </w:tc>
        <w:tc>
          <w:tcPr>
            <w:tcW w:w="357" w:type="pct"/>
            <w:tcBorders>
              <w:top w:val="nil"/>
              <w:left w:val="nil"/>
              <w:bottom w:val="nil"/>
              <w:right w:val="single" w:sz="8" w:space="0" w:color="8DB4E2"/>
            </w:tcBorders>
            <w:shd w:val="clear" w:color="auto" w:fill="auto"/>
            <w:noWrap/>
            <w:vAlign w:val="center"/>
            <w:hideMark/>
          </w:tcPr>
          <w:p w14:paraId="0340566E"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10,3%</w:t>
            </w:r>
          </w:p>
        </w:tc>
        <w:tc>
          <w:tcPr>
            <w:tcW w:w="445" w:type="pct"/>
            <w:tcBorders>
              <w:top w:val="nil"/>
              <w:left w:val="nil"/>
              <w:bottom w:val="nil"/>
              <w:right w:val="nil"/>
            </w:tcBorders>
            <w:shd w:val="clear" w:color="auto" w:fill="auto"/>
            <w:noWrap/>
            <w:vAlign w:val="center"/>
            <w:hideMark/>
          </w:tcPr>
          <w:p w14:paraId="564059CE"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1.528.710</w:t>
            </w:r>
          </w:p>
        </w:tc>
        <w:tc>
          <w:tcPr>
            <w:tcW w:w="376" w:type="pct"/>
            <w:tcBorders>
              <w:top w:val="nil"/>
              <w:left w:val="nil"/>
              <w:bottom w:val="nil"/>
              <w:right w:val="nil"/>
            </w:tcBorders>
            <w:shd w:val="clear" w:color="auto" w:fill="auto"/>
            <w:noWrap/>
            <w:vAlign w:val="center"/>
            <w:hideMark/>
          </w:tcPr>
          <w:p w14:paraId="7DC2153E"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37,9%</w:t>
            </w:r>
          </w:p>
        </w:tc>
      </w:tr>
      <w:tr w:rsidR="00D44CF4" w:rsidRPr="00D44CF4" w14:paraId="242F5F3C" w14:textId="77777777" w:rsidTr="00D44CF4">
        <w:trPr>
          <w:trHeight w:val="238"/>
        </w:trPr>
        <w:tc>
          <w:tcPr>
            <w:tcW w:w="1108" w:type="pct"/>
            <w:tcBorders>
              <w:top w:val="nil"/>
              <w:left w:val="nil"/>
              <w:bottom w:val="nil"/>
              <w:right w:val="nil"/>
            </w:tcBorders>
            <w:shd w:val="clear" w:color="auto" w:fill="auto"/>
            <w:noWrap/>
            <w:vAlign w:val="center"/>
            <w:hideMark/>
          </w:tcPr>
          <w:p w14:paraId="7197421B" w14:textId="77777777" w:rsidR="00D44CF4" w:rsidRPr="00D44CF4" w:rsidRDefault="00D44CF4" w:rsidP="00D44CF4">
            <w:pPr>
              <w:tabs>
                <w:tab w:val="clear" w:pos="851"/>
              </w:tabs>
              <w:spacing w:before="0" w:after="0" w:line="240" w:lineRule="auto"/>
              <w:jc w:val="left"/>
              <w:rPr>
                <w:rFonts w:ascii="Arial" w:hAnsi="Arial" w:cs="Arial"/>
                <w:color w:val="000000"/>
                <w:sz w:val="15"/>
                <w:szCs w:val="15"/>
                <w:lang w:eastAsia="pt-BR"/>
              </w:rPr>
            </w:pPr>
            <w:r w:rsidRPr="00D44CF4">
              <w:rPr>
                <w:rFonts w:ascii="Arial" w:hAnsi="Arial" w:cs="Arial"/>
                <w:color w:val="000000"/>
                <w:sz w:val="15"/>
                <w:szCs w:val="15"/>
                <w:lang w:eastAsia="pt-BR"/>
              </w:rPr>
              <w:t>Ativo Não Circulante</w:t>
            </w:r>
          </w:p>
        </w:tc>
        <w:tc>
          <w:tcPr>
            <w:tcW w:w="445" w:type="pct"/>
            <w:tcBorders>
              <w:top w:val="nil"/>
              <w:left w:val="nil"/>
              <w:bottom w:val="nil"/>
              <w:right w:val="nil"/>
            </w:tcBorders>
            <w:shd w:val="clear" w:color="auto" w:fill="auto"/>
            <w:noWrap/>
            <w:vAlign w:val="center"/>
            <w:hideMark/>
          </w:tcPr>
          <w:p w14:paraId="52D008A2"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2.313.982</w:t>
            </w:r>
          </w:p>
        </w:tc>
        <w:tc>
          <w:tcPr>
            <w:tcW w:w="376" w:type="pct"/>
            <w:tcBorders>
              <w:top w:val="nil"/>
              <w:left w:val="nil"/>
              <w:bottom w:val="nil"/>
              <w:right w:val="nil"/>
            </w:tcBorders>
            <w:shd w:val="clear" w:color="auto" w:fill="auto"/>
            <w:noWrap/>
            <w:vAlign w:val="center"/>
            <w:hideMark/>
          </w:tcPr>
          <w:p w14:paraId="11E80E63"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56,6%</w:t>
            </w:r>
          </w:p>
        </w:tc>
        <w:tc>
          <w:tcPr>
            <w:tcW w:w="357" w:type="pct"/>
            <w:tcBorders>
              <w:top w:val="nil"/>
              <w:left w:val="nil"/>
              <w:bottom w:val="nil"/>
              <w:right w:val="nil"/>
            </w:tcBorders>
            <w:shd w:val="clear" w:color="auto" w:fill="auto"/>
            <w:noWrap/>
            <w:vAlign w:val="center"/>
            <w:hideMark/>
          </w:tcPr>
          <w:p w14:paraId="0E7CB626"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-3,4%</w:t>
            </w:r>
          </w:p>
        </w:tc>
        <w:tc>
          <w:tcPr>
            <w:tcW w:w="357" w:type="pct"/>
            <w:tcBorders>
              <w:top w:val="nil"/>
              <w:left w:val="nil"/>
              <w:bottom w:val="nil"/>
              <w:right w:val="single" w:sz="8" w:space="0" w:color="8DB4E2"/>
            </w:tcBorders>
            <w:shd w:val="clear" w:color="auto" w:fill="auto"/>
            <w:noWrap/>
            <w:vAlign w:val="center"/>
            <w:hideMark/>
          </w:tcPr>
          <w:p w14:paraId="61647C89"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-7,7%</w:t>
            </w:r>
          </w:p>
        </w:tc>
        <w:tc>
          <w:tcPr>
            <w:tcW w:w="445" w:type="pct"/>
            <w:tcBorders>
              <w:top w:val="nil"/>
              <w:left w:val="nil"/>
              <w:bottom w:val="nil"/>
              <w:right w:val="nil"/>
            </w:tcBorders>
            <w:shd w:val="clear" w:color="auto" w:fill="auto"/>
            <w:noWrap/>
            <w:vAlign w:val="center"/>
            <w:hideMark/>
          </w:tcPr>
          <w:p w14:paraId="670A7E77"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2.396.238</w:t>
            </w:r>
          </w:p>
        </w:tc>
        <w:tc>
          <w:tcPr>
            <w:tcW w:w="376" w:type="pct"/>
            <w:tcBorders>
              <w:top w:val="nil"/>
              <w:left w:val="nil"/>
              <w:bottom w:val="nil"/>
              <w:right w:val="nil"/>
            </w:tcBorders>
            <w:shd w:val="clear" w:color="auto" w:fill="auto"/>
            <w:noWrap/>
            <w:vAlign w:val="center"/>
            <w:hideMark/>
          </w:tcPr>
          <w:p w14:paraId="18A28E40"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59,9%</w:t>
            </w:r>
          </w:p>
        </w:tc>
        <w:tc>
          <w:tcPr>
            <w:tcW w:w="357" w:type="pct"/>
            <w:tcBorders>
              <w:top w:val="nil"/>
              <w:left w:val="nil"/>
              <w:bottom w:val="nil"/>
              <w:right w:val="nil"/>
            </w:tcBorders>
            <w:shd w:val="clear" w:color="auto" w:fill="auto"/>
            <w:noWrap/>
            <w:vAlign w:val="center"/>
            <w:hideMark/>
          </w:tcPr>
          <w:p w14:paraId="2F37D9C2"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-4,4%</w:t>
            </w:r>
          </w:p>
        </w:tc>
        <w:tc>
          <w:tcPr>
            <w:tcW w:w="357" w:type="pct"/>
            <w:tcBorders>
              <w:top w:val="nil"/>
              <w:left w:val="nil"/>
              <w:bottom w:val="nil"/>
              <w:right w:val="single" w:sz="8" w:space="0" w:color="8DB4E2"/>
            </w:tcBorders>
            <w:shd w:val="clear" w:color="auto" w:fill="auto"/>
            <w:noWrap/>
            <w:vAlign w:val="center"/>
            <w:hideMark/>
          </w:tcPr>
          <w:p w14:paraId="0CA9BD46"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-9,3%</w:t>
            </w:r>
          </w:p>
        </w:tc>
        <w:tc>
          <w:tcPr>
            <w:tcW w:w="445" w:type="pct"/>
            <w:tcBorders>
              <w:top w:val="nil"/>
              <w:left w:val="nil"/>
              <w:bottom w:val="nil"/>
              <w:right w:val="nil"/>
            </w:tcBorders>
            <w:shd w:val="clear" w:color="auto" w:fill="auto"/>
            <w:noWrap/>
            <w:vAlign w:val="center"/>
            <w:hideMark/>
          </w:tcPr>
          <w:p w14:paraId="66CED914"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2.506.701</w:t>
            </w:r>
          </w:p>
        </w:tc>
        <w:tc>
          <w:tcPr>
            <w:tcW w:w="376" w:type="pct"/>
            <w:tcBorders>
              <w:top w:val="nil"/>
              <w:left w:val="nil"/>
              <w:bottom w:val="nil"/>
              <w:right w:val="nil"/>
            </w:tcBorders>
            <w:shd w:val="clear" w:color="auto" w:fill="auto"/>
            <w:noWrap/>
            <w:vAlign w:val="center"/>
            <w:hideMark/>
          </w:tcPr>
          <w:p w14:paraId="286ACC61"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62,1%</w:t>
            </w:r>
          </w:p>
        </w:tc>
      </w:tr>
      <w:tr w:rsidR="00D44CF4" w:rsidRPr="00D44CF4" w14:paraId="6C89A86D" w14:textId="77777777" w:rsidTr="00D44CF4">
        <w:trPr>
          <w:trHeight w:val="238"/>
        </w:trPr>
        <w:tc>
          <w:tcPr>
            <w:tcW w:w="1108" w:type="pct"/>
            <w:tcBorders>
              <w:top w:val="nil"/>
              <w:left w:val="nil"/>
              <w:bottom w:val="nil"/>
              <w:right w:val="nil"/>
            </w:tcBorders>
            <w:shd w:val="clear" w:color="auto" w:fill="auto"/>
            <w:noWrap/>
            <w:vAlign w:val="center"/>
            <w:hideMark/>
          </w:tcPr>
          <w:p w14:paraId="48654AE7" w14:textId="77777777" w:rsidR="00D44CF4" w:rsidRPr="00D44CF4" w:rsidRDefault="00D44CF4" w:rsidP="00D44CF4">
            <w:pPr>
              <w:tabs>
                <w:tab w:val="clear" w:pos="851"/>
              </w:tabs>
              <w:spacing w:before="0" w:after="0" w:line="240" w:lineRule="auto"/>
              <w:ind w:firstLineChars="100" w:firstLine="150"/>
              <w:jc w:val="left"/>
              <w:rPr>
                <w:rFonts w:ascii="Arial" w:hAnsi="Arial" w:cs="Arial"/>
                <w:color w:val="000000"/>
                <w:sz w:val="15"/>
                <w:szCs w:val="15"/>
                <w:lang w:eastAsia="pt-BR"/>
              </w:rPr>
            </w:pPr>
            <w:r w:rsidRPr="00D44CF4">
              <w:rPr>
                <w:rFonts w:ascii="Arial" w:hAnsi="Arial" w:cs="Arial"/>
                <w:color w:val="000000"/>
                <w:sz w:val="15"/>
                <w:szCs w:val="15"/>
                <w:lang w:eastAsia="pt-BR"/>
              </w:rPr>
              <w:t>Realizável a Longo Prazo</w:t>
            </w:r>
          </w:p>
        </w:tc>
        <w:tc>
          <w:tcPr>
            <w:tcW w:w="445" w:type="pct"/>
            <w:tcBorders>
              <w:top w:val="nil"/>
              <w:left w:val="nil"/>
              <w:bottom w:val="nil"/>
              <w:right w:val="nil"/>
            </w:tcBorders>
            <w:shd w:val="clear" w:color="auto" w:fill="auto"/>
            <w:noWrap/>
            <w:vAlign w:val="center"/>
            <w:hideMark/>
          </w:tcPr>
          <w:p w14:paraId="70F74C0B"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304.747</w:t>
            </w:r>
          </w:p>
        </w:tc>
        <w:tc>
          <w:tcPr>
            <w:tcW w:w="376" w:type="pct"/>
            <w:tcBorders>
              <w:top w:val="nil"/>
              <w:left w:val="nil"/>
              <w:bottom w:val="nil"/>
              <w:right w:val="nil"/>
            </w:tcBorders>
            <w:shd w:val="clear" w:color="auto" w:fill="auto"/>
            <w:noWrap/>
            <w:vAlign w:val="center"/>
            <w:hideMark/>
          </w:tcPr>
          <w:p w14:paraId="5A2D30D0"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7,5%</w:t>
            </w:r>
          </w:p>
        </w:tc>
        <w:tc>
          <w:tcPr>
            <w:tcW w:w="357" w:type="pct"/>
            <w:tcBorders>
              <w:top w:val="nil"/>
              <w:left w:val="nil"/>
              <w:bottom w:val="nil"/>
              <w:right w:val="nil"/>
            </w:tcBorders>
            <w:shd w:val="clear" w:color="auto" w:fill="auto"/>
            <w:noWrap/>
            <w:vAlign w:val="center"/>
            <w:hideMark/>
          </w:tcPr>
          <w:p w14:paraId="12B68E48"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67,8%</w:t>
            </w:r>
          </w:p>
        </w:tc>
        <w:tc>
          <w:tcPr>
            <w:tcW w:w="357" w:type="pct"/>
            <w:tcBorders>
              <w:top w:val="nil"/>
              <w:left w:val="nil"/>
              <w:bottom w:val="nil"/>
              <w:right w:val="single" w:sz="8" w:space="0" w:color="8DB4E2"/>
            </w:tcBorders>
            <w:shd w:val="clear" w:color="auto" w:fill="auto"/>
            <w:noWrap/>
            <w:vAlign w:val="center"/>
            <w:hideMark/>
          </w:tcPr>
          <w:p w14:paraId="007D1728"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99,9%</w:t>
            </w:r>
          </w:p>
        </w:tc>
        <w:tc>
          <w:tcPr>
            <w:tcW w:w="445" w:type="pct"/>
            <w:tcBorders>
              <w:top w:val="nil"/>
              <w:left w:val="nil"/>
              <w:bottom w:val="nil"/>
              <w:right w:val="nil"/>
            </w:tcBorders>
            <w:shd w:val="clear" w:color="auto" w:fill="auto"/>
            <w:noWrap/>
            <w:vAlign w:val="center"/>
            <w:hideMark/>
          </w:tcPr>
          <w:p w14:paraId="59EE1972"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181.609</w:t>
            </w:r>
          </w:p>
        </w:tc>
        <w:tc>
          <w:tcPr>
            <w:tcW w:w="376" w:type="pct"/>
            <w:tcBorders>
              <w:top w:val="nil"/>
              <w:left w:val="nil"/>
              <w:bottom w:val="nil"/>
              <w:right w:val="nil"/>
            </w:tcBorders>
            <w:shd w:val="clear" w:color="auto" w:fill="auto"/>
            <w:noWrap/>
            <w:vAlign w:val="center"/>
            <w:hideMark/>
          </w:tcPr>
          <w:p w14:paraId="1E5301EF"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4,5%</w:t>
            </w:r>
          </w:p>
        </w:tc>
        <w:tc>
          <w:tcPr>
            <w:tcW w:w="357" w:type="pct"/>
            <w:tcBorders>
              <w:top w:val="nil"/>
              <w:left w:val="nil"/>
              <w:bottom w:val="nil"/>
              <w:right w:val="nil"/>
            </w:tcBorders>
            <w:shd w:val="clear" w:color="auto" w:fill="auto"/>
            <w:noWrap/>
            <w:vAlign w:val="center"/>
            <w:hideMark/>
          </w:tcPr>
          <w:p w14:paraId="717DF2C1"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19,2%</w:t>
            </w:r>
          </w:p>
        </w:tc>
        <w:tc>
          <w:tcPr>
            <w:tcW w:w="357" w:type="pct"/>
            <w:tcBorders>
              <w:top w:val="nil"/>
              <w:left w:val="nil"/>
              <w:bottom w:val="nil"/>
              <w:right w:val="single" w:sz="8" w:space="0" w:color="8DB4E2"/>
            </w:tcBorders>
            <w:shd w:val="clear" w:color="auto" w:fill="auto"/>
            <w:noWrap/>
            <w:vAlign w:val="center"/>
            <w:hideMark/>
          </w:tcPr>
          <w:p w14:paraId="07D6DA84"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18,1%</w:t>
            </w:r>
          </w:p>
        </w:tc>
        <w:tc>
          <w:tcPr>
            <w:tcW w:w="445" w:type="pct"/>
            <w:tcBorders>
              <w:top w:val="nil"/>
              <w:left w:val="nil"/>
              <w:bottom w:val="nil"/>
              <w:right w:val="nil"/>
            </w:tcBorders>
            <w:shd w:val="clear" w:color="auto" w:fill="auto"/>
            <w:noWrap/>
            <w:vAlign w:val="center"/>
            <w:hideMark/>
          </w:tcPr>
          <w:p w14:paraId="5889ABEE"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152.413</w:t>
            </w:r>
          </w:p>
        </w:tc>
        <w:tc>
          <w:tcPr>
            <w:tcW w:w="376" w:type="pct"/>
            <w:tcBorders>
              <w:top w:val="nil"/>
              <w:left w:val="nil"/>
              <w:bottom w:val="nil"/>
              <w:right w:val="nil"/>
            </w:tcBorders>
            <w:shd w:val="clear" w:color="auto" w:fill="auto"/>
            <w:noWrap/>
            <w:vAlign w:val="center"/>
            <w:hideMark/>
          </w:tcPr>
          <w:p w14:paraId="3495A938"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3,8%</w:t>
            </w:r>
          </w:p>
        </w:tc>
      </w:tr>
      <w:tr w:rsidR="00D44CF4" w:rsidRPr="00D44CF4" w14:paraId="78E2D5C6" w14:textId="77777777" w:rsidTr="00D44CF4">
        <w:trPr>
          <w:trHeight w:val="238"/>
        </w:trPr>
        <w:tc>
          <w:tcPr>
            <w:tcW w:w="1108" w:type="pct"/>
            <w:tcBorders>
              <w:top w:val="nil"/>
              <w:left w:val="nil"/>
              <w:bottom w:val="nil"/>
              <w:right w:val="nil"/>
            </w:tcBorders>
            <w:shd w:val="clear" w:color="auto" w:fill="auto"/>
            <w:noWrap/>
            <w:vAlign w:val="center"/>
            <w:hideMark/>
          </w:tcPr>
          <w:p w14:paraId="780F4AB1" w14:textId="77777777" w:rsidR="00D44CF4" w:rsidRPr="00D44CF4" w:rsidRDefault="00D44CF4" w:rsidP="00D44CF4">
            <w:pPr>
              <w:tabs>
                <w:tab w:val="clear" w:pos="851"/>
              </w:tabs>
              <w:spacing w:before="0" w:after="0" w:line="240" w:lineRule="auto"/>
              <w:ind w:firstLineChars="100" w:firstLine="150"/>
              <w:jc w:val="left"/>
              <w:rPr>
                <w:rFonts w:ascii="Arial" w:hAnsi="Arial" w:cs="Arial"/>
                <w:color w:val="000000"/>
                <w:sz w:val="15"/>
                <w:szCs w:val="15"/>
                <w:lang w:eastAsia="pt-BR"/>
              </w:rPr>
            </w:pPr>
            <w:r w:rsidRPr="00D44CF4">
              <w:rPr>
                <w:rFonts w:ascii="Arial" w:hAnsi="Arial" w:cs="Arial"/>
                <w:color w:val="000000"/>
                <w:sz w:val="15"/>
                <w:szCs w:val="15"/>
                <w:lang w:eastAsia="pt-BR"/>
              </w:rPr>
              <w:t>Investimentos</w:t>
            </w:r>
          </w:p>
        </w:tc>
        <w:tc>
          <w:tcPr>
            <w:tcW w:w="445" w:type="pct"/>
            <w:tcBorders>
              <w:top w:val="nil"/>
              <w:left w:val="nil"/>
              <w:bottom w:val="nil"/>
              <w:right w:val="nil"/>
            </w:tcBorders>
            <w:shd w:val="clear" w:color="auto" w:fill="auto"/>
            <w:noWrap/>
            <w:vAlign w:val="center"/>
            <w:hideMark/>
          </w:tcPr>
          <w:p w14:paraId="7DB1541F"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80.124</w:t>
            </w:r>
          </w:p>
        </w:tc>
        <w:tc>
          <w:tcPr>
            <w:tcW w:w="376" w:type="pct"/>
            <w:tcBorders>
              <w:top w:val="nil"/>
              <w:left w:val="nil"/>
              <w:bottom w:val="nil"/>
              <w:right w:val="nil"/>
            </w:tcBorders>
            <w:shd w:val="clear" w:color="auto" w:fill="auto"/>
            <w:noWrap/>
            <w:vAlign w:val="center"/>
            <w:hideMark/>
          </w:tcPr>
          <w:p w14:paraId="16F511CA"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2,0%</w:t>
            </w:r>
          </w:p>
        </w:tc>
        <w:tc>
          <w:tcPr>
            <w:tcW w:w="357" w:type="pct"/>
            <w:tcBorders>
              <w:top w:val="nil"/>
              <w:left w:val="nil"/>
              <w:bottom w:val="nil"/>
              <w:right w:val="nil"/>
            </w:tcBorders>
            <w:shd w:val="clear" w:color="auto" w:fill="auto"/>
            <w:noWrap/>
            <w:vAlign w:val="center"/>
            <w:hideMark/>
          </w:tcPr>
          <w:p w14:paraId="52B834D8"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14,3%</w:t>
            </w:r>
          </w:p>
        </w:tc>
        <w:tc>
          <w:tcPr>
            <w:tcW w:w="357" w:type="pct"/>
            <w:tcBorders>
              <w:top w:val="nil"/>
              <w:left w:val="nil"/>
              <w:bottom w:val="nil"/>
              <w:right w:val="single" w:sz="8" w:space="0" w:color="8DB4E2"/>
            </w:tcBorders>
            <w:shd w:val="clear" w:color="auto" w:fill="auto"/>
            <w:noWrap/>
            <w:vAlign w:val="center"/>
            <w:hideMark/>
          </w:tcPr>
          <w:p w14:paraId="7FD020BA"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6,6%</w:t>
            </w:r>
          </w:p>
        </w:tc>
        <w:tc>
          <w:tcPr>
            <w:tcW w:w="445" w:type="pct"/>
            <w:tcBorders>
              <w:top w:val="nil"/>
              <w:left w:val="nil"/>
              <w:bottom w:val="nil"/>
              <w:right w:val="nil"/>
            </w:tcBorders>
            <w:shd w:val="clear" w:color="auto" w:fill="auto"/>
            <w:noWrap/>
            <w:vAlign w:val="center"/>
            <w:hideMark/>
          </w:tcPr>
          <w:p w14:paraId="6E846CBD"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70.084</w:t>
            </w:r>
          </w:p>
        </w:tc>
        <w:tc>
          <w:tcPr>
            <w:tcW w:w="376" w:type="pct"/>
            <w:tcBorders>
              <w:top w:val="nil"/>
              <w:left w:val="nil"/>
              <w:bottom w:val="nil"/>
              <w:right w:val="nil"/>
            </w:tcBorders>
            <w:shd w:val="clear" w:color="auto" w:fill="auto"/>
            <w:noWrap/>
            <w:vAlign w:val="center"/>
            <w:hideMark/>
          </w:tcPr>
          <w:p w14:paraId="694C8186"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1,8%</w:t>
            </w:r>
          </w:p>
        </w:tc>
        <w:tc>
          <w:tcPr>
            <w:tcW w:w="357" w:type="pct"/>
            <w:tcBorders>
              <w:top w:val="nil"/>
              <w:left w:val="nil"/>
              <w:bottom w:val="nil"/>
              <w:right w:val="nil"/>
            </w:tcBorders>
            <w:shd w:val="clear" w:color="auto" w:fill="auto"/>
            <w:noWrap/>
            <w:vAlign w:val="center"/>
            <w:hideMark/>
          </w:tcPr>
          <w:p w14:paraId="3711DD0E"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-6,8%</w:t>
            </w:r>
          </w:p>
        </w:tc>
        <w:tc>
          <w:tcPr>
            <w:tcW w:w="357" w:type="pct"/>
            <w:tcBorders>
              <w:top w:val="nil"/>
              <w:left w:val="nil"/>
              <w:bottom w:val="nil"/>
              <w:right w:val="single" w:sz="8" w:space="0" w:color="8DB4E2"/>
            </w:tcBorders>
            <w:shd w:val="clear" w:color="auto" w:fill="auto"/>
            <w:noWrap/>
            <w:vAlign w:val="center"/>
            <w:hideMark/>
          </w:tcPr>
          <w:p w14:paraId="435A20BA"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-20,5%</w:t>
            </w:r>
          </w:p>
        </w:tc>
        <w:tc>
          <w:tcPr>
            <w:tcW w:w="445" w:type="pct"/>
            <w:tcBorders>
              <w:top w:val="nil"/>
              <w:left w:val="nil"/>
              <w:bottom w:val="nil"/>
              <w:right w:val="nil"/>
            </w:tcBorders>
            <w:shd w:val="clear" w:color="auto" w:fill="auto"/>
            <w:noWrap/>
            <w:vAlign w:val="center"/>
            <w:hideMark/>
          </w:tcPr>
          <w:p w14:paraId="73A653B6"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75.195</w:t>
            </w:r>
          </w:p>
        </w:tc>
        <w:tc>
          <w:tcPr>
            <w:tcW w:w="376" w:type="pct"/>
            <w:tcBorders>
              <w:top w:val="nil"/>
              <w:left w:val="nil"/>
              <w:bottom w:val="nil"/>
              <w:right w:val="nil"/>
            </w:tcBorders>
            <w:shd w:val="clear" w:color="auto" w:fill="auto"/>
            <w:noWrap/>
            <w:vAlign w:val="center"/>
            <w:hideMark/>
          </w:tcPr>
          <w:p w14:paraId="4EE66CA5"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1,9%</w:t>
            </w:r>
          </w:p>
        </w:tc>
      </w:tr>
      <w:tr w:rsidR="00D44CF4" w:rsidRPr="00D44CF4" w14:paraId="4FDDA3BF" w14:textId="77777777" w:rsidTr="00D44CF4">
        <w:trPr>
          <w:trHeight w:val="238"/>
        </w:trPr>
        <w:tc>
          <w:tcPr>
            <w:tcW w:w="1108" w:type="pct"/>
            <w:tcBorders>
              <w:top w:val="nil"/>
              <w:left w:val="nil"/>
              <w:bottom w:val="nil"/>
              <w:right w:val="nil"/>
            </w:tcBorders>
            <w:shd w:val="clear" w:color="auto" w:fill="auto"/>
            <w:noWrap/>
            <w:vAlign w:val="center"/>
            <w:hideMark/>
          </w:tcPr>
          <w:p w14:paraId="312FF2FC" w14:textId="77777777" w:rsidR="00D44CF4" w:rsidRPr="00D44CF4" w:rsidRDefault="00D44CF4" w:rsidP="00D44CF4">
            <w:pPr>
              <w:tabs>
                <w:tab w:val="clear" w:pos="851"/>
              </w:tabs>
              <w:spacing w:before="0" w:after="0" w:line="240" w:lineRule="auto"/>
              <w:ind w:firstLineChars="100" w:firstLine="150"/>
              <w:jc w:val="left"/>
              <w:rPr>
                <w:rFonts w:ascii="Arial" w:hAnsi="Arial" w:cs="Arial"/>
                <w:color w:val="000000"/>
                <w:sz w:val="15"/>
                <w:szCs w:val="15"/>
                <w:lang w:eastAsia="pt-BR"/>
              </w:rPr>
            </w:pPr>
            <w:r w:rsidRPr="00D44CF4">
              <w:rPr>
                <w:rFonts w:ascii="Arial" w:hAnsi="Arial" w:cs="Arial"/>
                <w:color w:val="000000"/>
                <w:sz w:val="15"/>
                <w:szCs w:val="15"/>
                <w:lang w:eastAsia="pt-BR"/>
              </w:rPr>
              <w:t>Imobilizado</w:t>
            </w:r>
          </w:p>
        </w:tc>
        <w:tc>
          <w:tcPr>
            <w:tcW w:w="445" w:type="pct"/>
            <w:tcBorders>
              <w:top w:val="nil"/>
              <w:left w:val="nil"/>
              <w:bottom w:val="nil"/>
              <w:right w:val="nil"/>
            </w:tcBorders>
            <w:shd w:val="clear" w:color="auto" w:fill="auto"/>
            <w:noWrap/>
            <w:vAlign w:val="center"/>
            <w:hideMark/>
          </w:tcPr>
          <w:p w14:paraId="17897050"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1.909.708</w:t>
            </w:r>
          </w:p>
        </w:tc>
        <w:tc>
          <w:tcPr>
            <w:tcW w:w="376" w:type="pct"/>
            <w:tcBorders>
              <w:top w:val="nil"/>
              <w:left w:val="nil"/>
              <w:bottom w:val="nil"/>
              <w:right w:val="nil"/>
            </w:tcBorders>
            <w:shd w:val="clear" w:color="auto" w:fill="auto"/>
            <w:noWrap/>
            <w:vAlign w:val="center"/>
            <w:hideMark/>
          </w:tcPr>
          <w:p w14:paraId="0EA65A79"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46,7%</w:t>
            </w:r>
          </w:p>
        </w:tc>
        <w:tc>
          <w:tcPr>
            <w:tcW w:w="357" w:type="pct"/>
            <w:tcBorders>
              <w:top w:val="nil"/>
              <w:left w:val="nil"/>
              <w:bottom w:val="nil"/>
              <w:right w:val="nil"/>
            </w:tcBorders>
            <w:shd w:val="clear" w:color="auto" w:fill="auto"/>
            <w:noWrap/>
            <w:vAlign w:val="center"/>
            <w:hideMark/>
          </w:tcPr>
          <w:p w14:paraId="1EE98A48"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-10,0%</w:t>
            </w:r>
          </w:p>
        </w:tc>
        <w:tc>
          <w:tcPr>
            <w:tcW w:w="357" w:type="pct"/>
            <w:tcBorders>
              <w:top w:val="nil"/>
              <w:left w:val="nil"/>
              <w:bottom w:val="nil"/>
              <w:right w:val="single" w:sz="8" w:space="0" w:color="8DB4E2"/>
            </w:tcBorders>
            <w:shd w:val="clear" w:color="auto" w:fill="auto"/>
            <w:noWrap/>
            <w:vAlign w:val="center"/>
            <w:hideMark/>
          </w:tcPr>
          <w:p w14:paraId="006ABA16"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-15,3%</w:t>
            </w:r>
          </w:p>
        </w:tc>
        <w:tc>
          <w:tcPr>
            <w:tcW w:w="445" w:type="pct"/>
            <w:tcBorders>
              <w:top w:val="nil"/>
              <w:left w:val="nil"/>
              <w:bottom w:val="nil"/>
              <w:right w:val="nil"/>
            </w:tcBorders>
            <w:shd w:val="clear" w:color="auto" w:fill="auto"/>
            <w:noWrap/>
            <w:vAlign w:val="center"/>
            <w:hideMark/>
          </w:tcPr>
          <w:p w14:paraId="19718DE0"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2.121.373</w:t>
            </w:r>
          </w:p>
        </w:tc>
        <w:tc>
          <w:tcPr>
            <w:tcW w:w="376" w:type="pct"/>
            <w:tcBorders>
              <w:top w:val="nil"/>
              <w:left w:val="nil"/>
              <w:bottom w:val="nil"/>
              <w:right w:val="nil"/>
            </w:tcBorders>
            <w:shd w:val="clear" w:color="auto" w:fill="auto"/>
            <w:noWrap/>
            <w:vAlign w:val="center"/>
            <w:hideMark/>
          </w:tcPr>
          <w:p w14:paraId="345C807A"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53,0%</w:t>
            </w:r>
          </w:p>
        </w:tc>
        <w:tc>
          <w:tcPr>
            <w:tcW w:w="357" w:type="pct"/>
            <w:tcBorders>
              <w:top w:val="nil"/>
              <w:left w:val="nil"/>
              <w:bottom w:val="nil"/>
              <w:right w:val="nil"/>
            </w:tcBorders>
            <w:shd w:val="clear" w:color="auto" w:fill="auto"/>
            <w:noWrap/>
            <w:vAlign w:val="center"/>
            <w:hideMark/>
          </w:tcPr>
          <w:p w14:paraId="5BB98CD7"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-5,9%</w:t>
            </w:r>
          </w:p>
        </w:tc>
        <w:tc>
          <w:tcPr>
            <w:tcW w:w="357" w:type="pct"/>
            <w:tcBorders>
              <w:top w:val="nil"/>
              <w:left w:val="nil"/>
              <w:bottom w:val="nil"/>
              <w:right w:val="single" w:sz="8" w:space="0" w:color="8DB4E2"/>
            </w:tcBorders>
            <w:shd w:val="clear" w:color="auto" w:fill="auto"/>
            <w:noWrap/>
            <w:vAlign w:val="center"/>
            <w:hideMark/>
          </w:tcPr>
          <w:p w14:paraId="785D055B"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-10,4%</w:t>
            </w:r>
          </w:p>
        </w:tc>
        <w:tc>
          <w:tcPr>
            <w:tcW w:w="445" w:type="pct"/>
            <w:tcBorders>
              <w:top w:val="nil"/>
              <w:left w:val="nil"/>
              <w:bottom w:val="nil"/>
              <w:right w:val="nil"/>
            </w:tcBorders>
            <w:shd w:val="clear" w:color="auto" w:fill="auto"/>
            <w:noWrap/>
            <w:vAlign w:val="center"/>
            <w:hideMark/>
          </w:tcPr>
          <w:p w14:paraId="23A37623"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2.253.712</w:t>
            </w:r>
          </w:p>
        </w:tc>
        <w:tc>
          <w:tcPr>
            <w:tcW w:w="376" w:type="pct"/>
            <w:tcBorders>
              <w:top w:val="nil"/>
              <w:left w:val="nil"/>
              <w:bottom w:val="nil"/>
              <w:right w:val="nil"/>
            </w:tcBorders>
            <w:shd w:val="clear" w:color="auto" w:fill="auto"/>
            <w:noWrap/>
            <w:vAlign w:val="center"/>
            <w:hideMark/>
          </w:tcPr>
          <w:p w14:paraId="50F7DCC7"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55,8%</w:t>
            </w:r>
          </w:p>
        </w:tc>
      </w:tr>
      <w:tr w:rsidR="00D44CF4" w:rsidRPr="00D44CF4" w14:paraId="2B5C4C10" w14:textId="77777777" w:rsidTr="00D44CF4">
        <w:trPr>
          <w:trHeight w:val="238"/>
        </w:trPr>
        <w:tc>
          <w:tcPr>
            <w:tcW w:w="1108" w:type="pct"/>
            <w:tcBorders>
              <w:top w:val="nil"/>
              <w:left w:val="nil"/>
              <w:bottom w:val="nil"/>
              <w:right w:val="nil"/>
            </w:tcBorders>
            <w:shd w:val="clear" w:color="auto" w:fill="auto"/>
            <w:noWrap/>
            <w:vAlign w:val="center"/>
            <w:hideMark/>
          </w:tcPr>
          <w:p w14:paraId="04DFADFB" w14:textId="77777777" w:rsidR="00D44CF4" w:rsidRPr="00D44CF4" w:rsidRDefault="00D44CF4" w:rsidP="00D44CF4">
            <w:pPr>
              <w:tabs>
                <w:tab w:val="clear" w:pos="851"/>
              </w:tabs>
              <w:spacing w:before="0" w:after="0" w:line="240" w:lineRule="auto"/>
              <w:ind w:firstLineChars="100" w:firstLine="150"/>
              <w:jc w:val="left"/>
              <w:rPr>
                <w:rFonts w:ascii="Arial" w:hAnsi="Arial" w:cs="Arial"/>
                <w:color w:val="000000"/>
                <w:sz w:val="15"/>
                <w:szCs w:val="15"/>
                <w:lang w:eastAsia="pt-BR"/>
              </w:rPr>
            </w:pPr>
            <w:r w:rsidRPr="00D44CF4">
              <w:rPr>
                <w:rFonts w:ascii="Arial" w:hAnsi="Arial" w:cs="Arial"/>
                <w:color w:val="000000"/>
                <w:sz w:val="15"/>
                <w:szCs w:val="15"/>
                <w:lang w:eastAsia="pt-BR"/>
              </w:rPr>
              <w:t>Intangível</w:t>
            </w:r>
          </w:p>
        </w:tc>
        <w:tc>
          <w:tcPr>
            <w:tcW w:w="445" w:type="pct"/>
            <w:tcBorders>
              <w:top w:val="nil"/>
              <w:left w:val="nil"/>
              <w:bottom w:val="nil"/>
              <w:right w:val="nil"/>
            </w:tcBorders>
            <w:shd w:val="clear" w:color="auto" w:fill="auto"/>
            <w:noWrap/>
            <w:vAlign w:val="center"/>
            <w:hideMark/>
          </w:tcPr>
          <w:p w14:paraId="142236A0"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19.403</w:t>
            </w:r>
          </w:p>
        </w:tc>
        <w:tc>
          <w:tcPr>
            <w:tcW w:w="376" w:type="pct"/>
            <w:tcBorders>
              <w:top w:val="nil"/>
              <w:left w:val="nil"/>
              <w:bottom w:val="nil"/>
              <w:right w:val="nil"/>
            </w:tcBorders>
            <w:shd w:val="clear" w:color="auto" w:fill="auto"/>
            <w:noWrap/>
            <w:vAlign w:val="center"/>
            <w:hideMark/>
          </w:tcPr>
          <w:p w14:paraId="7F9653B0"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0,5%</w:t>
            </w:r>
          </w:p>
        </w:tc>
        <w:tc>
          <w:tcPr>
            <w:tcW w:w="357" w:type="pct"/>
            <w:tcBorders>
              <w:top w:val="nil"/>
              <w:left w:val="nil"/>
              <w:bottom w:val="nil"/>
              <w:right w:val="nil"/>
            </w:tcBorders>
            <w:shd w:val="clear" w:color="auto" w:fill="auto"/>
            <w:noWrap/>
            <w:vAlign w:val="center"/>
            <w:hideMark/>
          </w:tcPr>
          <w:p w14:paraId="451596A6"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-16,3%</w:t>
            </w:r>
          </w:p>
        </w:tc>
        <w:tc>
          <w:tcPr>
            <w:tcW w:w="357" w:type="pct"/>
            <w:tcBorders>
              <w:top w:val="nil"/>
              <w:left w:val="nil"/>
              <w:bottom w:val="nil"/>
              <w:right w:val="single" w:sz="8" w:space="0" w:color="8DB4E2"/>
            </w:tcBorders>
            <w:shd w:val="clear" w:color="auto" w:fill="auto"/>
            <w:noWrap/>
            <w:vAlign w:val="center"/>
            <w:hideMark/>
          </w:tcPr>
          <w:p w14:paraId="68414721"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-23,6%</w:t>
            </w:r>
          </w:p>
        </w:tc>
        <w:tc>
          <w:tcPr>
            <w:tcW w:w="445" w:type="pct"/>
            <w:tcBorders>
              <w:top w:val="nil"/>
              <w:left w:val="nil"/>
              <w:bottom w:val="nil"/>
              <w:right w:val="nil"/>
            </w:tcBorders>
            <w:shd w:val="clear" w:color="auto" w:fill="auto"/>
            <w:noWrap/>
            <w:vAlign w:val="center"/>
            <w:hideMark/>
          </w:tcPr>
          <w:p w14:paraId="2B529B40"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23.172</w:t>
            </w:r>
          </w:p>
        </w:tc>
        <w:tc>
          <w:tcPr>
            <w:tcW w:w="376" w:type="pct"/>
            <w:tcBorders>
              <w:top w:val="nil"/>
              <w:left w:val="nil"/>
              <w:bottom w:val="nil"/>
              <w:right w:val="nil"/>
            </w:tcBorders>
            <w:shd w:val="clear" w:color="auto" w:fill="auto"/>
            <w:noWrap/>
            <w:vAlign w:val="center"/>
            <w:hideMark/>
          </w:tcPr>
          <w:p w14:paraId="1B1AAD0F"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0,6%</w:t>
            </w:r>
          </w:p>
        </w:tc>
        <w:tc>
          <w:tcPr>
            <w:tcW w:w="357" w:type="pct"/>
            <w:tcBorders>
              <w:top w:val="nil"/>
              <w:left w:val="nil"/>
              <w:bottom w:val="nil"/>
              <w:right w:val="nil"/>
            </w:tcBorders>
            <w:shd w:val="clear" w:color="auto" w:fill="auto"/>
            <w:noWrap/>
            <w:vAlign w:val="center"/>
            <w:hideMark/>
          </w:tcPr>
          <w:p w14:paraId="696DE4E0"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-8,7%</w:t>
            </w:r>
          </w:p>
        </w:tc>
        <w:tc>
          <w:tcPr>
            <w:tcW w:w="357" w:type="pct"/>
            <w:tcBorders>
              <w:top w:val="nil"/>
              <w:left w:val="nil"/>
              <w:bottom w:val="nil"/>
              <w:right w:val="single" w:sz="8" w:space="0" w:color="8DB4E2"/>
            </w:tcBorders>
            <w:shd w:val="clear" w:color="auto" w:fill="auto"/>
            <w:noWrap/>
            <w:vAlign w:val="center"/>
            <w:hideMark/>
          </w:tcPr>
          <w:p w14:paraId="37F249B4"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-26,7%</w:t>
            </w:r>
          </w:p>
        </w:tc>
        <w:tc>
          <w:tcPr>
            <w:tcW w:w="445" w:type="pct"/>
            <w:tcBorders>
              <w:top w:val="nil"/>
              <w:left w:val="nil"/>
              <w:bottom w:val="nil"/>
              <w:right w:val="nil"/>
            </w:tcBorders>
            <w:shd w:val="clear" w:color="auto" w:fill="auto"/>
            <w:noWrap/>
            <w:vAlign w:val="center"/>
            <w:hideMark/>
          </w:tcPr>
          <w:p w14:paraId="6502608B"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25.381</w:t>
            </w:r>
          </w:p>
        </w:tc>
        <w:tc>
          <w:tcPr>
            <w:tcW w:w="376" w:type="pct"/>
            <w:tcBorders>
              <w:top w:val="nil"/>
              <w:left w:val="nil"/>
              <w:bottom w:val="nil"/>
              <w:right w:val="nil"/>
            </w:tcBorders>
            <w:shd w:val="clear" w:color="auto" w:fill="auto"/>
            <w:noWrap/>
            <w:vAlign w:val="center"/>
            <w:hideMark/>
          </w:tcPr>
          <w:p w14:paraId="273EB2C1"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0,6%</w:t>
            </w:r>
          </w:p>
        </w:tc>
      </w:tr>
      <w:tr w:rsidR="00D44CF4" w:rsidRPr="00D44CF4" w14:paraId="763E79D7" w14:textId="77777777" w:rsidTr="00D44CF4">
        <w:trPr>
          <w:trHeight w:val="238"/>
        </w:trPr>
        <w:tc>
          <w:tcPr>
            <w:tcW w:w="1108" w:type="pct"/>
            <w:tcBorders>
              <w:top w:val="single" w:sz="8" w:space="0" w:color="8DB4E2"/>
              <w:left w:val="nil"/>
              <w:bottom w:val="single" w:sz="8" w:space="0" w:color="8DB4E2"/>
              <w:right w:val="nil"/>
            </w:tcBorders>
            <w:shd w:val="clear" w:color="auto" w:fill="auto"/>
            <w:noWrap/>
            <w:vAlign w:val="center"/>
            <w:hideMark/>
          </w:tcPr>
          <w:p w14:paraId="0EDED343" w14:textId="77777777" w:rsidR="00D44CF4" w:rsidRPr="00D44CF4" w:rsidRDefault="00D44CF4" w:rsidP="00D44CF4">
            <w:pPr>
              <w:tabs>
                <w:tab w:val="clear" w:pos="851"/>
              </w:tabs>
              <w:spacing w:before="0" w:after="0" w:line="240" w:lineRule="auto"/>
              <w:jc w:val="left"/>
              <w:rPr>
                <w:rFonts w:ascii="Arial" w:hAnsi="Arial" w:cs="Arial"/>
                <w:b/>
                <w:bCs/>
                <w:color w:val="000000"/>
                <w:sz w:val="15"/>
                <w:szCs w:val="15"/>
                <w:lang w:eastAsia="pt-BR"/>
              </w:rPr>
            </w:pPr>
            <w:r w:rsidRPr="00D44CF4">
              <w:rPr>
                <w:rFonts w:ascii="Arial" w:hAnsi="Arial" w:cs="Arial"/>
                <w:b/>
                <w:bCs/>
                <w:color w:val="000000"/>
                <w:sz w:val="15"/>
                <w:szCs w:val="15"/>
                <w:lang w:eastAsia="pt-BR"/>
              </w:rPr>
              <w:t>Ativo Total</w:t>
            </w:r>
          </w:p>
        </w:tc>
        <w:tc>
          <w:tcPr>
            <w:tcW w:w="445" w:type="pct"/>
            <w:tcBorders>
              <w:top w:val="single" w:sz="8" w:space="0" w:color="8DB4E2"/>
              <w:left w:val="nil"/>
              <w:bottom w:val="single" w:sz="8" w:space="0" w:color="8DB4E2"/>
              <w:right w:val="nil"/>
            </w:tcBorders>
            <w:shd w:val="clear" w:color="auto" w:fill="auto"/>
            <w:noWrap/>
            <w:vAlign w:val="center"/>
            <w:hideMark/>
          </w:tcPr>
          <w:p w14:paraId="155B75D4"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5"/>
                <w:szCs w:val="15"/>
                <w:lang w:eastAsia="pt-BR"/>
              </w:rPr>
              <w:t>4.089.985</w:t>
            </w:r>
          </w:p>
        </w:tc>
        <w:tc>
          <w:tcPr>
            <w:tcW w:w="376" w:type="pct"/>
            <w:tcBorders>
              <w:top w:val="single" w:sz="8" w:space="0" w:color="8DB4E2"/>
              <w:left w:val="nil"/>
              <w:bottom w:val="single" w:sz="8" w:space="0" w:color="8DB4E2"/>
              <w:right w:val="nil"/>
            </w:tcBorders>
            <w:shd w:val="clear" w:color="auto" w:fill="auto"/>
            <w:noWrap/>
            <w:vAlign w:val="center"/>
            <w:hideMark/>
          </w:tcPr>
          <w:p w14:paraId="70C3FA3D"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100,0%</w:t>
            </w:r>
          </w:p>
        </w:tc>
        <w:tc>
          <w:tcPr>
            <w:tcW w:w="357" w:type="pct"/>
            <w:tcBorders>
              <w:top w:val="single" w:sz="8" w:space="0" w:color="8DB4E2"/>
              <w:left w:val="nil"/>
              <w:bottom w:val="single" w:sz="8" w:space="0" w:color="8DB4E2"/>
              <w:right w:val="nil"/>
            </w:tcBorders>
            <w:shd w:val="clear" w:color="auto" w:fill="auto"/>
            <w:noWrap/>
            <w:vAlign w:val="center"/>
            <w:hideMark/>
          </w:tcPr>
          <w:p w14:paraId="2963E727"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2,2%</w:t>
            </w:r>
          </w:p>
        </w:tc>
        <w:tc>
          <w:tcPr>
            <w:tcW w:w="357" w:type="pct"/>
            <w:tcBorders>
              <w:top w:val="single" w:sz="8" w:space="0" w:color="8DB4E2"/>
              <w:left w:val="nil"/>
              <w:bottom w:val="single" w:sz="8" w:space="0" w:color="8DB4E2"/>
              <w:right w:val="single" w:sz="8" w:space="0" w:color="8DB4E2"/>
            </w:tcBorders>
            <w:shd w:val="clear" w:color="auto" w:fill="auto"/>
            <w:noWrap/>
            <w:vAlign w:val="center"/>
            <w:hideMark/>
          </w:tcPr>
          <w:p w14:paraId="78A799B5"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1,4%</w:t>
            </w:r>
          </w:p>
        </w:tc>
        <w:tc>
          <w:tcPr>
            <w:tcW w:w="445" w:type="pct"/>
            <w:tcBorders>
              <w:top w:val="single" w:sz="8" w:space="0" w:color="8DB4E2"/>
              <w:left w:val="nil"/>
              <w:bottom w:val="single" w:sz="8" w:space="0" w:color="8DB4E2"/>
              <w:right w:val="nil"/>
            </w:tcBorders>
            <w:shd w:val="clear" w:color="auto" w:fill="auto"/>
            <w:noWrap/>
            <w:vAlign w:val="center"/>
            <w:hideMark/>
          </w:tcPr>
          <w:p w14:paraId="50C0AD17"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5"/>
                <w:szCs w:val="15"/>
                <w:lang w:eastAsia="pt-BR"/>
              </w:rPr>
              <w:t>4.003.587</w:t>
            </w:r>
          </w:p>
        </w:tc>
        <w:tc>
          <w:tcPr>
            <w:tcW w:w="376" w:type="pct"/>
            <w:tcBorders>
              <w:top w:val="single" w:sz="8" w:space="0" w:color="8DB4E2"/>
              <w:left w:val="nil"/>
              <w:bottom w:val="single" w:sz="8" w:space="0" w:color="8DB4E2"/>
              <w:right w:val="nil"/>
            </w:tcBorders>
            <w:shd w:val="clear" w:color="auto" w:fill="auto"/>
            <w:noWrap/>
            <w:vAlign w:val="center"/>
            <w:hideMark/>
          </w:tcPr>
          <w:p w14:paraId="0ABD1A69"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100,0%</w:t>
            </w:r>
          </w:p>
        </w:tc>
        <w:tc>
          <w:tcPr>
            <w:tcW w:w="357" w:type="pct"/>
            <w:tcBorders>
              <w:top w:val="single" w:sz="8" w:space="0" w:color="8DB4E2"/>
              <w:left w:val="nil"/>
              <w:bottom w:val="single" w:sz="8" w:space="0" w:color="8DB4E2"/>
              <w:right w:val="nil"/>
            </w:tcBorders>
            <w:shd w:val="clear" w:color="auto" w:fill="auto"/>
            <w:noWrap/>
            <w:vAlign w:val="center"/>
            <w:hideMark/>
          </w:tcPr>
          <w:p w14:paraId="13AAD376"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-0,8%</w:t>
            </w:r>
          </w:p>
        </w:tc>
        <w:tc>
          <w:tcPr>
            <w:tcW w:w="357" w:type="pct"/>
            <w:tcBorders>
              <w:top w:val="single" w:sz="8" w:space="0" w:color="8DB4E2"/>
              <w:left w:val="nil"/>
              <w:bottom w:val="single" w:sz="8" w:space="0" w:color="8DB4E2"/>
              <w:right w:val="single" w:sz="8" w:space="0" w:color="8DB4E2"/>
            </w:tcBorders>
            <w:shd w:val="clear" w:color="auto" w:fill="auto"/>
            <w:noWrap/>
            <w:vAlign w:val="center"/>
            <w:hideMark/>
          </w:tcPr>
          <w:p w14:paraId="1B7F1AE1"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-2,3%</w:t>
            </w:r>
          </w:p>
        </w:tc>
        <w:tc>
          <w:tcPr>
            <w:tcW w:w="445" w:type="pct"/>
            <w:tcBorders>
              <w:top w:val="single" w:sz="8" w:space="0" w:color="8DB4E2"/>
              <w:left w:val="nil"/>
              <w:bottom w:val="single" w:sz="8" w:space="0" w:color="8DB4E2"/>
              <w:right w:val="nil"/>
            </w:tcBorders>
            <w:shd w:val="clear" w:color="auto" w:fill="auto"/>
            <w:noWrap/>
            <w:vAlign w:val="center"/>
            <w:hideMark/>
          </w:tcPr>
          <w:p w14:paraId="7636E860"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5"/>
                <w:szCs w:val="15"/>
                <w:lang w:eastAsia="pt-BR"/>
              </w:rPr>
              <w:t>4.035.411</w:t>
            </w:r>
          </w:p>
        </w:tc>
        <w:tc>
          <w:tcPr>
            <w:tcW w:w="376" w:type="pct"/>
            <w:tcBorders>
              <w:top w:val="single" w:sz="8" w:space="0" w:color="8DB4E2"/>
              <w:left w:val="nil"/>
              <w:bottom w:val="single" w:sz="8" w:space="0" w:color="8DB4E2"/>
              <w:right w:val="nil"/>
            </w:tcBorders>
            <w:shd w:val="clear" w:color="auto" w:fill="auto"/>
            <w:noWrap/>
            <w:vAlign w:val="center"/>
            <w:hideMark/>
          </w:tcPr>
          <w:p w14:paraId="337DA562"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100,0%</w:t>
            </w:r>
          </w:p>
        </w:tc>
      </w:tr>
      <w:tr w:rsidR="00D44CF4" w:rsidRPr="00D44CF4" w14:paraId="7D046D97" w14:textId="77777777" w:rsidTr="00D44CF4">
        <w:trPr>
          <w:trHeight w:val="238"/>
        </w:trPr>
        <w:tc>
          <w:tcPr>
            <w:tcW w:w="1108" w:type="pct"/>
            <w:tcBorders>
              <w:top w:val="nil"/>
              <w:left w:val="nil"/>
              <w:bottom w:val="nil"/>
              <w:right w:val="nil"/>
            </w:tcBorders>
            <w:shd w:val="clear" w:color="auto" w:fill="auto"/>
            <w:noWrap/>
            <w:vAlign w:val="center"/>
            <w:hideMark/>
          </w:tcPr>
          <w:p w14:paraId="55D513C2" w14:textId="77777777" w:rsidR="00D44CF4" w:rsidRPr="00D44CF4" w:rsidRDefault="00D44CF4" w:rsidP="00D44CF4">
            <w:pPr>
              <w:tabs>
                <w:tab w:val="clear" w:pos="851"/>
              </w:tabs>
              <w:spacing w:before="0" w:after="0" w:line="240" w:lineRule="auto"/>
              <w:jc w:val="left"/>
              <w:rPr>
                <w:rFonts w:ascii="Arial" w:hAnsi="Arial" w:cs="Arial"/>
                <w:color w:val="000000"/>
                <w:sz w:val="15"/>
                <w:szCs w:val="15"/>
                <w:lang w:eastAsia="pt-BR"/>
              </w:rPr>
            </w:pPr>
            <w:r w:rsidRPr="00D44CF4">
              <w:rPr>
                <w:rFonts w:ascii="Arial" w:hAnsi="Arial" w:cs="Arial"/>
                <w:color w:val="000000"/>
                <w:sz w:val="15"/>
                <w:szCs w:val="15"/>
                <w:lang w:eastAsia="pt-BR"/>
              </w:rPr>
              <w:t>Passivo Circulante</w:t>
            </w:r>
          </w:p>
        </w:tc>
        <w:tc>
          <w:tcPr>
            <w:tcW w:w="445" w:type="pct"/>
            <w:tcBorders>
              <w:top w:val="nil"/>
              <w:left w:val="nil"/>
              <w:bottom w:val="nil"/>
              <w:right w:val="nil"/>
            </w:tcBorders>
            <w:shd w:val="clear" w:color="auto" w:fill="auto"/>
            <w:noWrap/>
            <w:vAlign w:val="center"/>
            <w:hideMark/>
          </w:tcPr>
          <w:p w14:paraId="6A63CD9E"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314.577</w:t>
            </w:r>
          </w:p>
        </w:tc>
        <w:tc>
          <w:tcPr>
            <w:tcW w:w="376" w:type="pct"/>
            <w:tcBorders>
              <w:top w:val="nil"/>
              <w:left w:val="nil"/>
              <w:bottom w:val="nil"/>
              <w:right w:val="nil"/>
            </w:tcBorders>
            <w:shd w:val="clear" w:color="auto" w:fill="auto"/>
            <w:noWrap/>
            <w:vAlign w:val="center"/>
            <w:hideMark/>
          </w:tcPr>
          <w:p w14:paraId="11D425EE"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7,7%</w:t>
            </w:r>
          </w:p>
        </w:tc>
        <w:tc>
          <w:tcPr>
            <w:tcW w:w="357" w:type="pct"/>
            <w:tcBorders>
              <w:top w:val="nil"/>
              <w:left w:val="nil"/>
              <w:bottom w:val="nil"/>
              <w:right w:val="nil"/>
            </w:tcBorders>
            <w:shd w:val="clear" w:color="auto" w:fill="auto"/>
            <w:noWrap/>
            <w:vAlign w:val="center"/>
            <w:hideMark/>
          </w:tcPr>
          <w:p w14:paraId="12BFD4C9"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12,1%</w:t>
            </w:r>
          </w:p>
        </w:tc>
        <w:tc>
          <w:tcPr>
            <w:tcW w:w="357" w:type="pct"/>
            <w:tcBorders>
              <w:top w:val="nil"/>
              <w:left w:val="nil"/>
              <w:bottom w:val="nil"/>
              <w:right w:val="single" w:sz="8" w:space="0" w:color="8DB4E2"/>
            </w:tcBorders>
            <w:shd w:val="clear" w:color="auto" w:fill="auto"/>
            <w:noWrap/>
            <w:vAlign w:val="center"/>
            <w:hideMark/>
          </w:tcPr>
          <w:p w14:paraId="6452D4C5"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-2,2%</w:t>
            </w:r>
          </w:p>
        </w:tc>
        <w:tc>
          <w:tcPr>
            <w:tcW w:w="445" w:type="pct"/>
            <w:tcBorders>
              <w:top w:val="nil"/>
              <w:left w:val="nil"/>
              <w:bottom w:val="nil"/>
              <w:right w:val="nil"/>
            </w:tcBorders>
            <w:shd w:val="clear" w:color="auto" w:fill="auto"/>
            <w:noWrap/>
            <w:vAlign w:val="center"/>
            <w:hideMark/>
          </w:tcPr>
          <w:p w14:paraId="58B97AC8"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280.660</w:t>
            </w:r>
          </w:p>
        </w:tc>
        <w:tc>
          <w:tcPr>
            <w:tcW w:w="376" w:type="pct"/>
            <w:tcBorders>
              <w:top w:val="nil"/>
              <w:left w:val="nil"/>
              <w:bottom w:val="nil"/>
              <w:right w:val="nil"/>
            </w:tcBorders>
            <w:shd w:val="clear" w:color="auto" w:fill="auto"/>
            <w:noWrap/>
            <w:vAlign w:val="center"/>
            <w:hideMark/>
          </w:tcPr>
          <w:p w14:paraId="5EA8361A"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7,0%</w:t>
            </w:r>
          </w:p>
        </w:tc>
        <w:tc>
          <w:tcPr>
            <w:tcW w:w="357" w:type="pct"/>
            <w:tcBorders>
              <w:top w:val="nil"/>
              <w:left w:val="nil"/>
              <w:bottom w:val="nil"/>
              <w:right w:val="nil"/>
            </w:tcBorders>
            <w:shd w:val="clear" w:color="auto" w:fill="auto"/>
            <w:noWrap/>
            <w:vAlign w:val="center"/>
            <w:hideMark/>
          </w:tcPr>
          <w:p w14:paraId="76306F6A"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-12,7%</w:t>
            </w:r>
          </w:p>
        </w:tc>
        <w:tc>
          <w:tcPr>
            <w:tcW w:w="357" w:type="pct"/>
            <w:tcBorders>
              <w:top w:val="nil"/>
              <w:left w:val="nil"/>
              <w:bottom w:val="nil"/>
              <w:right w:val="single" w:sz="8" w:space="0" w:color="8DB4E2"/>
            </w:tcBorders>
            <w:shd w:val="clear" w:color="auto" w:fill="auto"/>
            <w:noWrap/>
            <w:vAlign w:val="center"/>
            <w:hideMark/>
          </w:tcPr>
          <w:p w14:paraId="3B2F2BE5"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-13,3%</w:t>
            </w:r>
          </w:p>
        </w:tc>
        <w:tc>
          <w:tcPr>
            <w:tcW w:w="445" w:type="pct"/>
            <w:tcBorders>
              <w:top w:val="nil"/>
              <w:left w:val="nil"/>
              <w:bottom w:val="nil"/>
              <w:right w:val="nil"/>
            </w:tcBorders>
            <w:shd w:val="clear" w:color="auto" w:fill="auto"/>
            <w:noWrap/>
            <w:vAlign w:val="center"/>
            <w:hideMark/>
          </w:tcPr>
          <w:p w14:paraId="1BB3C9BC"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321.615</w:t>
            </w:r>
          </w:p>
        </w:tc>
        <w:tc>
          <w:tcPr>
            <w:tcW w:w="376" w:type="pct"/>
            <w:tcBorders>
              <w:top w:val="nil"/>
              <w:left w:val="nil"/>
              <w:bottom w:val="nil"/>
              <w:right w:val="nil"/>
            </w:tcBorders>
            <w:shd w:val="clear" w:color="auto" w:fill="auto"/>
            <w:noWrap/>
            <w:vAlign w:val="center"/>
            <w:hideMark/>
          </w:tcPr>
          <w:p w14:paraId="5B4EE718"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8,0%</w:t>
            </w:r>
          </w:p>
        </w:tc>
      </w:tr>
      <w:tr w:rsidR="00D44CF4" w:rsidRPr="00D44CF4" w14:paraId="54B0AD5F" w14:textId="77777777" w:rsidTr="00D44CF4">
        <w:trPr>
          <w:trHeight w:val="238"/>
        </w:trPr>
        <w:tc>
          <w:tcPr>
            <w:tcW w:w="1108" w:type="pct"/>
            <w:tcBorders>
              <w:top w:val="nil"/>
              <w:left w:val="nil"/>
              <w:bottom w:val="nil"/>
              <w:right w:val="nil"/>
            </w:tcBorders>
            <w:shd w:val="clear" w:color="auto" w:fill="auto"/>
            <w:noWrap/>
            <w:vAlign w:val="center"/>
            <w:hideMark/>
          </w:tcPr>
          <w:p w14:paraId="2DED2CF2" w14:textId="77777777" w:rsidR="00D44CF4" w:rsidRPr="00D44CF4" w:rsidRDefault="00D44CF4" w:rsidP="00D44CF4">
            <w:pPr>
              <w:tabs>
                <w:tab w:val="clear" w:pos="851"/>
              </w:tabs>
              <w:spacing w:before="0" w:after="0" w:line="240" w:lineRule="auto"/>
              <w:jc w:val="left"/>
              <w:rPr>
                <w:rFonts w:ascii="Arial" w:hAnsi="Arial" w:cs="Arial"/>
                <w:color w:val="000000"/>
                <w:sz w:val="15"/>
                <w:szCs w:val="15"/>
                <w:lang w:eastAsia="pt-BR"/>
              </w:rPr>
            </w:pPr>
            <w:r w:rsidRPr="00D44CF4">
              <w:rPr>
                <w:rFonts w:ascii="Arial" w:hAnsi="Arial" w:cs="Arial"/>
                <w:color w:val="000000"/>
                <w:sz w:val="15"/>
                <w:szCs w:val="15"/>
                <w:lang w:eastAsia="pt-BR"/>
              </w:rPr>
              <w:t>Passivo Não Circulante</w:t>
            </w:r>
          </w:p>
        </w:tc>
        <w:tc>
          <w:tcPr>
            <w:tcW w:w="445" w:type="pct"/>
            <w:tcBorders>
              <w:top w:val="nil"/>
              <w:left w:val="nil"/>
              <w:bottom w:val="nil"/>
              <w:right w:val="nil"/>
            </w:tcBorders>
            <w:shd w:val="clear" w:color="auto" w:fill="auto"/>
            <w:noWrap/>
            <w:vAlign w:val="center"/>
            <w:hideMark/>
          </w:tcPr>
          <w:p w14:paraId="7EE219C0"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2.293.396</w:t>
            </w:r>
          </w:p>
        </w:tc>
        <w:tc>
          <w:tcPr>
            <w:tcW w:w="376" w:type="pct"/>
            <w:tcBorders>
              <w:top w:val="nil"/>
              <w:left w:val="nil"/>
              <w:bottom w:val="nil"/>
              <w:right w:val="nil"/>
            </w:tcBorders>
            <w:shd w:val="clear" w:color="auto" w:fill="auto"/>
            <w:noWrap/>
            <w:vAlign w:val="center"/>
            <w:hideMark/>
          </w:tcPr>
          <w:p w14:paraId="4302D2C9"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56,1%</w:t>
            </w:r>
          </w:p>
        </w:tc>
        <w:tc>
          <w:tcPr>
            <w:tcW w:w="357" w:type="pct"/>
            <w:tcBorders>
              <w:top w:val="nil"/>
              <w:left w:val="nil"/>
              <w:bottom w:val="nil"/>
              <w:right w:val="nil"/>
            </w:tcBorders>
            <w:shd w:val="clear" w:color="auto" w:fill="auto"/>
            <w:noWrap/>
            <w:vAlign w:val="center"/>
            <w:hideMark/>
          </w:tcPr>
          <w:p w14:paraId="5E5D428F"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-0,2%</w:t>
            </w:r>
          </w:p>
        </w:tc>
        <w:tc>
          <w:tcPr>
            <w:tcW w:w="357" w:type="pct"/>
            <w:tcBorders>
              <w:top w:val="nil"/>
              <w:left w:val="nil"/>
              <w:bottom w:val="nil"/>
              <w:right w:val="single" w:sz="8" w:space="0" w:color="8DB4E2"/>
            </w:tcBorders>
            <w:shd w:val="clear" w:color="auto" w:fill="auto"/>
            <w:noWrap/>
            <w:vAlign w:val="center"/>
            <w:hideMark/>
          </w:tcPr>
          <w:p w14:paraId="3ACF441D"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6,2%</w:t>
            </w:r>
          </w:p>
        </w:tc>
        <w:tc>
          <w:tcPr>
            <w:tcW w:w="445" w:type="pct"/>
            <w:tcBorders>
              <w:top w:val="nil"/>
              <w:left w:val="nil"/>
              <w:bottom w:val="nil"/>
              <w:right w:val="nil"/>
            </w:tcBorders>
            <w:shd w:val="clear" w:color="auto" w:fill="auto"/>
            <w:noWrap/>
            <w:vAlign w:val="center"/>
            <w:hideMark/>
          </w:tcPr>
          <w:p w14:paraId="3C74D00C"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2.297.276</w:t>
            </w:r>
          </w:p>
        </w:tc>
        <w:tc>
          <w:tcPr>
            <w:tcW w:w="376" w:type="pct"/>
            <w:tcBorders>
              <w:top w:val="nil"/>
              <w:left w:val="nil"/>
              <w:bottom w:val="nil"/>
              <w:right w:val="nil"/>
            </w:tcBorders>
            <w:shd w:val="clear" w:color="auto" w:fill="auto"/>
            <w:noWrap/>
            <w:vAlign w:val="center"/>
            <w:hideMark/>
          </w:tcPr>
          <w:p w14:paraId="685E2915"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57,4%</w:t>
            </w:r>
          </w:p>
        </w:tc>
        <w:tc>
          <w:tcPr>
            <w:tcW w:w="357" w:type="pct"/>
            <w:tcBorders>
              <w:top w:val="nil"/>
              <w:left w:val="nil"/>
              <w:bottom w:val="nil"/>
              <w:right w:val="nil"/>
            </w:tcBorders>
            <w:shd w:val="clear" w:color="auto" w:fill="auto"/>
            <w:noWrap/>
            <w:vAlign w:val="center"/>
            <w:hideMark/>
          </w:tcPr>
          <w:p w14:paraId="7F5B0AD4"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6,4%</w:t>
            </w:r>
          </w:p>
        </w:tc>
        <w:tc>
          <w:tcPr>
            <w:tcW w:w="357" w:type="pct"/>
            <w:tcBorders>
              <w:top w:val="nil"/>
              <w:left w:val="nil"/>
              <w:bottom w:val="nil"/>
              <w:right w:val="single" w:sz="8" w:space="0" w:color="8DB4E2"/>
            </w:tcBorders>
            <w:shd w:val="clear" w:color="auto" w:fill="auto"/>
            <w:noWrap/>
            <w:vAlign w:val="center"/>
            <w:hideMark/>
          </w:tcPr>
          <w:p w14:paraId="62BB5F0D"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-4,8%</w:t>
            </w:r>
          </w:p>
        </w:tc>
        <w:tc>
          <w:tcPr>
            <w:tcW w:w="445" w:type="pct"/>
            <w:tcBorders>
              <w:top w:val="nil"/>
              <w:left w:val="nil"/>
              <w:bottom w:val="nil"/>
              <w:right w:val="nil"/>
            </w:tcBorders>
            <w:shd w:val="clear" w:color="auto" w:fill="auto"/>
            <w:noWrap/>
            <w:vAlign w:val="center"/>
            <w:hideMark/>
          </w:tcPr>
          <w:p w14:paraId="493A4F43"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2.158.693</w:t>
            </w:r>
          </w:p>
        </w:tc>
        <w:tc>
          <w:tcPr>
            <w:tcW w:w="376" w:type="pct"/>
            <w:tcBorders>
              <w:top w:val="nil"/>
              <w:left w:val="nil"/>
              <w:bottom w:val="nil"/>
              <w:right w:val="nil"/>
            </w:tcBorders>
            <w:shd w:val="clear" w:color="auto" w:fill="auto"/>
            <w:noWrap/>
            <w:vAlign w:val="center"/>
            <w:hideMark/>
          </w:tcPr>
          <w:p w14:paraId="5CFF9980"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53,5%</w:t>
            </w:r>
          </w:p>
        </w:tc>
      </w:tr>
      <w:tr w:rsidR="00D44CF4" w:rsidRPr="00D44CF4" w14:paraId="07283DCD" w14:textId="77777777" w:rsidTr="00D44CF4">
        <w:trPr>
          <w:trHeight w:val="238"/>
        </w:trPr>
        <w:tc>
          <w:tcPr>
            <w:tcW w:w="1108" w:type="pct"/>
            <w:tcBorders>
              <w:top w:val="nil"/>
              <w:left w:val="nil"/>
              <w:bottom w:val="nil"/>
              <w:right w:val="nil"/>
            </w:tcBorders>
            <w:shd w:val="clear" w:color="auto" w:fill="auto"/>
            <w:noWrap/>
            <w:vAlign w:val="center"/>
            <w:hideMark/>
          </w:tcPr>
          <w:p w14:paraId="18F8089B" w14:textId="77777777" w:rsidR="00D44CF4" w:rsidRPr="00D44CF4" w:rsidRDefault="00D44CF4" w:rsidP="00D44CF4">
            <w:pPr>
              <w:tabs>
                <w:tab w:val="clear" w:pos="851"/>
              </w:tabs>
              <w:spacing w:before="0" w:after="0" w:line="240" w:lineRule="auto"/>
              <w:jc w:val="left"/>
              <w:rPr>
                <w:rFonts w:ascii="Arial" w:hAnsi="Arial" w:cs="Arial"/>
                <w:b/>
                <w:bCs/>
                <w:color w:val="000000"/>
                <w:sz w:val="15"/>
                <w:szCs w:val="15"/>
                <w:lang w:eastAsia="pt-BR"/>
              </w:rPr>
            </w:pPr>
            <w:r w:rsidRPr="00D44CF4">
              <w:rPr>
                <w:rFonts w:ascii="Arial" w:hAnsi="Arial" w:cs="Arial"/>
                <w:b/>
                <w:bCs/>
                <w:color w:val="000000"/>
                <w:sz w:val="15"/>
                <w:szCs w:val="15"/>
                <w:lang w:eastAsia="pt-BR"/>
              </w:rPr>
              <w:t>Passivo Exigível</w:t>
            </w:r>
          </w:p>
        </w:tc>
        <w:tc>
          <w:tcPr>
            <w:tcW w:w="445" w:type="pct"/>
            <w:tcBorders>
              <w:top w:val="nil"/>
              <w:left w:val="nil"/>
              <w:bottom w:val="nil"/>
              <w:right w:val="nil"/>
            </w:tcBorders>
            <w:shd w:val="clear" w:color="auto" w:fill="auto"/>
            <w:noWrap/>
            <w:vAlign w:val="center"/>
            <w:hideMark/>
          </w:tcPr>
          <w:p w14:paraId="7E6ED5C8"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5"/>
                <w:szCs w:val="15"/>
                <w:lang w:eastAsia="pt-BR"/>
              </w:rPr>
              <w:t>2.607.973</w:t>
            </w:r>
          </w:p>
        </w:tc>
        <w:tc>
          <w:tcPr>
            <w:tcW w:w="376" w:type="pct"/>
            <w:tcBorders>
              <w:top w:val="nil"/>
              <w:left w:val="nil"/>
              <w:bottom w:val="nil"/>
              <w:right w:val="nil"/>
            </w:tcBorders>
            <w:shd w:val="clear" w:color="auto" w:fill="auto"/>
            <w:noWrap/>
            <w:vAlign w:val="center"/>
            <w:hideMark/>
          </w:tcPr>
          <w:p w14:paraId="7D0C51B0"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63,8%</w:t>
            </w:r>
          </w:p>
        </w:tc>
        <w:tc>
          <w:tcPr>
            <w:tcW w:w="357" w:type="pct"/>
            <w:tcBorders>
              <w:top w:val="nil"/>
              <w:left w:val="nil"/>
              <w:bottom w:val="nil"/>
              <w:right w:val="nil"/>
            </w:tcBorders>
            <w:shd w:val="clear" w:color="auto" w:fill="auto"/>
            <w:noWrap/>
            <w:vAlign w:val="center"/>
            <w:hideMark/>
          </w:tcPr>
          <w:p w14:paraId="5CA6CCD7"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1,2%</w:t>
            </w:r>
          </w:p>
        </w:tc>
        <w:tc>
          <w:tcPr>
            <w:tcW w:w="357" w:type="pct"/>
            <w:tcBorders>
              <w:top w:val="nil"/>
              <w:left w:val="nil"/>
              <w:bottom w:val="nil"/>
              <w:right w:val="single" w:sz="8" w:space="0" w:color="8DB4E2"/>
            </w:tcBorders>
            <w:shd w:val="clear" w:color="auto" w:fill="auto"/>
            <w:noWrap/>
            <w:vAlign w:val="center"/>
            <w:hideMark/>
          </w:tcPr>
          <w:p w14:paraId="060D3059"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5,1%</w:t>
            </w:r>
          </w:p>
        </w:tc>
        <w:tc>
          <w:tcPr>
            <w:tcW w:w="445" w:type="pct"/>
            <w:tcBorders>
              <w:top w:val="nil"/>
              <w:left w:val="nil"/>
              <w:bottom w:val="nil"/>
              <w:right w:val="nil"/>
            </w:tcBorders>
            <w:shd w:val="clear" w:color="auto" w:fill="auto"/>
            <w:noWrap/>
            <w:vAlign w:val="center"/>
            <w:hideMark/>
          </w:tcPr>
          <w:p w14:paraId="43046A73"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5"/>
                <w:szCs w:val="15"/>
                <w:lang w:eastAsia="pt-BR"/>
              </w:rPr>
              <w:t>2.577.936</w:t>
            </w:r>
          </w:p>
        </w:tc>
        <w:tc>
          <w:tcPr>
            <w:tcW w:w="376" w:type="pct"/>
            <w:tcBorders>
              <w:top w:val="nil"/>
              <w:left w:val="nil"/>
              <w:bottom w:val="nil"/>
              <w:right w:val="nil"/>
            </w:tcBorders>
            <w:shd w:val="clear" w:color="auto" w:fill="auto"/>
            <w:noWrap/>
            <w:vAlign w:val="center"/>
            <w:hideMark/>
          </w:tcPr>
          <w:p w14:paraId="1B748663"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64,4%</w:t>
            </w:r>
          </w:p>
        </w:tc>
        <w:tc>
          <w:tcPr>
            <w:tcW w:w="357" w:type="pct"/>
            <w:tcBorders>
              <w:top w:val="nil"/>
              <w:left w:val="nil"/>
              <w:bottom w:val="nil"/>
              <w:right w:val="nil"/>
            </w:tcBorders>
            <w:shd w:val="clear" w:color="auto" w:fill="auto"/>
            <w:noWrap/>
            <w:vAlign w:val="center"/>
            <w:hideMark/>
          </w:tcPr>
          <w:p w14:paraId="605437D0"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3,9%</w:t>
            </w:r>
          </w:p>
        </w:tc>
        <w:tc>
          <w:tcPr>
            <w:tcW w:w="357" w:type="pct"/>
            <w:tcBorders>
              <w:top w:val="nil"/>
              <w:left w:val="nil"/>
              <w:bottom w:val="nil"/>
              <w:right w:val="single" w:sz="8" w:space="0" w:color="8DB4E2"/>
            </w:tcBorders>
            <w:shd w:val="clear" w:color="auto" w:fill="auto"/>
            <w:noWrap/>
            <w:vAlign w:val="center"/>
            <w:hideMark/>
          </w:tcPr>
          <w:p w14:paraId="19EE1B14"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-5,8%</w:t>
            </w:r>
          </w:p>
        </w:tc>
        <w:tc>
          <w:tcPr>
            <w:tcW w:w="445" w:type="pct"/>
            <w:tcBorders>
              <w:top w:val="nil"/>
              <w:left w:val="nil"/>
              <w:bottom w:val="nil"/>
              <w:right w:val="nil"/>
            </w:tcBorders>
            <w:shd w:val="clear" w:color="auto" w:fill="auto"/>
            <w:noWrap/>
            <w:vAlign w:val="center"/>
            <w:hideMark/>
          </w:tcPr>
          <w:p w14:paraId="5E91930C"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5"/>
                <w:szCs w:val="15"/>
                <w:lang w:eastAsia="pt-BR"/>
              </w:rPr>
              <w:t>2.480.308</w:t>
            </w:r>
          </w:p>
        </w:tc>
        <w:tc>
          <w:tcPr>
            <w:tcW w:w="376" w:type="pct"/>
            <w:tcBorders>
              <w:top w:val="nil"/>
              <w:left w:val="nil"/>
              <w:bottom w:val="nil"/>
              <w:right w:val="nil"/>
            </w:tcBorders>
            <w:shd w:val="clear" w:color="auto" w:fill="auto"/>
            <w:noWrap/>
            <w:vAlign w:val="center"/>
            <w:hideMark/>
          </w:tcPr>
          <w:p w14:paraId="11C329D3"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61,5%</w:t>
            </w:r>
          </w:p>
        </w:tc>
      </w:tr>
      <w:tr w:rsidR="00D44CF4" w:rsidRPr="00D44CF4" w14:paraId="435C04DA" w14:textId="77777777" w:rsidTr="00D44CF4">
        <w:trPr>
          <w:trHeight w:val="238"/>
        </w:trPr>
        <w:tc>
          <w:tcPr>
            <w:tcW w:w="1108" w:type="pct"/>
            <w:tcBorders>
              <w:top w:val="nil"/>
              <w:left w:val="nil"/>
              <w:bottom w:val="nil"/>
              <w:right w:val="nil"/>
            </w:tcBorders>
            <w:shd w:val="clear" w:color="auto" w:fill="auto"/>
            <w:noWrap/>
            <w:vAlign w:val="center"/>
            <w:hideMark/>
          </w:tcPr>
          <w:p w14:paraId="2DD79327" w14:textId="77777777" w:rsidR="00D44CF4" w:rsidRPr="00D44CF4" w:rsidRDefault="00D44CF4" w:rsidP="00D44CF4">
            <w:pPr>
              <w:tabs>
                <w:tab w:val="clear" w:pos="851"/>
              </w:tabs>
              <w:spacing w:before="0" w:after="0" w:line="240" w:lineRule="auto"/>
              <w:jc w:val="left"/>
              <w:rPr>
                <w:rFonts w:ascii="Arial" w:hAnsi="Arial" w:cs="Arial"/>
                <w:color w:val="000000"/>
                <w:sz w:val="15"/>
                <w:szCs w:val="15"/>
                <w:lang w:eastAsia="pt-BR"/>
              </w:rPr>
            </w:pPr>
            <w:r w:rsidRPr="00D44CF4">
              <w:rPr>
                <w:rFonts w:ascii="Arial" w:hAnsi="Arial" w:cs="Arial"/>
                <w:color w:val="000000"/>
                <w:sz w:val="15"/>
                <w:szCs w:val="15"/>
                <w:lang w:eastAsia="pt-BR"/>
              </w:rPr>
              <w:t>Patrimônio Líquido</w:t>
            </w:r>
          </w:p>
        </w:tc>
        <w:tc>
          <w:tcPr>
            <w:tcW w:w="445" w:type="pct"/>
            <w:tcBorders>
              <w:top w:val="nil"/>
              <w:left w:val="nil"/>
              <w:bottom w:val="nil"/>
              <w:right w:val="nil"/>
            </w:tcBorders>
            <w:shd w:val="clear" w:color="auto" w:fill="auto"/>
            <w:noWrap/>
            <w:vAlign w:val="center"/>
            <w:hideMark/>
          </w:tcPr>
          <w:p w14:paraId="4235030E"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1.482.012</w:t>
            </w:r>
          </w:p>
        </w:tc>
        <w:tc>
          <w:tcPr>
            <w:tcW w:w="376" w:type="pct"/>
            <w:tcBorders>
              <w:top w:val="nil"/>
              <w:left w:val="nil"/>
              <w:bottom w:val="nil"/>
              <w:right w:val="nil"/>
            </w:tcBorders>
            <w:shd w:val="clear" w:color="auto" w:fill="auto"/>
            <w:noWrap/>
            <w:vAlign w:val="center"/>
            <w:hideMark/>
          </w:tcPr>
          <w:p w14:paraId="06C2F94B"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36,2%</w:t>
            </w:r>
          </w:p>
        </w:tc>
        <w:tc>
          <w:tcPr>
            <w:tcW w:w="357" w:type="pct"/>
            <w:tcBorders>
              <w:top w:val="nil"/>
              <w:left w:val="nil"/>
              <w:bottom w:val="nil"/>
              <w:right w:val="nil"/>
            </w:tcBorders>
            <w:shd w:val="clear" w:color="auto" w:fill="auto"/>
            <w:noWrap/>
            <w:vAlign w:val="center"/>
            <w:hideMark/>
          </w:tcPr>
          <w:p w14:paraId="00E2777C"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4,0%</w:t>
            </w:r>
          </w:p>
        </w:tc>
        <w:tc>
          <w:tcPr>
            <w:tcW w:w="357" w:type="pct"/>
            <w:tcBorders>
              <w:top w:val="nil"/>
              <w:left w:val="nil"/>
              <w:bottom w:val="nil"/>
              <w:right w:val="single" w:sz="8" w:space="0" w:color="8DB4E2"/>
            </w:tcBorders>
            <w:shd w:val="clear" w:color="auto" w:fill="auto"/>
            <w:noWrap/>
            <w:vAlign w:val="center"/>
            <w:hideMark/>
          </w:tcPr>
          <w:p w14:paraId="0B0E7D3B"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-4,7%</w:t>
            </w:r>
          </w:p>
        </w:tc>
        <w:tc>
          <w:tcPr>
            <w:tcW w:w="445" w:type="pct"/>
            <w:tcBorders>
              <w:top w:val="nil"/>
              <w:left w:val="nil"/>
              <w:bottom w:val="nil"/>
              <w:right w:val="nil"/>
            </w:tcBorders>
            <w:shd w:val="clear" w:color="auto" w:fill="auto"/>
            <w:noWrap/>
            <w:vAlign w:val="center"/>
            <w:hideMark/>
          </w:tcPr>
          <w:p w14:paraId="45E70837"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1.425.651</w:t>
            </w:r>
          </w:p>
        </w:tc>
        <w:tc>
          <w:tcPr>
            <w:tcW w:w="376" w:type="pct"/>
            <w:tcBorders>
              <w:top w:val="nil"/>
              <w:left w:val="nil"/>
              <w:bottom w:val="nil"/>
              <w:right w:val="nil"/>
            </w:tcBorders>
            <w:shd w:val="clear" w:color="auto" w:fill="auto"/>
            <w:noWrap/>
            <w:vAlign w:val="center"/>
            <w:hideMark/>
          </w:tcPr>
          <w:p w14:paraId="4B330BC5"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35,6%</w:t>
            </w:r>
          </w:p>
        </w:tc>
        <w:tc>
          <w:tcPr>
            <w:tcW w:w="357" w:type="pct"/>
            <w:tcBorders>
              <w:top w:val="nil"/>
              <w:left w:val="nil"/>
              <w:bottom w:val="nil"/>
              <w:right w:val="nil"/>
            </w:tcBorders>
            <w:shd w:val="clear" w:color="auto" w:fill="auto"/>
            <w:noWrap/>
            <w:vAlign w:val="center"/>
            <w:hideMark/>
          </w:tcPr>
          <w:p w14:paraId="00576860"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-8,3%</w:t>
            </w:r>
          </w:p>
        </w:tc>
        <w:tc>
          <w:tcPr>
            <w:tcW w:w="357" w:type="pct"/>
            <w:tcBorders>
              <w:top w:val="nil"/>
              <w:left w:val="nil"/>
              <w:bottom w:val="nil"/>
              <w:right w:val="single" w:sz="8" w:space="0" w:color="8DB4E2"/>
            </w:tcBorders>
            <w:shd w:val="clear" w:color="auto" w:fill="auto"/>
            <w:noWrap/>
            <w:vAlign w:val="center"/>
            <w:hideMark/>
          </w:tcPr>
          <w:p w14:paraId="344BDC41"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4,6%</w:t>
            </w:r>
          </w:p>
        </w:tc>
        <w:tc>
          <w:tcPr>
            <w:tcW w:w="445" w:type="pct"/>
            <w:tcBorders>
              <w:top w:val="nil"/>
              <w:left w:val="nil"/>
              <w:bottom w:val="nil"/>
              <w:right w:val="nil"/>
            </w:tcBorders>
            <w:shd w:val="clear" w:color="auto" w:fill="auto"/>
            <w:noWrap/>
            <w:vAlign w:val="center"/>
            <w:hideMark/>
          </w:tcPr>
          <w:p w14:paraId="5D4D77FD"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5"/>
                <w:szCs w:val="15"/>
                <w:lang w:eastAsia="pt-BR"/>
              </w:rPr>
              <w:t>1.555.103</w:t>
            </w:r>
          </w:p>
        </w:tc>
        <w:tc>
          <w:tcPr>
            <w:tcW w:w="376" w:type="pct"/>
            <w:tcBorders>
              <w:top w:val="nil"/>
              <w:left w:val="nil"/>
              <w:bottom w:val="nil"/>
              <w:right w:val="nil"/>
            </w:tcBorders>
            <w:shd w:val="clear" w:color="auto" w:fill="auto"/>
            <w:noWrap/>
            <w:vAlign w:val="center"/>
            <w:hideMark/>
          </w:tcPr>
          <w:p w14:paraId="00010CFD" w14:textId="77777777" w:rsidR="00D44CF4" w:rsidRPr="00D44CF4" w:rsidRDefault="00D44CF4" w:rsidP="00D44CF4">
            <w:pPr>
              <w:tabs>
                <w:tab w:val="clear" w:pos="851"/>
              </w:tabs>
              <w:spacing w:before="0" w:after="0" w:line="240" w:lineRule="auto"/>
              <w:jc w:val="right"/>
              <w:rPr>
                <w:rFonts w:ascii="Arial" w:hAnsi="Arial" w:cs="Arial"/>
                <w:color w:val="000000"/>
                <w:sz w:val="15"/>
                <w:szCs w:val="15"/>
                <w:lang w:eastAsia="pt-BR"/>
              </w:rPr>
            </w:pPr>
            <w:r w:rsidRPr="00D44CF4">
              <w:rPr>
                <w:rFonts w:ascii="Arial" w:hAnsi="Arial" w:cs="Arial"/>
                <w:color w:val="000000"/>
                <w:sz w:val="16"/>
                <w:szCs w:val="16"/>
                <w:lang w:eastAsia="pt-BR"/>
              </w:rPr>
              <w:t>38,5%</w:t>
            </w:r>
          </w:p>
        </w:tc>
      </w:tr>
      <w:tr w:rsidR="00D44CF4" w:rsidRPr="00D44CF4" w14:paraId="067AF277" w14:textId="77777777" w:rsidTr="00D44CF4">
        <w:trPr>
          <w:trHeight w:val="238"/>
        </w:trPr>
        <w:tc>
          <w:tcPr>
            <w:tcW w:w="1108" w:type="pct"/>
            <w:tcBorders>
              <w:top w:val="single" w:sz="8" w:space="0" w:color="8DB4E2"/>
              <w:left w:val="nil"/>
              <w:bottom w:val="single" w:sz="8" w:space="0" w:color="8DB4E2"/>
              <w:right w:val="nil"/>
            </w:tcBorders>
            <w:shd w:val="clear" w:color="auto" w:fill="auto"/>
            <w:noWrap/>
            <w:vAlign w:val="center"/>
            <w:hideMark/>
          </w:tcPr>
          <w:p w14:paraId="3C32E8DA" w14:textId="77777777" w:rsidR="00D44CF4" w:rsidRPr="00D44CF4" w:rsidRDefault="00D44CF4" w:rsidP="00D44CF4">
            <w:pPr>
              <w:tabs>
                <w:tab w:val="clear" w:pos="851"/>
              </w:tabs>
              <w:spacing w:before="0" w:after="0" w:line="240" w:lineRule="auto"/>
              <w:jc w:val="left"/>
              <w:rPr>
                <w:rFonts w:ascii="Arial" w:hAnsi="Arial" w:cs="Arial"/>
                <w:b/>
                <w:bCs/>
                <w:color w:val="000000"/>
                <w:sz w:val="15"/>
                <w:szCs w:val="15"/>
                <w:lang w:eastAsia="pt-BR"/>
              </w:rPr>
            </w:pPr>
            <w:r w:rsidRPr="00D44CF4">
              <w:rPr>
                <w:rFonts w:ascii="Arial" w:hAnsi="Arial" w:cs="Arial"/>
                <w:b/>
                <w:bCs/>
                <w:color w:val="000000"/>
                <w:sz w:val="15"/>
                <w:szCs w:val="15"/>
                <w:lang w:eastAsia="pt-BR"/>
              </w:rPr>
              <w:t>Passivo Total</w:t>
            </w:r>
          </w:p>
        </w:tc>
        <w:tc>
          <w:tcPr>
            <w:tcW w:w="445" w:type="pct"/>
            <w:tcBorders>
              <w:top w:val="single" w:sz="8" w:space="0" w:color="8DB4E2"/>
              <w:left w:val="nil"/>
              <w:bottom w:val="single" w:sz="8" w:space="0" w:color="8DB4E2"/>
              <w:right w:val="nil"/>
            </w:tcBorders>
            <w:shd w:val="clear" w:color="auto" w:fill="auto"/>
            <w:noWrap/>
            <w:vAlign w:val="center"/>
            <w:hideMark/>
          </w:tcPr>
          <w:p w14:paraId="081BC9BE"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5"/>
                <w:szCs w:val="15"/>
                <w:lang w:eastAsia="pt-BR"/>
              </w:rPr>
              <w:t>4.089.985</w:t>
            </w:r>
          </w:p>
        </w:tc>
        <w:tc>
          <w:tcPr>
            <w:tcW w:w="376" w:type="pct"/>
            <w:tcBorders>
              <w:top w:val="single" w:sz="8" w:space="0" w:color="8DB4E2"/>
              <w:left w:val="nil"/>
              <w:bottom w:val="single" w:sz="8" w:space="0" w:color="8DB4E2"/>
              <w:right w:val="nil"/>
            </w:tcBorders>
            <w:shd w:val="clear" w:color="auto" w:fill="auto"/>
            <w:noWrap/>
            <w:vAlign w:val="center"/>
            <w:hideMark/>
          </w:tcPr>
          <w:p w14:paraId="2D1729A2"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100,0%</w:t>
            </w:r>
          </w:p>
        </w:tc>
        <w:tc>
          <w:tcPr>
            <w:tcW w:w="357" w:type="pct"/>
            <w:tcBorders>
              <w:top w:val="single" w:sz="8" w:space="0" w:color="8DB4E2"/>
              <w:left w:val="nil"/>
              <w:bottom w:val="single" w:sz="8" w:space="0" w:color="8DB4E2"/>
              <w:right w:val="nil"/>
            </w:tcBorders>
            <w:shd w:val="clear" w:color="auto" w:fill="auto"/>
            <w:noWrap/>
            <w:vAlign w:val="center"/>
            <w:hideMark/>
          </w:tcPr>
          <w:p w14:paraId="6CA4FAC0"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2,2%</w:t>
            </w:r>
          </w:p>
        </w:tc>
        <w:tc>
          <w:tcPr>
            <w:tcW w:w="357" w:type="pct"/>
            <w:tcBorders>
              <w:top w:val="single" w:sz="8" w:space="0" w:color="8DB4E2"/>
              <w:left w:val="nil"/>
              <w:bottom w:val="single" w:sz="8" w:space="0" w:color="8DB4E2"/>
              <w:right w:val="single" w:sz="8" w:space="0" w:color="8DB4E2"/>
            </w:tcBorders>
            <w:shd w:val="clear" w:color="auto" w:fill="auto"/>
            <w:noWrap/>
            <w:vAlign w:val="center"/>
            <w:hideMark/>
          </w:tcPr>
          <w:p w14:paraId="10347BDC"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1,4%</w:t>
            </w:r>
          </w:p>
        </w:tc>
        <w:tc>
          <w:tcPr>
            <w:tcW w:w="445" w:type="pct"/>
            <w:tcBorders>
              <w:top w:val="single" w:sz="8" w:space="0" w:color="8DB4E2"/>
              <w:left w:val="nil"/>
              <w:bottom w:val="single" w:sz="8" w:space="0" w:color="8DB4E2"/>
              <w:right w:val="nil"/>
            </w:tcBorders>
            <w:shd w:val="clear" w:color="auto" w:fill="auto"/>
            <w:noWrap/>
            <w:vAlign w:val="center"/>
            <w:hideMark/>
          </w:tcPr>
          <w:p w14:paraId="48804DCF"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5"/>
                <w:szCs w:val="15"/>
                <w:lang w:eastAsia="pt-BR"/>
              </w:rPr>
              <w:t>4.003.587</w:t>
            </w:r>
          </w:p>
        </w:tc>
        <w:tc>
          <w:tcPr>
            <w:tcW w:w="376" w:type="pct"/>
            <w:tcBorders>
              <w:top w:val="single" w:sz="8" w:space="0" w:color="8DB4E2"/>
              <w:left w:val="nil"/>
              <w:bottom w:val="single" w:sz="8" w:space="0" w:color="8DB4E2"/>
              <w:right w:val="nil"/>
            </w:tcBorders>
            <w:shd w:val="clear" w:color="auto" w:fill="auto"/>
            <w:noWrap/>
            <w:vAlign w:val="center"/>
            <w:hideMark/>
          </w:tcPr>
          <w:p w14:paraId="7D35E273"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100,0%</w:t>
            </w:r>
          </w:p>
        </w:tc>
        <w:tc>
          <w:tcPr>
            <w:tcW w:w="357" w:type="pct"/>
            <w:tcBorders>
              <w:top w:val="single" w:sz="8" w:space="0" w:color="8DB4E2"/>
              <w:left w:val="nil"/>
              <w:bottom w:val="single" w:sz="8" w:space="0" w:color="8DB4E2"/>
              <w:right w:val="nil"/>
            </w:tcBorders>
            <w:shd w:val="clear" w:color="auto" w:fill="auto"/>
            <w:noWrap/>
            <w:vAlign w:val="center"/>
            <w:hideMark/>
          </w:tcPr>
          <w:p w14:paraId="173D5755"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-0,8%</w:t>
            </w:r>
          </w:p>
        </w:tc>
        <w:tc>
          <w:tcPr>
            <w:tcW w:w="357" w:type="pct"/>
            <w:tcBorders>
              <w:top w:val="single" w:sz="8" w:space="0" w:color="8DB4E2"/>
              <w:left w:val="nil"/>
              <w:bottom w:val="single" w:sz="8" w:space="0" w:color="8DB4E2"/>
              <w:right w:val="single" w:sz="8" w:space="0" w:color="8DB4E2"/>
            </w:tcBorders>
            <w:shd w:val="clear" w:color="auto" w:fill="auto"/>
            <w:noWrap/>
            <w:vAlign w:val="center"/>
            <w:hideMark/>
          </w:tcPr>
          <w:p w14:paraId="274C0D9B"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-2,3%</w:t>
            </w:r>
          </w:p>
        </w:tc>
        <w:tc>
          <w:tcPr>
            <w:tcW w:w="445" w:type="pct"/>
            <w:tcBorders>
              <w:top w:val="single" w:sz="8" w:space="0" w:color="8DB4E2"/>
              <w:left w:val="nil"/>
              <w:bottom w:val="single" w:sz="8" w:space="0" w:color="8DB4E2"/>
              <w:right w:val="nil"/>
            </w:tcBorders>
            <w:shd w:val="clear" w:color="auto" w:fill="auto"/>
            <w:noWrap/>
            <w:vAlign w:val="center"/>
            <w:hideMark/>
          </w:tcPr>
          <w:p w14:paraId="2BB2AFDA"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5"/>
                <w:szCs w:val="15"/>
                <w:lang w:eastAsia="pt-BR"/>
              </w:rPr>
              <w:t>4.035.411</w:t>
            </w:r>
          </w:p>
        </w:tc>
        <w:tc>
          <w:tcPr>
            <w:tcW w:w="376" w:type="pct"/>
            <w:tcBorders>
              <w:top w:val="single" w:sz="8" w:space="0" w:color="8DB4E2"/>
              <w:left w:val="nil"/>
              <w:bottom w:val="single" w:sz="8" w:space="0" w:color="8DB4E2"/>
              <w:right w:val="nil"/>
            </w:tcBorders>
            <w:shd w:val="clear" w:color="auto" w:fill="auto"/>
            <w:noWrap/>
            <w:vAlign w:val="center"/>
            <w:hideMark/>
          </w:tcPr>
          <w:p w14:paraId="01110F0C" w14:textId="77777777" w:rsidR="00D44CF4" w:rsidRPr="00D44CF4" w:rsidRDefault="00D44CF4" w:rsidP="00D44CF4">
            <w:pPr>
              <w:tabs>
                <w:tab w:val="clear" w:pos="851"/>
              </w:tabs>
              <w:spacing w:before="0" w:after="0" w:line="240" w:lineRule="auto"/>
              <w:jc w:val="right"/>
              <w:rPr>
                <w:rFonts w:ascii="Arial" w:hAnsi="Arial" w:cs="Arial"/>
                <w:b/>
                <w:bCs/>
                <w:color w:val="000000"/>
                <w:sz w:val="15"/>
                <w:szCs w:val="15"/>
                <w:lang w:eastAsia="pt-BR"/>
              </w:rPr>
            </w:pPr>
            <w:r w:rsidRPr="00D44CF4">
              <w:rPr>
                <w:rFonts w:ascii="Arial" w:hAnsi="Arial" w:cs="Arial"/>
                <w:b/>
                <w:bCs/>
                <w:color w:val="000000"/>
                <w:sz w:val="16"/>
                <w:szCs w:val="16"/>
                <w:lang w:eastAsia="pt-BR"/>
              </w:rPr>
              <w:t>100,0%</w:t>
            </w:r>
          </w:p>
        </w:tc>
      </w:tr>
    </w:tbl>
    <w:p w14:paraId="21732F30" w14:textId="05080F2A" w:rsidR="00D44CF4" w:rsidRPr="00991028" w:rsidRDefault="00D44CF4" w:rsidP="00505643">
      <w:pPr>
        <w:pStyle w:val="Corpodetexto"/>
        <w:spacing w:before="0" w:after="0"/>
        <w:rPr>
          <w:rFonts w:ascii="Arial" w:hAnsi="Arial" w:cs="Arial"/>
          <w:sz w:val="16"/>
          <w:szCs w:val="16"/>
        </w:rPr>
      </w:pPr>
      <w:r w:rsidRPr="00991028">
        <w:rPr>
          <w:rFonts w:ascii="Arial" w:hAnsi="Arial" w:cs="Arial"/>
          <w:sz w:val="16"/>
          <w:szCs w:val="16"/>
        </w:rPr>
        <w:t>Fonte: Demonstrações</w:t>
      </w:r>
      <w:r>
        <w:rPr>
          <w:rFonts w:ascii="Arial" w:hAnsi="Arial" w:cs="Arial"/>
          <w:sz w:val="16"/>
          <w:szCs w:val="16"/>
        </w:rPr>
        <w:t xml:space="preserve"> Contábeis</w:t>
      </w:r>
      <w:r w:rsidRPr="00991028">
        <w:rPr>
          <w:rFonts w:ascii="Arial" w:hAnsi="Arial" w:cs="Arial"/>
          <w:sz w:val="16"/>
          <w:szCs w:val="16"/>
        </w:rPr>
        <w:t xml:space="preserve"> Individuais da Telebras</w:t>
      </w:r>
    </w:p>
    <w:p w14:paraId="24785570" w14:textId="4225063C" w:rsidR="00D44CF4" w:rsidRDefault="00D44CF4" w:rsidP="00087F48">
      <w:pPr>
        <w:spacing w:line="240" w:lineRule="auto"/>
        <w:rPr>
          <w:rFonts w:eastAsia="Arial"/>
          <w:sz w:val="22"/>
        </w:rPr>
      </w:pPr>
    </w:p>
    <w:tbl>
      <w:tblPr>
        <w:tblW w:w="5000" w:type="pct"/>
        <w:tblCellMar>
          <w:left w:w="70" w:type="dxa"/>
          <w:right w:w="70" w:type="dxa"/>
        </w:tblCellMar>
        <w:tblLook w:val="04A0" w:firstRow="1" w:lastRow="0" w:firstColumn="1" w:lastColumn="0" w:noHBand="0" w:noVBand="1"/>
      </w:tblPr>
      <w:tblGrid>
        <w:gridCol w:w="4497"/>
        <w:gridCol w:w="1121"/>
        <w:gridCol w:w="1152"/>
        <w:gridCol w:w="1152"/>
        <w:gridCol w:w="1150"/>
      </w:tblGrid>
      <w:tr w:rsidR="00D44CF4" w:rsidRPr="00D44CF4" w14:paraId="56A12012" w14:textId="77777777" w:rsidTr="005A4170">
        <w:trPr>
          <w:trHeight w:val="238"/>
        </w:trPr>
        <w:tc>
          <w:tcPr>
            <w:tcW w:w="2478" w:type="pct"/>
            <w:tcBorders>
              <w:top w:val="single" w:sz="8" w:space="0" w:color="4472C4"/>
              <w:left w:val="nil"/>
              <w:bottom w:val="single" w:sz="8" w:space="0" w:color="4472C4"/>
              <w:right w:val="nil"/>
            </w:tcBorders>
            <w:shd w:val="clear" w:color="auto" w:fill="auto"/>
            <w:noWrap/>
            <w:vAlign w:val="center"/>
            <w:hideMark/>
          </w:tcPr>
          <w:p w14:paraId="5709275B" w14:textId="77777777" w:rsidR="00D44CF4" w:rsidRPr="00D44CF4" w:rsidRDefault="00D44CF4" w:rsidP="00D44CF4">
            <w:pPr>
              <w:tabs>
                <w:tab w:val="clear" w:pos="851"/>
              </w:tabs>
              <w:spacing w:before="0" w:after="0" w:line="240" w:lineRule="auto"/>
              <w:jc w:val="left"/>
              <w:rPr>
                <w:rFonts w:ascii="Arial" w:hAnsi="Arial" w:cs="Arial"/>
                <w:b/>
                <w:bCs/>
                <w:color w:val="2F75B5"/>
                <w:sz w:val="18"/>
                <w:szCs w:val="18"/>
                <w:lang w:eastAsia="pt-BR"/>
              </w:rPr>
            </w:pPr>
            <w:r w:rsidRPr="00D44CF4">
              <w:rPr>
                <w:rFonts w:ascii="Arial" w:hAnsi="Arial" w:cs="Arial"/>
                <w:b/>
                <w:bCs/>
                <w:color w:val="2F75B5"/>
                <w:sz w:val="18"/>
                <w:szCs w:val="18"/>
                <w:lang w:eastAsia="pt-BR"/>
              </w:rPr>
              <w:t>Indicadores Financeiros</w:t>
            </w:r>
          </w:p>
        </w:tc>
        <w:tc>
          <w:tcPr>
            <w:tcW w:w="618" w:type="pct"/>
            <w:tcBorders>
              <w:top w:val="single" w:sz="8" w:space="0" w:color="4472C4"/>
              <w:left w:val="nil"/>
              <w:bottom w:val="single" w:sz="8" w:space="0" w:color="4472C4"/>
              <w:right w:val="nil"/>
            </w:tcBorders>
            <w:shd w:val="clear" w:color="auto" w:fill="auto"/>
            <w:vAlign w:val="center"/>
            <w:hideMark/>
          </w:tcPr>
          <w:p w14:paraId="1537A38E" w14:textId="77777777" w:rsidR="00D44CF4" w:rsidRPr="00D44CF4" w:rsidRDefault="00D44CF4" w:rsidP="00D44CF4">
            <w:pPr>
              <w:tabs>
                <w:tab w:val="clear" w:pos="851"/>
              </w:tabs>
              <w:spacing w:before="0" w:after="0" w:line="240" w:lineRule="auto"/>
              <w:jc w:val="center"/>
              <w:rPr>
                <w:rFonts w:ascii="Arial" w:hAnsi="Arial" w:cs="Arial"/>
                <w:color w:val="2F75B5"/>
                <w:sz w:val="18"/>
                <w:szCs w:val="18"/>
                <w:lang w:eastAsia="pt-BR"/>
              </w:rPr>
            </w:pPr>
            <w:r w:rsidRPr="00D44CF4">
              <w:rPr>
                <w:rFonts w:ascii="Arial" w:hAnsi="Arial" w:cs="Arial"/>
                <w:color w:val="2F75B5"/>
                <w:sz w:val="18"/>
                <w:szCs w:val="18"/>
                <w:lang w:eastAsia="pt-BR"/>
              </w:rPr>
              <w:t>Medida</w:t>
            </w:r>
          </w:p>
        </w:tc>
        <w:tc>
          <w:tcPr>
            <w:tcW w:w="635" w:type="pct"/>
            <w:tcBorders>
              <w:top w:val="single" w:sz="8" w:space="0" w:color="4472C4"/>
              <w:left w:val="nil"/>
              <w:bottom w:val="single" w:sz="8" w:space="0" w:color="4472C4"/>
              <w:right w:val="nil"/>
            </w:tcBorders>
            <w:shd w:val="clear" w:color="auto" w:fill="auto"/>
            <w:noWrap/>
            <w:vAlign w:val="center"/>
            <w:hideMark/>
          </w:tcPr>
          <w:p w14:paraId="128A3BBB" w14:textId="77777777" w:rsidR="00D44CF4" w:rsidRPr="00D44CF4" w:rsidRDefault="00D44CF4" w:rsidP="00D44CF4">
            <w:pPr>
              <w:tabs>
                <w:tab w:val="clear" w:pos="851"/>
              </w:tabs>
              <w:spacing w:before="0" w:after="0" w:line="240" w:lineRule="auto"/>
              <w:jc w:val="right"/>
              <w:rPr>
                <w:rFonts w:ascii="Arial" w:hAnsi="Arial" w:cs="Arial"/>
                <w:b/>
                <w:bCs/>
                <w:color w:val="2F75B5"/>
                <w:sz w:val="18"/>
                <w:szCs w:val="18"/>
                <w:lang w:eastAsia="pt-BR"/>
              </w:rPr>
            </w:pPr>
            <w:r w:rsidRPr="00D44CF4">
              <w:rPr>
                <w:rFonts w:ascii="Arial" w:hAnsi="Arial" w:cs="Arial"/>
                <w:b/>
                <w:bCs/>
                <w:color w:val="2F75B5"/>
                <w:sz w:val="18"/>
                <w:szCs w:val="18"/>
                <w:lang w:eastAsia="pt-BR"/>
              </w:rPr>
              <w:t>2024</w:t>
            </w:r>
          </w:p>
        </w:tc>
        <w:tc>
          <w:tcPr>
            <w:tcW w:w="635" w:type="pct"/>
            <w:tcBorders>
              <w:top w:val="single" w:sz="8" w:space="0" w:color="4472C4"/>
              <w:left w:val="nil"/>
              <w:bottom w:val="single" w:sz="8" w:space="0" w:color="4472C4"/>
              <w:right w:val="nil"/>
            </w:tcBorders>
            <w:shd w:val="clear" w:color="auto" w:fill="auto"/>
            <w:noWrap/>
            <w:vAlign w:val="center"/>
            <w:hideMark/>
          </w:tcPr>
          <w:p w14:paraId="5C2230CD" w14:textId="77777777" w:rsidR="00D44CF4" w:rsidRPr="00D44CF4" w:rsidRDefault="00D44CF4" w:rsidP="00D44CF4">
            <w:pPr>
              <w:tabs>
                <w:tab w:val="clear" w:pos="851"/>
              </w:tabs>
              <w:spacing w:before="0" w:after="0" w:line="240" w:lineRule="auto"/>
              <w:jc w:val="right"/>
              <w:rPr>
                <w:rFonts w:ascii="Arial" w:hAnsi="Arial" w:cs="Arial"/>
                <w:b/>
                <w:bCs/>
                <w:color w:val="2F75B5"/>
                <w:sz w:val="18"/>
                <w:szCs w:val="18"/>
                <w:lang w:eastAsia="pt-BR"/>
              </w:rPr>
            </w:pPr>
            <w:r w:rsidRPr="00D44CF4">
              <w:rPr>
                <w:rFonts w:ascii="Arial" w:hAnsi="Arial" w:cs="Arial"/>
                <w:b/>
                <w:bCs/>
                <w:color w:val="2F75B5"/>
                <w:sz w:val="18"/>
                <w:szCs w:val="18"/>
                <w:lang w:eastAsia="pt-BR"/>
              </w:rPr>
              <w:t>2023</w:t>
            </w:r>
          </w:p>
        </w:tc>
        <w:tc>
          <w:tcPr>
            <w:tcW w:w="635" w:type="pct"/>
            <w:tcBorders>
              <w:top w:val="single" w:sz="8" w:space="0" w:color="4472C4"/>
              <w:left w:val="nil"/>
              <w:bottom w:val="single" w:sz="8" w:space="0" w:color="4472C4"/>
              <w:right w:val="nil"/>
            </w:tcBorders>
            <w:shd w:val="clear" w:color="auto" w:fill="auto"/>
            <w:noWrap/>
            <w:vAlign w:val="center"/>
            <w:hideMark/>
          </w:tcPr>
          <w:p w14:paraId="26B70755" w14:textId="77777777" w:rsidR="00D44CF4" w:rsidRPr="00D44CF4" w:rsidRDefault="00D44CF4" w:rsidP="00D44CF4">
            <w:pPr>
              <w:tabs>
                <w:tab w:val="clear" w:pos="851"/>
              </w:tabs>
              <w:spacing w:before="0" w:after="0" w:line="240" w:lineRule="auto"/>
              <w:jc w:val="right"/>
              <w:rPr>
                <w:rFonts w:ascii="Arial" w:hAnsi="Arial" w:cs="Arial"/>
                <w:b/>
                <w:bCs/>
                <w:color w:val="2F75B5"/>
                <w:sz w:val="18"/>
                <w:szCs w:val="18"/>
                <w:lang w:eastAsia="pt-BR"/>
              </w:rPr>
            </w:pPr>
            <w:r w:rsidRPr="00D44CF4">
              <w:rPr>
                <w:rFonts w:ascii="Arial" w:hAnsi="Arial" w:cs="Arial"/>
                <w:b/>
                <w:bCs/>
                <w:color w:val="2F75B5"/>
                <w:sz w:val="18"/>
                <w:szCs w:val="18"/>
                <w:lang w:eastAsia="pt-BR"/>
              </w:rPr>
              <w:t>2022</w:t>
            </w:r>
          </w:p>
        </w:tc>
      </w:tr>
      <w:tr w:rsidR="00D44CF4" w:rsidRPr="00D44CF4" w14:paraId="2110A019" w14:textId="77777777" w:rsidTr="005A4170">
        <w:trPr>
          <w:trHeight w:val="238"/>
        </w:trPr>
        <w:tc>
          <w:tcPr>
            <w:tcW w:w="2478" w:type="pct"/>
            <w:tcBorders>
              <w:top w:val="nil"/>
              <w:left w:val="nil"/>
              <w:bottom w:val="nil"/>
              <w:right w:val="nil"/>
            </w:tcBorders>
            <w:shd w:val="clear" w:color="auto" w:fill="auto"/>
            <w:noWrap/>
            <w:vAlign w:val="center"/>
            <w:hideMark/>
          </w:tcPr>
          <w:p w14:paraId="7E58245B" w14:textId="77777777" w:rsidR="00D44CF4" w:rsidRPr="00D44CF4" w:rsidRDefault="00D44CF4" w:rsidP="00D44CF4">
            <w:pPr>
              <w:tabs>
                <w:tab w:val="clear" w:pos="851"/>
              </w:tabs>
              <w:spacing w:before="0" w:after="0" w:line="240" w:lineRule="auto"/>
              <w:jc w:val="left"/>
              <w:rPr>
                <w:rFonts w:ascii="Arial" w:hAnsi="Arial" w:cs="Arial"/>
                <w:color w:val="000000"/>
                <w:sz w:val="18"/>
                <w:szCs w:val="18"/>
                <w:lang w:eastAsia="pt-BR"/>
              </w:rPr>
            </w:pPr>
            <w:r w:rsidRPr="00D44CF4">
              <w:rPr>
                <w:rFonts w:ascii="Arial" w:hAnsi="Arial" w:cs="Arial"/>
                <w:color w:val="000000"/>
                <w:sz w:val="18"/>
                <w:szCs w:val="18"/>
                <w:lang w:eastAsia="pt-BR"/>
              </w:rPr>
              <w:t>Liquidez Corrente</w:t>
            </w:r>
          </w:p>
        </w:tc>
        <w:tc>
          <w:tcPr>
            <w:tcW w:w="618" w:type="pct"/>
            <w:tcBorders>
              <w:top w:val="nil"/>
              <w:left w:val="nil"/>
              <w:bottom w:val="nil"/>
              <w:right w:val="nil"/>
            </w:tcBorders>
            <w:shd w:val="clear" w:color="auto" w:fill="auto"/>
            <w:vAlign w:val="center"/>
            <w:hideMark/>
          </w:tcPr>
          <w:p w14:paraId="1677C4C0"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Índice</w:t>
            </w:r>
          </w:p>
        </w:tc>
        <w:tc>
          <w:tcPr>
            <w:tcW w:w="635" w:type="pct"/>
            <w:tcBorders>
              <w:top w:val="nil"/>
              <w:left w:val="nil"/>
              <w:bottom w:val="nil"/>
              <w:right w:val="nil"/>
            </w:tcBorders>
            <w:shd w:val="clear" w:color="auto" w:fill="auto"/>
            <w:noWrap/>
            <w:vAlign w:val="center"/>
            <w:hideMark/>
          </w:tcPr>
          <w:p w14:paraId="0BC3BFD0"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6,5339</w:t>
            </w:r>
          </w:p>
        </w:tc>
        <w:tc>
          <w:tcPr>
            <w:tcW w:w="635" w:type="pct"/>
            <w:tcBorders>
              <w:top w:val="nil"/>
              <w:left w:val="nil"/>
              <w:bottom w:val="nil"/>
              <w:right w:val="nil"/>
            </w:tcBorders>
            <w:shd w:val="clear" w:color="auto" w:fill="auto"/>
            <w:noWrap/>
            <w:vAlign w:val="center"/>
            <w:hideMark/>
          </w:tcPr>
          <w:p w14:paraId="6FA23BAB"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7,3122</w:t>
            </w:r>
          </w:p>
        </w:tc>
        <w:tc>
          <w:tcPr>
            <w:tcW w:w="635" w:type="pct"/>
            <w:tcBorders>
              <w:top w:val="nil"/>
              <w:left w:val="nil"/>
              <w:bottom w:val="nil"/>
              <w:right w:val="nil"/>
            </w:tcBorders>
            <w:shd w:val="clear" w:color="auto" w:fill="auto"/>
            <w:noWrap/>
            <w:vAlign w:val="center"/>
            <w:hideMark/>
          </w:tcPr>
          <w:p w14:paraId="3DD7F64C"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7,1449</w:t>
            </w:r>
          </w:p>
        </w:tc>
      </w:tr>
      <w:tr w:rsidR="00D44CF4" w:rsidRPr="00D44CF4" w14:paraId="771203D5" w14:textId="77777777" w:rsidTr="005A4170">
        <w:trPr>
          <w:trHeight w:val="238"/>
        </w:trPr>
        <w:tc>
          <w:tcPr>
            <w:tcW w:w="2478" w:type="pct"/>
            <w:tcBorders>
              <w:top w:val="nil"/>
              <w:left w:val="nil"/>
              <w:bottom w:val="nil"/>
              <w:right w:val="nil"/>
            </w:tcBorders>
            <w:shd w:val="clear" w:color="auto" w:fill="auto"/>
            <w:noWrap/>
            <w:vAlign w:val="center"/>
            <w:hideMark/>
          </w:tcPr>
          <w:p w14:paraId="15DA946F" w14:textId="77777777" w:rsidR="00D44CF4" w:rsidRPr="00D44CF4" w:rsidRDefault="00D44CF4" w:rsidP="00D44CF4">
            <w:pPr>
              <w:tabs>
                <w:tab w:val="clear" w:pos="851"/>
              </w:tabs>
              <w:spacing w:before="0" w:after="0" w:line="240" w:lineRule="auto"/>
              <w:jc w:val="left"/>
              <w:rPr>
                <w:rFonts w:ascii="Arial" w:hAnsi="Arial" w:cs="Arial"/>
                <w:color w:val="000000"/>
                <w:sz w:val="18"/>
                <w:szCs w:val="18"/>
                <w:lang w:eastAsia="pt-BR"/>
              </w:rPr>
            </w:pPr>
            <w:r w:rsidRPr="00D44CF4">
              <w:rPr>
                <w:rFonts w:ascii="Arial" w:hAnsi="Arial" w:cs="Arial"/>
                <w:color w:val="000000"/>
                <w:sz w:val="18"/>
                <w:szCs w:val="18"/>
                <w:lang w:eastAsia="pt-BR"/>
              </w:rPr>
              <w:t xml:space="preserve">Liquidez Geral </w:t>
            </w:r>
          </w:p>
        </w:tc>
        <w:tc>
          <w:tcPr>
            <w:tcW w:w="618" w:type="pct"/>
            <w:tcBorders>
              <w:top w:val="nil"/>
              <w:left w:val="nil"/>
              <w:bottom w:val="nil"/>
              <w:right w:val="nil"/>
            </w:tcBorders>
            <w:shd w:val="clear" w:color="auto" w:fill="auto"/>
            <w:vAlign w:val="center"/>
            <w:hideMark/>
          </w:tcPr>
          <w:p w14:paraId="7D7D2662"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Índice</w:t>
            </w:r>
          </w:p>
        </w:tc>
        <w:tc>
          <w:tcPr>
            <w:tcW w:w="635" w:type="pct"/>
            <w:tcBorders>
              <w:top w:val="nil"/>
              <w:left w:val="nil"/>
              <w:bottom w:val="nil"/>
              <w:right w:val="nil"/>
            </w:tcBorders>
            <w:shd w:val="clear" w:color="auto" w:fill="auto"/>
            <w:noWrap/>
            <w:vAlign w:val="center"/>
            <w:hideMark/>
          </w:tcPr>
          <w:p w14:paraId="4536896B"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4,5427</w:t>
            </w:r>
          </w:p>
        </w:tc>
        <w:tc>
          <w:tcPr>
            <w:tcW w:w="635" w:type="pct"/>
            <w:tcBorders>
              <w:top w:val="nil"/>
              <w:left w:val="nil"/>
              <w:bottom w:val="nil"/>
              <w:right w:val="nil"/>
            </w:tcBorders>
            <w:shd w:val="clear" w:color="auto" w:fill="auto"/>
            <w:noWrap/>
            <w:vAlign w:val="center"/>
            <w:hideMark/>
          </w:tcPr>
          <w:p w14:paraId="5842A59C"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3,8399</w:t>
            </w:r>
          </w:p>
        </w:tc>
        <w:tc>
          <w:tcPr>
            <w:tcW w:w="635" w:type="pct"/>
            <w:tcBorders>
              <w:top w:val="nil"/>
              <w:left w:val="nil"/>
              <w:bottom w:val="nil"/>
              <w:right w:val="nil"/>
            </w:tcBorders>
            <w:shd w:val="clear" w:color="auto" w:fill="auto"/>
            <w:noWrap/>
            <w:vAlign w:val="center"/>
            <w:hideMark/>
          </w:tcPr>
          <w:p w14:paraId="0FD8466A"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3,1947</w:t>
            </w:r>
          </w:p>
        </w:tc>
      </w:tr>
      <w:tr w:rsidR="00D44CF4" w:rsidRPr="00D44CF4" w14:paraId="5B94AB8B" w14:textId="77777777" w:rsidTr="005A4170">
        <w:trPr>
          <w:trHeight w:val="238"/>
        </w:trPr>
        <w:tc>
          <w:tcPr>
            <w:tcW w:w="2478" w:type="pct"/>
            <w:tcBorders>
              <w:top w:val="nil"/>
              <w:left w:val="nil"/>
              <w:bottom w:val="nil"/>
              <w:right w:val="nil"/>
            </w:tcBorders>
            <w:shd w:val="clear" w:color="auto" w:fill="auto"/>
            <w:noWrap/>
            <w:vAlign w:val="center"/>
            <w:hideMark/>
          </w:tcPr>
          <w:p w14:paraId="0929EC7B" w14:textId="77777777" w:rsidR="00D44CF4" w:rsidRPr="00D44CF4" w:rsidRDefault="00D44CF4" w:rsidP="00D44CF4">
            <w:pPr>
              <w:tabs>
                <w:tab w:val="clear" w:pos="851"/>
              </w:tabs>
              <w:spacing w:before="0" w:after="0" w:line="240" w:lineRule="auto"/>
              <w:jc w:val="left"/>
              <w:rPr>
                <w:rFonts w:ascii="Arial" w:hAnsi="Arial" w:cs="Arial"/>
                <w:color w:val="000000"/>
                <w:sz w:val="18"/>
                <w:szCs w:val="18"/>
                <w:lang w:eastAsia="pt-BR"/>
              </w:rPr>
            </w:pPr>
            <w:r w:rsidRPr="00D44CF4">
              <w:rPr>
                <w:rFonts w:ascii="Arial" w:hAnsi="Arial" w:cs="Arial"/>
                <w:color w:val="000000"/>
                <w:sz w:val="18"/>
                <w:szCs w:val="18"/>
                <w:lang w:eastAsia="pt-BR"/>
              </w:rPr>
              <w:t>Composição do Endividamento</w:t>
            </w:r>
          </w:p>
        </w:tc>
        <w:tc>
          <w:tcPr>
            <w:tcW w:w="618" w:type="pct"/>
            <w:tcBorders>
              <w:top w:val="nil"/>
              <w:left w:val="nil"/>
              <w:bottom w:val="nil"/>
              <w:right w:val="nil"/>
            </w:tcBorders>
            <w:shd w:val="clear" w:color="auto" w:fill="auto"/>
            <w:vAlign w:val="center"/>
            <w:hideMark/>
          </w:tcPr>
          <w:p w14:paraId="2861E5F4"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w:t>
            </w:r>
          </w:p>
        </w:tc>
        <w:tc>
          <w:tcPr>
            <w:tcW w:w="635" w:type="pct"/>
            <w:tcBorders>
              <w:top w:val="nil"/>
              <w:left w:val="nil"/>
              <w:bottom w:val="nil"/>
              <w:right w:val="nil"/>
            </w:tcBorders>
            <w:shd w:val="clear" w:color="auto" w:fill="auto"/>
            <w:noWrap/>
            <w:vAlign w:val="center"/>
            <w:hideMark/>
          </w:tcPr>
          <w:p w14:paraId="4EBF8F1E"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58,98%</w:t>
            </w:r>
          </w:p>
        </w:tc>
        <w:tc>
          <w:tcPr>
            <w:tcW w:w="635" w:type="pct"/>
            <w:tcBorders>
              <w:top w:val="nil"/>
              <w:left w:val="nil"/>
              <w:bottom w:val="nil"/>
              <w:right w:val="nil"/>
            </w:tcBorders>
            <w:shd w:val="clear" w:color="auto" w:fill="auto"/>
            <w:noWrap/>
            <w:vAlign w:val="center"/>
            <w:hideMark/>
          </w:tcPr>
          <w:p w14:paraId="25E244B2"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46,88%</w:t>
            </w:r>
          </w:p>
        </w:tc>
        <w:tc>
          <w:tcPr>
            <w:tcW w:w="635" w:type="pct"/>
            <w:tcBorders>
              <w:top w:val="nil"/>
              <w:left w:val="nil"/>
              <w:bottom w:val="nil"/>
              <w:right w:val="nil"/>
            </w:tcBorders>
            <w:shd w:val="clear" w:color="auto" w:fill="auto"/>
            <w:noWrap/>
            <w:vAlign w:val="center"/>
            <w:hideMark/>
          </w:tcPr>
          <w:p w14:paraId="74722F7C"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40,21%</w:t>
            </w:r>
          </w:p>
        </w:tc>
      </w:tr>
      <w:tr w:rsidR="00D44CF4" w:rsidRPr="00D44CF4" w14:paraId="45E12058" w14:textId="77777777" w:rsidTr="005A4170">
        <w:trPr>
          <w:trHeight w:val="238"/>
        </w:trPr>
        <w:tc>
          <w:tcPr>
            <w:tcW w:w="2478" w:type="pct"/>
            <w:tcBorders>
              <w:top w:val="nil"/>
              <w:left w:val="nil"/>
              <w:bottom w:val="nil"/>
              <w:right w:val="nil"/>
            </w:tcBorders>
            <w:shd w:val="clear" w:color="auto" w:fill="auto"/>
            <w:noWrap/>
            <w:vAlign w:val="center"/>
            <w:hideMark/>
          </w:tcPr>
          <w:p w14:paraId="7185EB4E" w14:textId="77777777" w:rsidR="00D44CF4" w:rsidRPr="00D44CF4" w:rsidRDefault="00D44CF4" w:rsidP="00D44CF4">
            <w:pPr>
              <w:tabs>
                <w:tab w:val="clear" w:pos="851"/>
              </w:tabs>
              <w:spacing w:before="0" w:after="0" w:line="240" w:lineRule="auto"/>
              <w:jc w:val="left"/>
              <w:rPr>
                <w:rFonts w:ascii="Arial" w:hAnsi="Arial" w:cs="Arial"/>
                <w:color w:val="000000"/>
                <w:sz w:val="18"/>
                <w:szCs w:val="18"/>
                <w:lang w:eastAsia="pt-BR"/>
              </w:rPr>
            </w:pPr>
            <w:r w:rsidRPr="00D44CF4">
              <w:rPr>
                <w:rFonts w:ascii="Arial" w:hAnsi="Arial" w:cs="Arial"/>
                <w:color w:val="000000"/>
                <w:sz w:val="18"/>
                <w:szCs w:val="18"/>
                <w:lang w:eastAsia="pt-BR"/>
              </w:rPr>
              <w:t>Grau de Endividamento</w:t>
            </w:r>
          </w:p>
        </w:tc>
        <w:tc>
          <w:tcPr>
            <w:tcW w:w="618" w:type="pct"/>
            <w:tcBorders>
              <w:top w:val="nil"/>
              <w:left w:val="nil"/>
              <w:bottom w:val="nil"/>
              <w:right w:val="nil"/>
            </w:tcBorders>
            <w:shd w:val="clear" w:color="auto" w:fill="auto"/>
            <w:vAlign w:val="center"/>
            <w:hideMark/>
          </w:tcPr>
          <w:p w14:paraId="39A0FA2F"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w:t>
            </w:r>
          </w:p>
        </w:tc>
        <w:tc>
          <w:tcPr>
            <w:tcW w:w="635" w:type="pct"/>
            <w:tcBorders>
              <w:top w:val="nil"/>
              <w:left w:val="nil"/>
              <w:bottom w:val="nil"/>
              <w:right w:val="nil"/>
            </w:tcBorders>
            <w:shd w:val="clear" w:color="auto" w:fill="auto"/>
            <w:noWrap/>
            <w:vAlign w:val="center"/>
            <w:hideMark/>
          </w:tcPr>
          <w:p w14:paraId="6FAAB7CF"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11,20%</w:t>
            </w:r>
          </w:p>
        </w:tc>
        <w:tc>
          <w:tcPr>
            <w:tcW w:w="635" w:type="pct"/>
            <w:tcBorders>
              <w:top w:val="nil"/>
              <w:left w:val="nil"/>
              <w:bottom w:val="nil"/>
              <w:right w:val="nil"/>
            </w:tcBorders>
            <w:shd w:val="clear" w:color="auto" w:fill="auto"/>
            <w:noWrap/>
            <w:vAlign w:val="center"/>
            <w:hideMark/>
          </w:tcPr>
          <w:p w14:paraId="035A7F22"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11,61%</w:t>
            </w:r>
          </w:p>
        </w:tc>
        <w:tc>
          <w:tcPr>
            <w:tcW w:w="635" w:type="pct"/>
            <w:tcBorders>
              <w:top w:val="nil"/>
              <w:left w:val="nil"/>
              <w:bottom w:val="nil"/>
              <w:right w:val="nil"/>
            </w:tcBorders>
            <w:shd w:val="clear" w:color="auto" w:fill="auto"/>
            <w:noWrap/>
            <w:vAlign w:val="center"/>
            <w:hideMark/>
          </w:tcPr>
          <w:p w14:paraId="41CBE370"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13,04%</w:t>
            </w:r>
          </w:p>
        </w:tc>
      </w:tr>
      <w:tr w:rsidR="00D44CF4" w:rsidRPr="00D44CF4" w14:paraId="7B0F847B" w14:textId="77777777" w:rsidTr="005A4170">
        <w:trPr>
          <w:trHeight w:val="238"/>
        </w:trPr>
        <w:tc>
          <w:tcPr>
            <w:tcW w:w="2478" w:type="pct"/>
            <w:tcBorders>
              <w:top w:val="nil"/>
              <w:left w:val="nil"/>
              <w:bottom w:val="single" w:sz="8" w:space="0" w:color="4472C4"/>
              <w:right w:val="nil"/>
            </w:tcBorders>
            <w:shd w:val="clear" w:color="auto" w:fill="auto"/>
            <w:noWrap/>
            <w:vAlign w:val="center"/>
            <w:hideMark/>
          </w:tcPr>
          <w:p w14:paraId="68A2B5F2" w14:textId="77777777" w:rsidR="00D44CF4" w:rsidRPr="00D44CF4" w:rsidRDefault="00D44CF4" w:rsidP="00D44CF4">
            <w:pPr>
              <w:tabs>
                <w:tab w:val="clear" w:pos="851"/>
              </w:tabs>
              <w:spacing w:before="0" w:after="0" w:line="240" w:lineRule="auto"/>
              <w:jc w:val="left"/>
              <w:rPr>
                <w:rFonts w:ascii="Arial" w:hAnsi="Arial" w:cs="Arial"/>
                <w:color w:val="000000"/>
                <w:sz w:val="18"/>
                <w:szCs w:val="18"/>
                <w:lang w:eastAsia="pt-BR"/>
              </w:rPr>
            </w:pPr>
            <w:r w:rsidRPr="00D44CF4">
              <w:rPr>
                <w:rFonts w:ascii="Arial" w:hAnsi="Arial" w:cs="Arial"/>
                <w:color w:val="000000"/>
                <w:sz w:val="18"/>
                <w:szCs w:val="18"/>
                <w:lang w:eastAsia="pt-BR"/>
              </w:rPr>
              <w:t>Participação de Capital de Terceiros</w:t>
            </w:r>
          </w:p>
        </w:tc>
        <w:tc>
          <w:tcPr>
            <w:tcW w:w="618" w:type="pct"/>
            <w:tcBorders>
              <w:top w:val="nil"/>
              <w:left w:val="nil"/>
              <w:bottom w:val="single" w:sz="8" w:space="0" w:color="4472C4"/>
              <w:right w:val="nil"/>
            </w:tcBorders>
            <w:shd w:val="clear" w:color="auto" w:fill="auto"/>
            <w:vAlign w:val="center"/>
            <w:hideMark/>
          </w:tcPr>
          <w:p w14:paraId="452AE6EC"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w:t>
            </w:r>
          </w:p>
        </w:tc>
        <w:tc>
          <w:tcPr>
            <w:tcW w:w="635" w:type="pct"/>
            <w:tcBorders>
              <w:top w:val="nil"/>
              <w:left w:val="nil"/>
              <w:bottom w:val="single" w:sz="8" w:space="0" w:color="4472C4"/>
              <w:right w:val="nil"/>
            </w:tcBorders>
            <w:shd w:val="clear" w:color="auto" w:fill="auto"/>
            <w:noWrap/>
            <w:vAlign w:val="center"/>
            <w:hideMark/>
          </w:tcPr>
          <w:p w14:paraId="19E9B5B1"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12,65%</w:t>
            </w:r>
          </w:p>
        </w:tc>
        <w:tc>
          <w:tcPr>
            <w:tcW w:w="635" w:type="pct"/>
            <w:tcBorders>
              <w:top w:val="nil"/>
              <w:left w:val="nil"/>
              <w:bottom w:val="single" w:sz="8" w:space="0" w:color="4472C4"/>
              <w:right w:val="nil"/>
            </w:tcBorders>
            <w:shd w:val="clear" w:color="auto" w:fill="auto"/>
            <w:noWrap/>
            <w:vAlign w:val="center"/>
            <w:hideMark/>
          </w:tcPr>
          <w:p w14:paraId="35EC057E"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13,20%</w:t>
            </w:r>
          </w:p>
        </w:tc>
        <w:tc>
          <w:tcPr>
            <w:tcW w:w="635" w:type="pct"/>
            <w:tcBorders>
              <w:top w:val="nil"/>
              <w:left w:val="nil"/>
              <w:bottom w:val="single" w:sz="8" w:space="0" w:color="4472C4"/>
              <w:right w:val="nil"/>
            </w:tcBorders>
            <w:shd w:val="clear" w:color="auto" w:fill="auto"/>
            <w:noWrap/>
            <w:vAlign w:val="center"/>
            <w:hideMark/>
          </w:tcPr>
          <w:p w14:paraId="3A9B8379" w14:textId="77777777" w:rsidR="00D44CF4" w:rsidRPr="00D44CF4" w:rsidRDefault="00D44CF4" w:rsidP="00D44CF4">
            <w:pPr>
              <w:tabs>
                <w:tab w:val="clear" w:pos="851"/>
              </w:tabs>
              <w:spacing w:before="0" w:after="0" w:line="240" w:lineRule="auto"/>
              <w:jc w:val="right"/>
              <w:rPr>
                <w:rFonts w:ascii="Arial" w:hAnsi="Arial" w:cs="Arial"/>
                <w:color w:val="000000"/>
                <w:sz w:val="18"/>
                <w:szCs w:val="18"/>
                <w:lang w:eastAsia="pt-BR"/>
              </w:rPr>
            </w:pPr>
            <w:r w:rsidRPr="00D44CF4">
              <w:rPr>
                <w:rFonts w:ascii="Arial" w:hAnsi="Arial" w:cs="Arial"/>
                <w:color w:val="000000"/>
                <w:sz w:val="18"/>
                <w:szCs w:val="18"/>
                <w:lang w:eastAsia="pt-BR"/>
              </w:rPr>
              <w:t>15,00%</w:t>
            </w:r>
          </w:p>
        </w:tc>
      </w:tr>
    </w:tbl>
    <w:p w14:paraId="0285F0CE" w14:textId="77777777" w:rsidR="003E0246" w:rsidRPr="00D44CF4" w:rsidRDefault="003E0246" w:rsidP="003E0246">
      <w:pPr>
        <w:pStyle w:val="Corpodetexto"/>
        <w:spacing w:before="0" w:after="0"/>
        <w:rPr>
          <w:rFonts w:ascii="Arial" w:hAnsi="Arial" w:cs="Arial"/>
          <w:sz w:val="16"/>
          <w:szCs w:val="16"/>
        </w:rPr>
      </w:pPr>
      <w:r w:rsidRPr="00D44CF4">
        <w:rPr>
          <w:rFonts w:ascii="Arial" w:hAnsi="Arial" w:cs="Arial"/>
          <w:sz w:val="16"/>
          <w:szCs w:val="16"/>
        </w:rPr>
        <w:t>Para fins de cálculo dos indicadores financeiros as rubricas de Despesas Antecipadas, Receitas Diferidas e Adiantamento para Futuro Aumento de Capital foram reclassificadas para o Patrimônio Líquido.</w:t>
      </w:r>
    </w:p>
    <w:p w14:paraId="29579E50" w14:textId="41834769" w:rsidR="00D44CF4" w:rsidRPr="00D44CF4" w:rsidRDefault="00D44CF4" w:rsidP="00087F48">
      <w:pPr>
        <w:pStyle w:val="Corpodetexto"/>
        <w:spacing w:before="120"/>
        <w:rPr>
          <w:rFonts w:eastAsia="Arial"/>
          <w:b/>
          <w:sz w:val="22"/>
        </w:rPr>
      </w:pPr>
    </w:p>
    <w:p w14:paraId="06576C32" w14:textId="442FE24C" w:rsidR="00D44CF4" w:rsidRPr="00505643" w:rsidRDefault="00D44CF4" w:rsidP="00D44CF4">
      <w:pPr>
        <w:pStyle w:val="Corpodetexto"/>
        <w:spacing w:before="120"/>
        <w:rPr>
          <w:rFonts w:eastAsia="Arial"/>
          <w:sz w:val="22"/>
        </w:rPr>
      </w:pPr>
      <w:r w:rsidRPr="00D44CF4">
        <w:rPr>
          <w:rFonts w:eastAsia="Arial"/>
          <w:b/>
          <w:sz w:val="22"/>
        </w:rPr>
        <w:t xml:space="preserve">Ativo Circulante – </w:t>
      </w:r>
      <w:r w:rsidRPr="00D44CF4">
        <w:rPr>
          <w:rFonts w:eastAsia="Arial"/>
          <w:sz w:val="22"/>
        </w:rPr>
        <w:t xml:space="preserve">O Ativo Circulante no final do ano de 2024 apresentou aumento de 10,5% e 16,2% em relação aos anos de 2023 e 2022, respectivamente. O crescimento em relação aos exercícios comparados é explicado basicamente pelos aumentos das Disponibilidades, do Contas a Receber e o reconhecimento do Superávit de Previdência Privada. </w:t>
      </w:r>
    </w:p>
    <w:p w14:paraId="0C0F6802" w14:textId="5565B514" w:rsidR="00D44CF4" w:rsidRPr="00505643" w:rsidRDefault="00D44CF4" w:rsidP="00D44CF4">
      <w:pPr>
        <w:pStyle w:val="Corpodetexto"/>
        <w:spacing w:before="120"/>
        <w:rPr>
          <w:rFonts w:eastAsia="Arial"/>
          <w:sz w:val="22"/>
        </w:rPr>
      </w:pPr>
      <w:r w:rsidRPr="00D44CF4">
        <w:rPr>
          <w:rFonts w:eastAsia="Arial"/>
          <w:b/>
          <w:sz w:val="22"/>
        </w:rPr>
        <w:t xml:space="preserve">Ativo Não Circulante – </w:t>
      </w:r>
      <w:r w:rsidRPr="00D44CF4">
        <w:rPr>
          <w:rFonts w:eastAsia="Arial"/>
          <w:sz w:val="22"/>
        </w:rPr>
        <w:t>O grupo apresentou redução de 3,4% na comparação com o ano de 2023 e de 7,7% em relação ao ano 2022. Esse comportamento é reflexo dos seguintes eventos: i) tranferênicas realizadas para o Circulante de valores relativo as Depesas Antecipadas; e ii) Depreciação e Amortização do Imobilizado e Intangível. Essa redução foi parcialmente amortiçada pelo reconhecimento do Superávit de Previdência Privada no exercício de 2024.</w:t>
      </w:r>
    </w:p>
    <w:p w14:paraId="4F9F62AE" w14:textId="2EE7BB5E" w:rsidR="00D44CF4" w:rsidRPr="00D44CF4" w:rsidRDefault="00D44CF4" w:rsidP="00D44CF4">
      <w:pPr>
        <w:pStyle w:val="Corpodetexto"/>
        <w:spacing w:before="120"/>
        <w:rPr>
          <w:rFonts w:eastAsia="Arial"/>
          <w:sz w:val="22"/>
        </w:rPr>
      </w:pPr>
      <w:r w:rsidRPr="00D44CF4">
        <w:rPr>
          <w:rFonts w:eastAsia="Arial"/>
          <w:b/>
          <w:sz w:val="22"/>
        </w:rPr>
        <w:t xml:space="preserve">Passivo Circulante: </w:t>
      </w:r>
      <w:r w:rsidRPr="00D44CF4">
        <w:rPr>
          <w:rFonts w:eastAsia="Arial"/>
          <w:sz w:val="22"/>
        </w:rPr>
        <w:t>O comportamento desta rubrica na comparação entre o exercício de 2024 e os exercícios de 2023 e 2022, apresentou um aumento de 12,1% em relação ao ano de 2023 e uma redução de 2,2% quando comprado ao ano de 2022.  O cresci</w:t>
      </w:r>
      <w:r w:rsidR="00A90905">
        <w:rPr>
          <w:rFonts w:eastAsia="Arial"/>
          <w:sz w:val="22"/>
        </w:rPr>
        <w:t xml:space="preserve">mento em relação ao ano de 2023 é </w:t>
      </w:r>
      <w:r w:rsidRPr="00D44CF4">
        <w:rPr>
          <w:rFonts w:eastAsia="Arial"/>
          <w:sz w:val="22"/>
        </w:rPr>
        <w:t xml:space="preserve">explicado pelo aumento das </w:t>
      </w:r>
      <w:r w:rsidR="00E47852" w:rsidRPr="00D44CF4">
        <w:rPr>
          <w:rFonts w:eastAsia="Arial"/>
          <w:sz w:val="22"/>
        </w:rPr>
        <w:t>obrigações</w:t>
      </w:r>
      <w:r w:rsidRPr="00D44CF4">
        <w:rPr>
          <w:rFonts w:eastAsia="Arial"/>
          <w:sz w:val="22"/>
        </w:rPr>
        <w:t xml:space="preserve"> com fornecedores e pelo reconhecimento das contribuições sobre o reconhecimento do Superávit de </w:t>
      </w:r>
      <w:r w:rsidR="00E47852" w:rsidRPr="00D44CF4">
        <w:rPr>
          <w:rFonts w:eastAsia="Arial"/>
          <w:sz w:val="22"/>
        </w:rPr>
        <w:t>Previdência</w:t>
      </w:r>
      <w:r w:rsidRPr="00D44CF4">
        <w:rPr>
          <w:rFonts w:eastAsia="Arial"/>
          <w:sz w:val="22"/>
        </w:rPr>
        <w:t xml:space="preserve"> Privada. </w:t>
      </w:r>
    </w:p>
    <w:p w14:paraId="0BF8D9BE" w14:textId="63D3026B" w:rsidR="00D44CF4" w:rsidRPr="00D44CF4" w:rsidRDefault="00D44CF4" w:rsidP="00D44CF4">
      <w:pPr>
        <w:pStyle w:val="Corpodetexto"/>
        <w:spacing w:before="120"/>
        <w:rPr>
          <w:rFonts w:eastAsia="Arial"/>
          <w:sz w:val="22"/>
        </w:rPr>
      </w:pPr>
      <w:r w:rsidRPr="00D44CF4">
        <w:rPr>
          <w:rFonts w:eastAsia="Arial"/>
          <w:b/>
          <w:sz w:val="22"/>
        </w:rPr>
        <w:t xml:space="preserve">Passivo Não Circulante - </w:t>
      </w:r>
      <w:r w:rsidRPr="00D44CF4">
        <w:rPr>
          <w:rFonts w:eastAsia="Arial"/>
          <w:sz w:val="22"/>
        </w:rPr>
        <w:t>O Passivo não Circulante apresentou uma estabilidade quando comprado ao exercício de 2023. Com relação ao ano de 2022, ocorreu um aumento de 6,2%.</w:t>
      </w:r>
    </w:p>
    <w:p w14:paraId="6D31D7B4" w14:textId="25E64F02" w:rsidR="003E0246" w:rsidRPr="00D44CF4" w:rsidRDefault="00D44CF4" w:rsidP="00087F48">
      <w:pPr>
        <w:pStyle w:val="Corpodetexto"/>
        <w:spacing w:before="120"/>
        <w:rPr>
          <w:rFonts w:eastAsia="Arial"/>
          <w:sz w:val="22"/>
        </w:rPr>
      </w:pPr>
      <w:r w:rsidRPr="00D44CF4">
        <w:rPr>
          <w:rFonts w:eastAsia="Arial"/>
          <w:b/>
          <w:sz w:val="22"/>
        </w:rPr>
        <w:t xml:space="preserve">Patrimônio Líquido – </w:t>
      </w:r>
      <w:r w:rsidRPr="00D44CF4">
        <w:rPr>
          <w:rFonts w:eastAsia="Arial"/>
          <w:sz w:val="22"/>
        </w:rPr>
        <w:t xml:space="preserve">O exercício de 2024, quando comparado aos exercícios de 2023 apresentou um crescimento de 4,0%, explicada pelo reconhecimento dos Recursos Capitalizáveis no montante de R$ 112,3 milhões. Esse crescimento foi amortizado pelo Prejuízo do Exercício no valor R$ 66,6 milhões. Em relação ao ano de 2022 houve uma redução de 4,7%, justificado pelos Prejuízos registrado </w:t>
      </w:r>
      <w:r w:rsidR="00A90905" w:rsidRPr="00D44CF4">
        <w:rPr>
          <w:rFonts w:eastAsia="Arial"/>
          <w:sz w:val="22"/>
        </w:rPr>
        <w:t>nos anos</w:t>
      </w:r>
      <w:r w:rsidRPr="00D44CF4">
        <w:rPr>
          <w:rFonts w:eastAsia="Arial"/>
          <w:sz w:val="22"/>
        </w:rPr>
        <w:t xml:space="preserve"> de 2022 e 2023. </w:t>
      </w:r>
    </w:p>
    <w:p w14:paraId="33AF29BE" w14:textId="545E1E60" w:rsidR="003E68A6" w:rsidRPr="00D44CF4" w:rsidRDefault="003E68A6" w:rsidP="004E4BD9">
      <w:pPr>
        <w:pStyle w:val="Ttulo2"/>
        <w:spacing w:before="360" w:after="240" w:line="276" w:lineRule="auto"/>
        <w:ind w:left="567" w:hanging="510"/>
      </w:pPr>
      <w:r w:rsidRPr="00D44CF4">
        <w:tab/>
      </w:r>
      <w:bookmarkStart w:id="8" w:name="_Toc191641866"/>
      <w:r w:rsidRPr="00D44CF4">
        <w:t>Estrutura Econômica da Companhia – Principais Rubricas</w:t>
      </w:r>
      <w:bookmarkEnd w:id="8"/>
    </w:p>
    <w:p w14:paraId="2FC285E1" w14:textId="68F42B4A" w:rsidR="003E0246" w:rsidRDefault="003E0246" w:rsidP="00087F48">
      <w:pPr>
        <w:spacing w:line="240" w:lineRule="auto"/>
        <w:rPr>
          <w:rFonts w:eastAsia="Arial"/>
          <w:sz w:val="22"/>
        </w:rPr>
      </w:pPr>
      <w:r w:rsidRPr="00D44CF4">
        <w:rPr>
          <w:rFonts w:eastAsia="Arial"/>
          <w:sz w:val="22"/>
        </w:rPr>
        <w:t xml:space="preserve">O resultado obtido pela Companhia no exercício de </w:t>
      </w:r>
      <w:r w:rsidR="00D44CF4" w:rsidRPr="00D44CF4">
        <w:rPr>
          <w:rFonts w:eastAsia="Arial"/>
          <w:sz w:val="22"/>
        </w:rPr>
        <w:t>202</w:t>
      </w:r>
      <w:r w:rsidR="00D44CF4">
        <w:rPr>
          <w:rFonts w:eastAsia="Arial"/>
          <w:sz w:val="22"/>
        </w:rPr>
        <w:t>4</w:t>
      </w:r>
      <w:r w:rsidR="00D44CF4" w:rsidRPr="00D44CF4">
        <w:rPr>
          <w:rFonts w:eastAsia="Arial"/>
          <w:sz w:val="22"/>
        </w:rPr>
        <w:t xml:space="preserve"> </w:t>
      </w:r>
      <w:r w:rsidRPr="00D44CF4">
        <w:rPr>
          <w:rFonts w:eastAsia="Arial"/>
          <w:sz w:val="22"/>
        </w:rPr>
        <w:t xml:space="preserve">comparado com os exercícios de </w:t>
      </w:r>
      <w:r w:rsidR="00D44CF4" w:rsidRPr="00D44CF4">
        <w:rPr>
          <w:rFonts w:eastAsia="Arial"/>
          <w:sz w:val="22"/>
        </w:rPr>
        <w:t>202</w:t>
      </w:r>
      <w:r w:rsidR="00D44CF4">
        <w:rPr>
          <w:rFonts w:eastAsia="Arial"/>
          <w:sz w:val="22"/>
        </w:rPr>
        <w:t>3</w:t>
      </w:r>
      <w:r w:rsidR="00D44CF4" w:rsidRPr="00D44CF4">
        <w:rPr>
          <w:rFonts w:eastAsia="Arial"/>
          <w:sz w:val="22"/>
        </w:rPr>
        <w:t xml:space="preserve"> </w:t>
      </w:r>
      <w:r w:rsidRPr="00D44CF4">
        <w:rPr>
          <w:rFonts w:eastAsia="Arial"/>
          <w:sz w:val="22"/>
        </w:rPr>
        <w:t xml:space="preserve">e </w:t>
      </w:r>
      <w:r w:rsidR="00D44CF4" w:rsidRPr="00D44CF4">
        <w:rPr>
          <w:rFonts w:eastAsia="Arial"/>
          <w:sz w:val="22"/>
        </w:rPr>
        <w:t>202</w:t>
      </w:r>
      <w:r w:rsidR="00D44CF4">
        <w:rPr>
          <w:rFonts w:eastAsia="Arial"/>
          <w:sz w:val="22"/>
        </w:rPr>
        <w:t>2</w:t>
      </w:r>
      <w:r w:rsidR="00D44CF4" w:rsidRPr="00D44CF4">
        <w:rPr>
          <w:rFonts w:eastAsia="Arial"/>
          <w:sz w:val="22"/>
        </w:rPr>
        <w:t xml:space="preserve"> </w:t>
      </w:r>
      <w:r w:rsidRPr="00D44CF4">
        <w:rPr>
          <w:rFonts w:eastAsia="Arial"/>
          <w:sz w:val="22"/>
        </w:rPr>
        <w:t>está apresentado a seguir com explicações sobre as principais variações ocorridas entre os períodos apresentados.</w:t>
      </w:r>
    </w:p>
    <w:tbl>
      <w:tblPr>
        <w:tblW w:w="5000" w:type="pct"/>
        <w:tblCellMar>
          <w:left w:w="70" w:type="dxa"/>
          <w:right w:w="70" w:type="dxa"/>
        </w:tblCellMar>
        <w:tblLook w:val="04A0" w:firstRow="1" w:lastRow="0" w:firstColumn="1" w:lastColumn="0" w:noHBand="0" w:noVBand="1"/>
      </w:tblPr>
      <w:tblGrid>
        <w:gridCol w:w="5334"/>
        <w:gridCol w:w="1005"/>
        <w:gridCol w:w="1421"/>
        <w:gridCol w:w="1312"/>
      </w:tblGrid>
      <w:tr w:rsidR="00D44CF4" w:rsidRPr="00D44CF4" w14:paraId="16F8FF11" w14:textId="77777777" w:rsidTr="005A4170">
        <w:trPr>
          <w:trHeight w:val="238"/>
        </w:trPr>
        <w:tc>
          <w:tcPr>
            <w:tcW w:w="2940" w:type="pct"/>
            <w:tcBorders>
              <w:top w:val="single" w:sz="8" w:space="0" w:color="8EAADB"/>
              <w:left w:val="nil"/>
              <w:bottom w:val="single" w:sz="8" w:space="0" w:color="8EAADB"/>
              <w:right w:val="nil"/>
            </w:tcBorders>
            <w:shd w:val="clear" w:color="auto" w:fill="auto"/>
            <w:vAlign w:val="center"/>
            <w:hideMark/>
          </w:tcPr>
          <w:p w14:paraId="608DEA23" w14:textId="77777777" w:rsidR="00D44CF4" w:rsidRPr="00D44CF4" w:rsidRDefault="00D44CF4" w:rsidP="00D44CF4">
            <w:pPr>
              <w:tabs>
                <w:tab w:val="clear" w:pos="851"/>
              </w:tabs>
              <w:spacing w:before="0" w:after="0" w:line="240" w:lineRule="auto"/>
              <w:jc w:val="left"/>
              <w:rPr>
                <w:rFonts w:ascii="Arial" w:hAnsi="Arial" w:cs="Arial"/>
                <w:b/>
                <w:bCs/>
                <w:color w:val="2E74B5"/>
                <w:sz w:val="16"/>
                <w:szCs w:val="16"/>
                <w:lang w:eastAsia="pt-BR"/>
              </w:rPr>
            </w:pPr>
            <w:r w:rsidRPr="00D44CF4">
              <w:rPr>
                <w:rFonts w:ascii="Arial" w:hAnsi="Arial" w:cs="Arial"/>
                <w:b/>
                <w:bCs/>
                <w:color w:val="2E74B5"/>
                <w:sz w:val="16"/>
                <w:szCs w:val="16"/>
                <w:lang w:eastAsia="pt-BR"/>
              </w:rPr>
              <w:t>R$ mil</w:t>
            </w:r>
          </w:p>
        </w:tc>
        <w:tc>
          <w:tcPr>
            <w:tcW w:w="554" w:type="pct"/>
            <w:tcBorders>
              <w:top w:val="single" w:sz="8" w:space="0" w:color="8EAADB"/>
              <w:left w:val="nil"/>
              <w:bottom w:val="single" w:sz="8" w:space="0" w:color="8EAADB"/>
              <w:right w:val="nil"/>
            </w:tcBorders>
            <w:shd w:val="clear" w:color="auto" w:fill="auto"/>
            <w:vAlign w:val="center"/>
            <w:hideMark/>
          </w:tcPr>
          <w:p w14:paraId="3F5C3D8C" w14:textId="77777777" w:rsidR="00D44CF4" w:rsidRPr="00D44CF4" w:rsidRDefault="00D44CF4" w:rsidP="00D44CF4">
            <w:pPr>
              <w:tabs>
                <w:tab w:val="clear" w:pos="851"/>
              </w:tabs>
              <w:spacing w:before="0" w:after="0" w:line="240" w:lineRule="auto"/>
              <w:jc w:val="center"/>
              <w:rPr>
                <w:rFonts w:ascii="Arial" w:hAnsi="Arial" w:cs="Arial"/>
                <w:b/>
                <w:bCs/>
                <w:color w:val="2E74B5"/>
                <w:sz w:val="16"/>
                <w:szCs w:val="16"/>
                <w:lang w:eastAsia="pt-BR"/>
              </w:rPr>
            </w:pPr>
            <w:r w:rsidRPr="00D44CF4">
              <w:rPr>
                <w:rFonts w:ascii="Arial" w:hAnsi="Arial" w:cs="Arial"/>
                <w:b/>
                <w:bCs/>
                <w:color w:val="2E74B5"/>
                <w:sz w:val="16"/>
                <w:szCs w:val="16"/>
                <w:lang w:eastAsia="pt-BR"/>
              </w:rPr>
              <w:t>2024</w:t>
            </w:r>
          </w:p>
        </w:tc>
        <w:tc>
          <w:tcPr>
            <w:tcW w:w="783" w:type="pct"/>
            <w:tcBorders>
              <w:top w:val="single" w:sz="8" w:space="0" w:color="8EAADB"/>
              <w:left w:val="nil"/>
              <w:bottom w:val="single" w:sz="8" w:space="0" w:color="8EAADB"/>
              <w:right w:val="nil"/>
            </w:tcBorders>
            <w:shd w:val="clear" w:color="auto" w:fill="auto"/>
            <w:vAlign w:val="center"/>
            <w:hideMark/>
          </w:tcPr>
          <w:p w14:paraId="50B1EEDD" w14:textId="77777777" w:rsidR="00D44CF4" w:rsidRPr="00D44CF4" w:rsidRDefault="00D44CF4" w:rsidP="00D44CF4">
            <w:pPr>
              <w:tabs>
                <w:tab w:val="clear" w:pos="851"/>
              </w:tabs>
              <w:spacing w:before="0" w:after="0" w:line="240" w:lineRule="auto"/>
              <w:jc w:val="center"/>
              <w:rPr>
                <w:rFonts w:ascii="Arial" w:hAnsi="Arial" w:cs="Arial"/>
                <w:b/>
                <w:bCs/>
                <w:color w:val="2E74B5"/>
                <w:sz w:val="16"/>
                <w:szCs w:val="16"/>
                <w:lang w:eastAsia="pt-BR"/>
              </w:rPr>
            </w:pPr>
            <w:r w:rsidRPr="00D44CF4">
              <w:rPr>
                <w:rFonts w:ascii="Arial" w:hAnsi="Arial" w:cs="Arial"/>
                <w:b/>
                <w:bCs/>
                <w:color w:val="2E74B5"/>
                <w:sz w:val="16"/>
                <w:szCs w:val="16"/>
                <w:lang w:eastAsia="pt-BR"/>
              </w:rPr>
              <w:t>2023</w:t>
            </w:r>
          </w:p>
        </w:tc>
        <w:tc>
          <w:tcPr>
            <w:tcW w:w="723" w:type="pct"/>
            <w:tcBorders>
              <w:top w:val="single" w:sz="8" w:space="0" w:color="8EAADB"/>
              <w:left w:val="nil"/>
              <w:bottom w:val="single" w:sz="8" w:space="0" w:color="8EAADB"/>
              <w:right w:val="nil"/>
            </w:tcBorders>
            <w:shd w:val="clear" w:color="auto" w:fill="auto"/>
            <w:vAlign w:val="center"/>
            <w:hideMark/>
          </w:tcPr>
          <w:p w14:paraId="5525674E" w14:textId="77777777" w:rsidR="00D44CF4" w:rsidRPr="00D44CF4" w:rsidRDefault="00D44CF4" w:rsidP="00D44CF4">
            <w:pPr>
              <w:tabs>
                <w:tab w:val="clear" w:pos="851"/>
              </w:tabs>
              <w:spacing w:before="0" w:after="0" w:line="240" w:lineRule="auto"/>
              <w:jc w:val="center"/>
              <w:rPr>
                <w:rFonts w:ascii="Arial" w:hAnsi="Arial" w:cs="Arial"/>
                <w:b/>
                <w:bCs/>
                <w:color w:val="2E74B5"/>
                <w:sz w:val="16"/>
                <w:szCs w:val="16"/>
                <w:lang w:eastAsia="pt-BR"/>
              </w:rPr>
            </w:pPr>
            <w:r w:rsidRPr="00D44CF4">
              <w:rPr>
                <w:rFonts w:ascii="Arial" w:hAnsi="Arial" w:cs="Arial"/>
                <w:b/>
                <w:bCs/>
                <w:color w:val="2E74B5"/>
                <w:sz w:val="16"/>
                <w:szCs w:val="16"/>
                <w:lang w:eastAsia="pt-BR"/>
              </w:rPr>
              <w:t>2022</w:t>
            </w:r>
          </w:p>
        </w:tc>
      </w:tr>
      <w:tr w:rsidR="00D44CF4" w:rsidRPr="00D44CF4" w14:paraId="5C347B50"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695DFFF2" w14:textId="77777777" w:rsidR="00D44CF4" w:rsidRPr="00D44CF4" w:rsidRDefault="00D44CF4" w:rsidP="00D44CF4">
            <w:pPr>
              <w:tabs>
                <w:tab w:val="clear" w:pos="851"/>
              </w:tabs>
              <w:spacing w:before="0" w:after="0" w:line="240" w:lineRule="auto"/>
              <w:jc w:val="left"/>
              <w:rPr>
                <w:rFonts w:ascii="Arial" w:hAnsi="Arial" w:cs="Arial"/>
                <w:b/>
                <w:bCs/>
                <w:color w:val="000000"/>
                <w:sz w:val="16"/>
                <w:szCs w:val="16"/>
                <w:lang w:eastAsia="pt-BR"/>
              </w:rPr>
            </w:pPr>
            <w:r w:rsidRPr="00D44CF4">
              <w:rPr>
                <w:rFonts w:ascii="Arial" w:hAnsi="Arial" w:cs="Arial"/>
                <w:b/>
                <w:bCs/>
                <w:color w:val="000000"/>
                <w:sz w:val="16"/>
                <w:szCs w:val="16"/>
                <w:lang w:eastAsia="pt-BR"/>
              </w:rPr>
              <w:t>RECEITA OPERACIONAL BRUTA</w:t>
            </w:r>
          </w:p>
        </w:tc>
        <w:tc>
          <w:tcPr>
            <w:tcW w:w="554" w:type="pct"/>
            <w:tcBorders>
              <w:top w:val="nil"/>
              <w:left w:val="nil"/>
              <w:bottom w:val="single" w:sz="8" w:space="0" w:color="8EAADB"/>
              <w:right w:val="nil"/>
            </w:tcBorders>
            <w:shd w:val="clear" w:color="auto" w:fill="auto"/>
            <w:noWrap/>
            <w:vAlign w:val="center"/>
            <w:hideMark/>
          </w:tcPr>
          <w:p w14:paraId="5630DFC6"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462.391 </w:t>
            </w:r>
          </w:p>
        </w:tc>
        <w:tc>
          <w:tcPr>
            <w:tcW w:w="783" w:type="pct"/>
            <w:tcBorders>
              <w:top w:val="nil"/>
              <w:left w:val="nil"/>
              <w:bottom w:val="single" w:sz="8" w:space="0" w:color="8EAADB"/>
              <w:right w:val="nil"/>
            </w:tcBorders>
            <w:shd w:val="clear" w:color="auto" w:fill="auto"/>
            <w:noWrap/>
            <w:vAlign w:val="center"/>
            <w:hideMark/>
          </w:tcPr>
          <w:p w14:paraId="2C05883F"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470.052 </w:t>
            </w:r>
          </w:p>
        </w:tc>
        <w:tc>
          <w:tcPr>
            <w:tcW w:w="723" w:type="pct"/>
            <w:tcBorders>
              <w:top w:val="nil"/>
              <w:left w:val="nil"/>
              <w:bottom w:val="single" w:sz="8" w:space="0" w:color="8EAADB"/>
              <w:right w:val="nil"/>
            </w:tcBorders>
            <w:shd w:val="clear" w:color="auto" w:fill="auto"/>
            <w:noWrap/>
            <w:vAlign w:val="center"/>
            <w:hideMark/>
          </w:tcPr>
          <w:p w14:paraId="6B48A024"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403.502 </w:t>
            </w:r>
          </w:p>
        </w:tc>
      </w:tr>
      <w:tr w:rsidR="00D44CF4" w:rsidRPr="00D44CF4" w14:paraId="1AED24D8"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646B9E2D"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Serviços de Comunicação Multimídia</w:t>
            </w:r>
          </w:p>
        </w:tc>
        <w:tc>
          <w:tcPr>
            <w:tcW w:w="554" w:type="pct"/>
            <w:tcBorders>
              <w:top w:val="nil"/>
              <w:left w:val="nil"/>
              <w:bottom w:val="single" w:sz="8" w:space="0" w:color="8EAADB"/>
              <w:right w:val="nil"/>
            </w:tcBorders>
            <w:shd w:val="clear" w:color="auto" w:fill="auto"/>
            <w:noWrap/>
            <w:vAlign w:val="center"/>
            <w:hideMark/>
          </w:tcPr>
          <w:p w14:paraId="0FA016B1"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355.951 </w:t>
            </w:r>
          </w:p>
        </w:tc>
        <w:tc>
          <w:tcPr>
            <w:tcW w:w="783" w:type="pct"/>
            <w:tcBorders>
              <w:top w:val="nil"/>
              <w:left w:val="nil"/>
              <w:bottom w:val="single" w:sz="8" w:space="0" w:color="8EAADB"/>
              <w:right w:val="nil"/>
            </w:tcBorders>
            <w:shd w:val="clear" w:color="auto" w:fill="auto"/>
            <w:noWrap/>
            <w:vAlign w:val="center"/>
            <w:hideMark/>
          </w:tcPr>
          <w:p w14:paraId="0B933ED3"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356.511 </w:t>
            </w:r>
          </w:p>
        </w:tc>
        <w:tc>
          <w:tcPr>
            <w:tcW w:w="723" w:type="pct"/>
            <w:tcBorders>
              <w:top w:val="nil"/>
              <w:left w:val="nil"/>
              <w:bottom w:val="single" w:sz="8" w:space="0" w:color="8EAADB"/>
              <w:right w:val="nil"/>
            </w:tcBorders>
            <w:shd w:val="clear" w:color="auto" w:fill="auto"/>
            <w:noWrap/>
            <w:vAlign w:val="center"/>
            <w:hideMark/>
          </w:tcPr>
          <w:p w14:paraId="2ADDD2CF"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322.614 </w:t>
            </w:r>
          </w:p>
        </w:tc>
      </w:tr>
      <w:tr w:rsidR="00D44CF4" w:rsidRPr="00D44CF4" w14:paraId="0D7BA881"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16AB3D8D"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Locação de Capacidade Satelital</w:t>
            </w:r>
          </w:p>
        </w:tc>
        <w:tc>
          <w:tcPr>
            <w:tcW w:w="554" w:type="pct"/>
            <w:tcBorders>
              <w:top w:val="nil"/>
              <w:left w:val="nil"/>
              <w:bottom w:val="single" w:sz="8" w:space="0" w:color="8EAADB"/>
              <w:right w:val="nil"/>
            </w:tcBorders>
            <w:shd w:val="clear" w:color="auto" w:fill="auto"/>
            <w:noWrap/>
            <w:vAlign w:val="center"/>
            <w:hideMark/>
          </w:tcPr>
          <w:p w14:paraId="4264FDD9"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36.481 </w:t>
            </w:r>
          </w:p>
        </w:tc>
        <w:tc>
          <w:tcPr>
            <w:tcW w:w="783" w:type="pct"/>
            <w:tcBorders>
              <w:top w:val="nil"/>
              <w:left w:val="nil"/>
              <w:bottom w:val="single" w:sz="8" w:space="0" w:color="8EAADB"/>
              <w:right w:val="nil"/>
            </w:tcBorders>
            <w:shd w:val="clear" w:color="auto" w:fill="auto"/>
            <w:noWrap/>
            <w:vAlign w:val="center"/>
            <w:hideMark/>
          </w:tcPr>
          <w:p w14:paraId="376B4D71"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36.481 </w:t>
            </w:r>
          </w:p>
        </w:tc>
        <w:tc>
          <w:tcPr>
            <w:tcW w:w="723" w:type="pct"/>
            <w:tcBorders>
              <w:top w:val="nil"/>
              <w:left w:val="nil"/>
              <w:bottom w:val="single" w:sz="8" w:space="0" w:color="8EAADB"/>
              <w:right w:val="nil"/>
            </w:tcBorders>
            <w:shd w:val="clear" w:color="auto" w:fill="auto"/>
            <w:noWrap/>
            <w:vAlign w:val="center"/>
            <w:hideMark/>
          </w:tcPr>
          <w:p w14:paraId="2A86B933"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36.481 </w:t>
            </w:r>
          </w:p>
        </w:tc>
      </w:tr>
      <w:tr w:rsidR="00D44CF4" w:rsidRPr="00D44CF4" w14:paraId="76950576"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5BFC2192"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Aluguéis e Locações</w:t>
            </w:r>
          </w:p>
        </w:tc>
        <w:tc>
          <w:tcPr>
            <w:tcW w:w="554" w:type="pct"/>
            <w:tcBorders>
              <w:top w:val="nil"/>
              <w:left w:val="nil"/>
              <w:bottom w:val="single" w:sz="8" w:space="0" w:color="8EAADB"/>
              <w:right w:val="nil"/>
            </w:tcBorders>
            <w:shd w:val="clear" w:color="auto" w:fill="auto"/>
            <w:noWrap/>
            <w:vAlign w:val="center"/>
            <w:hideMark/>
          </w:tcPr>
          <w:p w14:paraId="72A0CD88"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26.918 </w:t>
            </w:r>
          </w:p>
        </w:tc>
        <w:tc>
          <w:tcPr>
            <w:tcW w:w="783" w:type="pct"/>
            <w:tcBorders>
              <w:top w:val="nil"/>
              <w:left w:val="nil"/>
              <w:bottom w:val="single" w:sz="8" w:space="0" w:color="8EAADB"/>
              <w:right w:val="nil"/>
            </w:tcBorders>
            <w:shd w:val="clear" w:color="auto" w:fill="auto"/>
            <w:noWrap/>
            <w:vAlign w:val="center"/>
            <w:hideMark/>
          </w:tcPr>
          <w:p w14:paraId="1DF9BF0A"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24.851 </w:t>
            </w:r>
          </w:p>
        </w:tc>
        <w:tc>
          <w:tcPr>
            <w:tcW w:w="723" w:type="pct"/>
            <w:tcBorders>
              <w:top w:val="nil"/>
              <w:left w:val="nil"/>
              <w:bottom w:val="single" w:sz="8" w:space="0" w:color="8EAADB"/>
              <w:right w:val="nil"/>
            </w:tcBorders>
            <w:shd w:val="clear" w:color="auto" w:fill="auto"/>
            <w:noWrap/>
            <w:vAlign w:val="center"/>
            <w:hideMark/>
          </w:tcPr>
          <w:p w14:paraId="11229404"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22.056 </w:t>
            </w:r>
          </w:p>
        </w:tc>
      </w:tr>
      <w:tr w:rsidR="00D44CF4" w:rsidRPr="00D44CF4" w14:paraId="4BBDBCDC"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4DFF7FEB"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Receita de Valor Adicionado</w:t>
            </w:r>
          </w:p>
        </w:tc>
        <w:tc>
          <w:tcPr>
            <w:tcW w:w="554" w:type="pct"/>
            <w:tcBorders>
              <w:top w:val="nil"/>
              <w:left w:val="nil"/>
              <w:bottom w:val="single" w:sz="8" w:space="0" w:color="8EAADB"/>
              <w:right w:val="nil"/>
            </w:tcBorders>
            <w:shd w:val="clear" w:color="auto" w:fill="auto"/>
            <w:noWrap/>
            <w:vAlign w:val="center"/>
            <w:hideMark/>
          </w:tcPr>
          <w:p w14:paraId="5DDB448B"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20.029 </w:t>
            </w:r>
          </w:p>
        </w:tc>
        <w:tc>
          <w:tcPr>
            <w:tcW w:w="783" w:type="pct"/>
            <w:tcBorders>
              <w:top w:val="nil"/>
              <w:left w:val="nil"/>
              <w:bottom w:val="single" w:sz="8" w:space="0" w:color="8EAADB"/>
              <w:right w:val="nil"/>
            </w:tcBorders>
            <w:shd w:val="clear" w:color="auto" w:fill="auto"/>
            <w:noWrap/>
            <w:vAlign w:val="center"/>
            <w:hideMark/>
          </w:tcPr>
          <w:p w14:paraId="3FE17119"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18.073 </w:t>
            </w:r>
          </w:p>
        </w:tc>
        <w:tc>
          <w:tcPr>
            <w:tcW w:w="723" w:type="pct"/>
            <w:tcBorders>
              <w:top w:val="nil"/>
              <w:left w:val="nil"/>
              <w:bottom w:val="single" w:sz="8" w:space="0" w:color="8EAADB"/>
              <w:right w:val="nil"/>
            </w:tcBorders>
            <w:shd w:val="clear" w:color="auto" w:fill="auto"/>
            <w:noWrap/>
            <w:vAlign w:val="center"/>
            <w:hideMark/>
          </w:tcPr>
          <w:p w14:paraId="46BC9570"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      </w:t>
            </w:r>
          </w:p>
        </w:tc>
      </w:tr>
      <w:tr w:rsidR="00D44CF4" w:rsidRPr="00D44CF4" w14:paraId="58D5DA50"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49030F39"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Compartilhamento de Receita</w:t>
            </w:r>
          </w:p>
        </w:tc>
        <w:tc>
          <w:tcPr>
            <w:tcW w:w="554" w:type="pct"/>
            <w:tcBorders>
              <w:top w:val="nil"/>
              <w:left w:val="nil"/>
              <w:bottom w:val="single" w:sz="8" w:space="0" w:color="8EAADB"/>
              <w:right w:val="nil"/>
            </w:tcBorders>
            <w:shd w:val="clear" w:color="auto" w:fill="auto"/>
            <w:noWrap/>
            <w:vAlign w:val="center"/>
            <w:hideMark/>
          </w:tcPr>
          <w:p w14:paraId="156BEC9B"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13.633 </w:t>
            </w:r>
          </w:p>
        </w:tc>
        <w:tc>
          <w:tcPr>
            <w:tcW w:w="783" w:type="pct"/>
            <w:tcBorders>
              <w:top w:val="nil"/>
              <w:left w:val="nil"/>
              <w:bottom w:val="single" w:sz="8" w:space="0" w:color="8EAADB"/>
              <w:right w:val="nil"/>
            </w:tcBorders>
            <w:shd w:val="clear" w:color="auto" w:fill="auto"/>
            <w:noWrap/>
            <w:vAlign w:val="center"/>
            <w:hideMark/>
          </w:tcPr>
          <w:p w14:paraId="6860A330"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19.640 </w:t>
            </w:r>
          </w:p>
        </w:tc>
        <w:tc>
          <w:tcPr>
            <w:tcW w:w="723" w:type="pct"/>
            <w:tcBorders>
              <w:top w:val="nil"/>
              <w:left w:val="nil"/>
              <w:bottom w:val="single" w:sz="8" w:space="0" w:color="8EAADB"/>
              <w:right w:val="nil"/>
            </w:tcBorders>
            <w:shd w:val="clear" w:color="auto" w:fill="auto"/>
            <w:noWrap/>
            <w:vAlign w:val="center"/>
            <w:hideMark/>
          </w:tcPr>
          <w:p w14:paraId="5E61611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15.463 </w:t>
            </w:r>
          </w:p>
        </w:tc>
      </w:tr>
      <w:tr w:rsidR="00D44CF4" w:rsidRPr="00D44CF4" w14:paraId="065FB0AA"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1F2502AF"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Outras Receitas</w:t>
            </w:r>
          </w:p>
        </w:tc>
        <w:tc>
          <w:tcPr>
            <w:tcW w:w="554" w:type="pct"/>
            <w:tcBorders>
              <w:top w:val="nil"/>
              <w:left w:val="nil"/>
              <w:bottom w:val="single" w:sz="8" w:space="0" w:color="8EAADB"/>
              <w:right w:val="nil"/>
            </w:tcBorders>
            <w:shd w:val="clear" w:color="auto" w:fill="auto"/>
            <w:noWrap/>
            <w:vAlign w:val="center"/>
            <w:hideMark/>
          </w:tcPr>
          <w:p w14:paraId="69E4C25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9.379 </w:t>
            </w:r>
          </w:p>
        </w:tc>
        <w:tc>
          <w:tcPr>
            <w:tcW w:w="783" w:type="pct"/>
            <w:tcBorders>
              <w:top w:val="nil"/>
              <w:left w:val="nil"/>
              <w:bottom w:val="single" w:sz="8" w:space="0" w:color="8EAADB"/>
              <w:right w:val="nil"/>
            </w:tcBorders>
            <w:shd w:val="clear" w:color="auto" w:fill="auto"/>
            <w:noWrap/>
            <w:vAlign w:val="center"/>
            <w:hideMark/>
          </w:tcPr>
          <w:p w14:paraId="07FFC053"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14.496 </w:t>
            </w:r>
          </w:p>
        </w:tc>
        <w:tc>
          <w:tcPr>
            <w:tcW w:w="723" w:type="pct"/>
            <w:tcBorders>
              <w:top w:val="nil"/>
              <w:left w:val="nil"/>
              <w:bottom w:val="single" w:sz="8" w:space="0" w:color="8EAADB"/>
              <w:right w:val="nil"/>
            </w:tcBorders>
            <w:shd w:val="clear" w:color="auto" w:fill="auto"/>
            <w:noWrap/>
            <w:vAlign w:val="center"/>
            <w:hideMark/>
          </w:tcPr>
          <w:p w14:paraId="7981DF47"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6.888 </w:t>
            </w:r>
          </w:p>
        </w:tc>
      </w:tr>
      <w:tr w:rsidR="00D44CF4" w:rsidRPr="00D44CF4" w14:paraId="3E668A03"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200925A1" w14:textId="77777777" w:rsidR="00D44CF4" w:rsidRPr="00D44CF4" w:rsidRDefault="00D44CF4" w:rsidP="00D44CF4">
            <w:pPr>
              <w:tabs>
                <w:tab w:val="clear" w:pos="851"/>
              </w:tabs>
              <w:spacing w:before="0" w:after="0" w:line="240" w:lineRule="auto"/>
              <w:jc w:val="lef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DEDUÇÕES DA RECEITA OPERACIONAL BRUTA </w:t>
            </w:r>
          </w:p>
        </w:tc>
        <w:tc>
          <w:tcPr>
            <w:tcW w:w="554" w:type="pct"/>
            <w:tcBorders>
              <w:top w:val="nil"/>
              <w:left w:val="nil"/>
              <w:bottom w:val="single" w:sz="8" w:space="0" w:color="8EAADB"/>
              <w:right w:val="nil"/>
            </w:tcBorders>
            <w:shd w:val="clear" w:color="auto" w:fill="auto"/>
            <w:noWrap/>
            <w:vAlign w:val="center"/>
            <w:hideMark/>
          </w:tcPr>
          <w:p w14:paraId="19F549FD"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(48.076)</w:t>
            </w:r>
          </w:p>
        </w:tc>
        <w:tc>
          <w:tcPr>
            <w:tcW w:w="783" w:type="pct"/>
            <w:tcBorders>
              <w:top w:val="nil"/>
              <w:left w:val="nil"/>
              <w:bottom w:val="single" w:sz="8" w:space="0" w:color="8EAADB"/>
              <w:right w:val="nil"/>
            </w:tcBorders>
            <w:shd w:val="clear" w:color="auto" w:fill="auto"/>
            <w:noWrap/>
            <w:vAlign w:val="center"/>
            <w:hideMark/>
          </w:tcPr>
          <w:p w14:paraId="722420BC"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(53.212)</w:t>
            </w:r>
          </w:p>
        </w:tc>
        <w:tc>
          <w:tcPr>
            <w:tcW w:w="723" w:type="pct"/>
            <w:tcBorders>
              <w:top w:val="nil"/>
              <w:left w:val="nil"/>
              <w:bottom w:val="single" w:sz="8" w:space="0" w:color="8EAADB"/>
              <w:right w:val="nil"/>
            </w:tcBorders>
            <w:shd w:val="clear" w:color="auto" w:fill="auto"/>
            <w:noWrap/>
            <w:vAlign w:val="center"/>
            <w:hideMark/>
          </w:tcPr>
          <w:p w14:paraId="6F08C47B"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(55.662)</w:t>
            </w:r>
          </w:p>
        </w:tc>
      </w:tr>
      <w:tr w:rsidR="00D44CF4" w:rsidRPr="00D44CF4" w14:paraId="59D85B5E"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7EC95B25"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Tributos s/ Receita Operacional Bruta</w:t>
            </w:r>
          </w:p>
        </w:tc>
        <w:tc>
          <w:tcPr>
            <w:tcW w:w="554" w:type="pct"/>
            <w:tcBorders>
              <w:top w:val="nil"/>
              <w:left w:val="nil"/>
              <w:bottom w:val="single" w:sz="8" w:space="0" w:color="8EAADB"/>
              <w:right w:val="nil"/>
            </w:tcBorders>
            <w:shd w:val="clear" w:color="auto" w:fill="auto"/>
            <w:noWrap/>
            <w:vAlign w:val="center"/>
            <w:hideMark/>
          </w:tcPr>
          <w:p w14:paraId="0DBA9447"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(46.892)</w:t>
            </w:r>
          </w:p>
        </w:tc>
        <w:tc>
          <w:tcPr>
            <w:tcW w:w="783" w:type="pct"/>
            <w:tcBorders>
              <w:top w:val="nil"/>
              <w:left w:val="nil"/>
              <w:bottom w:val="single" w:sz="8" w:space="0" w:color="8EAADB"/>
              <w:right w:val="nil"/>
            </w:tcBorders>
            <w:shd w:val="clear" w:color="auto" w:fill="auto"/>
            <w:noWrap/>
            <w:vAlign w:val="center"/>
            <w:hideMark/>
          </w:tcPr>
          <w:p w14:paraId="49D728C1"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(51.456)</w:t>
            </w:r>
          </w:p>
        </w:tc>
        <w:tc>
          <w:tcPr>
            <w:tcW w:w="723" w:type="pct"/>
            <w:tcBorders>
              <w:top w:val="nil"/>
              <w:left w:val="nil"/>
              <w:bottom w:val="single" w:sz="8" w:space="0" w:color="8EAADB"/>
              <w:right w:val="nil"/>
            </w:tcBorders>
            <w:shd w:val="clear" w:color="auto" w:fill="auto"/>
            <w:noWrap/>
            <w:vAlign w:val="center"/>
            <w:hideMark/>
          </w:tcPr>
          <w:p w14:paraId="5E436075"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(55.280)</w:t>
            </w:r>
          </w:p>
        </w:tc>
      </w:tr>
      <w:tr w:rsidR="00D44CF4" w:rsidRPr="00D44CF4" w14:paraId="40854B3A"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5C361072"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Descontos Incondicionais/Outros</w:t>
            </w:r>
          </w:p>
        </w:tc>
        <w:tc>
          <w:tcPr>
            <w:tcW w:w="554" w:type="pct"/>
            <w:tcBorders>
              <w:top w:val="nil"/>
              <w:left w:val="nil"/>
              <w:bottom w:val="single" w:sz="8" w:space="0" w:color="8EAADB"/>
              <w:right w:val="nil"/>
            </w:tcBorders>
            <w:shd w:val="clear" w:color="auto" w:fill="auto"/>
            <w:noWrap/>
            <w:vAlign w:val="center"/>
            <w:hideMark/>
          </w:tcPr>
          <w:p w14:paraId="2121C374"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(1.184)</w:t>
            </w:r>
          </w:p>
        </w:tc>
        <w:tc>
          <w:tcPr>
            <w:tcW w:w="783" w:type="pct"/>
            <w:tcBorders>
              <w:top w:val="nil"/>
              <w:left w:val="nil"/>
              <w:bottom w:val="single" w:sz="8" w:space="0" w:color="8EAADB"/>
              <w:right w:val="nil"/>
            </w:tcBorders>
            <w:shd w:val="clear" w:color="auto" w:fill="auto"/>
            <w:noWrap/>
            <w:vAlign w:val="center"/>
            <w:hideMark/>
          </w:tcPr>
          <w:p w14:paraId="2753EB0B"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(1.756)</w:t>
            </w:r>
          </w:p>
        </w:tc>
        <w:tc>
          <w:tcPr>
            <w:tcW w:w="723" w:type="pct"/>
            <w:tcBorders>
              <w:top w:val="nil"/>
              <w:left w:val="nil"/>
              <w:bottom w:val="single" w:sz="8" w:space="0" w:color="8EAADB"/>
              <w:right w:val="nil"/>
            </w:tcBorders>
            <w:shd w:val="clear" w:color="auto" w:fill="auto"/>
            <w:noWrap/>
            <w:vAlign w:val="center"/>
            <w:hideMark/>
          </w:tcPr>
          <w:p w14:paraId="596CDDC9"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(382)</w:t>
            </w:r>
          </w:p>
        </w:tc>
      </w:tr>
      <w:tr w:rsidR="00D44CF4" w:rsidRPr="00D44CF4" w14:paraId="6E8E28FB"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54A3B66D" w14:textId="77777777" w:rsidR="00D44CF4" w:rsidRPr="00D44CF4" w:rsidRDefault="00D44CF4" w:rsidP="00D44CF4">
            <w:pPr>
              <w:tabs>
                <w:tab w:val="clear" w:pos="851"/>
              </w:tabs>
              <w:spacing w:before="0" w:after="0" w:line="240" w:lineRule="auto"/>
              <w:jc w:val="lef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RECEITA OPERACIONAL LÍQUIDA</w:t>
            </w:r>
          </w:p>
        </w:tc>
        <w:tc>
          <w:tcPr>
            <w:tcW w:w="554" w:type="pct"/>
            <w:tcBorders>
              <w:top w:val="nil"/>
              <w:left w:val="nil"/>
              <w:bottom w:val="single" w:sz="8" w:space="0" w:color="8EAADB"/>
              <w:right w:val="nil"/>
            </w:tcBorders>
            <w:shd w:val="clear" w:color="auto" w:fill="auto"/>
            <w:noWrap/>
            <w:vAlign w:val="center"/>
            <w:hideMark/>
          </w:tcPr>
          <w:p w14:paraId="279A62F1"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414.315 </w:t>
            </w:r>
          </w:p>
        </w:tc>
        <w:tc>
          <w:tcPr>
            <w:tcW w:w="783" w:type="pct"/>
            <w:tcBorders>
              <w:top w:val="nil"/>
              <w:left w:val="nil"/>
              <w:bottom w:val="single" w:sz="8" w:space="0" w:color="8EAADB"/>
              <w:right w:val="nil"/>
            </w:tcBorders>
            <w:shd w:val="clear" w:color="auto" w:fill="auto"/>
            <w:noWrap/>
            <w:vAlign w:val="center"/>
            <w:hideMark/>
          </w:tcPr>
          <w:p w14:paraId="68D28E3E"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416.840 </w:t>
            </w:r>
          </w:p>
        </w:tc>
        <w:tc>
          <w:tcPr>
            <w:tcW w:w="723" w:type="pct"/>
            <w:tcBorders>
              <w:top w:val="nil"/>
              <w:left w:val="nil"/>
              <w:bottom w:val="single" w:sz="8" w:space="0" w:color="8EAADB"/>
              <w:right w:val="nil"/>
            </w:tcBorders>
            <w:shd w:val="clear" w:color="auto" w:fill="auto"/>
            <w:noWrap/>
            <w:vAlign w:val="center"/>
            <w:hideMark/>
          </w:tcPr>
          <w:p w14:paraId="70A7C06E"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347.840 </w:t>
            </w:r>
          </w:p>
        </w:tc>
      </w:tr>
      <w:tr w:rsidR="00D44CF4" w:rsidRPr="00D44CF4" w14:paraId="5D6EBF69"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5EC70A1C" w14:textId="77777777" w:rsidR="00D44CF4" w:rsidRPr="00D44CF4" w:rsidRDefault="00D44CF4" w:rsidP="00D44CF4">
            <w:pPr>
              <w:tabs>
                <w:tab w:val="clear" w:pos="851"/>
              </w:tabs>
              <w:spacing w:before="0" w:after="0" w:line="240" w:lineRule="auto"/>
              <w:jc w:val="lef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RECEITAS/(CUSTOS/DESPESAS) OPERACIONAIS</w:t>
            </w:r>
          </w:p>
        </w:tc>
        <w:tc>
          <w:tcPr>
            <w:tcW w:w="554" w:type="pct"/>
            <w:tcBorders>
              <w:top w:val="nil"/>
              <w:left w:val="nil"/>
              <w:bottom w:val="single" w:sz="8" w:space="0" w:color="8EAADB"/>
              <w:right w:val="nil"/>
            </w:tcBorders>
            <w:shd w:val="clear" w:color="auto" w:fill="auto"/>
            <w:noWrap/>
            <w:vAlign w:val="center"/>
            <w:hideMark/>
          </w:tcPr>
          <w:p w14:paraId="14DBC7CA"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(125.775)</w:t>
            </w:r>
          </w:p>
        </w:tc>
        <w:tc>
          <w:tcPr>
            <w:tcW w:w="783" w:type="pct"/>
            <w:tcBorders>
              <w:top w:val="nil"/>
              <w:left w:val="nil"/>
              <w:bottom w:val="single" w:sz="8" w:space="0" w:color="8EAADB"/>
              <w:right w:val="nil"/>
            </w:tcBorders>
            <w:shd w:val="clear" w:color="auto" w:fill="auto"/>
            <w:noWrap/>
            <w:vAlign w:val="center"/>
            <w:hideMark/>
          </w:tcPr>
          <w:p w14:paraId="4E8C4E46"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(230.707)</w:t>
            </w:r>
          </w:p>
        </w:tc>
        <w:tc>
          <w:tcPr>
            <w:tcW w:w="723" w:type="pct"/>
            <w:tcBorders>
              <w:top w:val="nil"/>
              <w:left w:val="nil"/>
              <w:bottom w:val="single" w:sz="8" w:space="0" w:color="8EAADB"/>
              <w:right w:val="nil"/>
            </w:tcBorders>
            <w:shd w:val="clear" w:color="auto" w:fill="auto"/>
            <w:noWrap/>
            <w:vAlign w:val="center"/>
            <w:hideMark/>
          </w:tcPr>
          <w:p w14:paraId="77A3AE9D"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(174.064)</w:t>
            </w:r>
          </w:p>
        </w:tc>
      </w:tr>
      <w:tr w:rsidR="00D44CF4" w:rsidRPr="00D44CF4" w14:paraId="5C725A8B"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7CB1FB14"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Serviços de Terceiros</w:t>
            </w:r>
          </w:p>
        </w:tc>
        <w:tc>
          <w:tcPr>
            <w:tcW w:w="554" w:type="pct"/>
            <w:tcBorders>
              <w:top w:val="nil"/>
              <w:left w:val="nil"/>
              <w:bottom w:val="single" w:sz="8" w:space="0" w:color="8EAADB"/>
              <w:right w:val="nil"/>
            </w:tcBorders>
            <w:shd w:val="clear" w:color="auto" w:fill="auto"/>
            <w:noWrap/>
            <w:vAlign w:val="center"/>
            <w:hideMark/>
          </w:tcPr>
          <w:p w14:paraId="52FA2999"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(173.875)</w:t>
            </w:r>
          </w:p>
        </w:tc>
        <w:tc>
          <w:tcPr>
            <w:tcW w:w="783" w:type="pct"/>
            <w:tcBorders>
              <w:top w:val="nil"/>
              <w:left w:val="nil"/>
              <w:bottom w:val="single" w:sz="8" w:space="0" w:color="8EAADB"/>
              <w:right w:val="nil"/>
            </w:tcBorders>
            <w:shd w:val="clear" w:color="auto" w:fill="auto"/>
            <w:noWrap/>
            <w:vAlign w:val="center"/>
            <w:hideMark/>
          </w:tcPr>
          <w:p w14:paraId="621AABD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(159.570)</w:t>
            </w:r>
          </w:p>
        </w:tc>
        <w:tc>
          <w:tcPr>
            <w:tcW w:w="723" w:type="pct"/>
            <w:tcBorders>
              <w:top w:val="nil"/>
              <w:left w:val="nil"/>
              <w:bottom w:val="single" w:sz="8" w:space="0" w:color="8EAADB"/>
              <w:right w:val="nil"/>
            </w:tcBorders>
            <w:shd w:val="clear" w:color="auto" w:fill="auto"/>
            <w:noWrap/>
            <w:vAlign w:val="center"/>
            <w:hideMark/>
          </w:tcPr>
          <w:p w14:paraId="343E7DF1"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(109.165)</w:t>
            </w:r>
          </w:p>
        </w:tc>
      </w:tr>
      <w:tr w:rsidR="00D44CF4" w:rsidRPr="00D44CF4" w14:paraId="4AD83EE1"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2A087817"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Meios de Conexão e Transmissão</w:t>
            </w:r>
          </w:p>
        </w:tc>
        <w:tc>
          <w:tcPr>
            <w:tcW w:w="554" w:type="pct"/>
            <w:tcBorders>
              <w:top w:val="nil"/>
              <w:left w:val="nil"/>
              <w:bottom w:val="single" w:sz="8" w:space="0" w:color="8EAADB"/>
              <w:right w:val="nil"/>
            </w:tcBorders>
            <w:shd w:val="clear" w:color="auto" w:fill="auto"/>
            <w:noWrap/>
            <w:vAlign w:val="center"/>
            <w:hideMark/>
          </w:tcPr>
          <w:p w14:paraId="21F3CBEB"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(135.121)</w:t>
            </w:r>
          </w:p>
        </w:tc>
        <w:tc>
          <w:tcPr>
            <w:tcW w:w="783" w:type="pct"/>
            <w:tcBorders>
              <w:top w:val="nil"/>
              <w:left w:val="nil"/>
              <w:bottom w:val="single" w:sz="8" w:space="0" w:color="8EAADB"/>
              <w:right w:val="nil"/>
            </w:tcBorders>
            <w:shd w:val="clear" w:color="auto" w:fill="auto"/>
            <w:noWrap/>
            <w:vAlign w:val="center"/>
            <w:hideMark/>
          </w:tcPr>
          <w:p w14:paraId="20E2CDBD"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(136.851)</w:t>
            </w:r>
          </w:p>
        </w:tc>
        <w:tc>
          <w:tcPr>
            <w:tcW w:w="723" w:type="pct"/>
            <w:tcBorders>
              <w:top w:val="nil"/>
              <w:left w:val="nil"/>
              <w:bottom w:val="single" w:sz="8" w:space="0" w:color="8EAADB"/>
              <w:right w:val="nil"/>
            </w:tcBorders>
            <w:shd w:val="clear" w:color="auto" w:fill="auto"/>
            <w:noWrap/>
            <w:vAlign w:val="center"/>
            <w:hideMark/>
          </w:tcPr>
          <w:p w14:paraId="37FB9D8F"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(127.727)</w:t>
            </w:r>
          </w:p>
        </w:tc>
      </w:tr>
      <w:tr w:rsidR="00D44CF4" w:rsidRPr="00D44CF4" w14:paraId="1EC6A160"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64F125F6"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Pessoal </w:t>
            </w:r>
          </w:p>
        </w:tc>
        <w:tc>
          <w:tcPr>
            <w:tcW w:w="554" w:type="pct"/>
            <w:tcBorders>
              <w:top w:val="nil"/>
              <w:left w:val="nil"/>
              <w:bottom w:val="single" w:sz="8" w:space="0" w:color="8EAADB"/>
              <w:right w:val="nil"/>
            </w:tcBorders>
            <w:shd w:val="clear" w:color="auto" w:fill="auto"/>
            <w:noWrap/>
            <w:vAlign w:val="center"/>
            <w:hideMark/>
          </w:tcPr>
          <w:p w14:paraId="124A419C"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(111.058)</w:t>
            </w:r>
          </w:p>
        </w:tc>
        <w:tc>
          <w:tcPr>
            <w:tcW w:w="783" w:type="pct"/>
            <w:tcBorders>
              <w:top w:val="nil"/>
              <w:left w:val="nil"/>
              <w:bottom w:val="single" w:sz="8" w:space="0" w:color="8EAADB"/>
              <w:right w:val="nil"/>
            </w:tcBorders>
            <w:shd w:val="clear" w:color="auto" w:fill="auto"/>
            <w:noWrap/>
            <w:vAlign w:val="center"/>
            <w:hideMark/>
          </w:tcPr>
          <w:p w14:paraId="45C3BF16"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(106.908)</w:t>
            </w:r>
          </w:p>
        </w:tc>
        <w:tc>
          <w:tcPr>
            <w:tcW w:w="723" w:type="pct"/>
            <w:tcBorders>
              <w:top w:val="nil"/>
              <w:left w:val="nil"/>
              <w:bottom w:val="single" w:sz="8" w:space="0" w:color="8EAADB"/>
              <w:right w:val="nil"/>
            </w:tcBorders>
            <w:shd w:val="clear" w:color="auto" w:fill="auto"/>
            <w:noWrap/>
            <w:vAlign w:val="center"/>
            <w:hideMark/>
          </w:tcPr>
          <w:p w14:paraId="0186786D"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(97.129)</w:t>
            </w:r>
          </w:p>
        </w:tc>
      </w:tr>
      <w:tr w:rsidR="00D44CF4" w:rsidRPr="00D44CF4" w14:paraId="1A715F4B"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4529A70F"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Aluguéis, Locações e Seguros</w:t>
            </w:r>
          </w:p>
        </w:tc>
        <w:tc>
          <w:tcPr>
            <w:tcW w:w="554" w:type="pct"/>
            <w:tcBorders>
              <w:top w:val="nil"/>
              <w:left w:val="nil"/>
              <w:bottom w:val="single" w:sz="8" w:space="0" w:color="8EAADB"/>
              <w:right w:val="nil"/>
            </w:tcBorders>
            <w:shd w:val="clear" w:color="auto" w:fill="auto"/>
            <w:noWrap/>
            <w:vAlign w:val="center"/>
            <w:hideMark/>
          </w:tcPr>
          <w:p w14:paraId="69FABEDB"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(50.467)</w:t>
            </w:r>
          </w:p>
        </w:tc>
        <w:tc>
          <w:tcPr>
            <w:tcW w:w="783" w:type="pct"/>
            <w:tcBorders>
              <w:top w:val="nil"/>
              <w:left w:val="nil"/>
              <w:bottom w:val="single" w:sz="8" w:space="0" w:color="8EAADB"/>
              <w:right w:val="nil"/>
            </w:tcBorders>
            <w:shd w:val="clear" w:color="auto" w:fill="auto"/>
            <w:noWrap/>
            <w:vAlign w:val="center"/>
            <w:hideMark/>
          </w:tcPr>
          <w:p w14:paraId="5378B5F8"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(50.936)</w:t>
            </w:r>
          </w:p>
        </w:tc>
        <w:tc>
          <w:tcPr>
            <w:tcW w:w="723" w:type="pct"/>
            <w:tcBorders>
              <w:top w:val="nil"/>
              <w:left w:val="nil"/>
              <w:bottom w:val="single" w:sz="8" w:space="0" w:color="8EAADB"/>
              <w:right w:val="nil"/>
            </w:tcBorders>
            <w:shd w:val="clear" w:color="auto" w:fill="auto"/>
            <w:noWrap/>
            <w:vAlign w:val="center"/>
            <w:hideMark/>
          </w:tcPr>
          <w:p w14:paraId="58E9BFD6"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(48.463)</w:t>
            </w:r>
          </w:p>
        </w:tc>
      </w:tr>
      <w:tr w:rsidR="00D44CF4" w:rsidRPr="00D44CF4" w14:paraId="5D516915"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0A617EF7"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Tributos</w:t>
            </w:r>
          </w:p>
        </w:tc>
        <w:tc>
          <w:tcPr>
            <w:tcW w:w="554" w:type="pct"/>
            <w:tcBorders>
              <w:top w:val="nil"/>
              <w:left w:val="nil"/>
              <w:bottom w:val="single" w:sz="8" w:space="0" w:color="8EAADB"/>
              <w:right w:val="nil"/>
            </w:tcBorders>
            <w:shd w:val="clear" w:color="auto" w:fill="auto"/>
            <w:noWrap/>
            <w:vAlign w:val="center"/>
            <w:hideMark/>
          </w:tcPr>
          <w:p w14:paraId="59507E7B"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(5.372)</w:t>
            </w:r>
          </w:p>
        </w:tc>
        <w:tc>
          <w:tcPr>
            <w:tcW w:w="783" w:type="pct"/>
            <w:tcBorders>
              <w:top w:val="nil"/>
              <w:left w:val="nil"/>
              <w:bottom w:val="single" w:sz="8" w:space="0" w:color="8EAADB"/>
              <w:right w:val="nil"/>
            </w:tcBorders>
            <w:shd w:val="clear" w:color="auto" w:fill="auto"/>
            <w:noWrap/>
            <w:vAlign w:val="center"/>
            <w:hideMark/>
          </w:tcPr>
          <w:p w14:paraId="001109BB"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(5.296)</w:t>
            </w:r>
          </w:p>
        </w:tc>
        <w:tc>
          <w:tcPr>
            <w:tcW w:w="723" w:type="pct"/>
            <w:tcBorders>
              <w:top w:val="nil"/>
              <w:left w:val="nil"/>
              <w:bottom w:val="single" w:sz="8" w:space="0" w:color="8EAADB"/>
              <w:right w:val="nil"/>
            </w:tcBorders>
            <w:shd w:val="clear" w:color="auto" w:fill="auto"/>
            <w:noWrap/>
            <w:vAlign w:val="center"/>
            <w:hideMark/>
          </w:tcPr>
          <w:p w14:paraId="28AF04A1"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(4.791)</w:t>
            </w:r>
          </w:p>
        </w:tc>
      </w:tr>
      <w:tr w:rsidR="00D44CF4" w:rsidRPr="00D44CF4" w14:paraId="4A3F9A7A"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173934E1"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Compartilhamento de Instalações</w:t>
            </w:r>
          </w:p>
        </w:tc>
        <w:tc>
          <w:tcPr>
            <w:tcW w:w="554" w:type="pct"/>
            <w:tcBorders>
              <w:top w:val="nil"/>
              <w:left w:val="nil"/>
              <w:bottom w:val="single" w:sz="8" w:space="0" w:color="8EAADB"/>
              <w:right w:val="nil"/>
            </w:tcBorders>
            <w:shd w:val="clear" w:color="auto" w:fill="auto"/>
            <w:noWrap/>
            <w:vAlign w:val="center"/>
            <w:hideMark/>
          </w:tcPr>
          <w:p w14:paraId="08AE64F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(3.803)</w:t>
            </w:r>
          </w:p>
        </w:tc>
        <w:tc>
          <w:tcPr>
            <w:tcW w:w="783" w:type="pct"/>
            <w:tcBorders>
              <w:top w:val="nil"/>
              <w:left w:val="nil"/>
              <w:bottom w:val="single" w:sz="8" w:space="0" w:color="8EAADB"/>
              <w:right w:val="nil"/>
            </w:tcBorders>
            <w:shd w:val="clear" w:color="auto" w:fill="auto"/>
            <w:noWrap/>
            <w:vAlign w:val="center"/>
            <w:hideMark/>
          </w:tcPr>
          <w:p w14:paraId="25635D26"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(5.379)</w:t>
            </w:r>
          </w:p>
        </w:tc>
        <w:tc>
          <w:tcPr>
            <w:tcW w:w="723" w:type="pct"/>
            <w:tcBorders>
              <w:top w:val="nil"/>
              <w:left w:val="nil"/>
              <w:bottom w:val="single" w:sz="8" w:space="0" w:color="8EAADB"/>
              <w:right w:val="nil"/>
            </w:tcBorders>
            <w:shd w:val="clear" w:color="auto" w:fill="auto"/>
            <w:noWrap/>
            <w:vAlign w:val="center"/>
            <w:hideMark/>
          </w:tcPr>
          <w:p w14:paraId="6FF94E59"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(4.345)</w:t>
            </w:r>
          </w:p>
        </w:tc>
      </w:tr>
      <w:tr w:rsidR="00D44CF4" w:rsidRPr="00D44CF4" w14:paraId="501DFE1F"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051614C3"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Perda Estimada com Crédito de Liquidação Duvidosa</w:t>
            </w:r>
          </w:p>
        </w:tc>
        <w:tc>
          <w:tcPr>
            <w:tcW w:w="554" w:type="pct"/>
            <w:tcBorders>
              <w:top w:val="nil"/>
              <w:left w:val="nil"/>
              <w:bottom w:val="single" w:sz="8" w:space="0" w:color="8EAADB"/>
              <w:right w:val="nil"/>
            </w:tcBorders>
            <w:shd w:val="clear" w:color="auto" w:fill="auto"/>
            <w:noWrap/>
            <w:vAlign w:val="center"/>
            <w:hideMark/>
          </w:tcPr>
          <w:p w14:paraId="3B273988"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(2.752)</w:t>
            </w:r>
          </w:p>
        </w:tc>
        <w:tc>
          <w:tcPr>
            <w:tcW w:w="783" w:type="pct"/>
            <w:tcBorders>
              <w:top w:val="nil"/>
              <w:left w:val="nil"/>
              <w:bottom w:val="single" w:sz="8" w:space="0" w:color="8EAADB"/>
              <w:right w:val="nil"/>
            </w:tcBorders>
            <w:shd w:val="clear" w:color="auto" w:fill="auto"/>
            <w:noWrap/>
            <w:vAlign w:val="center"/>
            <w:hideMark/>
          </w:tcPr>
          <w:p w14:paraId="6AD6F530"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(1.314)</w:t>
            </w:r>
          </w:p>
        </w:tc>
        <w:tc>
          <w:tcPr>
            <w:tcW w:w="723" w:type="pct"/>
            <w:tcBorders>
              <w:top w:val="nil"/>
              <w:left w:val="nil"/>
              <w:bottom w:val="single" w:sz="8" w:space="0" w:color="8EAADB"/>
              <w:right w:val="nil"/>
            </w:tcBorders>
            <w:shd w:val="clear" w:color="auto" w:fill="auto"/>
            <w:noWrap/>
            <w:vAlign w:val="center"/>
            <w:hideMark/>
          </w:tcPr>
          <w:p w14:paraId="53892A06"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1.042 </w:t>
            </w:r>
          </w:p>
        </w:tc>
      </w:tr>
      <w:tr w:rsidR="00D44CF4" w:rsidRPr="00D44CF4" w14:paraId="023FE881"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29AAD237"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Equivalência Patrimonial</w:t>
            </w:r>
          </w:p>
        </w:tc>
        <w:tc>
          <w:tcPr>
            <w:tcW w:w="554" w:type="pct"/>
            <w:tcBorders>
              <w:top w:val="nil"/>
              <w:left w:val="nil"/>
              <w:bottom w:val="single" w:sz="8" w:space="0" w:color="8EAADB"/>
              <w:right w:val="nil"/>
            </w:tcBorders>
            <w:shd w:val="clear" w:color="auto" w:fill="auto"/>
            <w:noWrap/>
            <w:vAlign w:val="center"/>
            <w:hideMark/>
          </w:tcPr>
          <w:p w14:paraId="194F517D"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(1.013)</w:t>
            </w:r>
          </w:p>
        </w:tc>
        <w:tc>
          <w:tcPr>
            <w:tcW w:w="783" w:type="pct"/>
            <w:tcBorders>
              <w:top w:val="nil"/>
              <w:left w:val="nil"/>
              <w:bottom w:val="single" w:sz="8" w:space="0" w:color="8EAADB"/>
              <w:right w:val="nil"/>
            </w:tcBorders>
            <w:shd w:val="clear" w:color="auto" w:fill="auto"/>
            <w:noWrap/>
            <w:vAlign w:val="center"/>
            <w:hideMark/>
          </w:tcPr>
          <w:p w14:paraId="12F5E328"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(2.254)</w:t>
            </w:r>
          </w:p>
        </w:tc>
        <w:tc>
          <w:tcPr>
            <w:tcW w:w="723" w:type="pct"/>
            <w:tcBorders>
              <w:top w:val="nil"/>
              <w:left w:val="nil"/>
              <w:bottom w:val="single" w:sz="8" w:space="0" w:color="8EAADB"/>
              <w:right w:val="nil"/>
            </w:tcBorders>
            <w:shd w:val="clear" w:color="auto" w:fill="auto"/>
            <w:noWrap/>
            <w:vAlign w:val="center"/>
            <w:hideMark/>
          </w:tcPr>
          <w:p w14:paraId="7E183897"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(6.500)</w:t>
            </w:r>
          </w:p>
        </w:tc>
      </w:tr>
      <w:tr w:rsidR="00D44CF4" w:rsidRPr="00D44CF4" w14:paraId="501974BD"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68C742DA"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Material </w:t>
            </w:r>
          </w:p>
        </w:tc>
        <w:tc>
          <w:tcPr>
            <w:tcW w:w="554" w:type="pct"/>
            <w:tcBorders>
              <w:top w:val="nil"/>
              <w:left w:val="nil"/>
              <w:bottom w:val="single" w:sz="8" w:space="0" w:color="8EAADB"/>
              <w:right w:val="nil"/>
            </w:tcBorders>
            <w:shd w:val="clear" w:color="auto" w:fill="auto"/>
            <w:noWrap/>
            <w:vAlign w:val="center"/>
            <w:hideMark/>
          </w:tcPr>
          <w:p w14:paraId="3F5C828F"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(809)</w:t>
            </w:r>
          </w:p>
        </w:tc>
        <w:tc>
          <w:tcPr>
            <w:tcW w:w="783" w:type="pct"/>
            <w:tcBorders>
              <w:top w:val="nil"/>
              <w:left w:val="nil"/>
              <w:bottom w:val="single" w:sz="8" w:space="0" w:color="8EAADB"/>
              <w:right w:val="nil"/>
            </w:tcBorders>
            <w:shd w:val="clear" w:color="auto" w:fill="auto"/>
            <w:noWrap/>
            <w:vAlign w:val="center"/>
            <w:hideMark/>
          </w:tcPr>
          <w:p w14:paraId="5B097EDD"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(2.181)</w:t>
            </w:r>
          </w:p>
        </w:tc>
        <w:tc>
          <w:tcPr>
            <w:tcW w:w="723" w:type="pct"/>
            <w:tcBorders>
              <w:top w:val="nil"/>
              <w:left w:val="nil"/>
              <w:bottom w:val="single" w:sz="8" w:space="0" w:color="8EAADB"/>
              <w:right w:val="nil"/>
            </w:tcBorders>
            <w:shd w:val="clear" w:color="auto" w:fill="auto"/>
            <w:noWrap/>
            <w:vAlign w:val="center"/>
            <w:hideMark/>
          </w:tcPr>
          <w:p w14:paraId="1654D91A"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(2.018)</w:t>
            </w:r>
          </w:p>
        </w:tc>
      </w:tr>
      <w:tr w:rsidR="00D44CF4" w:rsidRPr="00D44CF4" w14:paraId="1061D0FA"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7BA05CA2"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Programa de Indenização por Serviços Prestados (PISP)</w:t>
            </w:r>
          </w:p>
        </w:tc>
        <w:tc>
          <w:tcPr>
            <w:tcW w:w="554" w:type="pct"/>
            <w:tcBorders>
              <w:top w:val="nil"/>
              <w:left w:val="nil"/>
              <w:bottom w:val="single" w:sz="8" w:space="0" w:color="8EAADB"/>
              <w:right w:val="nil"/>
            </w:tcBorders>
            <w:shd w:val="clear" w:color="auto" w:fill="auto"/>
            <w:noWrap/>
            <w:vAlign w:val="center"/>
            <w:hideMark/>
          </w:tcPr>
          <w:p w14:paraId="520EBB38"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(411)</w:t>
            </w:r>
          </w:p>
        </w:tc>
        <w:tc>
          <w:tcPr>
            <w:tcW w:w="783" w:type="pct"/>
            <w:tcBorders>
              <w:top w:val="nil"/>
              <w:left w:val="nil"/>
              <w:bottom w:val="single" w:sz="8" w:space="0" w:color="8EAADB"/>
              <w:right w:val="nil"/>
            </w:tcBorders>
            <w:shd w:val="clear" w:color="auto" w:fill="auto"/>
            <w:noWrap/>
            <w:vAlign w:val="center"/>
            <w:hideMark/>
          </w:tcPr>
          <w:p w14:paraId="1A3143AA"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(1.231)</w:t>
            </w:r>
          </w:p>
        </w:tc>
        <w:tc>
          <w:tcPr>
            <w:tcW w:w="723" w:type="pct"/>
            <w:tcBorders>
              <w:top w:val="nil"/>
              <w:left w:val="nil"/>
              <w:bottom w:val="single" w:sz="8" w:space="0" w:color="8EAADB"/>
              <w:right w:val="nil"/>
            </w:tcBorders>
            <w:shd w:val="clear" w:color="auto" w:fill="auto"/>
            <w:noWrap/>
            <w:vAlign w:val="center"/>
            <w:hideMark/>
          </w:tcPr>
          <w:p w14:paraId="6EFD8EF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(1.361)</w:t>
            </w:r>
          </w:p>
        </w:tc>
      </w:tr>
      <w:tr w:rsidR="00D44CF4" w:rsidRPr="00D44CF4" w14:paraId="4869DF90"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139AD26D"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Outras Despesas Operacionais</w:t>
            </w:r>
          </w:p>
        </w:tc>
        <w:tc>
          <w:tcPr>
            <w:tcW w:w="554" w:type="pct"/>
            <w:tcBorders>
              <w:top w:val="nil"/>
              <w:left w:val="nil"/>
              <w:bottom w:val="single" w:sz="8" w:space="0" w:color="8EAADB"/>
              <w:right w:val="nil"/>
            </w:tcBorders>
            <w:shd w:val="clear" w:color="auto" w:fill="auto"/>
            <w:noWrap/>
            <w:vAlign w:val="center"/>
            <w:hideMark/>
          </w:tcPr>
          <w:p w14:paraId="35875DA4"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(14.792)</w:t>
            </w:r>
          </w:p>
        </w:tc>
        <w:tc>
          <w:tcPr>
            <w:tcW w:w="783" w:type="pct"/>
            <w:tcBorders>
              <w:top w:val="nil"/>
              <w:left w:val="nil"/>
              <w:bottom w:val="single" w:sz="8" w:space="0" w:color="8EAADB"/>
              <w:right w:val="nil"/>
            </w:tcBorders>
            <w:shd w:val="clear" w:color="auto" w:fill="auto"/>
            <w:noWrap/>
            <w:vAlign w:val="center"/>
            <w:hideMark/>
          </w:tcPr>
          <w:p w14:paraId="25201F57"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(55.659)</w:t>
            </w:r>
          </w:p>
        </w:tc>
        <w:tc>
          <w:tcPr>
            <w:tcW w:w="723" w:type="pct"/>
            <w:tcBorders>
              <w:top w:val="nil"/>
              <w:left w:val="nil"/>
              <w:bottom w:val="single" w:sz="8" w:space="0" w:color="8EAADB"/>
              <w:right w:val="nil"/>
            </w:tcBorders>
            <w:shd w:val="clear" w:color="auto" w:fill="auto"/>
            <w:noWrap/>
            <w:vAlign w:val="center"/>
            <w:hideMark/>
          </w:tcPr>
          <w:p w14:paraId="5C5F2060"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(29.062)</w:t>
            </w:r>
          </w:p>
        </w:tc>
      </w:tr>
      <w:tr w:rsidR="00D44CF4" w:rsidRPr="00D44CF4" w14:paraId="60095CAF"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20B2653D"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Outras Receitas Operacionais</w:t>
            </w:r>
          </w:p>
        </w:tc>
        <w:tc>
          <w:tcPr>
            <w:tcW w:w="554" w:type="pct"/>
            <w:tcBorders>
              <w:top w:val="nil"/>
              <w:left w:val="nil"/>
              <w:bottom w:val="single" w:sz="8" w:space="0" w:color="8EAADB"/>
              <w:right w:val="nil"/>
            </w:tcBorders>
            <w:shd w:val="clear" w:color="auto" w:fill="auto"/>
            <w:noWrap/>
            <w:vAlign w:val="center"/>
            <w:hideMark/>
          </w:tcPr>
          <w:p w14:paraId="76E2AB66"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373.698 </w:t>
            </w:r>
          </w:p>
        </w:tc>
        <w:tc>
          <w:tcPr>
            <w:tcW w:w="783" w:type="pct"/>
            <w:tcBorders>
              <w:top w:val="nil"/>
              <w:left w:val="nil"/>
              <w:bottom w:val="single" w:sz="8" w:space="0" w:color="8EAADB"/>
              <w:right w:val="nil"/>
            </w:tcBorders>
            <w:shd w:val="clear" w:color="auto" w:fill="auto"/>
            <w:noWrap/>
            <w:vAlign w:val="center"/>
            <w:hideMark/>
          </w:tcPr>
          <w:p w14:paraId="70D66AE0"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296.872 </w:t>
            </w:r>
          </w:p>
        </w:tc>
        <w:tc>
          <w:tcPr>
            <w:tcW w:w="723" w:type="pct"/>
            <w:tcBorders>
              <w:top w:val="nil"/>
              <w:left w:val="nil"/>
              <w:bottom w:val="single" w:sz="8" w:space="0" w:color="8EAADB"/>
              <w:right w:val="nil"/>
            </w:tcBorders>
            <w:shd w:val="clear" w:color="auto" w:fill="auto"/>
            <w:noWrap/>
            <w:vAlign w:val="center"/>
            <w:hideMark/>
          </w:tcPr>
          <w:p w14:paraId="6CCF1945"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255.455 </w:t>
            </w:r>
          </w:p>
        </w:tc>
      </w:tr>
      <w:tr w:rsidR="00D44CF4" w:rsidRPr="00D44CF4" w14:paraId="010857B8"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62357FB6" w14:textId="77777777" w:rsidR="00D44CF4" w:rsidRPr="00D44CF4" w:rsidRDefault="00D44CF4" w:rsidP="00D44CF4">
            <w:pPr>
              <w:tabs>
                <w:tab w:val="clear" w:pos="851"/>
              </w:tabs>
              <w:spacing w:before="0" w:after="0" w:line="240" w:lineRule="auto"/>
              <w:jc w:val="lef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EBITDA</w:t>
            </w:r>
          </w:p>
        </w:tc>
        <w:tc>
          <w:tcPr>
            <w:tcW w:w="554" w:type="pct"/>
            <w:tcBorders>
              <w:top w:val="nil"/>
              <w:left w:val="nil"/>
              <w:bottom w:val="single" w:sz="8" w:space="0" w:color="8EAADB"/>
              <w:right w:val="nil"/>
            </w:tcBorders>
            <w:shd w:val="clear" w:color="auto" w:fill="auto"/>
            <w:noWrap/>
            <w:vAlign w:val="center"/>
            <w:hideMark/>
          </w:tcPr>
          <w:p w14:paraId="397156AA"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288.540 </w:t>
            </w:r>
          </w:p>
        </w:tc>
        <w:tc>
          <w:tcPr>
            <w:tcW w:w="783" w:type="pct"/>
            <w:tcBorders>
              <w:top w:val="nil"/>
              <w:left w:val="nil"/>
              <w:bottom w:val="single" w:sz="8" w:space="0" w:color="8EAADB"/>
              <w:right w:val="nil"/>
            </w:tcBorders>
            <w:shd w:val="clear" w:color="auto" w:fill="auto"/>
            <w:noWrap/>
            <w:vAlign w:val="center"/>
            <w:hideMark/>
          </w:tcPr>
          <w:p w14:paraId="4C1680AA"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186.133 </w:t>
            </w:r>
          </w:p>
        </w:tc>
        <w:tc>
          <w:tcPr>
            <w:tcW w:w="723" w:type="pct"/>
            <w:tcBorders>
              <w:top w:val="nil"/>
              <w:left w:val="nil"/>
              <w:bottom w:val="single" w:sz="8" w:space="0" w:color="8EAADB"/>
              <w:right w:val="nil"/>
            </w:tcBorders>
            <w:shd w:val="clear" w:color="auto" w:fill="auto"/>
            <w:noWrap/>
            <w:vAlign w:val="center"/>
            <w:hideMark/>
          </w:tcPr>
          <w:p w14:paraId="1652C97C"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173.776 </w:t>
            </w:r>
          </w:p>
        </w:tc>
      </w:tr>
      <w:tr w:rsidR="00D44CF4" w:rsidRPr="00D44CF4" w14:paraId="0076F69C"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3819CDC4" w14:textId="77777777" w:rsidR="00D44CF4" w:rsidRPr="00D44CF4" w:rsidRDefault="00D44CF4" w:rsidP="00D44CF4">
            <w:pPr>
              <w:tabs>
                <w:tab w:val="clear" w:pos="851"/>
              </w:tabs>
              <w:spacing w:before="0" w:after="0" w:line="240" w:lineRule="auto"/>
              <w:jc w:val="left"/>
              <w:rPr>
                <w:rFonts w:ascii="Arial" w:hAnsi="Arial" w:cs="Arial"/>
                <w:b/>
                <w:bCs/>
                <w:i/>
                <w:iCs/>
                <w:color w:val="000000"/>
                <w:sz w:val="16"/>
                <w:szCs w:val="16"/>
                <w:lang w:eastAsia="pt-BR"/>
              </w:rPr>
            </w:pPr>
            <w:r w:rsidRPr="00D44CF4">
              <w:rPr>
                <w:rFonts w:ascii="Arial" w:hAnsi="Arial" w:cs="Arial"/>
                <w:b/>
                <w:bCs/>
                <w:i/>
                <w:iCs/>
                <w:color w:val="000000"/>
                <w:sz w:val="16"/>
                <w:szCs w:val="16"/>
                <w:lang w:eastAsia="pt-BR"/>
              </w:rPr>
              <w:t xml:space="preserve">    Margem EBITDA</w:t>
            </w:r>
          </w:p>
        </w:tc>
        <w:tc>
          <w:tcPr>
            <w:tcW w:w="554" w:type="pct"/>
            <w:tcBorders>
              <w:top w:val="nil"/>
              <w:left w:val="nil"/>
              <w:bottom w:val="single" w:sz="8" w:space="0" w:color="8EAADB"/>
              <w:right w:val="nil"/>
            </w:tcBorders>
            <w:shd w:val="clear" w:color="auto" w:fill="auto"/>
            <w:noWrap/>
            <w:vAlign w:val="center"/>
            <w:hideMark/>
          </w:tcPr>
          <w:p w14:paraId="50F79A37" w14:textId="77777777" w:rsidR="00D44CF4" w:rsidRPr="00D44CF4" w:rsidRDefault="00D44CF4" w:rsidP="00D44CF4">
            <w:pPr>
              <w:tabs>
                <w:tab w:val="clear" w:pos="851"/>
              </w:tabs>
              <w:spacing w:before="0" w:after="0" w:line="240" w:lineRule="auto"/>
              <w:jc w:val="right"/>
              <w:rPr>
                <w:rFonts w:ascii="Arial" w:hAnsi="Arial" w:cs="Arial"/>
                <w:b/>
                <w:bCs/>
                <w:i/>
                <w:iCs/>
                <w:color w:val="000000"/>
                <w:sz w:val="16"/>
                <w:szCs w:val="16"/>
                <w:lang w:eastAsia="pt-BR"/>
              </w:rPr>
            </w:pPr>
            <w:r w:rsidRPr="00D44CF4">
              <w:rPr>
                <w:rFonts w:ascii="Arial" w:hAnsi="Arial" w:cs="Arial"/>
                <w:b/>
                <w:bCs/>
                <w:i/>
                <w:iCs/>
                <w:color w:val="000000"/>
                <w:sz w:val="16"/>
                <w:szCs w:val="16"/>
                <w:lang w:eastAsia="pt-BR"/>
              </w:rPr>
              <w:t>69,64%</w:t>
            </w:r>
          </w:p>
        </w:tc>
        <w:tc>
          <w:tcPr>
            <w:tcW w:w="783" w:type="pct"/>
            <w:tcBorders>
              <w:top w:val="nil"/>
              <w:left w:val="nil"/>
              <w:bottom w:val="single" w:sz="8" w:space="0" w:color="8EAADB"/>
              <w:right w:val="nil"/>
            </w:tcBorders>
            <w:shd w:val="clear" w:color="auto" w:fill="auto"/>
            <w:noWrap/>
            <w:vAlign w:val="center"/>
            <w:hideMark/>
          </w:tcPr>
          <w:p w14:paraId="45E41642" w14:textId="77777777" w:rsidR="00D44CF4" w:rsidRPr="00D44CF4" w:rsidRDefault="00D44CF4" w:rsidP="00D44CF4">
            <w:pPr>
              <w:tabs>
                <w:tab w:val="clear" w:pos="851"/>
              </w:tabs>
              <w:spacing w:before="0" w:after="0" w:line="240" w:lineRule="auto"/>
              <w:jc w:val="right"/>
              <w:rPr>
                <w:rFonts w:ascii="Arial" w:hAnsi="Arial" w:cs="Arial"/>
                <w:b/>
                <w:bCs/>
                <w:i/>
                <w:iCs/>
                <w:color w:val="000000"/>
                <w:sz w:val="16"/>
                <w:szCs w:val="16"/>
                <w:lang w:eastAsia="pt-BR"/>
              </w:rPr>
            </w:pPr>
            <w:r w:rsidRPr="00D44CF4">
              <w:rPr>
                <w:rFonts w:ascii="Arial" w:hAnsi="Arial" w:cs="Arial"/>
                <w:b/>
                <w:bCs/>
                <w:i/>
                <w:iCs/>
                <w:color w:val="000000"/>
                <w:sz w:val="16"/>
                <w:szCs w:val="16"/>
                <w:lang w:eastAsia="pt-BR"/>
              </w:rPr>
              <w:t>44,65%</w:t>
            </w:r>
          </w:p>
        </w:tc>
        <w:tc>
          <w:tcPr>
            <w:tcW w:w="723" w:type="pct"/>
            <w:tcBorders>
              <w:top w:val="nil"/>
              <w:left w:val="nil"/>
              <w:bottom w:val="single" w:sz="8" w:space="0" w:color="8EAADB"/>
              <w:right w:val="nil"/>
            </w:tcBorders>
            <w:shd w:val="clear" w:color="auto" w:fill="auto"/>
            <w:noWrap/>
            <w:vAlign w:val="center"/>
            <w:hideMark/>
          </w:tcPr>
          <w:p w14:paraId="5A36B97E" w14:textId="77777777" w:rsidR="00D44CF4" w:rsidRPr="00D44CF4" w:rsidRDefault="00D44CF4" w:rsidP="00D44CF4">
            <w:pPr>
              <w:tabs>
                <w:tab w:val="clear" w:pos="851"/>
              </w:tabs>
              <w:spacing w:before="0" w:after="0" w:line="240" w:lineRule="auto"/>
              <w:jc w:val="right"/>
              <w:rPr>
                <w:rFonts w:ascii="Arial" w:hAnsi="Arial" w:cs="Arial"/>
                <w:b/>
                <w:bCs/>
                <w:i/>
                <w:iCs/>
                <w:color w:val="000000"/>
                <w:sz w:val="16"/>
                <w:szCs w:val="16"/>
                <w:lang w:eastAsia="pt-BR"/>
              </w:rPr>
            </w:pPr>
            <w:r w:rsidRPr="00D44CF4">
              <w:rPr>
                <w:rFonts w:ascii="Arial" w:hAnsi="Arial" w:cs="Arial"/>
                <w:b/>
                <w:bCs/>
                <w:i/>
                <w:iCs/>
                <w:color w:val="000000"/>
                <w:sz w:val="16"/>
                <w:szCs w:val="16"/>
                <w:lang w:eastAsia="pt-BR"/>
              </w:rPr>
              <w:t>49,96%</w:t>
            </w:r>
          </w:p>
        </w:tc>
      </w:tr>
      <w:tr w:rsidR="00D44CF4" w:rsidRPr="00D44CF4" w14:paraId="70790811"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6EDF7E5C"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Depreciação e Amortização</w:t>
            </w:r>
          </w:p>
        </w:tc>
        <w:tc>
          <w:tcPr>
            <w:tcW w:w="554" w:type="pct"/>
            <w:tcBorders>
              <w:top w:val="nil"/>
              <w:left w:val="nil"/>
              <w:bottom w:val="single" w:sz="8" w:space="0" w:color="8EAADB"/>
              <w:right w:val="nil"/>
            </w:tcBorders>
            <w:shd w:val="clear" w:color="auto" w:fill="auto"/>
            <w:noWrap/>
            <w:vAlign w:val="center"/>
            <w:hideMark/>
          </w:tcPr>
          <w:p w14:paraId="0EFF7867"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(270.044)</w:t>
            </w:r>
          </w:p>
        </w:tc>
        <w:tc>
          <w:tcPr>
            <w:tcW w:w="783" w:type="pct"/>
            <w:tcBorders>
              <w:top w:val="nil"/>
              <w:left w:val="nil"/>
              <w:bottom w:val="single" w:sz="8" w:space="0" w:color="8EAADB"/>
              <w:right w:val="nil"/>
            </w:tcBorders>
            <w:shd w:val="clear" w:color="auto" w:fill="auto"/>
            <w:noWrap/>
            <w:vAlign w:val="center"/>
            <w:hideMark/>
          </w:tcPr>
          <w:p w14:paraId="79BAB280"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(253.540)</w:t>
            </w:r>
          </w:p>
        </w:tc>
        <w:tc>
          <w:tcPr>
            <w:tcW w:w="723" w:type="pct"/>
            <w:tcBorders>
              <w:top w:val="nil"/>
              <w:left w:val="nil"/>
              <w:bottom w:val="single" w:sz="8" w:space="0" w:color="8EAADB"/>
              <w:right w:val="nil"/>
            </w:tcBorders>
            <w:shd w:val="clear" w:color="auto" w:fill="auto"/>
            <w:noWrap/>
            <w:vAlign w:val="center"/>
            <w:hideMark/>
          </w:tcPr>
          <w:p w14:paraId="0A5EC35A"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(242.087)</w:t>
            </w:r>
          </w:p>
        </w:tc>
      </w:tr>
      <w:tr w:rsidR="00D44CF4" w:rsidRPr="00D44CF4" w14:paraId="443E15EA"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6E37731A" w14:textId="77777777" w:rsidR="00D44CF4" w:rsidRPr="00D44CF4" w:rsidRDefault="00D44CF4" w:rsidP="00D44CF4">
            <w:pPr>
              <w:tabs>
                <w:tab w:val="clear" w:pos="851"/>
              </w:tabs>
              <w:spacing w:before="0" w:after="0" w:line="240" w:lineRule="auto"/>
              <w:jc w:val="lef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EBIT</w:t>
            </w:r>
          </w:p>
        </w:tc>
        <w:tc>
          <w:tcPr>
            <w:tcW w:w="554" w:type="pct"/>
            <w:tcBorders>
              <w:top w:val="nil"/>
              <w:left w:val="nil"/>
              <w:bottom w:val="single" w:sz="8" w:space="0" w:color="8EAADB"/>
              <w:right w:val="nil"/>
            </w:tcBorders>
            <w:shd w:val="clear" w:color="auto" w:fill="auto"/>
            <w:noWrap/>
            <w:vAlign w:val="center"/>
            <w:hideMark/>
          </w:tcPr>
          <w:p w14:paraId="6047A142"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18.496 </w:t>
            </w:r>
          </w:p>
        </w:tc>
        <w:tc>
          <w:tcPr>
            <w:tcW w:w="783" w:type="pct"/>
            <w:tcBorders>
              <w:top w:val="nil"/>
              <w:left w:val="nil"/>
              <w:bottom w:val="single" w:sz="8" w:space="0" w:color="8EAADB"/>
              <w:right w:val="nil"/>
            </w:tcBorders>
            <w:shd w:val="clear" w:color="auto" w:fill="auto"/>
            <w:noWrap/>
            <w:vAlign w:val="center"/>
            <w:hideMark/>
          </w:tcPr>
          <w:p w14:paraId="370241B6"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(67.407)</w:t>
            </w:r>
          </w:p>
        </w:tc>
        <w:tc>
          <w:tcPr>
            <w:tcW w:w="723" w:type="pct"/>
            <w:tcBorders>
              <w:top w:val="nil"/>
              <w:left w:val="nil"/>
              <w:bottom w:val="single" w:sz="8" w:space="0" w:color="8EAADB"/>
              <w:right w:val="nil"/>
            </w:tcBorders>
            <w:shd w:val="clear" w:color="auto" w:fill="auto"/>
            <w:noWrap/>
            <w:vAlign w:val="center"/>
            <w:hideMark/>
          </w:tcPr>
          <w:p w14:paraId="6C9FA9B2"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(68.311)</w:t>
            </w:r>
          </w:p>
        </w:tc>
      </w:tr>
      <w:tr w:rsidR="00D44CF4" w:rsidRPr="00D44CF4" w14:paraId="6F087BFE"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1CDB7C6A"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Resultado Financeiro</w:t>
            </w:r>
          </w:p>
        </w:tc>
        <w:tc>
          <w:tcPr>
            <w:tcW w:w="554" w:type="pct"/>
            <w:tcBorders>
              <w:top w:val="nil"/>
              <w:left w:val="nil"/>
              <w:bottom w:val="single" w:sz="8" w:space="0" w:color="8EAADB"/>
              <w:right w:val="nil"/>
            </w:tcBorders>
            <w:shd w:val="clear" w:color="auto" w:fill="auto"/>
            <w:noWrap/>
            <w:vAlign w:val="center"/>
            <w:hideMark/>
          </w:tcPr>
          <w:p w14:paraId="2B40B026"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(85.068)</w:t>
            </w:r>
          </w:p>
        </w:tc>
        <w:tc>
          <w:tcPr>
            <w:tcW w:w="783" w:type="pct"/>
            <w:tcBorders>
              <w:top w:val="nil"/>
              <w:left w:val="nil"/>
              <w:bottom w:val="single" w:sz="8" w:space="0" w:color="8EAADB"/>
              <w:right w:val="nil"/>
            </w:tcBorders>
            <w:shd w:val="clear" w:color="auto" w:fill="auto"/>
            <w:noWrap/>
            <w:vAlign w:val="center"/>
            <w:hideMark/>
          </w:tcPr>
          <w:p w14:paraId="6BB259C6"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(59.950)</w:t>
            </w:r>
          </w:p>
        </w:tc>
        <w:tc>
          <w:tcPr>
            <w:tcW w:w="723" w:type="pct"/>
            <w:tcBorders>
              <w:top w:val="nil"/>
              <w:left w:val="nil"/>
              <w:bottom w:val="single" w:sz="8" w:space="0" w:color="8EAADB"/>
              <w:right w:val="nil"/>
            </w:tcBorders>
            <w:shd w:val="clear" w:color="auto" w:fill="auto"/>
            <w:noWrap/>
            <w:vAlign w:val="center"/>
            <w:hideMark/>
          </w:tcPr>
          <w:p w14:paraId="342AF51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(100.148)</w:t>
            </w:r>
          </w:p>
        </w:tc>
      </w:tr>
      <w:tr w:rsidR="00D44CF4" w:rsidRPr="00D44CF4" w14:paraId="12F411EB"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3389B1EA" w14:textId="77777777" w:rsidR="00D44CF4" w:rsidRPr="00D44CF4" w:rsidRDefault="00D44CF4" w:rsidP="00D44CF4">
            <w:pPr>
              <w:tabs>
                <w:tab w:val="clear" w:pos="851"/>
              </w:tabs>
              <w:spacing w:before="0" w:after="0" w:line="240" w:lineRule="auto"/>
              <w:jc w:val="left"/>
              <w:rPr>
                <w:rFonts w:ascii="Arial" w:hAnsi="Arial" w:cs="Arial"/>
                <w:b/>
                <w:bCs/>
                <w:color w:val="000000"/>
                <w:sz w:val="16"/>
                <w:szCs w:val="16"/>
                <w:lang w:eastAsia="pt-BR"/>
              </w:rPr>
            </w:pPr>
            <w:r w:rsidRPr="00D44CF4">
              <w:rPr>
                <w:rFonts w:ascii="Arial" w:hAnsi="Arial" w:cs="Arial"/>
                <w:b/>
                <w:bCs/>
                <w:color w:val="000000"/>
                <w:sz w:val="16"/>
                <w:szCs w:val="16"/>
                <w:lang w:eastAsia="pt-BR"/>
              </w:rPr>
              <w:t>PREJUÍZO LÍQUIDO DO EXERCÍCIO</w:t>
            </w:r>
          </w:p>
        </w:tc>
        <w:tc>
          <w:tcPr>
            <w:tcW w:w="554" w:type="pct"/>
            <w:tcBorders>
              <w:top w:val="nil"/>
              <w:left w:val="nil"/>
              <w:bottom w:val="single" w:sz="8" w:space="0" w:color="8EAADB"/>
              <w:right w:val="nil"/>
            </w:tcBorders>
            <w:shd w:val="clear" w:color="auto" w:fill="auto"/>
            <w:noWrap/>
            <w:vAlign w:val="center"/>
            <w:hideMark/>
          </w:tcPr>
          <w:p w14:paraId="447B348D"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(66.572)</w:t>
            </w:r>
          </w:p>
        </w:tc>
        <w:tc>
          <w:tcPr>
            <w:tcW w:w="783" w:type="pct"/>
            <w:tcBorders>
              <w:top w:val="nil"/>
              <w:left w:val="nil"/>
              <w:bottom w:val="single" w:sz="8" w:space="0" w:color="8EAADB"/>
              <w:right w:val="nil"/>
            </w:tcBorders>
            <w:shd w:val="clear" w:color="auto" w:fill="auto"/>
            <w:noWrap/>
            <w:vAlign w:val="center"/>
            <w:hideMark/>
          </w:tcPr>
          <w:p w14:paraId="459BD732"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(127.357)</w:t>
            </w:r>
          </w:p>
        </w:tc>
        <w:tc>
          <w:tcPr>
            <w:tcW w:w="723" w:type="pct"/>
            <w:tcBorders>
              <w:top w:val="nil"/>
              <w:left w:val="nil"/>
              <w:bottom w:val="single" w:sz="8" w:space="0" w:color="8EAADB"/>
              <w:right w:val="nil"/>
            </w:tcBorders>
            <w:shd w:val="clear" w:color="auto" w:fill="auto"/>
            <w:noWrap/>
            <w:vAlign w:val="center"/>
            <w:hideMark/>
          </w:tcPr>
          <w:p w14:paraId="069B6811"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(168.459)</w:t>
            </w:r>
          </w:p>
        </w:tc>
      </w:tr>
      <w:tr w:rsidR="00D44CF4" w:rsidRPr="00D44CF4" w14:paraId="78217CCA" w14:textId="77777777" w:rsidTr="005A4170">
        <w:trPr>
          <w:trHeight w:val="238"/>
        </w:trPr>
        <w:tc>
          <w:tcPr>
            <w:tcW w:w="2940" w:type="pct"/>
            <w:tcBorders>
              <w:top w:val="nil"/>
              <w:left w:val="nil"/>
              <w:bottom w:val="single" w:sz="8" w:space="0" w:color="8EAADB"/>
              <w:right w:val="nil"/>
            </w:tcBorders>
            <w:shd w:val="clear" w:color="auto" w:fill="auto"/>
            <w:noWrap/>
            <w:vAlign w:val="center"/>
            <w:hideMark/>
          </w:tcPr>
          <w:p w14:paraId="3860319F" w14:textId="77777777" w:rsidR="00D44CF4" w:rsidRPr="00D44CF4" w:rsidRDefault="00D44CF4" w:rsidP="00D44CF4">
            <w:pPr>
              <w:tabs>
                <w:tab w:val="clear" w:pos="851"/>
              </w:tabs>
              <w:spacing w:before="0" w:after="0" w:line="240" w:lineRule="auto"/>
              <w:jc w:val="left"/>
              <w:rPr>
                <w:rFonts w:ascii="Arial" w:hAnsi="Arial" w:cs="Arial"/>
                <w:b/>
                <w:bCs/>
                <w:i/>
                <w:iCs/>
                <w:color w:val="000000"/>
                <w:sz w:val="16"/>
                <w:szCs w:val="16"/>
                <w:lang w:eastAsia="pt-BR"/>
              </w:rPr>
            </w:pPr>
            <w:r w:rsidRPr="00D44CF4">
              <w:rPr>
                <w:rFonts w:ascii="Arial" w:hAnsi="Arial" w:cs="Arial"/>
                <w:b/>
                <w:bCs/>
                <w:i/>
                <w:iCs/>
                <w:color w:val="000000"/>
                <w:sz w:val="16"/>
                <w:szCs w:val="16"/>
                <w:lang w:eastAsia="pt-BR"/>
              </w:rPr>
              <w:t>Prejuízo por Ação (R$)</w:t>
            </w:r>
          </w:p>
        </w:tc>
        <w:tc>
          <w:tcPr>
            <w:tcW w:w="554" w:type="pct"/>
            <w:tcBorders>
              <w:top w:val="nil"/>
              <w:left w:val="nil"/>
              <w:bottom w:val="single" w:sz="8" w:space="0" w:color="8EAADB"/>
              <w:right w:val="nil"/>
            </w:tcBorders>
            <w:shd w:val="clear" w:color="auto" w:fill="auto"/>
            <w:noWrap/>
            <w:vAlign w:val="center"/>
            <w:hideMark/>
          </w:tcPr>
          <w:p w14:paraId="5D5C8504" w14:textId="77777777" w:rsidR="00D44CF4" w:rsidRPr="00D44CF4" w:rsidRDefault="00D44CF4" w:rsidP="00D44CF4">
            <w:pPr>
              <w:tabs>
                <w:tab w:val="clear" w:pos="851"/>
              </w:tabs>
              <w:spacing w:before="0" w:after="0" w:line="240" w:lineRule="auto"/>
              <w:jc w:val="right"/>
              <w:rPr>
                <w:rFonts w:ascii="Arial" w:hAnsi="Arial" w:cs="Arial"/>
                <w:b/>
                <w:bCs/>
                <w:i/>
                <w:iCs/>
                <w:color w:val="000000"/>
                <w:sz w:val="16"/>
                <w:szCs w:val="16"/>
                <w:lang w:eastAsia="pt-BR"/>
              </w:rPr>
            </w:pPr>
            <w:r w:rsidRPr="00D44CF4">
              <w:rPr>
                <w:rFonts w:ascii="Arial" w:hAnsi="Arial" w:cs="Arial"/>
                <w:b/>
                <w:bCs/>
                <w:i/>
                <w:iCs/>
                <w:color w:val="000000"/>
                <w:sz w:val="16"/>
                <w:szCs w:val="16"/>
                <w:lang w:eastAsia="pt-BR"/>
              </w:rPr>
              <w:t xml:space="preserve">  (0,7707)</w:t>
            </w:r>
          </w:p>
        </w:tc>
        <w:tc>
          <w:tcPr>
            <w:tcW w:w="783" w:type="pct"/>
            <w:tcBorders>
              <w:top w:val="nil"/>
              <w:left w:val="nil"/>
              <w:bottom w:val="single" w:sz="8" w:space="0" w:color="8EAADB"/>
              <w:right w:val="nil"/>
            </w:tcBorders>
            <w:shd w:val="clear" w:color="auto" w:fill="auto"/>
            <w:noWrap/>
            <w:vAlign w:val="center"/>
            <w:hideMark/>
          </w:tcPr>
          <w:p w14:paraId="4167C5A4" w14:textId="77777777" w:rsidR="00D44CF4" w:rsidRPr="00D44CF4" w:rsidRDefault="00D44CF4" w:rsidP="00D44CF4">
            <w:pPr>
              <w:tabs>
                <w:tab w:val="clear" w:pos="851"/>
              </w:tabs>
              <w:spacing w:before="0" w:after="0" w:line="240" w:lineRule="auto"/>
              <w:jc w:val="right"/>
              <w:rPr>
                <w:rFonts w:ascii="Arial" w:hAnsi="Arial" w:cs="Arial"/>
                <w:b/>
                <w:bCs/>
                <w:i/>
                <w:iCs/>
                <w:color w:val="000000"/>
                <w:sz w:val="16"/>
                <w:szCs w:val="16"/>
                <w:lang w:eastAsia="pt-BR"/>
              </w:rPr>
            </w:pPr>
            <w:r w:rsidRPr="00D44CF4">
              <w:rPr>
                <w:rFonts w:ascii="Arial" w:hAnsi="Arial" w:cs="Arial"/>
                <w:b/>
                <w:bCs/>
                <w:i/>
                <w:iCs/>
                <w:color w:val="000000"/>
                <w:sz w:val="16"/>
                <w:szCs w:val="16"/>
                <w:lang w:eastAsia="pt-BR"/>
              </w:rPr>
              <w:t xml:space="preserve">          (1,4743)</w:t>
            </w:r>
          </w:p>
        </w:tc>
        <w:tc>
          <w:tcPr>
            <w:tcW w:w="723" w:type="pct"/>
            <w:tcBorders>
              <w:top w:val="nil"/>
              <w:left w:val="nil"/>
              <w:bottom w:val="single" w:sz="8" w:space="0" w:color="8EAADB"/>
              <w:right w:val="nil"/>
            </w:tcBorders>
            <w:shd w:val="clear" w:color="auto" w:fill="auto"/>
            <w:noWrap/>
            <w:vAlign w:val="center"/>
            <w:hideMark/>
          </w:tcPr>
          <w:p w14:paraId="45160097" w14:textId="77777777" w:rsidR="00D44CF4" w:rsidRPr="00D44CF4" w:rsidRDefault="00D44CF4" w:rsidP="00D44CF4">
            <w:pPr>
              <w:tabs>
                <w:tab w:val="clear" w:pos="851"/>
              </w:tabs>
              <w:spacing w:before="0" w:after="0" w:line="240" w:lineRule="auto"/>
              <w:jc w:val="right"/>
              <w:rPr>
                <w:rFonts w:ascii="Arial" w:hAnsi="Arial" w:cs="Arial"/>
                <w:b/>
                <w:bCs/>
                <w:i/>
                <w:iCs/>
                <w:color w:val="000000"/>
                <w:sz w:val="16"/>
                <w:szCs w:val="16"/>
                <w:lang w:eastAsia="pt-BR"/>
              </w:rPr>
            </w:pPr>
            <w:r w:rsidRPr="00D44CF4">
              <w:rPr>
                <w:rFonts w:ascii="Arial" w:hAnsi="Arial" w:cs="Arial"/>
                <w:b/>
                <w:bCs/>
                <w:i/>
                <w:iCs/>
                <w:color w:val="000000"/>
                <w:sz w:val="16"/>
                <w:szCs w:val="16"/>
                <w:lang w:eastAsia="pt-BR"/>
              </w:rPr>
              <w:t xml:space="preserve">        (1,9501)</w:t>
            </w:r>
          </w:p>
        </w:tc>
      </w:tr>
    </w:tbl>
    <w:p w14:paraId="5496CC79" w14:textId="3A97D82A" w:rsidR="003E0246" w:rsidRPr="00D44CF4" w:rsidRDefault="003E0246" w:rsidP="00087F48">
      <w:pPr>
        <w:pStyle w:val="Ttulo3"/>
        <w:ind w:left="709" w:hanging="709"/>
        <w:rPr>
          <w:rFonts w:eastAsia="Arial"/>
          <w:sz w:val="22"/>
          <w:u w:val="single"/>
        </w:rPr>
      </w:pPr>
      <w:bookmarkStart w:id="9" w:name="_Toc191641867"/>
      <w:r w:rsidRPr="00D44CF4">
        <w:t>Receita Operacional Líquida</w:t>
      </w:r>
      <w:bookmarkEnd w:id="9"/>
    </w:p>
    <w:tbl>
      <w:tblPr>
        <w:tblW w:w="5000" w:type="pct"/>
        <w:tblCellMar>
          <w:left w:w="70" w:type="dxa"/>
          <w:right w:w="70" w:type="dxa"/>
        </w:tblCellMar>
        <w:tblLook w:val="04A0" w:firstRow="1" w:lastRow="0" w:firstColumn="1" w:lastColumn="0" w:noHBand="0" w:noVBand="1"/>
      </w:tblPr>
      <w:tblGrid>
        <w:gridCol w:w="4448"/>
        <w:gridCol w:w="914"/>
        <w:gridCol w:w="914"/>
        <w:gridCol w:w="1038"/>
        <w:gridCol w:w="778"/>
        <w:gridCol w:w="980"/>
      </w:tblGrid>
      <w:tr w:rsidR="00D44CF4" w:rsidRPr="00D44CF4" w14:paraId="10AE604A" w14:textId="77777777" w:rsidTr="00505643">
        <w:trPr>
          <w:trHeight w:val="238"/>
          <w:tblHeader/>
        </w:trPr>
        <w:tc>
          <w:tcPr>
            <w:tcW w:w="2451" w:type="pct"/>
            <w:tcBorders>
              <w:top w:val="single" w:sz="8" w:space="0" w:color="9BC2E6"/>
              <w:left w:val="nil"/>
              <w:bottom w:val="single" w:sz="8" w:space="0" w:color="9BC2E6"/>
              <w:right w:val="nil"/>
            </w:tcBorders>
            <w:shd w:val="clear" w:color="auto" w:fill="auto"/>
            <w:vAlign w:val="center"/>
            <w:hideMark/>
          </w:tcPr>
          <w:p w14:paraId="75626DC5" w14:textId="77777777" w:rsidR="00D44CF4" w:rsidRPr="00D44CF4" w:rsidRDefault="00D44CF4" w:rsidP="00D44CF4">
            <w:pPr>
              <w:tabs>
                <w:tab w:val="clear" w:pos="851"/>
              </w:tabs>
              <w:spacing w:before="0" w:after="0" w:line="240" w:lineRule="auto"/>
              <w:jc w:val="left"/>
              <w:rPr>
                <w:rFonts w:ascii="Arial" w:hAnsi="Arial" w:cs="Arial"/>
                <w:b/>
                <w:bCs/>
                <w:color w:val="2E74B5"/>
                <w:sz w:val="16"/>
                <w:szCs w:val="16"/>
                <w:lang w:eastAsia="pt-BR"/>
              </w:rPr>
            </w:pPr>
            <w:r w:rsidRPr="00D44CF4">
              <w:rPr>
                <w:rFonts w:ascii="Arial" w:hAnsi="Arial" w:cs="Arial"/>
                <w:b/>
                <w:bCs/>
                <w:color w:val="2E74B5"/>
                <w:sz w:val="16"/>
                <w:szCs w:val="16"/>
                <w:lang w:eastAsia="pt-BR"/>
              </w:rPr>
              <w:t>R$ mil</w:t>
            </w:r>
          </w:p>
        </w:tc>
        <w:tc>
          <w:tcPr>
            <w:tcW w:w="504" w:type="pct"/>
            <w:tcBorders>
              <w:top w:val="single" w:sz="8" w:space="0" w:color="9BC2E6"/>
              <w:left w:val="nil"/>
              <w:bottom w:val="single" w:sz="8" w:space="0" w:color="9BC2E6"/>
              <w:right w:val="nil"/>
            </w:tcBorders>
            <w:shd w:val="clear" w:color="auto" w:fill="auto"/>
            <w:vAlign w:val="center"/>
            <w:hideMark/>
          </w:tcPr>
          <w:p w14:paraId="5C1A157A" w14:textId="77777777" w:rsidR="00D44CF4" w:rsidRPr="00D44CF4" w:rsidRDefault="00D44CF4" w:rsidP="00D44CF4">
            <w:pPr>
              <w:tabs>
                <w:tab w:val="clear" w:pos="851"/>
              </w:tabs>
              <w:spacing w:before="0" w:after="0" w:line="240" w:lineRule="auto"/>
              <w:jc w:val="center"/>
              <w:rPr>
                <w:rFonts w:ascii="Arial" w:hAnsi="Arial" w:cs="Arial"/>
                <w:b/>
                <w:bCs/>
                <w:color w:val="2E74B5"/>
                <w:sz w:val="16"/>
                <w:szCs w:val="16"/>
                <w:lang w:eastAsia="pt-BR"/>
              </w:rPr>
            </w:pPr>
            <w:r w:rsidRPr="00D44CF4">
              <w:rPr>
                <w:rFonts w:ascii="Arial" w:hAnsi="Arial" w:cs="Arial"/>
                <w:b/>
                <w:bCs/>
                <w:color w:val="2E74B5"/>
                <w:sz w:val="16"/>
                <w:szCs w:val="16"/>
                <w:lang w:eastAsia="pt-BR"/>
              </w:rPr>
              <w:t>2024</w:t>
            </w:r>
          </w:p>
        </w:tc>
        <w:tc>
          <w:tcPr>
            <w:tcW w:w="504" w:type="pct"/>
            <w:tcBorders>
              <w:top w:val="single" w:sz="8" w:space="0" w:color="9BC2E6"/>
              <w:left w:val="nil"/>
              <w:bottom w:val="single" w:sz="8" w:space="0" w:color="9BC2E6"/>
              <w:right w:val="nil"/>
            </w:tcBorders>
            <w:shd w:val="clear" w:color="auto" w:fill="auto"/>
            <w:vAlign w:val="center"/>
            <w:hideMark/>
          </w:tcPr>
          <w:p w14:paraId="6FB6CD59" w14:textId="77777777" w:rsidR="00D44CF4" w:rsidRPr="00D44CF4" w:rsidRDefault="00D44CF4" w:rsidP="00D44CF4">
            <w:pPr>
              <w:tabs>
                <w:tab w:val="clear" w:pos="851"/>
              </w:tabs>
              <w:spacing w:before="0" w:after="0" w:line="240" w:lineRule="auto"/>
              <w:jc w:val="center"/>
              <w:rPr>
                <w:rFonts w:ascii="Arial" w:hAnsi="Arial" w:cs="Arial"/>
                <w:b/>
                <w:bCs/>
                <w:color w:val="2E74B5"/>
                <w:sz w:val="16"/>
                <w:szCs w:val="16"/>
                <w:lang w:eastAsia="pt-BR"/>
              </w:rPr>
            </w:pPr>
            <w:r w:rsidRPr="00D44CF4">
              <w:rPr>
                <w:rFonts w:ascii="Arial" w:hAnsi="Arial" w:cs="Arial"/>
                <w:b/>
                <w:bCs/>
                <w:color w:val="2E74B5"/>
                <w:sz w:val="16"/>
                <w:szCs w:val="16"/>
                <w:lang w:eastAsia="pt-BR"/>
              </w:rPr>
              <w:t>2023</w:t>
            </w:r>
          </w:p>
        </w:tc>
        <w:tc>
          <w:tcPr>
            <w:tcW w:w="572" w:type="pct"/>
            <w:tcBorders>
              <w:top w:val="single" w:sz="8" w:space="0" w:color="9BC2E6"/>
              <w:left w:val="nil"/>
              <w:bottom w:val="single" w:sz="8" w:space="0" w:color="9BC2E6"/>
              <w:right w:val="nil"/>
            </w:tcBorders>
            <w:shd w:val="clear" w:color="auto" w:fill="auto"/>
            <w:vAlign w:val="center"/>
            <w:hideMark/>
          </w:tcPr>
          <w:p w14:paraId="52F0BBFA" w14:textId="77777777" w:rsidR="00D44CF4" w:rsidRPr="00D44CF4" w:rsidRDefault="00D44CF4" w:rsidP="00D44CF4">
            <w:pPr>
              <w:tabs>
                <w:tab w:val="clear" w:pos="851"/>
              </w:tabs>
              <w:spacing w:before="0" w:after="0" w:line="240" w:lineRule="auto"/>
              <w:jc w:val="center"/>
              <w:rPr>
                <w:rFonts w:ascii="Arial" w:hAnsi="Arial" w:cs="Arial"/>
                <w:b/>
                <w:bCs/>
                <w:color w:val="2E74B5"/>
                <w:sz w:val="16"/>
                <w:szCs w:val="16"/>
                <w:lang w:eastAsia="pt-BR"/>
              </w:rPr>
            </w:pPr>
            <w:r w:rsidRPr="00D44CF4">
              <w:rPr>
                <w:rFonts w:ascii="Arial" w:hAnsi="Arial" w:cs="Arial"/>
                <w:b/>
                <w:bCs/>
                <w:color w:val="2E74B5"/>
                <w:sz w:val="16"/>
                <w:szCs w:val="16"/>
                <w:lang w:eastAsia="pt-BR"/>
              </w:rPr>
              <w:t>2022</w:t>
            </w:r>
          </w:p>
        </w:tc>
        <w:tc>
          <w:tcPr>
            <w:tcW w:w="429" w:type="pct"/>
            <w:tcBorders>
              <w:top w:val="single" w:sz="8" w:space="0" w:color="9BC2E6"/>
              <w:left w:val="nil"/>
              <w:bottom w:val="single" w:sz="8" w:space="0" w:color="9BC2E6"/>
              <w:right w:val="nil"/>
            </w:tcBorders>
            <w:shd w:val="clear" w:color="000000" w:fill="FFFFFF"/>
            <w:vAlign w:val="center"/>
            <w:hideMark/>
          </w:tcPr>
          <w:p w14:paraId="78684E58" w14:textId="77777777" w:rsidR="00D44CF4" w:rsidRPr="00D44CF4" w:rsidRDefault="00D44CF4" w:rsidP="00D44CF4">
            <w:pPr>
              <w:tabs>
                <w:tab w:val="clear" w:pos="851"/>
              </w:tabs>
              <w:spacing w:before="0" w:after="0" w:line="240" w:lineRule="auto"/>
              <w:jc w:val="center"/>
              <w:rPr>
                <w:rFonts w:ascii="Arial" w:hAnsi="Arial" w:cs="Arial"/>
                <w:b/>
                <w:bCs/>
                <w:color w:val="2F75B5"/>
                <w:sz w:val="16"/>
                <w:szCs w:val="16"/>
                <w:lang w:eastAsia="pt-BR"/>
              </w:rPr>
            </w:pPr>
            <w:r w:rsidRPr="00D44CF4">
              <w:rPr>
                <w:rFonts w:ascii="Arial" w:hAnsi="Arial" w:cs="Arial"/>
                <w:b/>
                <w:bCs/>
                <w:color w:val="2F75B5"/>
                <w:sz w:val="16"/>
                <w:szCs w:val="16"/>
                <w:lang w:eastAsia="pt-BR"/>
              </w:rPr>
              <w:t>Δ 2024 X 2023</w:t>
            </w:r>
          </w:p>
        </w:tc>
        <w:tc>
          <w:tcPr>
            <w:tcW w:w="541" w:type="pct"/>
            <w:tcBorders>
              <w:top w:val="single" w:sz="8" w:space="0" w:color="9BC2E6"/>
              <w:left w:val="nil"/>
              <w:bottom w:val="single" w:sz="8" w:space="0" w:color="9BC2E6"/>
              <w:right w:val="nil"/>
            </w:tcBorders>
            <w:shd w:val="clear" w:color="000000" w:fill="FFFFFF"/>
            <w:vAlign w:val="center"/>
            <w:hideMark/>
          </w:tcPr>
          <w:p w14:paraId="54926EB8" w14:textId="77777777" w:rsidR="00D44CF4" w:rsidRPr="00D44CF4" w:rsidRDefault="00D44CF4" w:rsidP="00D44CF4">
            <w:pPr>
              <w:tabs>
                <w:tab w:val="clear" w:pos="851"/>
              </w:tabs>
              <w:spacing w:before="0" w:after="0" w:line="240" w:lineRule="auto"/>
              <w:jc w:val="center"/>
              <w:rPr>
                <w:rFonts w:ascii="Arial" w:hAnsi="Arial" w:cs="Arial"/>
                <w:b/>
                <w:bCs/>
                <w:color w:val="2F75B5"/>
                <w:sz w:val="16"/>
                <w:szCs w:val="16"/>
                <w:lang w:eastAsia="pt-BR"/>
              </w:rPr>
            </w:pPr>
            <w:r w:rsidRPr="00D44CF4">
              <w:rPr>
                <w:rFonts w:ascii="Arial" w:hAnsi="Arial" w:cs="Arial"/>
                <w:b/>
                <w:bCs/>
                <w:color w:val="2F75B5"/>
                <w:sz w:val="16"/>
                <w:szCs w:val="16"/>
                <w:lang w:eastAsia="pt-BR"/>
              </w:rPr>
              <w:t>Δ 2024 X 2022</w:t>
            </w:r>
          </w:p>
        </w:tc>
      </w:tr>
      <w:tr w:rsidR="00D44CF4" w:rsidRPr="00D44CF4" w14:paraId="053CA93A" w14:textId="77777777" w:rsidTr="00505643">
        <w:trPr>
          <w:trHeight w:val="238"/>
        </w:trPr>
        <w:tc>
          <w:tcPr>
            <w:tcW w:w="2451" w:type="pct"/>
            <w:tcBorders>
              <w:top w:val="nil"/>
              <w:left w:val="nil"/>
              <w:bottom w:val="single" w:sz="8" w:space="0" w:color="8EAADB"/>
              <w:right w:val="nil"/>
            </w:tcBorders>
            <w:shd w:val="clear" w:color="auto" w:fill="auto"/>
            <w:noWrap/>
            <w:vAlign w:val="center"/>
            <w:hideMark/>
          </w:tcPr>
          <w:p w14:paraId="0CB0A963" w14:textId="77777777" w:rsidR="00D44CF4" w:rsidRPr="00D44CF4" w:rsidRDefault="00D44CF4" w:rsidP="00D44CF4">
            <w:pPr>
              <w:tabs>
                <w:tab w:val="clear" w:pos="851"/>
              </w:tabs>
              <w:spacing w:before="0" w:after="0" w:line="240" w:lineRule="auto"/>
              <w:jc w:val="left"/>
              <w:rPr>
                <w:rFonts w:ascii="Arial" w:hAnsi="Arial" w:cs="Arial"/>
                <w:b/>
                <w:bCs/>
                <w:color w:val="000000"/>
                <w:sz w:val="16"/>
                <w:szCs w:val="16"/>
                <w:lang w:eastAsia="pt-BR"/>
              </w:rPr>
            </w:pPr>
            <w:r w:rsidRPr="00D44CF4">
              <w:rPr>
                <w:rFonts w:ascii="Arial" w:hAnsi="Arial" w:cs="Arial"/>
                <w:b/>
                <w:bCs/>
                <w:color w:val="000000"/>
                <w:sz w:val="16"/>
                <w:szCs w:val="16"/>
                <w:lang w:eastAsia="pt-BR"/>
              </w:rPr>
              <w:t>RECEITA OPERACIONAL BRUTA</w:t>
            </w:r>
          </w:p>
        </w:tc>
        <w:tc>
          <w:tcPr>
            <w:tcW w:w="504" w:type="pct"/>
            <w:tcBorders>
              <w:top w:val="nil"/>
              <w:left w:val="nil"/>
              <w:bottom w:val="single" w:sz="8" w:space="0" w:color="8EAADB"/>
              <w:right w:val="nil"/>
            </w:tcBorders>
            <w:shd w:val="clear" w:color="auto" w:fill="auto"/>
            <w:noWrap/>
            <w:vAlign w:val="center"/>
            <w:hideMark/>
          </w:tcPr>
          <w:p w14:paraId="705EFEC6"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462.391 </w:t>
            </w:r>
          </w:p>
        </w:tc>
        <w:tc>
          <w:tcPr>
            <w:tcW w:w="504" w:type="pct"/>
            <w:tcBorders>
              <w:top w:val="nil"/>
              <w:left w:val="nil"/>
              <w:bottom w:val="single" w:sz="8" w:space="0" w:color="8EAADB"/>
              <w:right w:val="nil"/>
            </w:tcBorders>
            <w:shd w:val="clear" w:color="auto" w:fill="auto"/>
            <w:noWrap/>
            <w:vAlign w:val="center"/>
            <w:hideMark/>
          </w:tcPr>
          <w:p w14:paraId="0760DA89"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470.052 </w:t>
            </w:r>
          </w:p>
        </w:tc>
        <w:tc>
          <w:tcPr>
            <w:tcW w:w="572" w:type="pct"/>
            <w:tcBorders>
              <w:top w:val="nil"/>
              <w:left w:val="nil"/>
              <w:bottom w:val="single" w:sz="8" w:space="0" w:color="8EAADB"/>
              <w:right w:val="nil"/>
            </w:tcBorders>
            <w:shd w:val="clear" w:color="auto" w:fill="auto"/>
            <w:noWrap/>
            <w:vAlign w:val="center"/>
            <w:hideMark/>
          </w:tcPr>
          <w:p w14:paraId="29AC5CC3"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403.502 </w:t>
            </w:r>
          </w:p>
        </w:tc>
        <w:tc>
          <w:tcPr>
            <w:tcW w:w="429" w:type="pct"/>
            <w:tcBorders>
              <w:top w:val="nil"/>
              <w:left w:val="nil"/>
              <w:bottom w:val="single" w:sz="8" w:space="0" w:color="8EAADB"/>
              <w:right w:val="nil"/>
            </w:tcBorders>
            <w:shd w:val="clear" w:color="auto" w:fill="auto"/>
            <w:noWrap/>
            <w:vAlign w:val="center"/>
            <w:hideMark/>
          </w:tcPr>
          <w:p w14:paraId="546F7802"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8"/>
                <w:szCs w:val="18"/>
                <w:lang w:eastAsia="pt-BR"/>
              </w:rPr>
              <w:t>-1,6%</w:t>
            </w:r>
          </w:p>
        </w:tc>
        <w:tc>
          <w:tcPr>
            <w:tcW w:w="541" w:type="pct"/>
            <w:tcBorders>
              <w:top w:val="nil"/>
              <w:left w:val="nil"/>
              <w:bottom w:val="single" w:sz="8" w:space="0" w:color="8EAADB"/>
              <w:right w:val="nil"/>
            </w:tcBorders>
            <w:shd w:val="clear" w:color="auto" w:fill="auto"/>
            <w:noWrap/>
            <w:vAlign w:val="center"/>
            <w:hideMark/>
          </w:tcPr>
          <w:p w14:paraId="535BD664"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8"/>
                <w:szCs w:val="18"/>
                <w:lang w:eastAsia="pt-BR"/>
              </w:rPr>
              <w:t>14,6%</w:t>
            </w:r>
          </w:p>
        </w:tc>
      </w:tr>
      <w:tr w:rsidR="00D44CF4" w:rsidRPr="00D44CF4" w14:paraId="4ADA9793" w14:textId="77777777" w:rsidTr="00505643">
        <w:trPr>
          <w:trHeight w:val="238"/>
        </w:trPr>
        <w:tc>
          <w:tcPr>
            <w:tcW w:w="2451" w:type="pct"/>
            <w:tcBorders>
              <w:top w:val="nil"/>
              <w:left w:val="nil"/>
              <w:bottom w:val="single" w:sz="8" w:space="0" w:color="8EAADB"/>
              <w:right w:val="nil"/>
            </w:tcBorders>
            <w:shd w:val="clear" w:color="auto" w:fill="auto"/>
            <w:noWrap/>
            <w:vAlign w:val="center"/>
            <w:hideMark/>
          </w:tcPr>
          <w:p w14:paraId="0334C2F5"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Serviços de Comunicação Multimídia</w:t>
            </w:r>
          </w:p>
        </w:tc>
        <w:tc>
          <w:tcPr>
            <w:tcW w:w="504" w:type="pct"/>
            <w:tcBorders>
              <w:top w:val="nil"/>
              <w:left w:val="nil"/>
              <w:bottom w:val="single" w:sz="8" w:space="0" w:color="8EAADB"/>
              <w:right w:val="nil"/>
            </w:tcBorders>
            <w:shd w:val="clear" w:color="auto" w:fill="auto"/>
            <w:noWrap/>
            <w:vAlign w:val="center"/>
            <w:hideMark/>
          </w:tcPr>
          <w:p w14:paraId="1A27DCEA"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355.951 </w:t>
            </w:r>
          </w:p>
        </w:tc>
        <w:tc>
          <w:tcPr>
            <w:tcW w:w="504" w:type="pct"/>
            <w:tcBorders>
              <w:top w:val="nil"/>
              <w:left w:val="nil"/>
              <w:bottom w:val="single" w:sz="8" w:space="0" w:color="8EAADB"/>
              <w:right w:val="nil"/>
            </w:tcBorders>
            <w:shd w:val="clear" w:color="auto" w:fill="auto"/>
            <w:noWrap/>
            <w:vAlign w:val="center"/>
            <w:hideMark/>
          </w:tcPr>
          <w:p w14:paraId="0652C16C"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356.511 </w:t>
            </w:r>
          </w:p>
        </w:tc>
        <w:tc>
          <w:tcPr>
            <w:tcW w:w="572" w:type="pct"/>
            <w:tcBorders>
              <w:top w:val="nil"/>
              <w:left w:val="nil"/>
              <w:bottom w:val="single" w:sz="8" w:space="0" w:color="8EAADB"/>
              <w:right w:val="nil"/>
            </w:tcBorders>
            <w:shd w:val="clear" w:color="auto" w:fill="auto"/>
            <w:noWrap/>
            <w:vAlign w:val="center"/>
            <w:hideMark/>
          </w:tcPr>
          <w:p w14:paraId="2FD3107F"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322.614 </w:t>
            </w:r>
          </w:p>
        </w:tc>
        <w:tc>
          <w:tcPr>
            <w:tcW w:w="429" w:type="pct"/>
            <w:tcBorders>
              <w:top w:val="nil"/>
              <w:left w:val="nil"/>
              <w:bottom w:val="single" w:sz="8" w:space="0" w:color="8EAADB"/>
              <w:right w:val="nil"/>
            </w:tcBorders>
            <w:shd w:val="clear" w:color="auto" w:fill="auto"/>
            <w:noWrap/>
            <w:vAlign w:val="center"/>
            <w:hideMark/>
          </w:tcPr>
          <w:p w14:paraId="4F2C9DD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-0,2%</w:t>
            </w:r>
          </w:p>
        </w:tc>
        <w:tc>
          <w:tcPr>
            <w:tcW w:w="541" w:type="pct"/>
            <w:tcBorders>
              <w:top w:val="nil"/>
              <w:left w:val="nil"/>
              <w:bottom w:val="single" w:sz="8" w:space="0" w:color="8EAADB"/>
              <w:right w:val="nil"/>
            </w:tcBorders>
            <w:shd w:val="clear" w:color="auto" w:fill="auto"/>
            <w:noWrap/>
            <w:vAlign w:val="center"/>
            <w:hideMark/>
          </w:tcPr>
          <w:p w14:paraId="7DAF5847"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10,3%</w:t>
            </w:r>
          </w:p>
        </w:tc>
      </w:tr>
      <w:tr w:rsidR="00D44CF4" w:rsidRPr="00D44CF4" w14:paraId="01322011" w14:textId="77777777" w:rsidTr="00505643">
        <w:trPr>
          <w:trHeight w:val="238"/>
        </w:trPr>
        <w:tc>
          <w:tcPr>
            <w:tcW w:w="2451" w:type="pct"/>
            <w:tcBorders>
              <w:top w:val="nil"/>
              <w:left w:val="nil"/>
              <w:bottom w:val="single" w:sz="8" w:space="0" w:color="8EAADB"/>
              <w:right w:val="nil"/>
            </w:tcBorders>
            <w:shd w:val="clear" w:color="auto" w:fill="auto"/>
            <w:noWrap/>
            <w:vAlign w:val="center"/>
            <w:hideMark/>
          </w:tcPr>
          <w:p w14:paraId="3EF5BEF0"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Locação de Capacidade Satelital</w:t>
            </w:r>
          </w:p>
        </w:tc>
        <w:tc>
          <w:tcPr>
            <w:tcW w:w="504" w:type="pct"/>
            <w:tcBorders>
              <w:top w:val="nil"/>
              <w:left w:val="nil"/>
              <w:bottom w:val="single" w:sz="8" w:space="0" w:color="8EAADB"/>
              <w:right w:val="nil"/>
            </w:tcBorders>
            <w:shd w:val="clear" w:color="auto" w:fill="auto"/>
            <w:noWrap/>
            <w:vAlign w:val="center"/>
            <w:hideMark/>
          </w:tcPr>
          <w:p w14:paraId="74AAE389"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36.481 </w:t>
            </w:r>
          </w:p>
        </w:tc>
        <w:tc>
          <w:tcPr>
            <w:tcW w:w="504" w:type="pct"/>
            <w:tcBorders>
              <w:top w:val="nil"/>
              <w:left w:val="nil"/>
              <w:bottom w:val="single" w:sz="8" w:space="0" w:color="8EAADB"/>
              <w:right w:val="nil"/>
            </w:tcBorders>
            <w:shd w:val="clear" w:color="auto" w:fill="auto"/>
            <w:noWrap/>
            <w:vAlign w:val="center"/>
            <w:hideMark/>
          </w:tcPr>
          <w:p w14:paraId="5AE8039E"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36.481 </w:t>
            </w:r>
          </w:p>
        </w:tc>
        <w:tc>
          <w:tcPr>
            <w:tcW w:w="572" w:type="pct"/>
            <w:tcBorders>
              <w:top w:val="nil"/>
              <w:left w:val="nil"/>
              <w:bottom w:val="single" w:sz="8" w:space="0" w:color="8EAADB"/>
              <w:right w:val="nil"/>
            </w:tcBorders>
            <w:shd w:val="clear" w:color="auto" w:fill="auto"/>
            <w:noWrap/>
            <w:vAlign w:val="center"/>
            <w:hideMark/>
          </w:tcPr>
          <w:p w14:paraId="11DFA030"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36.481 </w:t>
            </w:r>
          </w:p>
        </w:tc>
        <w:tc>
          <w:tcPr>
            <w:tcW w:w="429" w:type="pct"/>
            <w:tcBorders>
              <w:top w:val="nil"/>
              <w:left w:val="nil"/>
              <w:bottom w:val="single" w:sz="8" w:space="0" w:color="8EAADB"/>
              <w:right w:val="nil"/>
            </w:tcBorders>
            <w:shd w:val="clear" w:color="auto" w:fill="auto"/>
            <w:noWrap/>
            <w:vAlign w:val="center"/>
            <w:hideMark/>
          </w:tcPr>
          <w:p w14:paraId="4B111878"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0,0%</w:t>
            </w:r>
          </w:p>
        </w:tc>
        <w:tc>
          <w:tcPr>
            <w:tcW w:w="541" w:type="pct"/>
            <w:tcBorders>
              <w:top w:val="nil"/>
              <w:left w:val="nil"/>
              <w:bottom w:val="single" w:sz="8" w:space="0" w:color="8EAADB"/>
              <w:right w:val="nil"/>
            </w:tcBorders>
            <w:shd w:val="clear" w:color="auto" w:fill="auto"/>
            <w:noWrap/>
            <w:vAlign w:val="center"/>
            <w:hideMark/>
          </w:tcPr>
          <w:p w14:paraId="69E494EC"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0,00%</w:t>
            </w:r>
          </w:p>
        </w:tc>
      </w:tr>
      <w:tr w:rsidR="00D44CF4" w:rsidRPr="00D44CF4" w14:paraId="7BBFB1D6" w14:textId="77777777" w:rsidTr="00505643">
        <w:trPr>
          <w:trHeight w:val="238"/>
        </w:trPr>
        <w:tc>
          <w:tcPr>
            <w:tcW w:w="2451" w:type="pct"/>
            <w:tcBorders>
              <w:top w:val="nil"/>
              <w:left w:val="nil"/>
              <w:bottom w:val="single" w:sz="8" w:space="0" w:color="8EAADB"/>
              <w:right w:val="nil"/>
            </w:tcBorders>
            <w:shd w:val="clear" w:color="auto" w:fill="auto"/>
            <w:noWrap/>
            <w:vAlign w:val="center"/>
            <w:hideMark/>
          </w:tcPr>
          <w:p w14:paraId="7B04E917"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Aluguéis e Locações</w:t>
            </w:r>
          </w:p>
        </w:tc>
        <w:tc>
          <w:tcPr>
            <w:tcW w:w="504" w:type="pct"/>
            <w:tcBorders>
              <w:top w:val="nil"/>
              <w:left w:val="nil"/>
              <w:bottom w:val="single" w:sz="8" w:space="0" w:color="8EAADB"/>
              <w:right w:val="nil"/>
            </w:tcBorders>
            <w:shd w:val="clear" w:color="auto" w:fill="auto"/>
            <w:noWrap/>
            <w:vAlign w:val="center"/>
            <w:hideMark/>
          </w:tcPr>
          <w:p w14:paraId="066F0B0D"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26.918 </w:t>
            </w:r>
          </w:p>
        </w:tc>
        <w:tc>
          <w:tcPr>
            <w:tcW w:w="504" w:type="pct"/>
            <w:tcBorders>
              <w:top w:val="nil"/>
              <w:left w:val="nil"/>
              <w:bottom w:val="single" w:sz="8" w:space="0" w:color="8EAADB"/>
              <w:right w:val="nil"/>
            </w:tcBorders>
            <w:shd w:val="clear" w:color="auto" w:fill="auto"/>
            <w:noWrap/>
            <w:vAlign w:val="center"/>
            <w:hideMark/>
          </w:tcPr>
          <w:p w14:paraId="6D079BC1"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24.851 </w:t>
            </w:r>
          </w:p>
        </w:tc>
        <w:tc>
          <w:tcPr>
            <w:tcW w:w="572" w:type="pct"/>
            <w:tcBorders>
              <w:top w:val="nil"/>
              <w:left w:val="nil"/>
              <w:bottom w:val="single" w:sz="8" w:space="0" w:color="8EAADB"/>
              <w:right w:val="nil"/>
            </w:tcBorders>
            <w:shd w:val="clear" w:color="auto" w:fill="auto"/>
            <w:noWrap/>
            <w:vAlign w:val="center"/>
            <w:hideMark/>
          </w:tcPr>
          <w:p w14:paraId="57EF377E"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22.056 </w:t>
            </w:r>
          </w:p>
        </w:tc>
        <w:tc>
          <w:tcPr>
            <w:tcW w:w="429" w:type="pct"/>
            <w:tcBorders>
              <w:top w:val="nil"/>
              <w:left w:val="nil"/>
              <w:bottom w:val="single" w:sz="8" w:space="0" w:color="8EAADB"/>
              <w:right w:val="nil"/>
            </w:tcBorders>
            <w:shd w:val="clear" w:color="auto" w:fill="auto"/>
            <w:noWrap/>
            <w:vAlign w:val="center"/>
            <w:hideMark/>
          </w:tcPr>
          <w:p w14:paraId="0F30CAB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8,3%</w:t>
            </w:r>
          </w:p>
        </w:tc>
        <w:tc>
          <w:tcPr>
            <w:tcW w:w="541" w:type="pct"/>
            <w:tcBorders>
              <w:top w:val="nil"/>
              <w:left w:val="nil"/>
              <w:bottom w:val="single" w:sz="8" w:space="0" w:color="8EAADB"/>
              <w:right w:val="nil"/>
            </w:tcBorders>
            <w:shd w:val="clear" w:color="auto" w:fill="auto"/>
            <w:noWrap/>
            <w:vAlign w:val="center"/>
            <w:hideMark/>
          </w:tcPr>
          <w:p w14:paraId="5DDCD40C"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22,0%</w:t>
            </w:r>
          </w:p>
        </w:tc>
      </w:tr>
      <w:tr w:rsidR="00D44CF4" w:rsidRPr="00D44CF4" w14:paraId="47CCD10B" w14:textId="77777777" w:rsidTr="00505643">
        <w:trPr>
          <w:trHeight w:val="238"/>
        </w:trPr>
        <w:tc>
          <w:tcPr>
            <w:tcW w:w="2451" w:type="pct"/>
            <w:tcBorders>
              <w:top w:val="nil"/>
              <w:left w:val="nil"/>
              <w:bottom w:val="single" w:sz="8" w:space="0" w:color="8EAADB"/>
              <w:right w:val="nil"/>
            </w:tcBorders>
            <w:shd w:val="clear" w:color="auto" w:fill="auto"/>
            <w:noWrap/>
            <w:vAlign w:val="center"/>
            <w:hideMark/>
          </w:tcPr>
          <w:p w14:paraId="04166B03"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Receita de Valor Adicionado</w:t>
            </w:r>
          </w:p>
        </w:tc>
        <w:tc>
          <w:tcPr>
            <w:tcW w:w="504" w:type="pct"/>
            <w:tcBorders>
              <w:top w:val="nil"/>
              <w:left w:val="nil"/>
              <w:bottom w:val="single" w:sz="8" w:space="0" w:color="8EAADB"/>
              <w:right w:val="nil"/>
            </w:tcBorders>
            <w:shd w:val="clear" w:color="auto" w:fill="auto"/>
            <w:noWrap/>
            <w:vAlign w:val="center"/>
            <w:hideMark/>
          </w:tcPr>
          <w:p w14:paraId="6B1406C3"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20.029 </w:t>
            </w:r>
          </w:p>
        </w:tc>
        <w:tc>
          <w:tcPr>
            <w:tcW w:w="504" w:type="pct"/>
            <w:tcBorders>
              <w:top w:val="nil"/>
              <w:left w:val="nil"/>
              <w:bottom w:val="single" w:sz="8" w:space="0" w:color="8EAADB"/>
              <w:right w:val="nil"/>
            </w:tcBorders>
            <w:shd w:val="clear" w:color="auto" w:fill="auto"/>
            <w:noWrap/>
            <w:vAlign w:val="center"/>
            <w:hideMark/>
          </w:tcPr>
          <w:p w14:paraId="7A545B46"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18.073 </w:t>
            </w:r>
          </w:p>
        </w:tc>
        <w:tc>
          <w:tcPr>
            <w:tcW w:w="572" w:type="pct"/>
            <w:tcBorders>
              <w:top w:val="nil"/>
              <w:left w:val="nil"/>
              <w:bottom w:val="single" w:sz="8" w:space="0" w:color="8EAADB"/>
              <w:right w:val="nil"/>
            </w:tcBorders>
            <w:shd w:val="clear" w:color="auto" w:fill="auto"/>
            <w:noWrap/>
            <w:vAlign w:val="center"/>
            <w:hideMark/>
          </w:tcPr>
          <w:p w14:paraId="113E9720"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      </w:t>
            </w:r>
          </w:p>
        </w:tc>
        <w:tc>
          <w:tcPr>
            <w:tcW w:w="429" w:type="pct"/>
            <w:tcBorders>
              <w:top w:val="nil"/>
              <w:left w:val="nil"/>
              <w:bottom w:val="single" w:sz="8" w:space="0" w:color="8EAADB"/>
              <w:right w:val="nil"/>
            </w:tcBorders>
            <w:shd w:val="clear" w:color="auto" w:fill="auto"/>
            <w:noWrap/>
            <w:vAlign w:val="center"/>
            <w:hideMark/>
          </w:tcPr>
          <w:p w14:paraId="2938627F"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10,8%</w:t>
            </w:r>
          </w:p>
        </w:tc>
        <w:tc>
          <w:tcPr>
            <w:tcW w:w="541" w:type="pct"/>
            <w:tcBorders>
              <w:top w:val="nil"/>
              <w:left w:val="nil"/>
              <w:bottom w:val="single" w:sz="8" w:space="0" w:color="8EAADB"/>
              <w:right w:val="nil"/>
            </w:tcBorders>
            <w:shd w:val="clear" w:color="auto" w:fill="auto"/>
            <w:noWrap/>
            <w:vAlign w:val="center"/>
            <w:hideMark/>
          </w:tcPr>
          <w:p w14:paraId="73275AA1"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w:t>
            </w:r>
          </w:p>
        </w:tc>
      </w:tr>
      <w:tr w:rsidR="00D44CF4" w:rsidRPr="00D44CF4" w14:paraId="2BFDF8C6" w14:textId="77777777" w:rsidTr="00505643">
        <w:trPr>
          <w:trHeight w:val="238"/>
        </w:trPr>
        <w:tc>
          <w:tcPr>
            <w:tcW w:w="2451" w:type="pct"/>
            <w:tcBorders>
              <w:top w:val="nil"/>
              <w:left w:val="nil"/>
              <w:bottom w:val="single" w:sz="8" w:space="0" w:color="8EAADB"/>
              <w:right w:val="nil"/>
            </w:tcBorders>
            <w:shd w:val="clear" w:color="auto" w:fill="auto"/>
            <w:noWrap/>
            <w:vAlign w:val="center"/>
            <w:hideMark/>
          </w:tcPr>
          <w:p w14:paraId="177C64E5"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Compartilhamento de Receita</w:t>
            </w:r>
          </w:p>
        </w:tc>
        <w:tc>
          <w:tcPr>
            <w:tcW w:w="504" w:type="pct"/>
            <w:tcBorders>
              <w:top w:val="nil"/>
              <w:left w:val="nil"/>
              <w:bottom w:val="single" w:sz="8" w:space="0" w:color="8EAADB"/>
              <w:right w:val="nil"/>
            </w:tcBorders>
            <w:shd w:val="clear" w:color="auto" w:fill="auto"/>
            <w:noWrap/>
            <w:vAlign w:val="center"/>
            <w:hideMark/>
          </w:tcPr>
          <w:p w14:paraId="1A376D20"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13.633 </w:t>
            </w:r>
          </w:p>
        </w:tc>
        <w:tc>
          <w:tcPr>
            <w:tcW w:w="504" w:type="pct"/>
            <w:tcBorders>
              <w:top w:val="nil"/>
              <w:left w:val="nil"/>
              <w:bottom w:val="single" w:sz="8" w:space="0" w:color="8EAADB"/>
              <w:right w:val="nil"/>
            </w:tcBorders>
            <w:shd w:val="clear" w:color="auto" w:fill="auto"/>
            <w:noWrap/>
            <w:vAlign w:val="center"/>
            <w:hideMark/>
          </w:tcPr>
          <w:p w14:paraId="5B62267C"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19.640 </w:t>
            </w:r>
          </w:p>
        </w:tc>
        <w:tc>
          <w:tcPr>
            <w:tcW w:w="572" w:type="pct"/>
            <w:tcBorders>
              <w:top w:val="nil"/>
              <w:left w:val="nil"/>
              <w:bottom w:val="single" w:sz="8" w:space="0" w:color="8EAADB"/>
              <w:right w:val="nil"/>
            </w:tcBorders>
            <w:shd w:val="clear" w:color="auto" w:fill="auto"/>
            <w:noWrap/>
            <w:vAlign w:val="center"/>
            <w:hideMark/>
          </w:tcPr>
          <w:p w14:paraId="5F6B5649"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15.463 </w:t>
            </w:r>
          </w:p>
        </w:tc>
        <w:tc>
          <w:tcPr>
            <w:tcW w:w="429" w:type="pct"/>
            <w:tcBorders>
              <w:top w:val="nil"/>
              <w:left w:val="nil"/>
              <w:bottom w:val="single" w:sz="8" w:space="0" w:color="8EAADB"/>
              <w:right w:val="nil"/>
            </w:tcBorders>
            <w:shd w:val="clear" w:color="auto" w:fill="auto"/>
            <w:noWrap/>
            <w:vAlign w:val="center"/>
            <w:hideMark/>
          </w:tcPr>
          <w:p w14:paraId="33DA164C"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-30,6%</w:t>
            </w:r>
          </w:p>
        </w:tc>
        <w:tc>
          <w:tcPr>
            <w:tcW w:w="541" w:type="pct"/>
            <w:tcBorders>
              <w:top w:val="nil"/>
              <w:left w:val="nil"/>
              <w:bottom w:val="single" w:sz="8" w:space="0" w:color="8EAADB"/>
              <w:right w:val="nil"/>
            </w:tcBorders>
            <w:shd w:val="clear" w:color="auto" w:fill="auto"/>
            <w:noWrap/>
            <w:vAlign w:val="center"/>
            <w:hideMark/>
          </w:tcPr>
          <w:p w14:paraId="50962B0A"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-11,8%</w:t>
            </w:r>
          </w:p>
        </w:tc>
      </w:tr>
      <w:tr w:rsidR="00D44CF4" w:rsidRPr="00D44CF4" w14:paraId="1F3759C5" w14:textId="77777777" w:rsidTr="00505643">
        <w:trPr>
          <w:trHeight w:val="238"/>
        </w:trPr>
        <w:tc>
          <w:tcPr>
            <w:tcW w:w="2451" w:type="pct"/>
            <w:tcBorders>
              <w:top w:val="nil"/>
              <w:left w:val="nil"/>
              <w:bottom w:val="single" w:sz="8" w:space="0" w:color="8EAADB"/>
              <w:right w:val="nil"/>
            </w:tcBorders>
            <w:shd w:val="clear" w:color="auto" w:fill="auto"/>
            <w:noWrap/>
            <w:vAlign w:val="center"/>
            <w:hideMark/>
          </w:tcPr>
          <w:p w14:paraId="493D8B1D"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Outras Receitas</w:t>
            </w:r>
          </w:p>
        </w:tc>
        <w:tc>
          <w:tcPr>
            <w:tcW w:w="504" w:type="pct"/>
            <w:tcBorders>
              <w:top w:val="nil"/>
              <w:left w:val="nil"/>
              <w:bottom w:val="single" w:sz="8" w:space="0" w:color="8EAADB"/>
              <w:right w:val="nil"/>
            </w:tcBorders>
            <w:shd w:val="clear" w:color="auto" w:fill="auto"/>
            <w:noWrap/>
            <w:vAlign w:val="center"/>
            <w:hideMark/>
          </w:tcPr>
          <w:p w14:paraId="590EA070"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9.379 </w:t>
            </w:r>
          </w:p>
        </w:tc>
        <w:tc>
          <w:tcPr>
            <w:tcW w:w="504" w:type="pct"/>
            <w:tcBorders>
              <w:top w:val="nil"/>
              <w:left w:val="nil"/>
              <w:bottom w:val="single" w:sz="8" w:space="0" w:color="8EAADB"/>
              <w:right w:val="nil"/>
            </w:tcBorders>
            <w:shd w:val="clear" w:color="auto" w:fill="auto"/>
            <w:noWrap/>
            <w:vAlign w:val="center"/>
            <w:hideMark/>
          </w:tcPr>
          <w:p w14:paraId="212DDEC7"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14.496 </w:t>
            </w:r>
          </w:p>
        </w:tc>
        <w:tc>
          <w:tcPr>
            <w:tcW w:w="572" w:type="pct"/>
            <w:tcBorders>
              <w:top w:val="nil"/>
              <w:left w:val="nil"/>
              <w:bottom w:val="single" w:sz="8" w:space="0" w:color="8EAADB"/>
              <w:right w:val="nil"/>
            </w:tcBorders>
            <w:shd w:val="clear" w:color="auto" w:fill="auto"/>
            <w:noWrap/>
            <w:vAlign w:val="center"/>
            <w:hideMark/>
          </w:tcPr>
          <w:p w14:paraId="77C835F5"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6.888 </w:t>
            </w:r>
          </w:p>
        </w:tc>
        <w:tc>
          <w:tcPr>
            <w:tcW w:w="429" w:type="pct"/>
            <w:tcBorders>
              <w:top w:val="nil"/>
              <w:left w:val="nil"/>
              <w:bottom w:val="single" w:sz="8" w:space="0" w:color="8EAADB"/>
              <w:right w:val="nil"/>
            </w:tcBorders>
            <w:shd w:val="clear" w:color="auto" w:fill="auto"/>
            <w:noWrap/>
            <w:vAlign w:val="center"/>
            <w:hideMark/>
          </w:tcPr>
          <w:p w14:paraId="56CAE4A6"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-35,3%</w:t>
            </w:r>
          </w:p>
        </w:tc>
        <w:tc>
          <w:tcPr>
            <w:tcW w:w="541" w:type="pct"/>
            <w:tcBorders>
              <w:top w:val="nil"/>
              <w:left w:val="nil"/>
              <w:bottom w:val="single" w:sz="8" w:space="0" w:color="8EAADB"/>
              <w:right w:val="nil"/>
            </w:tcBorders>
            <w:shd w:val="clear" w:color="auto" w:fill="auto"/>
            <w:noWrap/>
            <w:vAlign w:val="center"/>
            <w:hideMark/>
          </w:tcPr>
          <w:p w14:paraId="40B29CD4"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36,2%</w:t>
            </w:r>
          </w:p>
        </w:tc>
      </w:tr>
      <w:tr w:rsidR="00D44CF4" w:rsidRPr="00D44CF4" w14:paraId="53425211" w14:textId="77777777" w:rsidTr="00505643">
        <w:trPr>
          <w:trHeight w:val="238"/>
        </w:trPr>
        <w:tc>
          <w:tcPr>
            <w:tcW w:w="2451" w:type="pct"/>
            <w:tcBorders>
              <w:top w:val="nil"/>
              <w:left w:val="nil"/>
              <w:bottom w:val="single" w:sz="8" w:space="0" w:color="8EAADB"/>
              <w:right w:val="nil"/>
            </w:tcBorders>
            <w:shd w:val="clear" w:color="auto" w:fill="auto"/>
            <w:noWrap/>
            <w:vAlign w:val="center"/>
            <w:hideMark/>
          </w:tcPr>
          <w:p w14:paraId="297B8B7F" w14:textId="77777777" w:rsidR="00D44CF4" w:rsidRPr="00D44CF4" w:rsidRDefault="00D44CF4" w:rsidP="00D44CF4">
            <w:pPr>
              <w:tabs>
                <w:tab w:val="clear" w:pos="851"/>
              </w:tabs>
              <w:spacing w:before="0" w:after="0" w:line="240" w:lineRule="auto"/>
              <w:jc w:val="lef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DEDUÇÕES DA RECEITA OPERACIONAL BRUTA </w:t>
            </w:r>
          </w:p>
        </w:tc>
        <w:tc>
          <w:tcPr>
            <w:tcW w:w="504" w:type="pct"/>
            <w:tcBorders>
              <w:top w:val="nil"/>
              <w:left w:val="nil"/>
              <w:bottom w:val="single" w:sz="8" w:space="0" w:color="8EAADB"/>
              <w:right w:val="nil"/>
            </w:tcBorders>
            <w:shd w:val="clear" w:color="auto" w:fill="auto"/>
            <w:noWrap/>
            <w:vAlign w:val="center"/>
            <w:hideMark/>
          </w:tcPr>
          <w:p w14:paraId="03A35212"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(48.076)</w:t>
            </w:r>
          </w:p>
        </w:tc>
        <w:tc>
          <w:tcPr>
            <w:tcW w:w="504" w:type="pct"/>
            <w:tcBorders>
              <w:top w:val="nil"/>
              <w:left w:val="nil"/>
              <w:bottom w:val="single" w:sz="8" w:space="0" w:color="8EAADB"/>
              <w:right w:val="nil"/>
            </w:tcBorders>
            <w:shd w:val="clear" w:color="auto" w:fill="auto"/>
            <w:noWrap/>
            <w:vAlign w:val="center"/>
            <w:hideMark/>
          </w:tcPr>
          <w:p w14:paraId="2B90223B"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(53.212)</w:t>
            </w:r>
          </w:p>
        </w:tc>
        <w:tc>
          <w:tcPr>
            <w:tcW w:w="572" w:type="pct"/>
            <w:tcBorders>
              <w:top w:val="nil"/>
              <w:left w:val="nil"/>
              <w:bottom w:val="single" w:sz="8" w:space="0" w:color="8EAADB"/>
              <w:right w:val="nil"/>
            </w:tcBorders>
            <w:shd w:val="clear" w:color="auto" w:fill="auto"/>
            <w:noWrap/>
            <w:vAlign w:val="center"/>
            <w:hideMark/>
          </w:tcPr>
          <w:p w14:paraId="537DF2EC"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(55.662)</w:t>
            </w:r>
          </w:p>
        </w:tc>
        <w:tc>
          <w:tcPr>
            <w:tcW w:w="429" w:type="pct"/>
            <w:tcBorders>
              <w:top w:val="nil"/>
              <w:left w:val="nil"/>
              <w:bottom w:val="single" w:sz="8" w:space="0" w:color="8EAADB"/>
              <w:right w:val="nil"/>
            </w:tcBorders>
            <w:shd w:val="clear" w:color="auto" w:fill="auto"/>
            <w:noWrap/>
            <w:vAlign w:val="center"/>
            <w:hideMark/>
          </w:tcPr>
          <w:p w14:paraId="21DD1822"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-9,7%</w:t>
            </w:r>
          </w:p>
        </w:tc>
        <w:tc>
          <w:tcPr>
            <w:tcW w:w="541" w:type="pct"/>
            <w:tcBorders>
              <w:top w:val="nil"/>
              <w:left w:val="nil"/>
              <w:bottom w:val="single" w:sz="8" w:space="0" w:color="8EAADB"/>
              <w:right w:val="nil"/>
            </w:tcBorders>
            <w:shd w:val="clear" w:color="auto" w:fill="auto"/>
            <w:noWrap/>
            <w:vAlign w:val="center"/>
            <w:hideMark/>
          </w:tcPr>
          <w:p w14:paraId="39F3A65F"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8"/>
                <w:szCs w:val="18"/>
                <w:lang w:eastAsia="pt-BR"/>
              </w:rPr>
              <w:t>-13,6%</w:t>
            </w:r>
          </w:p>
        </w:tc>
      </w:tr>
      <w:tr w:rsidR="00D44CF4" w:rsidRPr="00D44CF4" w14:paraId="37695D8D" w14:textId="77777777" w:rsidTr="00505643">
        <w:trPr>
          <w:trHeight w:val="238"/>
        </w:trPr>
        <w:tc>
          <w:tcPr>
            <w:tcW w:w="2451" w:type="pct"/>
            <w:tcBorders>
              <w:top w:val="nil"/>
              <w:left w:val="nil"/>
              <w:bottom w:val="single" w:sz="8" w:space="0" w:color="8EAADB"/>
              <w:right w:val="nil"/>
            </w:tcBorders>
            <w:shd w:val="clear" w:color="auto" w:fill="auto"/>
            <w:noWrap/>
            <w:vAlign w:val="center"/>
            <w:hideMark/>
          </w:tcPr>
          <w:p w14:paraId="325341EC"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Tributos s/ Receita Operacional Bruta</w:t>
            </w:r>
          </w:p>
        </w:tc>
        <w:tc>
          <w:tcPr>
            <w:tcW w:w="504" w:type="pct"/>
            <w:tcBorders>
              <w:top w:val="nil"/>
              <w:left w:val="nil"/>
              <w:bottom w:val="single" w:sz="8" w:space="0" w:color="8EAADB"/>
              <w:right w:val="nil"/>
            </w:tcBorders>
            <w:shd w:val="clear" w:color="auto" w:fill="auto"/>
            <w:noWrap/>
            <w:vAlign w:val="center"/>
            <w:hideMark/>
          </w:tcPr>
          <w:p w14:paraId="3F14DC37"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(46.892)</w:t>
            </w:r>
          </w:p>
        </w:tc>
        <w:tc>
          <w:tcPr>
            <w:tcW w:w="504" w:type="pct"/>
            <w:tcBorders>
              <w:top w:val="nil"/>
              <w:left w:val="nil"/>
              <w:bottom w:val="single" w:sz="8" w:space="0" w:color="8EAADB"/>
              <w:right w:val="nil"/>
            </w:tcBorders>
            <w:shd w:val="clear" w:color="auto" w:fill="auto"/>
            <w:noWrap/>
            <w:vAlign w:val="center"/>
            <w:hideMark/>
          </w:tcPr>
          <w:p w14:paraId="1E510FE3"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(51.456)</w:t>
            </w:r>
          </w:p>
        </w:tc>
        <w:tc>
          <w:tcPr>
            <w:tcW w:w="572" w:type="pct"/>
            <w:tcBorders>
              <w:top w:val="nil"/>
              <w:left w:val="nil"/>
              <w:bottom w:val="single" w:sz="8" w:space="0" w:color="8EAADB"/>
              <w:right w:val="nil"/>
            </w:tcBorders>
            <w:shd w:val="clear" w:color="auto" w:fill="auto"/>
            <w:noWrap/>
            <w:vAlign w:val="center"/>
            <w:hideMark/>
          </w:tcPr>
          <w:p w14:paraId="26DB2C24"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(55.280)</w:t>
            </w:r>
          </w:p>
        </w:tc>
        <w:tc>
          <w:tcPr>
            <w:tcW w:w="429" w:type="pct"/>
            <w:tcBorders>
              <w:top w:val="nil"/>
              <w:left w:val="nil"/>
              <w:bottom w:val="single" w:sz="8" w:space="0" w:color="8EAADB"/>
              <w:right w:val="nil"/>
            </w:tcBorders>
            <w:shd w:val="clear" w:color="auto" w:fill="auto"/>
            <w:noWrap/>
            <w:vAlign w:val="center"/>
            <w:hideMark/>
          </w:tcPr>
          <w:p w14:paraId="41392F27"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-8,9%</w:t>
            </w:r>
          </w:p>
        </w:tc>
        <w:tc>
          <w:tcPr>
            <w:tcW w:w="541" w:type="pct"/>
            <w:tcBorders>
              <w:top w:val="nil"/>
              <w:left w:val="nil"/>
              <w:bottom w:val="single" w:sz="8" w:space="0" w:color="8EAADB"/>
              <w:right w:val="nil"/>
            </w:tcBorders>
            <w:shd w:val="clear" w:color="auto" w:fill="auto"/>
            <w:noWrap/>
            <w:vAlign w:val="center"/>
            <w:hideMark/>
          </w:tcPr>
          <w:p w14:paraId="49D2CF59"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-15,2%</w:t>
            </w:r>
          </w:p>
        </w:tc>
      </w:tr>
      <w:tr w:rsidR="00D44CF4" w:rsidRPr="00D44CF4" w14:paraId="0F9B1ABB" w14:textId="77777777" w:rsidTr="00505643">
        <w:trPr>
          <w:trHeight w:val="238"/>
        </w:trPr>
        <w:tc>
          <w:tcPr>
            <w:tcW w:w="2451" w:type="pct"/>
            <w:tcBorders>
              <w:top w:val="nil"/>
              <w:left w:val="nil"/>
              <w:bottom w:val="single" w:sz="8" w:space="0" w:color="8EAADB"/>
              <w:right w:val="nil"/>
            </w:tcBorders>
            <w:shd w:val="clear" w:color="auto" w:fill="auto"/>
            <w:noWrap/>
            <w:vAlign w:val="center"/>
            <w:hideMark/>
          </w:tcPr>
          <w:p w14:paraId="6036CA5B"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   Descontos Incondicionais/Outros</w:t>
            </w:r>
          </w:p>
        </w:tc>
        <w:tc>
          <w:tcPr>
            <w:tcW w:w="504" w:type="pct"/>
            <w:tcBorders>
              <w:top w:val="nil"/>
              <w:left w:val="nil"/>
              <w:bottom w:val="single" w:sz="8" w:space="0" w:color="8EAADB"/>
              <w:right w:val="nil"/>
            </w:tcBorders>
            <w:shd w:val="clear" w:color="auto" w:fill="auto"/>
            <w:noWrap/>
            <w:vAlign w:val="center"/>
            <w:hideMark/>
          </w:tcPr>
          <w:p w14:paraId="30FDE09F"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(1.184)</w:t>
            </w:r>
          </w:p>
        </w:tc>
        <w:tc>
          <w:tcPr>
            <w:tcW w:w="504" w:type="pct"/>
            <w:tcBorders>
              <w:top w:val="nil"/>
              <w:left w:val="nil"/>
              <w:bottom w:val="single" w:sz="8" w:space="0" w:color="8EAADB"/>
              <w:right w:val="nil"/>
            </w:tcBorders>
            <w:shd w:val="clear" w:color="auto" w:fill="auto"/>
            <w:noWrap/>
            <w:vAlign w:val="center"/>
            <w:hideMark/>
          </w:tcPr>
          <w:p w14:paraId="169F0C41"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(1.756)</w:t>
            </w:r>
          </w:p>
        </w:tc>
        <w:tc>
          <w:tcPr>
            <w:tcW w:w="572" w:type="pct"/>
            <w:tcBorders>
              <w:top w:val="nil"/>
              <w:left w:val="nil"/>
              <w:bottom w:val="single" w:sz="8" w:space="0" w:color="8EAADB"/>
              <w:right w:val="nil"/>
            </w:tcBorders>
            <w:shd w:val="clear" w:color="auto" w:fill="auto"/>
            <w:noWrap/>
            <w:vAlign w:val="center"/>
            <w:hideMark/>
          </w:tcPr>
          <w:p w14:paraId="6EA5E0F1"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(382)</w:t>
            </w:r>
          </w:p>
        </w:tc>
        <w:tc>
          <w:tcPr>
            <w:tcW w:w="429" w:type="pct"/>
            <w:tcBorders>
              <w:top w:val="nil"/>
              <w:left w:val="nil"/>
              <w:bottom w:val="single" w:sz="8" w:space="0" w:color="8EAADB"/>
              <w:right w:val="nil"/>
            </w:tcBorders>
            <w:shd w:val="clear" w:color="auto" w:fill="auto"/>
            <w:noWrap/>
            <w:vAlign w:val="center"/>
            <w:hideMark/>
          </w:tcPr>
          <w:p w14:paraId="6CB37AC1"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-32,6%</w:t>
            </w:r>
          </w:p>
        </w:tc>
        <w:tc>
          <w:tcPr>
            <w:tcW w:w="541" w:type="pct"/>
            <w:tcBorders>
              <w:top w:val="nil"/>
              <w:left w:val="nil"/>
              <w:bottom w:val="single" w:sz="8" w:space="0" w:color="8EAADB"/>
              <w:right w:val="nil"/>
            </w:tcBorders>
            <w:shd w:val="clear" w:color="auto" w:fill="auto"/>
            <w:noWrap/>
            <w:vAlign w:val="center"/>
            <w:hideMark/>
          </w:tcPr>
          <w:p w14:paraId="3C792C09"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209,9%</w:t>
            </w:r>
          </w:p>
        </w:tc>
      </w:tr>
      <w:tr w:rsidR="00D44CF4" w:rsidRPr="00D44CF4" w14:paraId="4E8CF3B1" w14:textId="77777777" w:rsidTr="00505643">
        <w:trPr>
          <w:trHeight w:val="238"/>
        </w:trPr>
        <w:tc>
          <w:tcPr>
            <w:tcW w:w="2451" w:type="pct"/>
            <w:tcBorders>
              <w:top w:val="nil"/>
              <w:left w:val="nil"/>
              <w:bottom w:val="single" w:sz="8" w:space="0" w:color="8EAADB"/>
              <w:right w:val="nil"/>
            </w:tcBorders>
            <w:shd w:val="clear" w:color="auto" w:fill="auto"/>
            <w:noWrap/>
            <w:vAlign w:val="center"/>
            <w:hideMark/>
          </w:tcPr>
          <w:p w14:paraId="4C5D3A05" w14:textId="77777777" w:rsidR="00D44CF4" w:rsidRPr="00D44CF4" w:rsidRDefault="00D44CF4" w:rsidP="00D44CF4">
            <w:pPr>
              <w:tabs>
                <w:tab w:val="clear" w:pos="851"/>
              </w:tabs>
              <w:spacing w:before="0" w:after="0" w:line="240" w:lineRule="auto"/>
              <w:jc w:val="lef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RECEITA OPERACIONAL LÍQUIDA</w:t>
            </w:r>
          </w:p>
        </w:tc>
        <w:tc>
          <w:tcPr>
            <w:tcW w:w="504" w:type="pct"/>
            <w:tcBorders>
              <w:top w:val="nil"/>
              <w:left w:val="nil"/>
              <w:bottom w:val="single" w:sz="8" w:space="0" w:color="8EAADB"/>
              <w:right w:val="nil"/>
            </w:tcBorders>
            <w:shd w:val="clear" w:color="auto" w:fill="auto"/>
            <w:noWrap/>
            <w:vAlign w:val="center"/>
            <w:hideMark/>
          </w:tcPr>
          <w:p w14:paraId="2F87B399"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414.315 </w:t>
            </w:r>
          </w:p>
        </w:tc>
        <w:tc>
          <w:tcPr>
            <w:tcW w:w="504" w:type="pct"/>
            <w:tcBorders>
              <w:top w:val="nil"/>
              <w:left w:val="nil"/>
              <w:bottom w:val="single" w:sz="8" w:space="0" w:color="8EAADB"/>
              <w:right w:val="nil"/>
            </w:tcBorders>
            <w:shd w:val="clear" w:color="auto" w:fill="auto"/>
            <w:noWrap/>
            <w:vAlign w:val="center"/>
            <w:hideMark/>
          </w:tcPr>
          <w:p w14:paraId="0401D000"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416.840 </w:t>
            </w:r>
          </w:p>
        </w:tc>
        <w:tc>
          <w:tcPr>
            <w:tcW w:w="572" w:type="pct"/>
            <w:tcBorders>
              <w:top w:val="nil"/>
              <w:left w:val="nil"/>
              <w:bottom w:val="single" w:sz="8" w:space="0" w:color="8EAADB"/>
              <w:right w:val="nil"/>
            </w:tcBorders>
            <w:shd w:val="clear" w:color="auto" w:fill="auto"/>
            <w:noWrap/>
            <w:vAlign w:val="center"/>
            <w:hideMark/>
          </w:tcPr>
          <w:p w14:paraId="54953430"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347.840 </w:t>
            </w:r>
          </w:p>
        </w:tc>
        <w:tc>
          <w:tcPr>
            <w:tcW w:w="429" w:type="pct"/>
            <w:tcBorders>
              <w:top w:val="nil"/>
              <w:left w:val="nil"/>
              <w:bottom w:val="single" w:sz="8" w:space="0" w:color="8EAADB"/>
              <w:right w:val="nil"/>
            </w:tcBorders>
            <w:shd w:val="clear" w:color="auto" w:fill="auto"/>
            <w:noWrap/>
            <w:vAlign w:val="center"/>
            <w:hideMark/>
          </w:tcPr>
          <w:p w14:paraId="7B000B5F"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-0,6%</w:t>
            </w:r>
          </w:p>
        </w:tc>
        <w:tc>
          <w:tcPr>
            <w:tcW w:w="541" w:type="pct"/>
            <w:tcBorders>
              <w:top w:val="nil"/>
              <w:left w:val="nil"/>
              <w:bottom w:val="single" w:sz="8" w:space="0" w:color="8EAADB"/>
              <w:right w:val="nil"/>
            </w:tcBorders>
            <w:shd w:val="clear" w:color="auto" w:fill="auto"/>
            <w:noWrap/>
            <w:vAlign w:val="center"/>
            <w:hideMark/>
          </w:tcPr>
          <w:p w14:paraId="4BC137F8"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8"/>
                <w:szCs w:val="18"/>
                <w:lang w:eastAsia="pt-BR"/>
              </w:rPr>
              <w:t>19,1%</w:t>
            </w:r>
          </w:p>
        </w:tc>
      </w:tr>
    </w:tbl>
    <w:p w14:paraId="0BD55A9A" w14:textId="15EACC99" w:rsidR="00D44CF4" w:rsidRPr="00D44CF4" w:rsidRDefault="00D44CF4" w:rsidP="00D44CF4">
      <w:pPr>
        <w:spacing w:before="120" w:line="240" w:lineRule="auto"/>
        <w:rPr>
          <w:rFonts w:eastAsia="Arial"/>
          <w:sz w:val="22"/>
        </w:rPr>
      </w:pPr>
      <w:r w:rsidRPr="00D44CF4">
        <w:rPr>
          <w:rFonts w:eastAsia="Arial"/>
          <w:sz w:val="22"/>
        </w:rPr>
        <w:t>Em 2024 a Receita Operacional Líquida totalizou R$ 414,3 milhões (R$ 416,8 milhões em 2023), apresentando um</w:t>
      </w:r>
      <w:r w:rsidR="00E47852">
        <w:rPr>
          <w:rFonts w:eastAsia="Arial"/>
          <w:sz w:val="22"/>
        </w:rPr>
        <w:t>a</w:t>
      </w:r>
      <w:r w:rsidRPr="00D44CF4">
        <w:rPr>
          <w:rFonts w:eastAsia="Arial"/>
          <w:sz w:val="22"/>
        </w:rPr>
        <w:t xml:space="preserve"> estabilidade na comparação ao mesmo período do ano anterior. Com relação ao ano de 2022, ocorreu um crescimento de 14,6%, explicado pelo aumento do faturamento de novos contratos e reajustes contratuais. </w:t>
      </w:r>
    </w:p>
    <w:p w14:paraId="3A8AB6AF" w14:textId="073BC390" w:rsidR="00D44CF4" w:rsidRPr="00D44CF4" w:rsidRDefault="00D44CF4" w:rsidP="00D44CF4">
      <w:pPr>
        <w:spacing w:before="120" w:line="240" w:lineRule="auto"/>
        <w:rPr>
          <w:rFonts w:eastAsia="Arial"/>
          <w:sz w:val="22"/>
        </w:rPr>
      </w:pPr>
      <w:r w:rsidRPr="00D44CF4">
        <w:rPr>
          <w:rFonts w:eastAsia="Arial"/>
          <w:b/>
          <w:sz w:val="22"/>
        </w:rPr>
        <w:t>Serviço de Comunicação Multimídia (SCM):</w:t>
      </w:r>
      <w:r w:rsidRPr="00D44CF4">
        <w:rPr>
          <w:rFonts w:eastAsia="Arial"/>
          <w:sz w:val="22"/>
        </w:rPr>
        <w:t xml:space="preserve"> Em 2024, esta receita permaneceu estável na comparação com o exercício de 2023, já com relação ao ano de 2022 houve um aumento de 10,3%. Esse comportamento é explicado pela renovação do contrato com o programa Gesac, bem como a adequação dos pontos desse programa. </w:t>
      </w:r>
    </w:p>
    <w:p w14:paraId="6C4B197E" w14:textId="4627B9E2" w:rsidR="00D44CF4" w:rsidRPr="00D44CF4" w:rsidRDefault="00D44CF4" w:rsidP="00D44CF4">
      <w:pPr>
        <w:spacing w:before="120" w:line="240" w:lineRule="auto"/>
        <w:rPr>
          <w:rFonts w:eastAsia="Arial"/>
          <w:sz w:val="22"/>
        </w:rPr>
      </w:pPr>
      <w:r w:rsidRPr="00D44CF4">
        <w:rPr>
          <w:rFonts w:eastAsia="Arial"/>
          <w:b/>
          <w:bCs/>
          <w:sz w:val="22"/>
        </w:rPr>
        <w:t>Locação de Capacidade Satelital:</w:t>
      </w:r>
      <w:r w:rsidRPr="00D44CF4">
        <w:rPr>
          <w:rFonts w:eastAsia="Arial"/>
          <w:sz w:val="22"/>
        </w:rPr>
        <w:t xml:space="preserve"> este produto permaneceu estável na comparação entre o exercício de 2024 e os períodos comparados, com receita de R$ 36,5 milhões.</w:t>
      </w:r>
    </w:p>
    <w:p w14:paraId="4BECDC5E" w14:textId="73FF45FA" w:rsidR="00D44CF4" w:rsidRPr="00D44CF4" w:rsidRDefault="00D44CF4" w:rsidP="00D44CF4">
      <w:pPr>
        <w:spacing w:before="120" w:line="240" w:lineRule="auto"/>
        <w:rPr>
          <w:rFonts w:eastAsia="Arial"/>
          <w:sz w:val="22"/>
        </w:rPr>
      </w:pPr>
      <w:r w:rsidRPr="00D44CF4">
        <w:rPr>
          <w:rFonts w:eastAsia="Arial"/>
          <w:b/>
          <w:bCs/>
          <w:sz w:val="22"/>
        </w:rPr>
        <w:t>Aluguéis e Locações – Outras:</w:t>
      </w:r>
      <w:r w:rsidRPr="00D44CF4">
        <w:rPr>
          <w:rFonts w:eastAsia="Arial"/>
          <w:sz w:val="22"/>
        </w:rPr>
        <w:t xml:space="preserve">  compreende o aluguel de cabos ópticos, locação de roteadores e aluguel de infraestrutura do segmento satelital (contrato de parceria com a Viasat). No exercício de 2024, a receita reconhecida nessa rubrica totalizou R$ 26,9 milhões (R$ 24,9 milhões em 2023 e R$ 22,1 milhões em 2022), aumento de 8,3% e 22,0%, respectivamente.</w:t>
      </w:r>
    </w:p>
    <w:p w14:paraId="12087407" w14:textId="0B898754" w:rsidR="00D44CF4" w:rsidRPr="00D44CF4" w:rsidRDefault="00D44CF4" w:rsidP="00D44CF4">
      <w:pPr>
        <w:spacing w:before="120" w:line="240" w:lineRule="auto"/>
        <w:rPr>
          <w:rFonts w:eastAsia="Arial"/>
          <w:sz w:val="22"/>
        </w:rPr>
      </w:pPr>
      <w:r w:rsidRPr="00D44CF4">
        <w:rPr>
          <w:rFonts w:eastAsia="Arial"/>
          <w:b/>
          <w:bCs/>
          <w:sz w:val="22"/>
        </w:rPr>
        <w:t>Compartilhamento de Receitas:</w:t>
      </w:r>
      <w:r w:rsidRPr="00D44CF4">
        <w:rPr>
          <w:rFonts w:eastAsia="Arial"/>
          <w:sz w:val="22"/>
        </w:rPr>
        <w:t xml:space="preserve"> No ano de 2024, a Telebras reconheceu o montante de R$ 13,7 milhões (R$ 19,7 milhões em 2023 e R$ 15,5 milhões em 2022) queda de 30,6% e 11,8%, respectivamente. A redução é explicada pelo menor volume de recursos recebidos da Viasat no período. </w:t>
      </w:r>
    </w:p>
    <w:p w14:paraId="6AD950BD" w14:textId="7E1D41E4" w:rsidR="00D44CF4" w:rsidRPr="00D44CF4" w:rsidRDefault="00D44CF4" w:rsidP="00D44CF4">
      <w:pPr>
        <w:spacing w:before="120" w:line="240" w:lineRule="auto"/>
        <w:rPr>
          <w:rFonts w:eastAsia="Arial"/>
          <w:sz w:val="22"/>
        </w:rPr>
      </w:pPr>
      <w:r w:rsidRPr="00D44CF4">
        <w:rPr>
          <w:rFonts w:eastAsia="Arial"/>
          <w:b/>
          <w:sz w:val="22"/>
        </w:rPr>
        <w:t>Serviço de Valor Adicionado:</w:t>
      </w:r>
      <w:r w:rsidRPr="00D44CF4">
        <w:rPr>
          <w:rFonts w:eastAsia="Arial"/>
          <w:sz w:val="22"/>
        </w:rPr>
        <w:t xml:space="preserve"> Em 2024, a Companhia reconheceu o montante de R$ 20,0 milhões (R$ 18,1 milhões em 2023), crescimento de 10,8%. Esta receita se refere serviços prestado ao INSS conforme contrato e também da participação da Telebras na receita de serviço de disponibilização de aplicativo de acesso a livros, jornais, revistas e streamings, que é comercializado pela Viasat. </w:t>
      </w:r>
    </w:p>
    <w:p w14:paraId="2DFB4950" w14:textId="77777777" w:rsidR="00D44CF4" w:rsidRPr="00D44CF4" w:rsidRDefault="00D44CF4" w:rsidP="00D44CF4">
      <w:pPr>
        <w:spacing w:before="120" w:line="240" w:lineRule="auto"/>
        <w:rPr>
          <w:rFonts w:eastAsia="Arial"/>
          <w:b/>
          <w:bCs/>
          <w:sz w:val="22"/>
        </w:rPr>
      </w:pPr>
      <w:r w:rsidRPr="00D44CF4">
        <w:rPr>
          <w:rFonts w:eastAsia="Arial"/>
          <w:b/>
          <w:bCs/>
          <w:sz w:val="22"/>
        </w:rPr>
        <w:t>Outras Receitas:</w:t>
      </w:r>
      <w:r w:rsidRPr="00D44CF4">
        <w:rPr>
          <w:rFonts w:eastAsia="Arial"/>
          <w:sz w:val="22"/>
        </w:rPr>
        <w:t xml:space="preserve"> Representa o valor reconhecido relativo aos serviços prestados de instalação e manutenção do programa Wi-Fi Brasil. O montante reconhecido em 2024 foi de R$ 9,4 milhões (R$ 14,5 milhões em 2023 e R$ 6,9 milhões em 2022), redução de 35,3% na comparação com o ano de 2023, que é explicada pelos efeitos da renovação contrato Gesac, bem como pela adequação dos pontos desse programa. Com relação ao exercício de 2022, a receita apresentou crescimento de 36,2%.</w:t>
      </w:r>
    </w:p>
    <w:p w14:paraId="4E3DED01" w14:textId="6D5E8421" w:rsidR="003E0246" w:rsidRPr="00D44CF4" w:rsidRDefault="003E0246" w:rsidP="00087F48">
      <w:pPr>
        <w:pStyle w:val="Ttulo3"/>
        <w:ind w:left="709" w:hanging="709"/>
        <w:rPr>
          <w:b w:val="0"/>
        </w:rPr>
      </w:pPr>
      <w:bookmarkStart w:id="10" w:name="_Toc191641868"/>
      <w:r w:rsidRPr="00D44CF4">
        <w:t>Custos e Despesas Vinculadas às Funções: Custo dos Serviços Prestados, Comercialização dos Serviços e Despesas Gerais e Administrativas (Exceto Depreciação e Amortização)</w:t>
      </w:r>
      <w:bookmarkEnd w:id="10"/>
    </w:p>
    <w:tbl>
      <w:tblPr>
        <w:tblW w:w="5000" w:type="pct"/>
        <w:tblCellMar>
          <w:left w:w="70" w:type="dxa"/>
          <w:right w:w="70" w:type="dxa"/>
        </w:tblCellMar>
        <w:tblLook w:val="04A0" w:firstRow="1" w:lastRow="0" w:firstColumn="1" w:lastColumn="0" w:noHBand="0" w:noVBand="1"/>
      </w:tblPr>
      <w:tblGrid>
        <w:gridCol w:w="4490"/>
        <w:gridCol w:w="914"/>
        <w:gridCol w:w="914"/>
        <w:gridCol w:w="914"/>
        <w:gridCol w:w="818"/>
        <w:gridCol w:w="1022"/>
      </w:tblGrid>
      <w:tr w:rsidR="00D44CF4" w:rsidRPr="00D44CF4" w14:paraId="5836A671" w14:textId="77777777" w:rsidTr="00505643">
        <w:trPr>
          <w:trHeight w:val="238"/>
          <w:tblHeader/>
        </w:trPr>
        <w:tc>
          <w:tcPr>
            <w:tcW w:w="2474" w:type="pct"/>
            <w:tcBorders>
              <w:top w:val="single" w:sz="8" w:space="0" w:color="9BC2E6"/>
              <w:left w:val="nil"/>
              <w:bottom w:val="single" w:sz="8" w:space="0" w:color="9BC2E6"/>
              <w:right w:val="nil"/>
            </w:tcBorders>
            <w:shd w:val="clear" w:color="000000" w:fill="FFFFFF"/>
            <w:noWrap/>
            <w:vAlign w:val="center"/>
            <w:hideMark/>
          </w:tcPr>
          <w:p w14:paraId="25CF6ECA" w14:textId="77777777" w:rsidR="00D44CF4" w:rsidRPr="00D44CF4" w:rsidRDefault="00D44CF4" w:rsidP="00D44CF4">
            <w:pPr>
              <w:tabs>
                <w:tab w:val="clear" w:pos="851"/>
              </w:tabs>
              <w:spacing w:before="0" w:after="0" w:line="240" w:lineRule="auto"/>
              <w:jc w:val="left"/>
              <w:rPr>
                <w:rFonts w:ascii="Arial" w:hAnsi="Arial" w:cs="Arial"/>
                <w:b/>
                <w:bCs/>
                <w:color w:val="2F75B5"/>
                <w:sz w:val="16"/>
                <w:szCs w:val="16"/>
                <w:lang w:eastAsia="pt-BR"/>
              </w:rPr>
            </w:pPr>
            <w:r w:rsidRPr="00D44CF4">
              <w:rPr>
                <w:rFonts w:ascii="Arial" w:hAnsi="Arial" w:cs="Arial"/>
                <w:b/>
                <w:bCs/>
                <w:color w:val="2F75B5"/>
                <w:sz w:val="16"/>
                <w:szCs w:val="16"/>
                <w:lang w:eastAsia="pt-BR"/>
              </w:rPr>
              <w:t>R$ mil</w:t>
            </w:r>
          </w:p>
        </w:tc>
        <w:tc>
          <w:tcPr>
            <w:tcW w:w="504" w:type="pct"/>
            <w:tcBorders>
              <w:top w:val="single" w:sz="8" w:space="0" w:color="9BC2E6"/>
              <w:left w:val="nil"/>
              <w:bottom w:val="single" w:sz="8" w:space="0" w:color="9BC2E6"/>
              <w:right w:val="nil"/>
            </w:tcBorders>
            <w:shd w:val="clear" w:color="auto" w:fill="auto"/>
            <w:vAlign w:val="center"/>
            <w:hideMark/>
          </w:tcPr>
          <w:p w14:paraId="21D9F574" w14:textId="77777777" w:rsidR="00D44CF4" w:rsidRPr="00D44CF4" w:rsidRDefault="00D44CF4" w:rsidP="00D44CF4">
            <w:pPr>
              <w:tabs>
                <w:tab w:val="clear" w:pos="851"/>
              </w:tabs>
              <w:spacing w:before="0" w:after="0" w:line="240" w:lineRule="auto"/>
              <w:jc w:val="center"/>
              <w:rPr>
                <w:rFonts w:ascii="Arial" w:hAnsi="Arial" w:cs="Arial"/>
                <w:b/>
                <w:bCs/>
                <w:color w:val="2E74B5"/>
                <w:sz w:val="16"/>
                <w:szCs w:val="16"/>
                <w:lang w:eastAsia="pt-BR"/>
              </w:rPr>
            </w:pPr>
            <w:r w:rsidRPr="00D44CF4">
              <w:rPr>
                <w:rFonts w:ascii="Arial" w:hAnsi="Arial" w:cs="Arial"/>
                <w:b/>
                <w:bCs/>
                <w:color w:val="2E74B5"/>
                <w:sz w:val="16"/>
                <w:szCs w:val="16"/>
                <w:lang w:eastAsia="pt-BR"/>
              </w:rPr>
              <w:t>2024</w:t>
            </w:r>
          </w:p>
        </w:tc>
        <w:tc>
          <w:tcPr>
            <w:tcW w:w="504" w:type="pct"/>
            <w:tcBorders>
              <w:top w:val="single" w:sz="8" w:space="0" w:color="9BC2E6"/>
              <w:left w:val="nil"/>
              <w:bottom w:val="single" w:sz="8" w:space="0" w:color="9BC2E6"/>
              <w:right w:val="nil"/>
            </w:tcBorders>
            <w:shd w:val="clear" w:color="auto" w:fill="auto"/>
            <w:vAlign w:val="center"/>
            <w:hideMark/>
          </w:tcPr>
          <w:p w14:paraId="41AA3437" w14:textId="77777777" w:rsidR="00D44CF4" w:rsidRPr="00D44CF4" w:rsidRDefault="00D44CF4" w:rsidP="00D44CF4">
            <w:pPr>
              <w:tabs>
                <w:tab w:val="clear" w:pos="851"/>
              </w:tabs>
              <w:spacing w:before="0" w:after="0" w:line="240" w:lineRule="auto"/>
              <w:jc w:val="center"/>
              <w:rPr>
                <w:rFonts w:ascii="Arial" w:hAnsi="Arial" w:cs="Arial"/>
                <w:b/>
                <w:bCs/>
                <w:color w:val="2E74B5"/>
                <w:sz w:val="16"/>
                <w:szCs w:val="16"/>
                <w:lang w:eastAsia="pt-BR"/>
              </w:rPr>
            </w:pPr>
            <w:r w:rsidRPr="00D44CF4">
              <w:rPr>
                <w:rFonts w:ascii="Arial" w:hAnsi="Arial" w:cs="Arial"/>
                <w:b/>
                <w:bCs/>
                <w:color w:val="2E74B5"/>
                <w:sz w:val="16"/>
                <w:szCs w:val="16"/>
                <w:lang w:eastAsia="pt-BR"/>
              </w:rPr>
              <w:t>2023</w:t>
            </w:r>
          </w:p>
        </w:tc>
        <w:tc>
          <w:tcPr>
            <w:tcW w:w="504" w:type="pct"/>
            <w:tcBorders>
              <w:top w:val="single" w:sz="8" w:space="0" w:color="9BC2E6"/>
              <w:left w:val="nil"/>
              <w:bottom w:val="single" w:sz="8" w:space="0" w:color="9BC2E6"/>
              <w:right w:val="nil"/>
            </w:tcBorders>
            <w:shd w:val="clear" w:color="auto" w:fill="auto"/>
            <w:vAlign w:val="center"/>
            <w:hideMark/>
          </w:tcPr>
          <w:p w14:paraId="39A1E9FD" w14:textId="77777777" w:rsidR="00D44CF4" w:rsidRPr="00D44CF4" w:rsidRDefault="00D44CF4" w:rsidP="00D44CF4">
            <w:pPr>
              <w:tabs>
                <w:tab w:val="clear" w:pos="851"/>
              </w:tabs>
              <w:spacing w:before="0" w:after="0" w:line="240" w:lineRule="auto"/>
              <w:jc w:val="center"/>
              <w:rPr>
                <w:rFonts w:ascii="Arial" w:hAnsi="Arial" w:cs="Arial"/>
                <w:b/>
                <w:bCs/>
                <w:color w:val="2E74B5"/>
                <w:sz w:val="16"/>
                <w:szCs w:val="16"/>
                <w:lang w:eastAsia="pt-BR"/>
              </w:rPr>
            </w:pPr>
            <w:r w:rsidRPr="00D44CF4">
              <w:rPr>
                <w:rFonts w:ascii="Arial" w:hAnsi="Arial" w:cs="Arial"/>
                <w:b/>
                <w:bCs/>
                <w:color w:val="2E74B5"/>
                <w:sz w:val="16"/>
                <w:szCs w:val="16"/>
                <w:lang w:eastAsia="pt-BR"/>
              </w:rPr>
              <w:t>2022</w:t>
            </w:r>
          </w:p>
        </w:tc>
        <w:tc>
          <w:tcPr>
            <w:tcW w:w="451" w:type="pct"/>
            <w:tcBorders>
              <w:top w:val="single" w:sz="8" w:space="0" w:color="9BC2E6"/>
              <w:left w:val="nil"/>
              <w:bottom w:val="single" w:sz="8" w:space="0" w:color="9BC2E6"/>
              <w:right w:val="nil"/>
            </w:tcBorders>
            <w:shd w:val="clear" w:color="000000" w:fill="FFFFFF"/>
            <w:vAlign w:val="center"/>
            <w:hideMark/>
          </w:tcPr>
          <w:p w14:paraId="139A57BE" w14:textId="77777777" w:rsidR="00D44CF4" w:rsidRPr="00D44CF4" w:rsidRDefault="00D44CF4" w:rsidP="00D44CF4">
            <w:pPr>
              <w:tabs>
                <w:tab w:val="clear" w:pos="851"/>
              </w:tabs>
              <w:spacing w:before="0" w:after="0" w:line="240" w:lineRule="auto"/>
              <w:jc w:val="center"/>
              <w:rPr>
                <w:rFonts w:ascii="Arial" w:hAnsi="Arial" w:cs="Arial"/>
                <w:b/>
                <w:bCs/>
                <w:color w:val="2F75B5"/>
                <w:sz w:val="16"/>
                <w:szCs w:val="16"/>
                <w:lang w:eastAsia="pt-BR"/>
              </w:rPr>
            </w:pPr>
            <w:r w:rsidRPr="00D44CF4">
              <w:rPr>
                <w:rFonts w:ascii="Arial" w:hAnsi="Arial" w:cs="Arial"/>
                <w:b/>
                <w:bCs/>
                <w:color w:val="2F75B5"/>
                <w:sz w:val="16"/>
                <w:szCs w:val="16"/>
                <w:lang w:eastAsia="pt-BR"/>
              </w:rPr>
              <w:t>Δ 2024 X 2023</w:t>
            </w:r>
          </w:p>
        </w:tc>
        <w:tc>
          <w:tcPr>
            <w:tcW w:w="563" w:type="pct"/>
            <w:tcBorders>
              <w:top w:val="single" w:sz="8" w:space="0" w:color="9BC2E6"/>
              <w:left w:val="nil"/>
              <w:bottom w:val="single" w:sz="8" w:space="0" w:color="9BC2E6"/>
              <w:right w:val="nil"/>
            </w:tcBorders>
            <w:shd w:val="clear" w:color="000000" w:fill="FFFFFF"/>
            <w:vAlign w:val="center"/>
            <w:hideMark/>
          </w:tcPr>
          <w:p w14:paraId="2324DCC8" w14:textId="77777777" w:rsidR="00D44CF4" w:rsidRPr="00D44CF4" w:rsidRDefault="00D44CF4" w:rsidP="00D44CF4">
            <w:pPr>
              <w:tabs>
                <w:tab w:val="clear" w:pos="851"/>
              </w:tabs>
              <w:spacing w:before="0" w:after="0" w:line="240" w:lineRule="auto"/>
              <w:jc w:val="center"/>
              <w:rPr>
                <w:rFonts w:ascii="Arial" w:hAnsi="Arial" w:cs="Arial"/>
                <w:b/>
                <w:bCs/>
                <w:color w:val="2F75B5"/>
                <w:sz w:val="16"/>
                <w:szCs w:val="16"/>
                <w:lang w:eastAsia="pt-BR"/>
              </w:rPr>
            </w:pPr>
            <w:r w:rsidRPr="00D44CF4">
              <w:rPr>
                <w:rFonts w:ascii="Arial" w:hAnsi="Arial" w:cs="Arial"/>
                <w:b/>
                <w:bCs/>
                <w:color w:val="2F75B5"/>
                <w:sz w:val="16"/>
                <w:szCs w:val="16"/>
                <w:lang w:eastAsia="pt-BR"/>
              </w:rPr>
              <w:t>Δ 2024 X 2022</w:t>
            </w:r>
          </w:p>
        </w:tc>
      </w:tr>
      <w:tr w:rsidR="00D44CF4" w:rsidRPr="00D44CF4" w14:paraId="730F2A81" w14:textId="77777777" w:rsidTr="00505643">
        <w:trPr>
          <w:trHeight w:val="238"/>
        </w:trPr>
        <w:tc>
          <w:tcPr>
            <w:tcW w:w="2474" w:type="pct"/>
            <w:tcBorders>
              <w:top w:val="nil"/>
              <w:left w:val="nil"/>
              <w:bottom w:val="single" w:sz="8" w:space="0" w:color="9BC2E6"/>
              <w:right w:val="nil"/>
            </w:tcBorders>
            <w:shd w:val="clear" w:color="auto" w:fill="auto"/>
            <w:noWrap/>
            <w:vAlign w:val="center"/>
            <w:hideMark/>
          </w:tcPr>
          <w:p w14:paraId="439C2953"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Serviços de Terceiros</w:t>
            </w:r>
          </w:p>
        </w:tc>
        <w:tc>
          <w:tcPr>
            <w:tcW w:w="504" w:type="pct"/>
            <w:tcBorders>
              <w:top w:val="nil"/>
              <w:left w:val="nil"/>
              <w:bottom w:val="single" w:sz="8" w:space="0" w:color="9BC2E6"/>
              <w:right w:val="nil"/>
            </w:tcBorders>
            <w:shd w:val="clear" w:color="auto" w:fill="auto"/>
            <w:noWrap/>
            <w:vAlign w:val="center"/>
            <w:hideMark/>
          </w:tcPr>
          <w:p w14:paraId="58EA1AAF"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(173.875)</w:t>
            </w:r>
          </w:p>
        </w:tc>
        <w:tc>
          <w:tcPr>
            <w:tcW w:w="504" w:type="pct"/>
            <w:tcBorders>
              <w:top w:val="nil"/>
              <w:left w:val="nil"/>
              <w:bottom w:val="single" w:sz="8" w:space="0" w:color="9BC2E6"/>
              <w:right w:val="nil"/>
            </w:tcBorders>
            <w:shd w:val="clear" w:color="auto" w:fill="auto"/>
            <w:noWrap/>
            <w:vAlign w:val="center"/>
            <w:hideMark/>
          </w:tcPr>
          <w:p w14:paraId="280E9AFF"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(159.570)</w:t>
            </w:r>
          </w:p>
        </w:tc>
        <w:tc>
          <w:tcPr>
            <w:tcW w:w="504" w:type="pct"/>
            <w:tcBorders>
              <w:top w:val="nil"/>
              <w:left w:val="nil"/>
              <w:bottom w:val="single" w:sz="8" w:space="0" w:color="9BC2E6"/>
              <w:right w:val="nil"/>
            </w:tcBorders>
            <w:shd w:val="clear" w:color="auto" w:fill="auto"/>
            <w:noWrap/>
            <w:vAlign w:val="center"/>
            <w:hideMark/>
          </w:tcPr>
          <w:p w14:paraId="535CDFEF"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(109.165)</w:t>
            </w:r>
          </w:p>
        </w:tc>
        <w:tc>
          <w:tcPr>
            <w:tcW w:w="451" w:type="pct"/>
            <w:tcBorders>
              <w:top w:val="nil"/>
              <w:left w:val="nil"/>
              <w:bottom w:val="single" w:sz="8" w:space="0" w:color="8EAADB"/>
              <w:right w:val="nil"/>
            </w:tcBorders>
            <w:shd w:val="clear" w:color="auto" w:fill="auto"/>
            <w:noWrap/>
            <w:vAlign w:val="center"/>
            <w:hideMark/>
          </w:tcPr>
          <w:p w14:paraId="2D07AF9D"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9,0%</w:t>
            </w:r>
          </w:p>
        </w:tc>
        <w:tc>
          <w:tcPr>
            <w:tcW w:w="563" w:type="pct"/>
            <w:tcBorders>
              <w:top w:val="nil"/>
              <w:left w:val="nil"/>
              <w:bottom w:val="single" w:sz="8" w:space="0" w:color="9BC2E6"/>
              <w:right w:val="nil"/>
            </w:tcBorders>
            <w:shd w:val="clear" w:color="auto" w:fill="auto"/>
            <w:noWrap/>
            <w:vAlign w:val="center"/>
            <w:hideMark/>
          </w:tcPr>
          <w:p w14:paraId="1AE8E11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59,3%</w:t>
            </w:r>
          </w:p>
        </w:tc>
      </w:tr>
      <w:tr w:rsidR="00D44CF4" w:rsidRPr="00D44CF4" w14:paraId="7EE85ADB" w14:textId="77777777" w:rsidTr="00505643">
        <w:trPr>
          <w:trHeight w:val="238"/>
        </w:trPr>
        <w:tc>
          <w:tcPr>
            <w:tcW w:w="2474" w:type="pct"/>
            <w:tcBorders>
              <w:top w:val="nil"/>
              <w:left w:val="nil"/>
              <w:bottom w:val="nil"/>
              <w:right w:val="nil"/>
            </w:tcBorders>
            <w:shd w:val="clear" w:color="auto" w:fill="auto"/>
            <w:noWrap/>
            <w:vAlign w:val="center"/>
            <w:hideMark/>
          </w:tcPr>
          <w:p w14:paraId="27DE9532"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Meios de Conexão e Transmissão</w:t>
            </w:r>
          </w:p>
        </w:tc>
        <w:tc>
          <w:tcPr>
            <w:tcW w:w="504" w:type="pct"/>
            <w:tcBorders>
              <w:top w:val="nil"/>
              <w:left w:val="nil"/>
              <w:bottom w:val="nil"/>
              <w:right w:val="nil"/>
            </w:tcBorders>
            <w:shd w:val="clear" w:color="auto" w:fill="auto"/>
            <w:noWrap/>
            <w:vAlign w:val="center"/>
            <w:hideMark/>
          </w:tcPr>
          <w:p w14:paraId="210E5C3C"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(135.121)</w:t>
            </w:r>
          </w:p>
        </w:tc>
        <w:tc>
          <w:tcPr>
            <w:tcW w:w="504" w:type="pct"/>
            <w:tcBorders>
              <w:top w:val="nil"/>
              <w:left w:val="nil"/>
              <w:bottom w:val="nil"/>
              <w:right w:val="nil"/>
            </w:tcBorders>
            <w:shd w:val="clear" w:color="auto" w:fill="auto"/>
            <w:noWrap/>
            <w:vAlign w:val="center"/>
            <w:hideMark/>
          </w:tcPr>
          <w:p w14:paraId="3EF51EB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(136.851)</w:t>
            </w:r>
          </w:p>
        </w:tc>
        <w:tc>
          <w:tcPr>
            <w:tcW w:w="504" w:type="pct"/>
            <w:tcBorders>
              <w:top w:val="nil"/>
              <w:left w:val="nil"/>
              <w:bottom w:val="nil"/>
              <w:right w:val="nil"/>
            </w:tcBorders>
            <w:shd w:val="clear" w:color="auto" w:fill="auto"/>
            <w:noWrap/>
            <w:vAlign w:val="center"/>
            <w:hideMark/>
          </w:tcPr>
          <w:p w14:paraId="5CA775A5"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(127.727)</w:t>
            </w:r>
          </w:p>
        </w:tc>
        <w:tc>
          <w:tcPr>
            <w:tcW w:w="451" w:type="pct"/>
            <w:tcBorders>
              <w:top w:val="nil"/>
              <w:left w:val="nil"/>
              <w:bottom w:val="single" w:sz="8" w:space="0" w:color="8EAADB"/>
              <w:right w:val="nil"/>
            </w:tcBorders>
            <w:shd w:val="clear" w:color="auto" w:fill="auto"/>
            <w:noWrap/>
            <w:vAlign w:val="center"/>
            <w:hideMark/>
          </w:tcPr>
          <w:p w14:paraId="1F5912C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-1,3%</w:t>
            </w:r>
          </w:p>
        </w:tc>
        <w:tc>
          <w:tcPr>
            <w:tcW w:w="563" w:type="pct"/>
            <w:tcBorders>
              <w:top w:val="nil"/>
              <w:left w:val="nil"/>
              <w:bottom w:val="single" w:sz="8" w:space="0" w:color="8EAADB"/>
              <w:right w:val="nil"/>
            </w:tcBorders>
            <w:shd w:val="clear" w:color="auto" w:fill="auto"/>
            <w:noWrap/>
            <w:vAlign w:val="center"/>
            <w:hideMark/>
          </w:tcPr>
          <w:p w14:paraId="373171D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5,8%</w:t>
            </w:r>
          </w:p>
        </w:tc>
      </w:tr>
      <w:tr w:rsidR="00D44CF4" w:rsidRPr="00D44CF4" w14:paraId="63C3EC7A" w14:textId="77777777" w:rsidTr="00505643">
        <w:trPr>
          <w:trHeight w:val="238"/>
        </w:trPr>
        <w:tc>
          <w:tcPr>
            <w:tcW w:w="2474" w:type="pct"/>
            <w:tcBorders>
              <w:top w:val="single" w:sz="8" w:space="0" w:color="9BC2E6"/>
              <w:left w:val="nil"/>
              <w:bottom w:val="single" w:sz="8" w:space="0" w:color="9BC2E6"/>
              <w:right w:val="nil"/>
            </w:tcBorders>
            <w:shd w:val="clear" w:color="auto" w:fill="auto"/>
            <w:noWrap/>
            <w:vAlign w:val="center"/>
            <w:hideMark/>
          </w:tcPr>
          <w:p w14:paraId="32F26E08"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Pessoal </w:t>
            </w:r>
          </w:p>
        </w:tc>
        <w:tc>
          <w:tcPr>
            <w:tcW w:w="504" w:type="pct"/>
            <w:tcBorders>
              <w:top w:val="single" w:sz="8" w:space="0" w:color="9BC2E6"/>
              <w:left w:val="nil"/>
              <w:bottom w:val="single" w:sz="8" w:space="0" w:color="9BC2E6"/>
              <w:right w:val="nil"/>
            </w:tcBorders>
            <w:shd w:val="clear" w:color="auto" w:fill="auto"/>
            <w:noWrap/>
            <w:vAlign w:val="center"/>
            <w:hideMark/>
          </w:tcPr>
          <w:p w14:paraId="19740718"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(111.058)</w:t>
            </w:r>
          </w:p>
        </w:tc>
        <w:tc>
          <w:tcPr>
            <w:tcW w:w="504" w:type="pct"/>
            <w:tcBorders>
              <w:top w:val="single" w:sz="8" w:space="0" w:color="9BC2E6"/>
              <w:left w:val="nil"/>
              <w:bottom w:val="single" w:sz="8" w:space="0" w:color="9BC2E6"/>
              <w:right w:val="nil"/>
            </w:tcBorders>
            <w:shd w:val="clear" w:color="auto" w:fill="auto"/>
            <w:noWrap/>
            <w:vAlign w:val="center"/>
            <w:hideMark/>
          </w:tcPr>
          <w:p w14:paraId="1340E390"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(106.908)</w:t>
            </w:r>
          </w:p>
        </w:tc>
        <w:tc>
          <w:tcPr>
            <w:tcW w:w="504" w:type="pct"/>
            <w:tcBorders>
              <w:top w:val="single" w:sz="8" w:space="0" w:color="9BC2E6"/>
              <w:left w:val="nil"/>
              <w:bottom w:val="single" w:sz="8" w:space="0" w:color="9BC2E6"/>
              <w:right w:val="nil"/>
            </w:tcBorders>
            <w:shd w:val="clear" w:color="auto" w:fill="auto"/>
            <w:noWrap/>
            <w:vAlign w:val="center"/>
            <w:hideMark/>
          </w:tcPr>
          <w:p w14:paraId="3B66B57F"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(97.129)</w:t>
            </w:r>
          </w:p>
        </w:tc>
        <w:tc>
          <w:tcPr>
            <w:tcW w:w="451" w:type="pct"/>
            <w:tcBorders>
              <w:top w:val="nil"/>
              <w:left w:val="nil"/>
              <w:bottom w:val="single" w:sz="8" w:space="0" w:color="8EAADB"/>
              <w:right w:val="nil"/>
            </w:tcBorders>
            <w:shd w:val="clear" w:color="auto" w:fill="auto"/>
            <w:noWrap/>
            <w:vAlign w:val="center"/>
            <w:hideMark/>
          </w:tcPr>
          <w:p w14:paraId="6E4DAD17"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3,9%</w:t>
            </w:r>
          </w:p>
        </w:tc>
        <w:tc>
          <w:tcPr>
            <w:tcW w:w="563" w:type="pct"/>
            <w:tcBorders>
              <w:top w:val="nil"/>
              <w:left w:val="nil"/>
              <w:bottom w:val="single" w:sz="8" w:space="0" w:color="9BC2E6"/>
              <w:right w:val="nil"/>
            </w:tcBorders>
            <w:shd w:val="clear" w:color="auto" w:fill="auto"/>
            <w:noWrap/>
            <w:vAlign w:val="center"/>
            <w:hideMark/>
          </w:tcPr>
          <w:p w14:paraId="34F63109"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14,3%</w:t>
            </w:r>
          </w:p>
        </w:tc>
      </w:tr>
      <w:tr w:rsidR="00D44CF4" w:rsidRPr="00D44CF4" w14:paraId="202F8501" w14:textId="77777777" w:rsidTr="00505643">
        <w:trPr>
          <w:trHeight w:val="238"/>
        </w:trPr>
        <w:tc>
          <w:tcPr>
            <w:tcW w:w="2474" w:type="pct"/>
            <w:tcBorders>
              <w:top w:val="nil"/>
              <w:left w:val="nil"/>
              <w:bottom w:val="single" w:sz="8" w:space="0" w:color="9BC2E6"/>
              <w:right w:val="nil"/>
            </w:tcBorders>
            <w:shd w:val="clear" w:color="auto" w:fill="auto"/>
            <w:noWrap/>
            <w:vAlign w:val="center"/>
            <w:hideMark/>
          </w:tcPr>
          <w:p w14:paraId="6E53E5B9"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Aluguéis, Locações e Seguros</w:t>
            </w:r>
          </w:p>
        </w:tc>
        <w:tc>
          <w:tcPr>
            <w:tcW w:w="504" w:type="pct"/>
            <w:tcBorders>
              <w:top w:val="nil"/>
              <w:left w:val="nil"/>
              <w:bottom w:val="single" w:sz="8" w:space="0" w:color="9BC2E6"/>
              <w:right w:val="nil"/>
            </w:tcBorders>
            <w:shd w:val="clear" w:color="auto" w:fill="auto"/>
            <w:noWrap/>
            <w:vAlign w:val="center"/>
            <w:hideMark/>
          </w:tcPr>
          <w:p w14:paraId="23A0EF8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(50.467)</w:t>
            </w:r>
          </w:p>
        </w:tc>
        <w:tc>
          <w:tcPr>
            <w:tcW w:w="504" w:type="pct"/>
            <w:tcBorders>
              <w:top w:val="nil"/>
              <w:left w:val="nil"/>
              <w:bottom w:val="single" w:sz="8" w:space="0" w:color="9BC2E6"/>
              <w:right w:val="nil"/>
            </w:tcBorders>
            <w:shd w:val="clear" w:color="auto" w:fill="auto"/>
            <w:noWrap/>
            <w:vAlign w:val="center"/>
            <w:hideMark/>
          </w:tcPr>
          <w:p w14:paraId="70110718"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(50.936)</w:t>
            </w:r>
          </w:p>
        </w:tc>
        <w:tc>
          <w:tcPr>
            <w:tcW w:w="504" w:type="pct"/>
            <w:tcBorders>
              <w:top w:val="nil"/>
              <w:left w:val="nil"/>
              <w:bottom w:val="single" w:sz="8" w:space="0" w:color="9BC2E6"/>
              <w:right w:val="nil"/>
            </w:tcBorders>
            <w:shd w:val="clear" w:color="auto" w:fill="auto"/>
            <w:noWrap/>
            <w:vAlign w:val="center"/>
            <w:hideMark/>
          </w:tcPr>
          <w:p w14:paraId="584A1EC0"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(48.463)</w:t>
            </w:r>
          </w:p>
        </w:tc>
        <w:tc>
          <w:tcPr>
            <w:tcW w:w="451" w:type="pct"/>
            <w:tcBorders>
              <w:top w:val="nil"/>
              <w:left w:val="nil"/>
              <w:bottom w:val="single" w:sz="8" w:space="0" w:color="8EAADB"/>
              <w:right w:val="nil"/>
            </w:tcBorders>
            <w:shd w:val="clear" w:color="auto" w:fill="auto"/>
            <w:noWrap/>
            <w:vAlign w:val="center"/>
            <w:hideMark/>
          </w:tcPr>
          <w:p w14:paraId="2E8A8F7B"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-0,9%</w:t>
            </w:r>
          </w:p>
        </w:tc>
        <w:tc>
          <w:tcPr>
            <w:tcW w:w="563" w:type="pct"/>
            <w:tcBorders>
              <w:top w:val="nil"/>
              <w:left w:val="nil"/>
              <w:bottom w:val="single" w:sz="8" w:space="0" w:color="9BC2E6"/>
              <w:right w:val="nil"/>
            </w:tcBorders>
            <w:shd w:val="clear" w:color="auto" w:fill="auto"/>
            <w:noWrap/>
            <w:vAlign w:val="center"/>
            <w:hideMark/>
          </w:tcPr>
          <w:p w14:paraId="14AF3276"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4,1%</w:t>
            </w:r>
          </w:p>
        </w:tc>
      </w:tr>
      <w:tr w:rsidR="00D44CF4" w:rsidRPr="00D44CF4" w14:paraId="38C4064F" w14:textId="77777777" w:rsidTr="00505643">
        <w:trPr>
          <w:trHeight w:val="238"/>
        </w:trPr>
        <w:tc>
          <w:tcPr>
            <w:tcW w:w="2474" w:type="pct"/>
            <w:tcBorders>
              <w:top w:val="nil"/>
              <w:left w:val="nil"/>
              <w:bottom w:val="single" w:sz="8" w:space="0" w:color="9BC2E6"/>
              <w:right w:val="nil"/>
            </w:tcBorders>
            <w:shd w:val="clear" w:color="auto" w:fill="auto"/>
            <w:noWrap/>
            <w:vAlign w:val="center"/>
            <w:hideMark/>
          </w:tcPr>
          <w:p w14:paraId="5A0E2A50"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Tributos</w:t>
            </w:r>
          </w:p>
        </w:tc>
        <w:tc>
          <w:tcPr>
            <w:tcW w:w="504" w:type="pct"/>
            <w:tcBorders>
              <w:top w:val="nil"/>
              <w:left w:val="nil"/>
              <w:bottom w:val="single" w:sz="8" w:space="0" w:color="9BC2E6"/>
              <w:right w:val="nil"/>
            </w:tcBorders>
            <w:shd w:val="clear" w:color="auto" w:fill="auto"/>
            <w:noWrap/>
            <w:vAlign w:val="center"/>
            <w:hideMark/>
          </w:tcPr>
          <w:p w14:paraId="6C7A2CAE"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(5.372)</w:t>
            </w:r>
          </w:p>
        </w:tc>
        <w:tc>
          <w:tcPr>
            <w:tcW w:w="504" w:type="pct"/>
            <w:tcBorders>
              <w:top w:val="nil"/>
              <w:left w:val="nil"/>
              <w:bottom w:val="single" w:sz="8" w:space="0" w:color="9BC2E6"/>
              <w:right w:val="nil"/>
            </w:tcBorders>
            <w:shd w:val="clear" w:color="auto" w:fill="auto"/>
            <w:noWrap/>
            <w:vAlign w:val="center"/>
            <w:hideMark/>
          </w:tcPr>
          <w:p w14:paraId="26110573"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(5.296)</w:t>
            </w:r>
          </w:p>
        </w:tc>
        <w:tc>
          <w:tcPr>
            <w:tcW w:w="504" w:type="pct"/>
            <w:tcBorders>
              <w:top w:val="nil"/>
              <w:left w:val="nil"/>
              <w:bottom w:val="single" w:sz="8" w:space="0" w:color="9BC2E6"/>
              <w:right w:val="nil"/>
            </w:tcBorders>
            <w:shd w:val="clear" w:color="auto" w:fill="auto"/>
            <w:noWrap/>
            <w:vAlign w:val="center"/>
            <w:hideMark/>
          </w:tcPr>
          <w:p w14:paraId="760AD887"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(4.791)</w:t>
            </w:r>
          </w:p>
        </w:tc>
        <w:tc>
          <w:tcPr>
            <w:tcW w:w="451" w:type="pct"/>
            <w:tcBorders>
              <w:top w:val="nil"/>
              <w:left w:val="nil"/>
              <w:bottom w:val="single" w:sz="8" w:space="0" w:color="8EAADB"/>
              <w:right w:val="nil"/>
            </w:tcBorders>
            <w:shd w:val="clear" w:color="auto" w:fill="auto"/>
            <w:noWrap/>
            <w:vAlign w:val="center"/>
            <w:hideMark/>
          </w:tcPr>
          <w:p w14:paraId="1921A563"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1,4%</w:t>
            </w:r>
          </w:p>
        </w:tc>
        <w:tc>
          <w:tcPr>
            <w:tcW w:w="563" w:type="pct"/>
            <w:tcBorders>
              <w:top w:val="nil"/>
              <w:left w:val="nil"/>
              <w:bottom w:val="single" w:sz="8" w:space="0" w:color="9BC2E6"/>
              <w:right w:val="nil"/>
            </w:tcBorders>
            <w:shd w:val="clear" w:color="auto" w:fill="auto"/>
            <w:noWrap/>
            <w:vAlign w:val="center"/>
            <w:hideMark/>
          </w:tcPr>
          <w:p w14:paraId="3AD281A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12,1%</w:t>
            </w:r>
          </w:p>
        </w:tc>
      </w:tr>
      <w:tr w:rsidR="00D44CF4" w:rsidRPr="00D44CF4" w14:paraId="4367FDBC" w14:textId="77777777" w:rsidTr="00505643">
        <w:trPr>
          <w:trHeight w:val="238"/>
        </w:trPr>
        <w:tc>
          <w:tcPr>
            <w:tcW w:w="2474" w:type="pct"/>
            <w:tcBorders>
              <w:top w:val="nil"/>
              <w:left w:val="nil"/>
              <w:bottom w:val="single" w:sz="8" w:space="0" w:color="9BC2E6"/>
              <w:right w:val="nil"/>
            </w:tcBorders>
            <w:shd w:val="clear" w:color="auto" w:fill="auto"/>
            <w:noWrap/>
            <w:vAlign w:val="center"/>
            <w:hideMark/>
          </w:tcPr>
          <w:p w14:paraId="5332D219"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Compartilhamento de Instalações</w:t>
            </w:r>
          </w:p>
        </w:tc>
        <w:tc>
          <w:tcPr>
            <w:tcW w:w="504" w:type="pct"/>
            <w:tcBorders>
              <w:top w:val="nil"/>
              <w:left w:val="nil"/>
              <w:bottom w:val="single" w:sz="8" w:space="0" w:color="9BC2E6"/>
              <w:right w:val="nil"/>
            </w:tcBorders>
            <w:shd w:val="clear" w:color="auto" w:fill="auto"/>
            <w:noWrap/>
            <w:vAlign w:val="center"/>
            <w:hideMark/>
          </w:tcPr>
          <w:p w14:paraId="5FB2FB45"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(3.803)</w:t>
            </w:r>
          </w:p>
        </w:tc>
        <w:tc>
          <w:tcPr>
            <w:tcW w:w="504" w:type="pct"/>
            <w:tcBorders>
              <w:top w:val="nil"/>
              <w:left w:val="nil"/>
              <w:bottom w:val="single" w:sz="8" w:space="0" w:color="9BC2E6"/>
              <w:right w:val="nil"/>
            </w:tcBorders>
            <w:shd w:val="clear" w:color="auto" w:fill="auto"/>
            <w:noWrap/>
            <w:vAlign w:val="center"/>
            <w:hideMark/>
          </w:tcPr>
          <w:p w14:paraId="705E7F5F"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(5.379)</w:t>
            </w:r>
          </w:p>
        </w:tc>
        <w:tc>
          <w:tcPr>
            <w:tcW w:w="504" w:type="pct"/>
            <w:tcBorders>
              <w:top w:val="nil"/>
              <w:left w:val="nil"/>
              <w:bottom w:val="single" w:sz="8" w:space="0" w:color="9BC2E6"/>
              <w:right w:val="nil"/>
            </w:tcBorders>
            <w:shd w:val="clear" w:color="auto" w:fill="auto"/>
            <w:noWrap/>
            <w:vAlign w:val="center"/>
            <w:hideMark/>
          </w:tcPr>
          <w:p w14:paraId="744962A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(4.345)</w:t>
            </w:r>
          </w:p>
        </w:tc>
        <w:tc>
          <w:tcPr>
            <w:tcW w:w="451" w:type="pct"/>
            <w:tcBorders>
              <w:top w:val="nil"/>
              <w:left w:val="nil"/>
              <w:bottom w:val="single" w:sz="8" w:space="0" w:color="8EAADB"/>
              <w:right w:val="nil"/>
            </w:tcBorders>
            <w:shd w:val="clear" w:color="auto" w:fill="auto"/>
            <w:noWrap/>
            <w:vAlign w:val="center"/>
            <w:hideMark/>
          </w:tcPr>
          <w:p w14:paraId="3E59DC4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-29,3%</w:t>
            </w:r>
          </w:p>
        </w:tc>
        <w:tc>
          <w:tcPr>
            <w:tcW w:w="563" w:type="pct"/>
            <w:tcBorders>
              <w:top w:val="nil"/>
              <w:left w:val="nil"/>
              <w:bottom w:val="single" w:sz="8" w:space="0" w:color="9BC2E6"/>
              <w:right w:val="nil"/>
            </w:tcBorders>
            <w:shd w:val="clear" w:color="auto" w:fill="auto"/>
            <w:noWrap/>
            <w:vAlign w:val="center"/>
            <w:hideMark/>
          </w:tcPr>
          <w:p w14:paraId="1863B01D"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-12,5%</w:t>
            </w:r>
          </w:p>
        </w:tc>
      </w:tr>
      <w:tr w:rsidR="00D44CF4" w:rsidRPr="00D44CF4" w14:paraId="33254FE2" w14:textId="77777777" w:rsidTr="00505643">
        <w:trPr>
          <w:trHeight w:val="238"/>
        </w:trPr>
        <w:tc>
          <w:tcPr>
            <w:tcW w:w="2474" w:type="pct"/>
            <w:tcBorders>
              <w:top w:val="nil"/>
              <w:left w:val="nil"/>
              <w:bottom w:val="single" w:sz="8" w:space="0" w:color="9BC2E6"/>
              <w:right w:val="nil"/>
            </w:tcBorders>
            <w:shd w:val="clear" w:color="auto" w:fill="auto"/>
            <w:noWrap/>
            <w:vAlign w:val="center"/>
            <w:hideMark/>
          </w:tcPr>
          <w:p w14:paraId="077DEDCA"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Perda Estimada com Crédito de Liquidação Duvidosa</w:t>
            </w:r>
          </w:p>
        </w:tc>
        <w:tc>
          <w:tcPr>
            <w:tcW w:w="504" w:type="pct"/>
            <w:tcBorders>
              <w:top w:val="nil"/>
              <w:left w:val="nil"/>
              <w:bottom w:val="single" w:sz="8" w:space="0" w:color="9BC2E6"/>
              <w:right w:val="nil"/>
            </w:tcBorders>
            <w:shd w:val="clear" w:color="auto" w:fill="auto"/>
            <w:noWrap/>
            <w:vAlign w:val="center"/>
            <w:hideMark/>
          </w:tcPr>
          <w:p w14:paraId="051825B8"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(2.752)</w:t>
            </w:r>
          </w:p>
        </w:tc>
        <w:tc>
          <w:tcPr>
            <w:tcW w:w="504" w:type="pct"/>
            <w:tcBorders>
              <w:top w:val="nil"/>
              <w:left w:val="nil"/>
              <w:bottom w:val="single" w:sz="8" w:space="0" w:color="9BC2E6"/>
              <w:right w:val="nil"/>
            </w:tcBorders>
            <w:shd w:val="clear" w:color="auto" w:fill="auto"/>
            <w:noWrap/>
            <w:vAlign w:val="center"/>
            <w:hideMark/>
          </w:tcPr>
          <w:p w14:paraId="0A6BB453"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(1.314)</w:t>
            </w:r>
          </w:p>
        </w:tc>
        <w:tc>
          <w:tcPr>
            <w:tcW w:w="504" w:type="pct"/>
            <w:tcBorders>
              <w:top w:val="nil"/>
              <w:left w:val="nil"/>
              <w:bottom w:val="single" w:sz="8" w:space="0" w:color="9BC2E6"/>
              <w:right w:val="nil"/>
            </w:tcBorders>
            <w:shd w:val="clear" w:color="auto" w:fill="auto"/>
            <w:noWrap/>
            <w:vAlign w:val="center"/>
            <w:hideMark/>
          </w:tcPr>
          <w:p w14:paraId="60F19BA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1.042 </w:t>
            </w:r>
          </w:p>
        </w:tc>
        <w:tc>
          <w:tcPr>
            <w:tcW w:w="451" w:type="pct"/>
            <w:tcBorders>
              <w:top w:val="nil"/>
              <w:left w:val="nil"/>
              <w:bottom w:val="single" w:sz="8" w:space="0" w:color="8EAADB"/>
              <w:right w:val="nil"/>
            </w:tcBorders>
            <w:shd w:val="clear" w:color="auto" w:fill="auto"/>
            <w:noWrap/>
            <w:vAlign w:val="center"/>
            <w:hideMark/>
          </w:tcPr>
          <w:p w14:paraId="2FEC7AA2"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109,4%</w:t>
            </w:r>
          </w:p>
        </w:tc>
        <w:tc>
          <w:tcPr>
            <w:tcW w:w="563" w:type="pct"/>
            <w:tcBorders>
              <w:top w:val="nil"/>
              <w:left w:val="nil"/>
              <w:bottom w:val="single" w:sz="8" w:space="0" w:color="9BC2E6"/>
              <w:right w:val="nil"/>
            </w:tcBorders>
            <w:shd w:val="clear" w:color="auto" w:fill="auto"/>
            <w:noWrap/>
            <w:vAlign w:val="center"/>
            <w:hideMark/>
          </w:tcPr>
          <w:p w14:paraId="1E295818"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-364,1%</w:t>
            </w:r>
          </w:p>
        </w:tc>
      </w:tr>
      <w:tr w:rsidR="00D44CF4" w:rsidRPr="00D44CF4" w14:paraId="680A0BCE" w14:textId="77777777" w:rsidTr="00505643">
        <w:trPr>
          <w:trHeight w:val="238"/>
        </w:trPr>
        <w:tc>
          <w:tcPr>
            <w:tcW w:w="2474" w:type="pct"/>
            <w:tcBorders>
              <w:top w:val="nil"/>
              <w:left w:val="nil"/>
              <w:bottom w:val="single" w:sz="8" w:space="0" w:color="9BC2E6"/>
              <w:right w:val="nil"/>
            </w:tcBorders>
            <w:shd w:val="clear" w:color="auto" w:fill="auto"/>
            <w:noWrap/>
            <w:vAlign w:val="center"/>
            <w:hideMark/>
          </w:tcPr>
          <w:p w14:paraId="39766FA9"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 xml:space="preserve">Materiais </w:t>
            </w:r>
          </w:p>
        </w:tc>
        <w:tc>
          <w:tcPr>
            <w:tcW w:w="504" w:type="pct"/>
            <w:tcBorders>
              <w:top w:val="nil"/>
              <w:left w:val="nil"/>
              <w:bottom w:val="single" w:sz="8" w:space="0" w:color="9BC2E6"/>
              <w:right w:val="nil"/>
            </w:tcBorders>
            <w:shd w:val="clear" w:color="auto" w:fill="auto"/>
            <w:noWrap/>
            <w:vAlign w:val="center"/>
            <w:hideMark/>
          </w:tcPr>
          <w:p w14:paraId="0FA68914"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(809)</w:t>
            </w:r>
          </w:p>
        </w:tc>
        <w:tc>
          <w:tcPr>
            <w:tcW w:w="504" w:type="pct"/>
            <w:tcBorders>
              <w:top w:val="nil"/>
              <w:left w:val="nil"/>
              <w:bottom w:val="single" w:sz="8" w:space="0" w:color="9BC2E6"/>
              <w:right w:val="nil"/>
            </w:tcBorders>
            <w:shd w:val="clear" w:color="auto" w:fill="auto"/>
            <w:noWrap/>
            <w:vAlign w:val="center"/>
            <w:hideMark/>
          </w:tcPr>
          <w:p w14:paraId="02E58036"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(2.181)</w:t>
            </w:r>
          </w:p>
        </w:tc>
        <w:tc>
          <w:tcPr>
            <w:tcW w:w="504" w:type="pct"/>
            <w:tcBorders>
              <w:top w:val="nil"/>
              <w:left w:val="nil"/>
              <w:bottom w:val="single" w:sz="8" w:space="0" w:color="9BC2E6"/>
              <w:right w:val="nil"/>
            </w:tcBorders>
            <w:shd w:val="clear" w:color="auto" w:fill="auto"/>
            <w:noWrap/>
            <w:vAlign w:val="center"/>
            <w:hideMark/>
          </w:tcPr>
          <w:p w14:paraId="39745715"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(2.019)</w:t>
            </w:r>
          </w:p>
        </w:tc>
        <w:tc>
          <w:tcPr>
            <w:tcW w:w="451" w:type="pct"/>
            <w:tcBorders>
              <w:top w:val="nil"/>
              <w:left w:val="nil"/>
              <w:bottom w:val="single" w:sz="8" w:space="0" w:color="8EAADB"/>
              <w:right w:val="nil"/>
            </w:tcBorders>
            <w:shd w:val="clear" w:color="auto" w:fill="auto"/>
            <w:noWrap/>
            <w:vAlign w:val="center"/>
            <w:hideMark/>
          </w:tcPr>
          <w:p w14:paraId="3F3D94B3"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-62,9%</w:t>
            </w:r>
          </w:p>
        </w:tc>
        <w:tc>
          <w:tcPr>
            <w:tcW w:w="563" w:type="pct"/>
            <w:tcBorders>
              <w:top w:val="nil"/>
              <w:left w:val="nil"/>
              <w:bottom w:val="single" w:sz="8" w:space="0" w:color="9BC2E6"/>
              <w:right w:val="nil"/>
            </w:tcBorders>
            <w:shd w:val="clear" w:color="auto" w:fill="auto"/>
            <w:noWrap/>
            <w:vAlign w:val="center"/>
            <w:hideMark/>
          </w:tcPr>
          <w:p w14:paraId="387E803A"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-59,9%</w:t>
            </w:r>
          </w:p>
        </w:tc>
      </w:tr>
      <w:tr w:rsidR="00D44CF4" w:rsidRPr="00D44CF4" w14:paraId="465D1499" w14:textId="77777777" w:rsidTr="00505643">
        <w:trPr>
          <w:trHeight w:val="238"/>
        </w:trPr>
        <w:tc>
          <w:tcPr>
            <w:tcW w:w="2474" w:type="pct"/>
            <w:tcBorders>
              <w:top w:val="nil"/>
              <w:left w:val="nil"/>
              <w:bottom w:val="single" w:sz="8" w:space="0" w:color="9BC2E6"/>
              <w:right w:val="nil"/>
            </w:tcBorders>
            <w:shd w:val="clear" w:color="auto" w:fill="auto"/>
            <w:noWrap/>
            <w:vAlign w:val="center"/>
            <w:hideMark/>
          </w:tcPr>
          <w:p w14:paraId="6473DCC3"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Programa de Indenização por Serviços Prestados (PISP)</w:t>
            </w:r>
          </w:p>
        </w:tc>
        <w:tc>
          <w:tcPr>
            <w:tcW w:w="504" w:type="pct"/>
            <w:tcBorders>
              <w:top w:val="nil"/>
              <w:left w:val="nil"/>
              <w:bottom w:val="single" w:sz="8" w:space="0" w:color="9BC2E6"/>
              <w:right w:val="nil"/>
            </w:tcBorders>
            <w:shd w:val="clear" w:color="auto" w:fill="auto"/>
            <w:noWrap/>
            <w:vAlign w:val="center"/>
            <w:hideMark/>
          </w:tcPr>
          <w:p w14:paraId="4BE91981"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(411)</w:t>
            </w:r>
          </w:p>
        </w:tc>
        <w:tc>
          <w:tcPr>
            <w:tcW w:w="504" w:type="pct"/>
            <w:tcBorders>
              <w:top w:val="nil"/>
              <w:left w:val="nil"/>
              <w:bottom w:val="single" w:sz="8" w:space="0" w:color="9BC2E6"/>
              <w:right w:val="nil"/>
            </w:tcBorders>
            <w:shd w:val="clear" w:color="auto" w:fill="auto"/>
            <w:noWrap/>
            <w:vAlign w:val="center"/>
            <w:hideMark/>
          </w:tcPr>
          <w:p w14:paraId="48843C95"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(1.231)</w:t>
            </w:r>
          </w:p>
        </w:tc>
        <w:tc>
          <w:tcPr>
            <w:tcW w:w="504" w:type="pct"/>
            <w:tcBorders>
              <w:top w:val="nil"/>
              <w:left w:val="nil"/>
              <w:bottom w:val="single" w:sz="8" w:space="0" w:color="9BC2E6"/>
              <w:right w:val="nil"/>
            </w:tcBorders>
            <w:shd w:val="clear" w:color="auto" w:fill="auto"/>
            <w:noWrap/>
            <w:vAlign w:val="center"/>
            <w:hideMark/>
          </w:tcPr>
          <w:p w14:paraId="14150E5A"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(1.361)</w:t>
            </w:r>
          </w:p>
        </w:tc>
        <w:tc>
          <w:tcPr>
            <w:tcW w:w="451" w:type="pct"/>
            <w:tcBorders>
              <w:top w:val="nil"/>
              <w:left w:val="nil"/>
              <w:bottom w:val="single" w:sz="8" w:space="0" w:color="8EAADB"/>
              <w:right w:val="nil"/>
            </w:tcBorders>
            <w:shd w:val="clear" w:color="auto" w:fill="auto"/>
            <w:noWrap/>
            <w:vAlign w:val="center"/>
            <w:hideMark/>
          </w:tcPr>
          <w:p w14:paraId="06D44D98"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-66,6%</w:t>
            </w:r>
          </w:p>
        </w:tc>
        <w:tc>
          <w:tcPr>
            <w:tcW w:w="563" w:type="pct"/>
            <w:tcBorders>
              <w:top w:val="nil"/>
              <w:left w:val="nil"/>
              <w:bottom w:val="single" w:sz="8" w:space="0" w:color="9BC2E6"/>
              <w:right w:val="nil"/>
            </w:tcBorders>
            <w:shd w:val="clear" w:color="auto" w:fill="auto"/>
            <w:noWrap/>
            <w:vAlign w:val="center"/>
            <w:hideMark/>
          </w:tcPr>
          <w:p w14:paraId="19B16ADB"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-69,8%</w:t>
            </w:r>
          </w:p>
        </w:tc>
      </w:tr>
      <w:tr w:rsidR="00D44CF4" w:rsidRPr="00D44CF4" w14:paraId="46242DB1" w14:textId="77777777" w:rsidTr="00505643">
        <w:trPr>
          <w:trHeight w:val="238"/>
        </w:trPr>
        <w:tc>
          <w:tcPr>
            <w:tcW w:w="2474" w:type="pct"/>
            <w:tcBorders>
              <w:top w:val="nil"/>
              <w:left w:val="nil"/>
              <w:bottom w:val="single" w:sz="8" w:space="0" w:color="9BC2E6"/>
              <w:right w:val="nil"/>
            </w:tcBorders>
            <w:shd w:val="clear" w:color="auto" w:fill="auto"/>
            <w:noWrap/>
            <w:vAlign w:val="center"/>
            <w:hideMark/>
          </w:tcPr>
          <w:p w14:paraId="7BEBFE88" w14:textId="77777777" w:rsidR="00D44CF4" w:rsidRPr="00D44CF4" w:rsidRDefault="00D44CF4" w:rsidP="00D44CF4">
            <w:pPr>
              <w:tabs>
                <w:tab w:val="clear" w:pos="851"/>
              </w:tabs>
              <w:spacing w:before="0" w:after="0" w:line="240" w:lineRule="auto"/>
              <w:jc w:val="left"/>
              <w:rPr>
                <w:rFonts w:ascii="Arial" w:hAnsi="Arial" w:cs="Arial"/>
                <w:b/>
                <w:bCs/>
                <w:color w:val="000000"/>
                <w:sz w:val="16"/>
                <w:szCs w:val="16"/>
                <w:lang w:eastAsia="pt-BR"/>
              </w:rPr>
            </w:pPr>
            <w:r w:rsidRPr="00D44CF4">
              <w:rPr>
                <w:rFonts w:ascii="Arial" w:hAnsi="Arial" w:cs="Arial"/>
                <w:b/>
                <w:bCs/>
                <w:color w:val="000000"/>
                <w:sz w:val="16"/>
                <w:szCs w:val="16"/>
                <w:lang w:eastAsia="pt-BR"/>
              </w:rPr>
              <w:t>Total</w:t>
            </w:r>
          </w:p>
        </w:tc>
        <w:tc>
          <w:tcPr>
            <w:tcW w:w="504" w:type="pct"/>
            <w:tcBorders>
              <w:top w:val="nil"/>
              <w:left w:val="nil"/>
              <w:bottom w:val="single" w:sz="8" w:space="0" w:color="9BC2E6"/>
              <w:right w:val="nil"/>
            </w:tcBorders>
            <w:shd w:val="clear" w:color="auto" w:fill="auto"/>
            <w:noWrap/>
            <w:vAlign w:val="center"/>
            <w:hideMark/>
          </w:tcPr>
          <w:p w14:paraId="27909627"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(483.668)</w:t>
            </w:r>
          </w:p>
        </w:tc>
        <w:tc>
          <w:tcPr>
            <w:tcW w:w="504" w:type="pct"/>
            <w:tcBorders>
              <w:top w:val="nil"/>
              <w:left w:val="nil"/>
              <w:bottom w:val="single" w:sz="8" w:space="0" w:color="9BC2E6"/>
              <w:right w:val="nil"/>
            </w:tcBorders>
            <w:shd w:val="clear" w:color="auto" w:fill="auto"/>
            <w:noWrap/>
            <w:vAlign w:val="center"/>
            <w:hideMark/>
          </w:tcPr>
          <w:p w14:paraId="70DD1BA0"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(469.666)</w:t>
            </w:r>
          </w:p>
        </w:tc>
        <w:tc>
          <w:tcPr>
            <w:tcW w:w="504" w:type="pct"/>
            <w:tcBorders>
              <w:top w:val="nil"/>
              <w:left w:val="nil"/>
              <w:bottom w:val="single" w:sz="8" w:space="0" w:color="9BC2E6"/>
              <w:right w:val="nil"/>
            </w:tcBorders>
            <w:shd w:val="clear" w:color="auto" w:fill="auto"/>
            <w:noWrap/>
            <w:vAlign w:val="center"/>
            <w:hideMark/>
          </w:tcPr>
          <w:p w14:paraId="6D79B193"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 xml:space="preserve">  (393.958)</w:t>
            </w:r>
          </w:p>
        </w:tc>
        <w:tc>
          <w:tcPr>
            <w:tcW w:w="451" w:type="pct"/>
            <w:tcBorders>
              <w:top w:val="nil"/>
              <w:left w:val="nil"/>
              <w:bottom w:val="single" w:sz="8" w:space="0" w:color="8EAADB"/>
              <w:right w:val="nil"/>
            </w:tcBorders>
            <w:shd w:val="clear" w:color="auto" w:fill="auto"/>
            <w:noWrap/>
            <w:vAlign w:val="center"/>
            <w:hideMark/>
          </w:tcPr>
          <w:p w14:paraId="709E3655"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3,0%</w:t>
            </w:r>
          </w:p>
        </w:tc>
        <w:tc>
          <w:tcPr>
            <w:tcW w:w="563" w:type="pct"/>
            <w:tcBorders>
              <w:top w:val="nil"/>
              <w:left w:val="nil"/>
              <w:bottom w:val="single" w:sz="8" w:space="0" w:color="9BC2E6"/>
              <w:right w:val="nil"/>
            </w:tcBorders>
            <w:shd w:val="clear" w:color="auto" w:fill="auto"/>
            <w:noWrap/>
            <w:vAlign w:val="center"/>
            <w:hideMark/>
          </w:tcPr>
          <w:p w14:paraId="0097444F" w14:textId="77777777" w:rsidR="00D44CF4" w:rsidRPr="00D44CF4" w:rsidRDefault="00D44CF4" w:rsidP="00D44CF4">
            <w:pPr>
              <w:tabs>
                <w:tab w:val="clear" w:pos="851"/>
              </w:tabs>
              <w:spacing w:before="0" w:after="0" w:line="240" w:lineRule="auto"/>
              <w:jc w:val="right"/>
              <w:rPr>
                <w:rFonts w:ascii="Arial" w:hAnsi="Arial" w:cs="Arial"/>
                <w:b/>
                <w:bCs/>
                <w:color w:val="000000"/>
                <w:sz w:val="16"/>
                <w:szCs w:val="16"/>
                <w:lang w:eastAsia="pt-BR"/>
              </w:rPr>
            </w:pPr>
            <w:r w:rsidRPr="00D44CF4">
              <w:rPr>
                <w:rFonts w:ascii="Arial" w:hAnsi="Arial" w:cs="Arial"/>
                <w:b/>
                <w:bCs/>
                <w:color w:val="000000"/>
                <w:sz w:val="16"/>
                <w:szCs w:val="16"/>
                <w:lang w:eastAsia="pt-BR"/>
              </w:rPr>
              <w:t>22,8%</w:t>
            </w:r>
          </w:p>
        </w:tc>
      </w:tr>
    </w:tbl>
    <w:p w14:paraId="46F130B2" w14:textId="6B3C2D31" w:rsidR="00D44CF4" w:rsidRPr="00D44CF4" w:rsidRDefault="00D44CF4" w:rsidP="00D44CF4">
      <w:pPr>
        <w:spacing w:line="240" w:lineRule="auto"/>
        <w:rPr>
          <w:rFonts w:eastAsia="Calibri"/>
          <w:sz w:val="22"/>
        </w:rPr>
      </w:pPr>
      <w:r w:rsidRPr="00D44CF4">
        <w:rPr>
          <w:rFonts w:eastAsia="Calibri"/>
          <w:sz w:val="22"/>
        </w:rPr>
        <w:t>Em 2024, o crescimento dos Custos e Despesas foi de 3,0% e 22,8% em relação aos anos de 2023 e 2022, respectivamente, atingindo o montante de R$ 483,7 milhões (R$ 469,7 milhões em 2023 e R$ 394,0 em 2022).</w:t>
      </w:r>
    </w:p>
    <w:p w14:paraId="6C286DC5" w14:textId="5CCEA0AD" w:rsidR="00D44CF4" w:rsidRPr="00D44CF4" w:rsidRDefault="00D44CF4" w:rsidP="00D44CF4">
      <w:pPr>
        <w:spacing w:line="240" w:lineRule="auto"/>
        <w:rPr>
          <w:rFonts w:eastAsia="Calibri"/>
          <w:sz w:val="22"/>
        </w:rPr>
      </w:pPr>
      <w:r w:rsidRPr="00D44CF4">
        <w:rPr>
          <w:rFonts w:eastAsia="Calibri"/>
          <w:sz w:val="22"/>
        </w:rPr>
        <w:t>As principais ocorrências no período referentes aos itens de Custos e Despesas Operacionais foram as seguintes:</w:t>
      </w:r>
    </w:p>
    <w:p w14:paraId="6109F7E1" w14:textId="2683AB61" w:rsidR="00D44CF4" w:rsidRPr="00D44CF4" w:rsidRDefault="00D44CF4" w:rsidP="00D44CF4">
      <w:pPr>
        <w:spacing w:line="240" w:lineRule="auto"/>
        <w:rPr>
          <w:rFonts w:eastAsia="Calibri"/>
          <w:sz w:val="22"/>
        </w:rPr>
      </w:pPr>
      <w:r w:rsidRPr="00D44CF4">
        <w:rPr>
          <w:rFonts w:eastAsia="Calibri"/>
          <w:b/>
          <w:sz w:val="22"/>
        </w:rPr>
        <w:t xml:space="preserve">Meios de Conexão e Transmissão: </w:t>
      </w:r>
      <w:r w:rsidRPr="00D44CF4">
        <w:rPr>
          <w:rFonts w:eastAsia="Calibri"/>
          <w:sz w:val="22"/>
        </w:rPr>
        <w:t>Apresentou redução de 1,3% em relação ao ano de 2023 e aumento de 5,8% na comparação com o exercício de 2022. Os principais serviços que compõem essa rubrica são a Linha dedicada Industrial (EILD) e o serviço de Backbone.</w:t>
      </w:r>
    </w:p>
    <w:p w14:paraId="3D8A4FDB" w14:textId="086F7ECB" w:rsidR="00D44CF4" w:rsidRPr="00D44CF4" w:rsidRDefault="00D44CF4" w:rsidP="00D44CF4">
      <w:pPr>
        <w:spacing w:line="240" w:lineRule="auto"/>
        <w:rPr>
          <w:rFonts w:eastAsia="Calibri"/>
          <w:sz w:val="22"/>
        </w:rPr>
      </w:pPr>
      <w:r w:rsidRPr="00D44CF4">
        <w:rPr>
          <w:rFonts w:eastAsia="Calibri"/>
          <w:b/>
          <w:sz w:val="22"/>
        </w:rPr>
        <w:t xml:space="preserve">Pessoal: </w:t>
      </w:r>
      <w:r w:rsidRPr="00D44CF4">
        <w:rPr>
          <w:rFonts w:eastAsia="Calibri"/>
          <w:sz w:val="22"/>
        </w:rPr>
        <w:t xml:space="preserve">Em 2024, os custos e despesas com Pessoal tiveram aumento de 3,9% em relação ao mesmo período do ano 2023 e de 14,3% quando comparado ao ano de 2022. O acréscimo em relação ao ano de 2022, é justificado pela reposição de </w:t>
      </w:r>
      <w:r w:rsidR="00E47852" w:rsidRPr="00D44CF4">
        <w:rPr>
          <w:rFonts w:eastAsia="Calibri"/>
          <w:sz w:val="22"/>
        </w:rPr>
        <w:t>perdas</w:t>
      </w:r>
      <w:r w:rsidRPr="00D44CF4">
        <w:rPr>
          <w:rFonts w:eastAsia="Calibri"/>
          <w:sz w:val="22"/>
        </w:rPr>
        <w:t xml:space="preserve"> mediante acordo coletivo e pela contratação de novos colaboradores para reposição da força de trabalho</w:t>
      </w:r>
    </w:p>
    <w:p w14:paraId="1FC6EED3" w14:textId="1B3F413D" w:rsidR="00D44CF4" w:rsidRPr="00D44CF4" w:rsidRDefault="00D44CF4" w:rsidP="00D44CF4">
      <w:pPr>
        <w:spacing w:line="240" w:lineRule="auto"/>
        <w:rPr>
          <w:rFonts w:eastAsia="Calibri"/>
          <w:sz w:val="22"/>
        </w:rPr>
      </w:pPr>
      <w:r w:rsidRPr="00D44CF4">
        <w:rPr>
          <w:rFonts w:eastAsia="Calibri"/>
          <w:b/>
          <w:sz w:val="22"/>
        </w:rPr>
        <w:t>Serviços de Terceiros:</w:t>
      </w:r>
      <w:r w:rsidRPr="00D44CF4">
        <w:rPr>
          <w:rFonts w:eastAsia="Calibri"/>
          <w:sz w:val="22"/>
        </w:rPr>
        <w:t xml:space="preserve"> No exercício de 2024, os custos e despesas com Serviços de Terceiros apresentaram crescimento de 9,0% e 59,3% na comparação com os anos de 2023 e 2022, respectivamente. O crescimento em relação ao exercício de 2022 é justificado pelos seguintes fatos: i) aumento do contrato de manutenção da planta de rede de telecomunicações da Telebras, devido ao novo processo de licitação realizado no decorrer do ano de 2023, que teve os preços majorados em relação ao contrato anterior; e ii) crescimento dos custos de manutenção da infraestrutura satelital em decorrência do aumento dos pontos de conexão ao satélite SGDC.</w:t>
      </w:r>
    </w:p>
    <w:p w14:paraId="4B8F4780" w14:textId="385FE034" w:rsidR="003E0246" w:rsidRPr="00D44CF4" w:rsidRDefault="00D44CF4" w:rsidP="00D44CF4">
      <w:pPr>
        <w:spacing w:line="240" w:lineRule="auto"/>
        <w:rPr>
          <w:rFonts w:eastAsia="Arial"/>
          <w:sz w:val="22"/>
        </w:rPr>
      </w:pPr>
      <w:r w:rsidRPr="00D44CF4">
        <w:rPr>
          <w:rFonts w:eastAsia="Calibri"/>
          <w:b/>
          <w:sz w:val="22"/>
        </w:rPr>
        <w:t xml:space="preserve">Aluguéis, Locações e Seguros: </w:t>
      </w:r>
      <w:r w:rsidRPr="00D44CF4">
        <w:rPr>
          <w:rFonts w:eastAsia="Calibri"/>
          <w:sz w:val="22"/>
        </w:rPr>
        <w:t xml:space="preserve">O Esses custos e despesas ficaram estáveis na </w:t>
      </w:r>
      <w:r w:rsidR="00E47852" w:rsidRPr="00D44CF4">
        <w:rPr>
          <w:rFonts w:eastAsia="Calibri"/>
          <w:sz w:val="22"/>
        </w:rPr>
        <w:t>comparação</w:t>
      </w:r>
      <w:r w:rsidRPr="00D44CF4">
        <w:rPr>
          <w:rFonts w:eastAsia="Calibri"/>
          <w:sz w:val="22"/>
        </w:rPr>
        <w:t xml:space="preserve"> com o exercício de 2023. Com relação ao ano de 2022, houve um crescimento de 4,1%. </w:t>
      </w:r>
      <w:bookmarkStart w:id="11" w:name="_Hlk78376653"/>
    </w:p>
    <w:p w14:paraId="52B6CEC5" w14:textId="6C725515" w:rsidR="003E0246" w:rsidRPr="00D44CF4" w:rsidRDefault="003E0246" w:rsidP="00087F48">
      <w:pPr>
        <w:pStyle w:val="Ttulo3"/>
        <w:ind w:left="709" w:hanging="709"/>
        <w:rPr>
          <w:b w:val="0"/>
        </w:rPr>
      </w:pPr>
      <w:bookmarkStart w:id="12" w:name="_Toc191641869"/>
      <w:bookmarkEnd w:id="11"/>
      <w:r w:rsidRPr="00D44CF4">
        <w:t>Depreciação e Amortização</w:t>
      </w:r>
      <w:bookmarkEnd w:id="12"/>
    </w:p>
    <w:tbl>
      <w:tblPr>
        <w:tblW w:w="5000" w:type="pct"/>
        <w:tblCellMar>
          <w:left w:w="70" w:type="dxa"/>
          <w:right w:w="70" w:type="dxa"/>
        </w:tblCellMar>
        <w:tblLook w:val="04A0" w:firstRow="1" w:lastRow="0" w:firstColumn="1" w:lastColumn="0" w:noHBand="0" w:noVBand="1"/>
      </w:tblPr>
      <w:tblGrid>
        <w:gridCol w:w="4490"/>
        <w:gridCol w:w="914"/>
        <w:gridCol w:w="914"/>
        <w:gridCol w:w="914"/>
        <w:gridCol w:w="818"/>
        <w:gridCol w:w="1022"/>
      </w:tblGrid>
      <w:tr w:rsidR="00D44CF4" w:rsidRPr="00D44CF4" w14:paraId="7C7C0E21" w14:textId="77777777" w:rsidTr="00505643">
        <w:trPr>
          <w:trHeight w:val="238"/>
        </w:trPr>
        <w:tc>
          <w:tcPr>
            <w:tcW w:w="2474" w:type="pct"/>
            <w:tcBorders>
              <w:top w:val="single" w:sz="8" w:space="0" w:color="8EA9DB"/>
              <w:left w:val="nil"/>
              <w:bottom w:val="single" w:sz="8" w:space="0" w:color="8EA9DB"/>
              <w:right w:val="nil"/>
            </w:tcBorders>
            <w:shd w:val="clear" w:color="auto" w:fill="auto"/>
            <w:noWrap/>
            <w:vAlign w:val="center"/>
            <w:hideMark/>
          </w:tcPr>
          <w:p w14:paraId="2E1269D9" w14:textId="77777777" w:rsidR="00D44CF4" w:rsidRPr="00D44CF4" w:rsidRDefault="00D44CF4" w:rsidP="00D44CF4">
            <w:pPr>
              <w:tabs>
                <w:tab w:val="clear" w:pos="851"/>
              </w:tabs>
              <w:spacing w:before="0" w:after="0" w:line="240" w:lineRule="auto"/>
              <w:jc w:val="left"/>
              <w:rPr>
                <w:rFonts w:ascii="Arial" w:hAnsi="Arial" w:cs="Arial"/>
                <w:b/>
                <w:bCs/>
                <w:color w:val="2F75B5"/>
                <w:sz w:val="16"/>
                <w:szCs w:val="16"/>
                <w:lang w:eastAsia="pt-BR"/>
              </w:rPr>
            </w:pPr>
            <w:bookmarkStart w:id="13" w:name="_Hlk32496144"/>
            <w:r w:rsidRPr="00D44CF4">
              <w:rPr>
                <w:rFonts w:ascii="Arial" w:hAnsi="Arial" w:cs="Arial"/>
                <w:b/>
                <w:bCs/>
                <w:color w:val="2F75B5"/>
                <w:sz w:val="16"/>
                <w:szCs w:val="16"/>
                <w:lang w:eastAsia="pt-BR"/>
              </w:rPr>
              <w:t>R$ mil</w:t>
            </w:r>
          </w:p>
        </w:tc>
        <w:tc>
          <w:tcPr>
            <w:tcW w:w="504" w:type="pct"/>
            <w:tcBorders>
              <w:top w:val="single" w:sz="8" w:space="0" w:color="8EA9DB"/>
              <w:left w:val="nil"/>
              <w:bottom w:val="single" w:sz="8" w:space="0" w:color="8EA9DB"/>
              <w:right w:val="nil"/>
            </w:tcBorders>
            <w:shd w:val="clear" w:color="000000" w:fill="FFFFFF"/>
            <w:noWrap/>
            <w:vAlign w:val="center"/>
            <w:hideMark/>
          </w:tcPr>
          <w:p w14:paraId="13738639" w14:textId="77777777" w:rsidR="00D44CF4" w:rsidRPr="00D44CF4" w:rsidRDefault="00D44CF4" w:rsidP="00D44CF4">
            <w:pPr>
              <w:tabs>
                <w:tab w:val="clear" w:pos="851"/>
              </w:tabs>
              <w:spacing w:before="0" w:after="0" w:line="240" w:lineRule="auto"/>
              <w:jc w:val="center"/>
              <w:rPr>
                <w:rFonts w:ascii="Arial" w:hAnsi="Arial" w:cs="Arial"/>
                <w:b/>
                <w:bCs/>
                <w:color w:val="2F75B5"/>
                <w:sz w:val="16"/>
                <w:szCs w:val="16"/>
                <w:lang w:eastAsia="pt-BR"/>
              </w:rPr>
            </w:pPr>
            <w:r w:rsidRPr="00D44CF4">
              <w:rPr>
                <w:rFonts w:ascii="Arial" w:hAnsi="Arial" w:cs="Arial"/>
                <w:b/>
                <w:bCs/>
                <w:color w:val="2F75B5"/>
                <w:sz w:val="16"/>
                <w:szCs w:val="16"/>
                <w:lang w:eastAsia="pt-BR"/>
              </w:rPr>
              <w:t>2024</w:t>
            </w:r>
          </w:p>
        </w:tc>
        <w:tc>
          <w:tcPr>
            <w:tcW w:w="504" w:type="pct"/>
            <w:tcBorders>
              <w:top w:val="single" w:sz="8" w:space="0" w:color="8EA9DB"/>
              <w:left w:val="nil"/>
              <w:bottom w:val="single" w:sz="8" w:space="0" w:color="8EA9DB"/>
              <w:right w:val="nil"/>
            </w:tcBorders>
            <w:shd w:val="clear" w:color="000000" w:fill="FFFFFF"/>
            <w:noWrap/>
            <w:vAlign w:val="center"/>
            <w:hideMark/>
          </w:tcPr>
          <w:p w14:paraId="51F0EAC2" w14:textId="77777777" w:rsidR="00D44CF4" w:rsidRPr="00D44CF4" w:rsidRDefault="00D44CF4" w:rsidP="00D44CF4">
            <w:pPr>
              <w:tabs>
                <w:tab w:val="clear" w:pos="851"/>
              </w:tabs>
              <w:spacing w:before="0" w:after="0" w:line="240" w:lineRule="auto"/>
              <w:jc w:val="center"/>
              <w:rPr>
                <w:rFonts w:ascii="Arial" w:hAnsi="Arial" w:cs="Arial"/>
                <w:b/>
                <w:bCs/>
                <w:color w:val="2F75B5"/>
                <w:sz w:val="16"/>
                <w:szCs w:val="16"/>
                <w:lang w:eastAsia="pt-BR"/>
              </w:rPr>
            </w:pPr>
            <w:r w:rsidRPr="00D44CF4">
              <w:rPr>
                <w:rFonts w:ascii="Arial" w:hAnsi="Arial" w:cs="Arial"/>
                <w:b/>
                <w:bCs/>
                <w:color w:val="2F75B5"/>
                <w:sz w:val="16"/>
                <w:szCs w:val="16"/>
                <w:lang w:eastAsia="pt-BR"/>
              </w:rPr>
              <w:t>2023</w:t>
            </w:r>
          </w:p>
        </w:tc>
        <w:tc>
          <w:tcPr>
            <w:tcW w:w="504" w:type="pct"/>
            <w:tcBorders>
              <w:top w:val="single" w:sz="8" w:space="0" w:color="8EA9DB"/>
              <w:left w:val="nil"/>
              <w:bottom w:val="single" w:sz="8" w:space="0" w:color="8EA9DB"/>
              <w:right w:val="nil"/>
            </w:tcBorders>
            <w:shd w:val="clear" w:color="000000" w:fill="FFFFFF"/>
            <w:noWrap/>
            <w:vAlign w:val="center"/>
            <w:hideMark/>
          </w:tcPr>
          <w:p w14:paraId="226AFB35" w14:textId="77777777" w:rsidR="00D44CF4" w:rsidRPr="00D44CF4" w:rsidRDefault="00D44CF4" w:rsidP="00D44CF4">
            <w:pPr>
              <w:tabs>
                <w:tab w:val="clear" w:pos="851"/>
              </w:tabs>
              <w:spacing w:before="0" w:after="0" w:line="240" w:lineRule="auto"/>
              <w:jc w:val="center"/>
              <w:rPr>
                <w:rFonts w:ascii="Arial" w:hAnsi="Arial" w:cs="Arial"/>
                <w:b/>
                <w:bCs/>
                <w:color w:val="2F75B5"/>
                <w:sz w:val="16"/>
                <w:szCs w:val="16"/>
                <w:lang w:eastAsia="pt-BR"/>
              </w:rPr>
            </w:pPr>
            <w:r w:rsidRPr="00D44CF4">
              <w:rPr>
                <w:rFonts w:ascii="Arial" w:hAnsi="Arial" w:cs="Arial"/>
                <w:b/>
                <w:bCs/>
                <w:color w:val="2F75B5"/>
                <w:sz w:val="16"/>
                <w:szCs w:val="16"/>
                <w:lang w:eastAsia="pt-BR"/>
              </w:rPr>
              <w:t>2022</w:t>
            </w:r>
          </w:p>
        </w:tc>
        <w:tc>
          <w:tcPr>
            <w:tcW w:w="451" w:type="pct"/>
            <w:tcBorders>
              <w:top w:val="single" w:sz="8" w:space="0" w:color="9BC2E6"/>
              <w:left w:val="nil"/>
              <w:bottom w:val="single" w:sz="8" w:space="0" w:color="9BC2E6"/>
              <w:right w:val="nil"/>
            </w:tcBorders>
            <w:shd w:val="clear" w:color="000000" w:fill="FFFFFF"/>
            <w:vAlign w:val="center"/>
            <w:hideMark/>
          </w:tcPr>
          <w:p w14:paraId="7D33D4DA" w14:textId="77777777" w:rsidR="00D44CF4" w:rsidRPr="00D44CF4" w:rsidRDefault="00D44CF4" w:rsidP="00D44CF4">
            <w:pPr>
              <w:tabs>
                <w:tab w:val="clear" w:pos="851"/>
              </w:tabs>
              <w:spacing w:before="0" w:after="0" w:line="240" w:lineRule="auto"/>
              <w:jc w:val="center"/>
              <w:rPr>
                <w:rFonts w:ascii="Arial" w:hAnsi="Arial" w:cs="Arial"/>
                <w:b/>
                <w:bCs/>
                <w:color w:val="2F75B5"/>
                <w:sz w:val="16"/>
                <w:szCs w:val="16"/>
                <w:lang w:eastAsia="pt-BR"/>
              </w:rPr>
            </w:pPr>
            <w:r w:rsidRPr="00D44CF4">
              <w:rPr>
                <w:rFonts w:ascii="Arial" w:hAnsi="Arial" w:cs="Arial"/>
                <w:b/>
                <w:bCs/>
                <w:color w:val="2F75B5"/>
                <w:sz w:val="16"/>
                <w:szCs w:val="16"/>
                <w:lang w:eastAsia="pt-BR"/>
              </w:rPr>
              <w:t>Δ 2024 X 2023</w:t>
            </w:r>
          </w:p>
        </w:tc>
        <w:tc>
          <w:tcPr>
            <w:tcW w:w="563" w:type="pct"/>
            <w:tcBorders>
              <w:top w:val="single" w:sz="8" w:space="0" w:color="9BC2E6"/>
              <w:left w:val="nil"/>
              <w:bottom w:val="single" w:sz="8" w:space="0" w:color="9BC2E6"/>
              <w:right w:val="nil"/>
            </w:tcBorders>
            <w:shd w:val="clear" w:color="000000" w:fill="FFFFFF"/>
            <w:vAlign w:val="center"/>
            <w:hideMark/>
          </w:tcPr>
          <w:p w14:paraId="48799CAA" w14:textId="77777777" w:rsidR="00D44CF4" w:rsidRPr="00D44CF4" w:rsidRDefault="00D44CF4" w:rsidP="00D44CF4">
            <w:pPr>
              <w:tabs>
                <w:tab w:val="clear" w:pos="851"/>
              </w:tabs>
              <w:spacing w:before="0" w:after="0" w:line="240" w:lineRule="auto"/>
              <w:jc w:val="center"/>
              <w:rPr>
                <w:rFonts w:ascii="Arial" w:hAnsi="Arial" w:cs="Arial"/>
                <w:b/>
                <w:bCs/>
                <w:color w:val="2F75B5"/>
                <w:sz w:val="16"/>
                <w:szCs w:val="16"/>
                <w:lang w:eastAsia="pt-BR"/>
              </w:rPr>
            </w:pPr>
            <w:r w:rsidRPr="00D44CF4">
              <w:rPr>
                <w:rFonts w:ascii="Arial" w:hAnsi="Arial" w:cs="Arial"/>
                <w:b/>
                <w:bCs/>
                <w:color w:val="2F75B5"/>
                <w:sz w:val="16"/>
                <w:szCs w:val="16"/>
                <w:lang w:eastAsia="pt-BR"/>
              </w:rPr>
              <w:t>Δ 2023 X 2022</w:t>
            </w:r>
          </w:p>
        </w:tc>
      </w:tr>
      <w:tr w:rsidR="00D44CF4" w:rsidRPr="00D44CF4" w14:paraId="71A3D0ED" w14:textId="77777777" w:rsidTr="00505643">
        <w:trPr>
          <w:trHeight w:val="238"/>
        </w:trPr>
        <w:tc>
          <w:tcPr>
            <w:tcW w:w="2474" w:type="pct"/>
            <w:tcBorders>
              <w:top w:val="nil"/>
              <w:left w:val="nil"/>
              <w:bottom w:val="single" w:sz="8" w:space="0" w:color="9BC2E6"/>
              <w:right w:val="nil"/>
            </w:tcBorders>
            <w:shd w:val="clear" w:color="auto" w:fill="auto"/>
            <w:noWrap/>
            <w:vAlign w:val="center"/>
            <w:hideMark/>
          </w:tcPr>
          <w:p w14:paraId="3E37092A" w14:textId="77777777" w:rsidR="00D44CF4" w:rsidRPr="00D44CF4" w:rsidRDefault="00D44CF4" w:rsidP="00D44CF4">
            <w:pPr>
              <w:tabs>
                <w:tab w:val="clear" w:pos="851"/>
              </w:tabs>
              <w:spacing w:before="0" w:after="0" w:line="240" w:lineRule="auto"/>
              <w:jc w:val="left"/>
              <w:rPr>
                <w:rFonts w:ascii="Arial" w:hAnsi="Arial" w:cs="Arial"/>
                <w:color w:val="000000"/>
                <w:sz w:val="16"/>
                <w:szCs w:val="16"/>
                <w:lang w:eastAsia="pt-BR"/>
              </w:rPr>
            </w:pPr>
            <w:r w:rsidRPr="00D44CF4">
              <w:rPr>
                <w:rFonts w:ascii="Arial" w:hAnsi="Arial" w:cs="Arial"/>
                <w:color w:val="000000"/>
                <w:sz w:val="16"/>
                <w:szCs w:val="16"/>
                <w:lang w:eastAsia="pt-BR"/>
              </w:rPr>
              <w:t>Depreciação e Amortização</w:t>
            </w:r>
          </w:p>
        </w:tc>
        <w:tc>
          <w:tcPr>
            <w:tcW w:w="504" w:type="pct"/>
            <w:tcBorders>
              <w:top w:val="nil"/>
              <w:left w:val="nil"/>
              <w:bottom w:val="single" w:sz="8" w:space="0" w:color="9BC2E6"/>
              <w:right w:val="nil"/>
            </w:tcBorders>
            <w:shd w:val="clear" w:color="auto" w:fill="auto"/>
            <w:noWrap/>
            <w:vAlign w:val="center"/>
            <w:hideMark/>
          </w:tcPr>
          <w:p w14:paraId="60676FCA"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(270.044)</w:t>
            </w:r>
          </w:p>
        </w:tc>
        <w:tc>
          <w:tcPr>
            <w:tcW w:w="504" w:type="pct"/>
            <w:tcBorders>
              <w:top w:val="nil"/>
              <w:left w:val="nil"/>
              <w:bottom w:val="single" w:sz="8" w:space="0" w:color="9BC2E6"/>
              <w:right w:val="nil"/>
            </w:tcBorders>
            <w:shd w:val="clear" w:color="auto" w:fill="auto"/>
            <w:noWrap/>
            <w:vAlign w:val="center"/>
            <w:hideMark/>
          </w:tcPr>
          <w:p w14:paraId="7B3888EC"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(253.540)</w:t>
            </w:r>
          </w:p>
        </w:tc>
        <w:tc>
          <w:tcPr>
            <w:tcW w:w="504" w:type="pct"/>
            <w:tcBorders>
              <w:top w:val="nil"/>
              <w:left w:val="nil"/>
              <w:bottom w:val="single" w:sz="8" w:space="0" w:color="9BC2E6"/>
              <w:right w:val="nil"/>
            </w:tcBorders>
            <w:shd w:val="clear" w:color="auto" w:fill="auto"/>
            <w:noWrap/>
            <w:vAlign w:val="center"/>
            <w:hideMark/>
          </w:tcPr>
          <w:p w14:paraId="42E9BF31"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 xml:space="preserve">  (242.086)</w:t>
            </w:r>
          </w:p>
        </w:tc>
        <w:tc>
          <w:tcPr>
            <w:tcW w:w="451" w:type="pct"/>
            <w:tcBorders>
              <w:top w:val="nil"/>
              <w:left w:val="nil"/>
              <w:bottom w:val="single" w:sz="8" w:space="0" w:color="8EAADB"/>
              <w:right w:val="nil"/>
            </w:tcBorders>
            <w:shd w:val="clear" w:color="auto" w:fill="auto"/>
            <w:noWrap/>
            <w:vAlign w:val="center"/>
            <w:hideMark/>
          </w:tcPr>
          <w:p w14:paraId="1C58A593"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6,5%</w:t>
            </w:r>
          </w:p>
        </w:tc>
        <w:tc>
          <w:tcPr>
            <w:tcW w:w="563" w:type="pct"/>
            <w:tcBorders>
              <w:top w:val="nil"/>
              <w:left w:val="nil"/>
              <w:bottom w:val="single" w:sz="8" w:space="0" w:color="9BC2E6"/>
              <w:right w:val="nil"/>
            </w:tcBorders>
            <w:shd w:val="clear" w:color="auto" w:fill="auto"/>
            <w:noWrap/>
            <w:vAlign w:val="center"/>
            <w:hideMark/>
          </w:tcPr>
          <w:p w14:paraId="0FD4CC07" w14:textId="77777777" w:rsidR="00D44CF4" w:rsidRPr="00D44CF4" w:rsidRDefault="00D44CF4" w:rsidP="00D44CF4">
            <w:pPr>
              <w:tabs>
                <w:tab w:val="clear" w:pos="851"/>
              </w:tabs>
              <w:spacing w:before="0" w:after="0" w:line="240" w:lineRule="auto"/>
              <w:jc w:val="right"/>
              <w:rPr>
                <w:rFonts w:ascii="Arial" w:hAnsi="Arial" w:cs="Arial"/>
                <w:color w:val="000000"/>
                <w:sz w:val="16"/>
                <w:szCs w:val="16"/>
                <w:lang w:eastAsia="pt-BR"/>
              </w:rPr>
            </w:pPr>
            <w:r w:rsidRPr="00D44CF4">
              <w:rPr>
                <w:rFonts w:ascii="Arial" w:hAnsi="Arial" w:cs="Arial"/>
                <w:color w:val="000000"/>
                <w:sz w:val="16"/>
                <w:szCs w:val="16"/>
                <w:lang w:eastAsia="pt-BR"/>
              </w:rPr>
              <w:t>4,7%</w:t>
            </w:r>
          </w:p>
        </w:tc>
      </w:tr>
    </w:tbl>
    <w:p w14:paraId="1DA26FC8" w14:textId="441145E5" w:rsidR="003E0246" w:rsidRPr="00D44CF4" w:rsidRDefault="00D44CF4" w:rsidP="003E0246">
      <w:pPr>
        <w:spacing w:after="0" w:line="240" w:lineRule="auto"/>
        <w:rPr>
          <w:rFonts w:eastAsia="Arial"/>
          <w:sz w:val="22"/>
        </w:rPr>
      </w:pPr>
      <w:r w:rsidRPr="00D44CF4">
        <w:rPr>
          <w:rFonts w:eastAsia="Arial"/>
          <w:sz w:val="22"/>
        </w:rPr>
        <w:t xml:space="preserve">O </w:t>
      </w:r>
      <w:r w:rsidR="005A4170" w:rsidRPr="00D44CF4">
        <w:rPr>
          <w:rFonts w:eastAsia="Arial"/>
          <w:sz w:val="22"/>
        </w:rPr>
        <w:t>comportamento</w:t>
      </w:r>
      <w:r w:rsidRPr="00D44CF4">
        <w:rPr>
          <w:rFonts w:eastAsia="Arial"/>
          <w:sz w:val="22"/>
        </w:rPr>
        <w:t xml:space="preserve"> da depreciação e amortização no exercício de 2024 em relação ao exercício de 2023, apresentou um aumento de 6,5%. Na comparação como o ano de</w:t>
      </w:r>
      <w:r w:rsidR="00D65A82">
        <w:rPr>
          <w:rFonts w:eastAsia="Arial"/>
          <w:sz w:val="22"/>
        </w:rPr>
        <w:t xml:space="preserve"> 2022, houve um crescimento de </w:t>
      </w:r>
      <w:r w:rsidRPr="00D44CF4">
        <w:rPr>
          <w:rFonts w:eastAsia="Arial"/>
          <w:sz w:val="22"/>
        </w:rPr>
        <w:t xml:space="preserve">4,7%. O incremento é explicado pelas transferências ocorridas no decorrer dos exercícios de 2023 e 2024, dos bens que se encontravam na condição de “em andamento” e que passaram para a condição de “em serviço”. Em 2024, essas transferências totalizaram R$ 103,4 milhões. </w:t>
      </w:r>
      <w:bookmarkEnd w:id="13"/>
    </w:p>
    <w:p w14:paraId="7BA6FAA2" w14:textId="1FF9098B" w:rsidR="003E0246" w:rsidRPr="00D44CF4" w:rsidRDefault="003E0246" w:rsidP="00087F48">
      <w:pPr>
        <w:pStyle w:val="Ttulo3"/>
        <w:ind w:left="709" w:hanging="709"/>
        <w:rPr>
          <w:b w:val="0"/>
        </w:rPr>
      </w:pPr>
      <w:bookmarkStart w:id="14" w:name="_Toc191641870"/>
      <w:r w:rsidRPr="00D44CF4">
        <w:t>Resultado de Equivalência Patrimonial</w:t>
      </w:r>
      <w:bookmarkEnd w:id="14"/>
    </w:p>
    <w:tbl>
      <w:tblPr>
        <w:tblW w:w="5000" w:type="pct"/>
        <w:tblCellMar>
          <w:left w:w="70" w:type="dxa"/>
          <w:right w:w="70" w:type="dxa"/>
        </w:tblCellMar>
        <w:tblLook w:val="04A0" w:firstRow="1" w:lastRow="0" w:firstColumn="1" w:lastColumn="0" w:noHBand="0" w:noVBand="1"/>
      </w:tblPr>
      <w:tblGrid>
        <w:gridCol w:w="4490"/>
        <w:gridCol w:w="914"/>
        <w:gridCol w:w="914"/>
        <w:gridCol w:w="914"/>
        <w:gridCol w:w="818"/>
        <w:gridCol w:w="1022"/>
      </w:tblGrid>
      <w:tr w:rsidR="00D65A82" w:rsidRPr="00D65A82" w14:paraId="53363D6F" w14:textId="77777777" w:rsidTr="00505643">
        <w:trPr>
          <w:trHeight w:val="238"/>
        </w:trPr>
        <w:tc>
          <w:tcPr>
            <w:tcW w:w="2474" w:type="pct"/>
            <w:tcBorders>
              <w:top w:val="single" w:sz="8" w:space="0" w:color="8EA9DB"/>
              <w:left w:val="nil"/>
              <w:bottom w:val="single" w:sz="8" w:space="0" w:color="8EA9DB"/>
              <w:right w:val="nil"/>
            </w:tcBorders>
            <w:shd w:val="clear" w:color="auto" w:fill="auto"/>
            <w:noWrap/>
            <w:vAlign w:val="center"/>
            <w:hideMark/>
          </w:tcPr>
          <w:p w14:paraId="3034B65E" w14:textId="77777777" w:rsidR="00D65A82" w:rsidRPr="00D65A82" w:rsidRDefault="00D65A82" w:rsidP="00D65A82">
            <w:pPr>
              <w:tabs>
                <w:tab w:val="clear" w:pos="851"/>
              </w:tabs>
              <w:spacing w:before="0" w:after="0" w:line="240" w:lineRule="auto"/>
              <w:jc w:val="left"/>
              <w:rPr>
                <w:rFonts w:ascii="Arial" w:hAnsi="Arial" w:cs="Arial"/>
                <w:b/>
                <w:bCs/>
                <w:color w:val="2F75B5"/>
                <w:sz w:val="16"/>
                <w:szCs w:val="16"/>
                <w:lang w:eastAsia="pt-BR"/>
              </w:rPr>
            </w:pPr>
            <w:bookmarkStart w:id="15" w:name="_Hlk32496500"/>
            <w:r w:rsidRPr="00D65A82">
              <w:rPr>
                <w:rFonts w:ascii="Arial" w:hAnsi="Arial" w:cs="Arial"/>
                <w:b/>
                <w:bCs/>
                <w:color w:val="2F75B5"/>
                <w:sz w:val="16"/>
                <w:szCs w:val="16"/>
                <w:lang w:eastAsia="pt-BR"/>
              </w:rPr>
              <w:t>R$ mil</w:t>
            </w:r>
          </w:p>
        </w:tc>
        <w:tc>
          <w:tcPr>
            <w:tcW w:w="504" w:type="pct"/>
            <w:tcBorders>
              <w:top w:val="single" w:sz="8" w:space="0" w:color="8EA9DB"/>
              <w:left w:val="nil"/>
              <w:bottom w:val="single" w:sz="8" w:space="0" w:color="8EA9DB"/>
              <w:right w:val="nil"/>
            </w:tcBorders>
            <w:shd w:val="clear" w:color="000000" w:fill="FFFFFF"/>
            <w:noWrap/>
            <w:vAlign w:val="center"/>
            <w:hideMark/>
          </w:tcPr>
          <w:p w14:paraId="7144FDE0"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2024</w:t>
            </w:r>
          </w:p>
        </w:tc>
        <w:tc>
          <w:tcPr>
            <w:tcW w:w="504" w:type="pct"/>
            <w:tcBorders>
              <w:top w:val="single" w:sz="8" w:space="0" w:color="8EA9DB"/>
              <w:left w:val="nil"/>
              <w:bottom w:val="single" w:sz="8" w:space="0" w:color="8EA9DB"/>
              <w:right w:val="nil"/>
            </w:tcBorders>
            <w:shd w:val="clear" w:color="000000" w:fill="FFFFFF"/>
            <w:noWrap/>
            <w:vAlign w:val="center"/>
            <w:hideMark/>
          </w:tcPr>
          <w:p w14:paraId="7ECC7062"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2023</w:t>
            </w:r>
          </w:p>
        </w:tc>
        <w:tc>
          <w:tcPr>
            <w:tcW w:w="504" w:type="pct"/>
            <w:tcBorders>
              <w:top w:val="single" w:sz="8" w:space="0" w:color="8EA9DB"/>
              <w:left w:val="nil"/>
              <w:bottom w:val="single" w:sz="8" w:space="0" w:color="8EA9DB"/>
              <w:right w:val="nil"/>
            </w:tcBorders>
            <w:shd w:val="clear" w:color="000000" w:fill="FFFFFF"/>
            <w:noWrap/>
            <w:vAlign w:val="center"/>
            <w:hideMark/>
          </w:tcPr>
          <w:p w14:paraId="0400631B"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2022</w:t>
            </w:r>
          </w:p>
        </w:tc>
        <w:tc>
          <w:tcPr>
            <w:tcW w:w="451" w:type="pct"/>
            <w:tcBorders>
              <w:top w:val="single" w:sz="8" w:space="0" w:color="9BC2E6"/>
              <w:left w:val="nil"/>
              <w:bottom w:val="single" w:sz="8" w:space="0" w:color="9BC2E6"/>
              <w:right w:val="nil"/>
            </w:tcBorders>
            <w:shd w:val="clear" w:color="000000" w:fill="FFFFFF"/>
            <w:vAlign w:val="center"/>
            <w:hideMark/>
          </w:tcPr>
          <w:p w14:paraId="1DE6ADE5"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Δ 2024 X 2023</w:t>
            </w:r>
          </w:p>
        </w:tc>
        <w:tc>
          <w:tcPr>
            <w:tcW w:w="563" w:type="pct"/>
            <w:tcBorders>
              <w:top w:val="single" w:sz="8" w:space="0" w:color="9BC2E6"/>
              <w:left w:val="nil"/>
              <w:bottom w:val="single" w:sz="8" w:space="0" w:color="9BC2E6"/>
              <w:right w:val="nil"/>
            </w:tcBorders>
            <w:shd w:val="clear" w:color="000000" w:fill="FFFFFF"/>
            <w:vAlign w:val="center"/>
            <w:hideMark/>
          </w:tcPr>
          <w:p w14:paraId="35A9EEAD"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Δ 2023 X 2022</w:t>
            </w:r>
          </w:p>
        </w:tc>
      </w:tr>
      <w:tr w:rsidR="00D65A82" w:rsidRPr="00D65A82" w14:paraId="60BA3926" w14:textId="77777777" w:rsidTr="00505643">
        <w:trPr>
          <w:trHeight w:val="238"/>
        </w:trPr>
        <w:tc>
          <w:tcPr>
            <w:tcW w:w="2474" w:type="pct"/>
            <w:tcBorders>
              <w:top w:val="nil"/>
              <w:left w:val="nil"/>
              <w:bottom w:val="single" w:sz="8" w:space="0" w:color="9BC2E6"/>
              <w:right w:val="nil"/>
            </w:tcBorders>
            <w:shd w:val="clear" w:color="auto" w:fill="auto"/>
            <w:noWrap/>
            <w:vAlign w:val="center"/>
            <w:hideMark/>
          </w:tcPr>
          <w:p w14:paraId="62DFBC50"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Resultado de Equivalência Patrimonial</w:t>
            </w:r>
          </w:p>
        </w:tc>
        <w:tc>
          <w:tcPr>
            <w:tcW w:w="504" w:type="pct"/>
            <w:tcBorders>
              <w:top w:val="nil"/>
              <w:left w:val="nil"/>
              <w:bottom w:val="single" w:sz="8" w:space="0" w:color="9BC2E6"/>
              <w:right w:val="nil"/>
            </w:tcBorders>
            <w:shd w:val="clear" w:color="auto" w:fill="auto"/>
            <w:noWrap/>
            <w:vAlign w:val="center"/>
            <w:hideMark/>
          </w:tcPr>
          <w:p w14:paraId="3C4845F8"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(1.013)</w:t>
            </w:r>
          </w:p>
        </w:tc>
        <w:tc>
          <w:tcPr>
            <w:tcW w:w="504" w:type="pct"/>
            <w:tcBorders>
              <w:top w:val="nil"/>
              <w:left w:val="nil"/>
              <w:bottom w:val="single" w:sz="8" w:space="0" w:color="9BC2E6"/>
              <w:right w:val="nil"/>
            </w:tcBorders>
            <w:shd w:val="clear" w:color="auto" w:fill="auto"/>
            <w:noWrap/>
            <w:vAlign w:val="center"/>
            <w:hideMark/>
          </w:tcPr>
          <w:p w14:paraId="3BB10D11"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(2.254)</w:t>
            </w:r>
          </w:p>
        </w:tc>
        <w:tc>
          <w:tcPr>
            <w:tcW w:w="504" w:type="pct"/>
            <w:tcBorders>
              <w:top w:val="nil"/>
              <w:left w:val="nil"/>
              <w:bottom w:val="single" w:sz="8" w:space="0" w:color="9BC2E6"/>
              <w:right w:val="nil"/>
            </w:tcBorders>
            <w:shd w:val="clear" w:color="auto" w:fill="auto"/>
            <w:noWrap/>
            <w:vAlign w:val="center"/>
            <w:hideMark/>
          </w:tcPr>
          <w:p w14:paraId="124F1414"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(6.500)</w:t>
            </w:r>
          </w:p>
        </w:tc>
        <w:tc>
          <w:tcPr>
            <w:tcW w:w="451" w:type="pct"/>
            <w:tcBorders>
              <w:top w:val="nil"/>
              <w:left w:val="nil"/>
              <w:bottom w:val="single" w:sz="8" w:space="0" w:color="8EAADB"/>
              <w:right w:val="nil"/>
            </w:tcBorders>
            <w:shd w:val="clear" w:color="auto" w:fill="auto"/>
            <w:noWrap/>
            <w:vAlign w:val="center"/>
            <w:hideMark/>
          </w:tcPr>
          <w:p w14:paraId="7EC20101"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-55,1%</w:t>
            </w:r>
          </w:p>
        </w:tc>
        <w:tc>
          <w:tcPr>
            <w:tcW w:w="563" w:type="pct"/>
            <w:tcBorders>
              <w:top w:val="nil"/>
              <w:left w:val="nil"/>
              <w:bottom w:val="single" w:sz="8" w:space="0" w:color="9BC2E6"/>
              <w:right w:val="nil"/>
            </w:tcBorders>
            <w:shd w:val="clear" w:color="auto" w:fill="auto"/>
            <w:noWrap/>
            <w:vAlign w:val="center"/>
            <w:hideMark/>
          </w:tcPr>
          <w:p w14:paraId="73AD76FA"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-65,3%</w:t>
            </w:r>
          </w:p>
        </w:tc>
      </w:tr>
    </w:tbl>
    <w:p w14:paraId="72680E61" w14:textId="50D2BCF8" w:rsidR="003E0246" w:rsidRPr="00D44CF4" w:rsidRDefault="00D65A82" w:rsidP="003E0246">
      <w:pPr>
        <w:spacing w:after="0" w:line="240" w:lineRule="auto"/>
        <w:rPr>
          <w:rFonts w:eastAsia="Arial"/>
          <w:sz w:val="22"/>
        </w:rPr>
      </w:pPr>
      <w:r w:rsidRPr="00D65A82">
        <w:rPr>
          <w:rFonts w:eastAsia="Arial"/>
          <w:sz w:val="22"/>
        </w:rPr>
        <w:t>Os Resultados negativos de Equivalência Patrimonial apurados nos anos de 2024, 2023 e 2022 refletem a participação da Telebras (49%) nos resultados negativos gerados nesses anos pela coligada Visiona. Em 2024, a coligada apresentou um prejuízo líquido de R$ 2,1 milhões (R$ 4,6 milhões em 2022 e R$ 13,3 milhões em 2022).</w:t>
      </w:r>
      <w:r w:rsidR="00D44CF4" w:rsidRPr="00D44CF4">
        <w:rPr>
          <w:rFonts w:eastAsia="Arial"/>
          <w:sz w:val="22"/>
        </w:rPr>
        <w:t xml:space="preserve"> </w:t>
      </w:r>
      <w:bookmarkEnd w:id="15"/>
    </w:p>
    <w:p w14:paraId="1CFC9148" w14:textId="30682D47" w:rsidR="003E0246" w:rsidRPr="00D44CF4" w:rsidRDefault="003E0246" w:rsidP="00087F48">
      <w:pPr>
        <w:pStyle w:val="Ttulo3"/>
        <w:ind w:left="709" w:hanging="709"/>
        <w:rPr>
          <w:b w:val="0"/>
        </w:rPr>
      </w:pPr>
      <w:bookmarkStart w:id="16" w:name="_Toc191641871"/>
      <w:r w:rsidRPr="00D44CF4">
        <w:t>Outras Receitas / Despesas Operacionais</w:t>
      </w:r>
      <w:bookmarkEnd w:id="16"/>
      <w:r w:rsidRPr="00D44CF4">
        <w:t xml:space="preserve"> </w:t>
      </w:r>
    </w:p>
    <w:tbl>
      <w:tblPr>
        <w:tblW w:w="5000" w:type="pct"/>
        <w:tblCellMar>
          <w:left w:w="70" w:type="dxa"/>
          <w:right w:w="70" w:type="dxa"/>
        </w:tblCellMar>
        <w:tblLook w:val="04A0" w:firstRow="1" w:lastRow="0" w:firstColumn="1" w:lastColumn="0" w:noHBand="0" w:noVBand="1"/>
      </w:tblPr>
      <w:tblGrid>
        <w:gridCol w:w="4441"/>
        <w:gridCol w:w="960"/>
        <w:gridCol w:w="960"/>
        <w:gridCol w:w="962"/>
        <w:gridCol w:w="775"/>
        <w:gridCol w:w="974"/>
      </w:tblGrid>
      <w:tr w:rsidR="00D65A82" w:rsidRPr="00D65A82" w14:paraId="51C181A4" w14:textId="77777777" w:rsidTr="00505643">
        <w:trPr>
          <w:trHeight w:val="238"/>
        </w:trPr>
        <w:tc>
          <w:tcPr>
            <w:tcW w:w="2448" w:type="pct"/>
            <w:tcBorders>
              <w:top w:val="single" w:sz="8" w:space="0" w:color="8EA9DB"/>
              <w:left w:val="nil"/>
              <w:bottom w:val="single" w:sz="8" w:space="0" w:color="8EA9DB"/>
              <w:right w:val="nil"/>
            </w:tcBorders>
            <w:shd w:val="clear" w:color="auto" w:fill="auto"/>
            <w:noWrap/>
            <w:vAlign w:val="center"/>
            <w:hideMark/>
          </w:tcPr>
          <w:p w14:paraId="7538327D" w14:textId="77777777" w:rsidR="00D65A82" w:rsidRPr="00D65A82" w:rsidRDefault="00D65A82" w:rsidP="00D65A82">
            <w:pPr>
              <w:tabs>
                <w:tab w:val="clear" w:pos="851"/>
              </w:tabs>
              <w:spacing w:before="0" w:after="0" w:line="240" w:lineRule="auto"/>
              <w:jc w:val="left"/>
              <w:rPr>
                <w:rFonts w:ascii="Arial" w:hAnsi="Arial" w:cs="Arial"/>
                <w:b/>
                <w:bCs/>
                <w:color w:val="2F75B5"/>
                <w:sz w:val="16"/>
                <w:szCs w:val="16"/>
                <w:lang w:eastAsia="pt-BR"/>
              </w:rPr>
            </w:pPr>
            <w:r w:rsidRPr="00D65A82">
              <w:rPr>
                <w:rFonts w:ascii="Arial" w:hAnsi="Arial" w:cs="Arial"/>
                <w:b/>
                <w:bCs/>
                <w:color w:val="2F75B5"/>
                <w:sz w:val="16"/>
                <w:szCs w:val="16"/>
                <w:lang w:eastAsia="pt-BR"/>
              </w:rPr>
              <w:t>R$ mil</w:t>
            </w:r>
          </w:p>
        </w:tc>
        <w:tc>
          <w:tcPr>
            <w:tcW w:w="529" w:type="pct"/>
            <w:tcBorders>
              <w:top w:val="single" w:sz="8" w:space="0" w:color="8EA9DB"/>
              <w:left w:val="nil"/>
              <w:bottom w:val="single" w:sz="8" w:space="0" w:color="8EA9DB"/>
              <w:right w:val="nil"/>
            </w:tcBorders>
            <w:shd w:val="clear" w:color="000000" w:fill="FFFFFF"/>
            <w:noWrap/>
            <w:vAlign w:val="center"/>
            <w:hideMark/>
          </w:tcPr>
          <w:p w14:paraId="07F5DC66"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2024</w:t>
            </w:r>
          </w:p>
        </w:tc>
        <w:tc>
          <w:tcPr>
            <w:tcW w:w="529" w:type="pct"/>
            <w:tcBorders>
              <w:top w:val="single" w:sz="8" w:space="0" w:color="8EA9DB"/>
              <w:left w:val="nil"/>
              <w:bottom w:val="single" w:sz="8" w:space="0" w:color="8EA9DB"/>
              <w:right w:val="nil"/>
            </w:tcBorders>
            <w:shd w:val="clear" w:color="000000" w:fill="FFFFFF"/>
            <w:noWrap/>
            <w:vAlign w:val="center"/>
            <w:hideMark/>
          </w:tcPr>
          <w:p w14:paraId="7E14F99C"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2023</w:t>
            </w:r>
          </w:p>
        </w:tc>
        <w:tc>
          <w:tcPr>
            <w:tcW w:w="530" w:type="pct"/>
            <w:tcBorders>
              <w:top w:val="single" w:sz="8" w:space="0" w:color="8EA9DB"/>
              <w:left w:val="nil"/>
              <w:bottom w:val="single" w:sz="8" w:space="0" w:color="8EA9DB"/>
              <w:right w:val="nil"/>
            </w:tcBorders>
            <w:shd w:val="clear" w:color="000000" w:fill="FFFFFF"/>
            <w:noWrap/>
            <w:vAlign w:val="center"/>
            <w:hideMark/>
          </w:tcPr>
          <w:p w14:paraId="05B8DD98"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2022</w:t>
            </w:r>
          </w:p>
        </w:tc>
        <w:tc>
          <w:tcPr>
            <w:tcW w:w="427" w:type="pct"/>
            <w:tcBorders>
              <w:top w:val="single" w:sz="8" w:space="0" w:color="9BC2E6"/>
              <w:left w:val="nil"/>
              <w:bottom w:val="single" w:sz="8" w:space="0" w:color="9BC2E6"/>
              <w:right w:val="nil"/>
            </w:tcBorders>
            <w:shd w:val="clear" w:color="000000" w:fill="FFFFFF"/>
            <w:vAlign w:val="center"/>
            <w:hideMark/>
          </w:tcPr>
          <w:p w14:paraId="2019D6E1"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Δ 2024 X 2023</w:t>
            </w:r>
          </w:p>
        </w:tc>
        <w:tc>
          <w:tcPr>
            <w:tcW w:w="537" w:type="pct"/>
            <w:tcBorders>
              <w:top w:val="single" w:sz="8" w:space="0" w:color="9BC2E6"/>
              <w:left w:val="nil"/>
              <w:bottom w:val="single" w:sz="8" w:space="0" w:color="9BC2E6"/>
              <w:right w:val="nil"/>
            </w:tcBorders>
            <w:shd w:val="clear" w:color="000000" w:fill="FFFFFF"/>
            <w:vAlign w:val="center"/>
            <w:hideMark/>
          </w:tcPr>
          <w:p w14:paraId="1A55343B"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Δ 2024 X 2022</w:t>
            </w:r>
          </w:p>
        </w:tc>
      </w:tr>
      <w:tr w:rsidR="00D65A82" w:rsidRPr="00D65A82" w14:paraId="52D70C4B" w14:textId="77777777" w:rsidTr="00505643">
        <w:trPr>
          <w:trHeight w:val="238"/>
        </w:trPr>
        <w:tc>
          <w:tcPr>
            <w:tcW w:w="2448" w:type="pct"/>
            <w:tcBorders>
              <w:top w:val="nil"/>
              <w:left w:val="nil"/>
              <w:bottom w:val="nil"/>
              <w:right w:val="nil"/>
            </w:tcBorders>
            <w:shd w:val="clear" w:color="auto" w:fill="auto"/>
            <w:noWrap/>
            <w:vAlign w:val="center"/>
            <w:hideMark/>
          </w:tcPr>
          <w:p w14:paraId="079751FD"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Outras Receitas Operacionais</w:t>
            </w:r>
          </w:p>
        </w:tc>
        <w:tc>
          <w:tcPr>
            <w:tcW w:w="529" w:type="pct"/>
            <w:tcBorders>
              <w:top w:val="nil"/>
              <w:left w:val="nil"/>
              <w:bottom w:val="nil"/>
              <w:right w:val="nil"/>
            </w:tcBorders>
            <w:shd w:val="clear" w:color="auto" w:fill="auto"/>
            <w:noWrap/>
            <w:vAlign w:val="center"/>
            <w:hideMark/>
          </w:tcPr>
          <w:p w14:paraId="53310F7B"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p>
        </w:tc>
        <w:tc>
          <w:tcPr>
            <w:tcW w:w="529" w:type="pct"/>
            <w:tcBorders>
              <w:top w:val="nil"/>
              <w:left w:val="nil"/>
              <w:bottom w:val="nil"/>
              <w:right w:val="nil"/>
            </w:tcBorders>
            <w:shd w:val="clear" w:color="auto" w:fill="auto"/>
            <w:noWrap/>
            <w:vAlign w:val="center"/>
            <w:hideMark/>
          </w:tcPr>
          <w:p w14:paraId="1C2BC0D8" w14:textId="77777777" w:rsidR="00D65A82" w:rsidRPr="00D65A82" w:rsidRDefault="00D65A82" w:rsidP="00D65A82">
            <w:pPr>
              <w:tabs>
                <w:tab w:val="clear" w:pos="851"/>
              </w:tabs>
              <w:spacing w:before="0" w:after="0" w:line="240" w:lineRule="auto"/>
              <w:jc w:val="left"/>
              <w:rPr>
                <w:rFonts w:ascii="Times New Roman" w:hAnsi="Times New Roman"/>
                <w:color w:val="auto"/>
                <w:sz w:val="16"/>
                <w:szCs w:val="16"/>
                <w:lang w:eastAsia="pt-BR"/>
              </w:rPr>
            </w:pPr>
          </w:p>
        </w:tc>
        <w:tc>
          <w:tcPr>
            <w:tcW w:w="530" w:type="pct"/>
            <w:tcBorders>
              <w:top w:val="nil"/>
              <w:left w:val="nil"/>
              <w:bottom w:val="nil"/>
              <w:right w:val="nil"/>
            </w:tcBorders>
            <w:shd w:val="clear" w:color="auto" w:fill="auto"/>
            <w:noWrap/>
            <w:vAlign w:val="center"/>
            <w:hideMark/>
          </w:tcPr>
          <w:p w14:paraId="5591EC2B" w14:textId="77777777" w:rsidR="00D65A82" w:rsidRPr="00D65A82" w:rsidRDefault="00D65A82" w:rsidP="00D65A82">
            <w:pPr>
              <w:tabs>
                <w:tab w:val="clear" w:pos="851"/>
              </w:tabs>
              <w:spacing w:before="0" w:after="0" w:line="240" w:lineRule="auto"/>
              <w:jc w:val="left"/>
              <w:rPr>
                <w:rFonts w:ascii="Times New Roman" w:hAnsi="Times New Roman"/>
                <w:color w:val="auto"/>
                <w:sz w:val="16"/>
                <w:szCs w:val="16"/>
                <w:lang w:eastAsia="pt-BR"/>
              </w:rPr>
            </w:pPr>
          </w:p>
        </w:tc>
        <w:tc>
          <w:tcPr>
            <w:tcW w:w="427" w:type="pct"/>
            <w:tcBorders>
              <w:top w:val="nil"/>
              <w:left w:val="nil"/>
              <w:bottom w:val="nil"/>
              <w:right w:val="nil"/>
            </w:tcBorders>
            <w:shd w:val="clear" w:color="auto" w:fill="auto"/>
            <w:noWrap/>
            <w:vAlign w:val="center"/>
            <w:hideMark/>
          </w:tcPr>
          <w:p w14:paraId="5A1E1552"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w:t>
            </w:r>
          </w:p>
        </w:tc>
        <w:tc>
          <w:tcPr>
            <w:tcW w:w="537" w:type="pct"/>
            <w:tcBorders>
              <w:top w:val="nil"/>
              <w:left w:val="nil"/>
              <w:bottom w:val="nil"/>
              <w:right w:val="nil"/>
            </w:tcBorders>
            <w:shd w:val="clear" w:color="auto" w:fill="auto"/>
            <w:noWrap/>
            <w:vAlign w:val="center"/>
            <w:hideMark/>
          </w:tcPr>
          <w:p w14:paraId="4F24D39D"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w:t>
            </w:r>
          </w:p>
        </w:tc>
      </w:tr>
      <w:tr w:rsidR="00D65A82" w:rsidRPr="00D65A82" w14:paraId="1D9ECD3F" w14:textId="77777777" w:rsidTr="00505643">
        <w:trPr>
          <w:trHeight w:val="238"/>
        </w:trPr>
        <w:tc>
          <w:tcPr>
            <w:tcW w:w="2448" w:type="pct"/>
            <w:tcBorders>
              <w:top w:val="nil"/>
              <w:left w:val="nil"/>
              <w:bottom w:val="nil"/>
              <w:right w:val="nil"/>
            </w:tcBorders>
            <w:shd w:val="clear" w:color="auto" w:fill="auto"/>
            <w:noWrap/>
            <w:vAlign w:val="center"/>
            <w:hideMark/>
          </w:tcPr>
          <w:p w14:paraId="1EFF866B"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Fundo de Previdência Privada Fechado (i)</w:t>
            </w:r>
          </w:p>
        </w:tc>
        <w:tc>
          <w:tcPr>
            <w:tcW w:w="529" w:type="pct"/>
            <w:tcBorders>
              <w:top w:val="nil"/>
              <w:left w:val="nil"/>
              <w:bottom w:val="nil"/>
              <w:right w:val="nil"/>
            </w:tcBorders>
            <w:shd w:val="clear" w:color="auto" w:fill="auto"/>
            <w:noWrap/>
            <w:vAlign w:val="center"/>
            <w:hideMark/>
          </w:tcPr>
          <w:p w14:paraId="4BD4834C"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212.038 </w:t>
            </w:r>
          </w:p>
        </w:tc>
        <w:tc>
          <w:tcPr>
            <w:tcW w:w="529" w:type="pct"/>
            <w:tcBorders>
              <w:top w:val="nil"/>
              <w:left w:val="nil"/>
              <w:bottom w:val="nil"/>
              <w:right w:val="nil"/>
            </w:tcBorders>
            <w:shd w:val="clear" w:color="auto" w:fill="auto"/>
            <w:noWrap/>
            <w:vAlign w:val="center"/>
            <w:hideMark/>
          </w:tcPr>
          <w:p w14:paraId="32BDDEF1"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33.912 </w:t>
            </w:r>
          </w:p>
        </w:tc>
        <w:tc>
          <w:tcPr>
            <w:tcW w:w="530" w:type="pct"/>
            <w:tcBorders>
              <w:top w:val="nil"/>
              <w:left w:val="nil"/>
              <w:bottom w:val="nil"/>
              <w:right w:val="nil"/>
            </w:tcBorders>
            <w:shd w:val="clear" w:color="auto" w:fill="auto"/>
            <w:noWrap/>
            <w:vAlign w:val="center"/>
            <w:hideMark/>
          </w:tcPr>
          <w:p w14:paraId="391E7F58"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    </w:t>
            </w:r>
          </w:p>
        </w:tc>
        <w:tc>
          <w:tcPr>
            <w:tcW w:w="427" w:type="pct"/>
            <w:tcBorders>
              <w:top w:val="nil"/>
              <w:left w:val="nil"/>
              <w:bottom w:val="nil"/>
              <w:right w:val="nil"/>
            </w:tcBorders>
            <w:shd w:val="clear" w:color="auto" w:fill="auto"/>
            <w:noWrap/>
            <w:vAlign w:val="center"/>
            <w:hideMark/>
          </w:tcPr>
          <w:p w14:paraId="62082ADC"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525,3%</w:t>
            </w:r>
          </w:p>
        </w:tc>
        <w:tc>
          <w:tcPr>
            <w:tcW w:w="537" w:type="pct"/>
            <w:tcBorders>
              <w:top w:val="nil"/>
              <w:left w:val="nil"/>
              <w:bottom w:val="nil"/>
              <w:right w:val="nil"/>
            </w:tcBorders>
            <w:shd w:val="clear" w:color="auto" w:fill="auto"/>
            <w:noWrap/>
            <w:vAlign w:val="center"/>
            <w:hideMark/>
          </w:tcPr>
          <w:p w14:paraId="6E61163B"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100,0%</w:t>
            </w:r>
          </w:p>
        </w:tc>
      </w:tr>
      <w:tr w:rsidR="00D65A82" w:rsidRPr="00D65A82" w14:paraId="69DFC848" w14:textId="77777777" w:rsidTr="00505643">
        <w:trPr>
          <w:trHeight w:val="238"/>
        </w:trPr>
        <w:tc>
          <w:tcPr>
            <w:tcW w:w="2448" w:type="pct"/>
            <w:tcBorders>
              <w:top w:val="nil"/>
              <w:left w:val="nil"/>
              <w:bottom w:val="nil"/>
              <w:right w:val="nil"/>
            </w:tcBorders>
            <w:shd w:val="clear" w:color="auto" w:fill="auto"/>
            <w:noWrap/>
            <w:vAlign w:val="center"/>
            <w:hideMark/>
          </w:tcPr>
          <w:p w14:paraId="7034AE72"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Subvenções Orçamentárias Recebidas (ii)</w:t>
            </w:r>
          </w:p>
        </w:tc>
        <w:tc>
          <w:tcPr>
            <w:tcW w:w="529" w:type="pct"/>
            <w:tcBorders>
              <w:top w:val="nil"/>
              <w:left w:val="nil"/>
              <w:bottom w:val="nil"/>
              <w:right w:val="nil"/>
            </w:tcBorders>
            <w:shd w:val="clear" w:color="auto" w:fill="auto"/>
            <w:noWrap/>
            <w:vAlign w:val="center"/>
            <w:hideMark/>
          </w:tcPr>
          <w:p w14:paraId="30152CF9"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158.402 </w:t>
            </w:r>
          </w:p>
        </w:tc>
        <w:tc>
          <w:tcPr>
            <w:tcW w:w="529" w:type="pct"/>
            <w:tcBorders>
              <w:top w:val="nil"/>
              <w:left w:val="nil"/>
              <w:bottom w:val="nil"/>
              <w:right w:val="nil"/>
            </w:tcBorders>
            <w:shd w:val="clear" w:color="auto" w:fill="auto"/>
            <w:noWrap/>
            <w:vAlign w:val="center"/>
            <w:hideMark/>
          </w:tcPr>
          <w:p w14:paraId="376B131E"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240.187 </w:t>
            </w:r>
          </w:p>
        </w:tc>
        <w:tc>
          <w:tcPr>
            <w:tcW w:w="530" w:type="pct"/>
            <w:tcBorders>
              <w:top w:val="nil"/>
              <w:left w:val="nil"/>
              <w:bottom w:val="nil"/>
              <w:right w:val="nil"/>
            </w:tcBorders>
            <w:shd w:val="clear" w:color="auto" w:fill="auto"/>
            <w:noWrap/>
            <w:vAlign w:val="center"/>
            <w:hideMark/>
          </w:tcPr>
          <w:p w14:paraId="21C92464"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241.525 </w:t>
            </w:r>
          </w:p>
        </w:tc>
        <w:tc>
          <w:tcPr>
            <w:tcW w:w="427" w:type="pct"/>
            <w:tcBorders>
              <w:top w:val="nil"/>
              <w:left w:val="nil"/>
              <w:bottom w:val="nil"/>
              <w:right w:val="nil"/>
            </w:tcBorders>
            <w:shd w:val="clear" w:color="auto" w:fill="auto"/>
            <w:noWrap/>
            <w:vAlign w:val="center"/>
            <w:hideMark/>
          </w:tcPr>
          <w:p w14:paraId="3C85D689"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-34,1%</w:t>
            </w:r>
          </w:p>
        </w:tc>
        <w:tc>
          <w:tcPr>
            <w:tcW w:w="537" w:type="pct"/>
            <w:tcBorders>
              <w:top w:val="nil"/>
              <w:left w:val="nil"/>
              <w:bottom w:val="nil"/>
              <w:right w:val="nil"/>
            </w:tcBorders>
            <w:shd w:val="clear" w:color="auto" w:fill="auto"/>
            <w:noWrap/>
            <w:vAlign w:val="center"/>
            <w:hideMark/>
          </w:tcPr>
          <w:p w14:paraId="7584272C"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-34,4%</w:t>
            </w:r>
          </w:p>
        </w:tc>
      </w:tr>
      <w:tr w:rsidR="00D65A82" w:rsidRPr="00D65A82" w14:paraId="49C5AF45" w14:textId="77777777" w:rsidTr="00505643">
        <w:trPr>
          <w:trHeight w:val="238"/>
        </w:trPr>
        <w:tc>
          <w:tcPr>
            <w:tcW w:w="2448" w:type="pct"/>
            <w:tcBorders>
              <w:top w:val="nil"/>
              <w:left w:val="nil"/>
              <w:bottom w:val="nil"/>
              <w:right w:val="nil"/>
            </w:tcBorders>
            <w:shd w:val="clear" w:color="auto" w:fill="auto"/>
            <w:noWrap/>
            <w:vAlign w:val="center"/>
            <w:hideMark/>
          </w:tcPr>
          <w:p w14:paraId="49135164"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Recuperação de Crédito Tributários (iii)</w:t>
            </w:r>
          </w:p>
        </w:tc>
        <w:tc>
          <w:tcPr>
            <w:tcW w:w="529" w:type="pct"/>
            <w:tcBorders>
              <w:top w:val="nil"/>
              <w:left w:val="nil"/>
              <w:bottom w:val="nil"/>
              <w:right w:val="nil"/>
            </w:tcBorders>
            <w:shd w:val="clear" w:color="auto" w:fill="auto"/>
            <w:noWrap/>
            <w:vAlign w:val="center"/>
            <w:hideMark/>
          </w:tcPr>
          <w:p w14:paraId="05263E00"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20.538 </w:t>
            </w:r>
          </w:p>
        </w:tc>
        <w:tc>
          <w:tcPr>
            <w:tcW w:w="529" w:type="pct"/>
            <w:tcBorders>
              <w:top w:val="nil"/>
              <w:left w:val="nil"/>
              <w:bottom w:val="nil"/>
              <w:right w:val="nil"/>
            </w:tcBorders>
            <w:shd w:val="clear" w:color="auto" w:fill="auto"/>
            <w:noWrap/>
            <w:vAlign w:val="center"/>
            <w:hideMark/>
          </w:tcPr>
          <w:p w14:paraId="27254338"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9.450 </w:t>
            </w:r>
          </w:p>
        </w:tc>
        <w:tc>
          <w:tcPr>
            <w:tcW w:w="530" w:type="pct"/>
            <w:tcBorders>
              <w:top w:val="nil"/>
              <w:left w:val="nil"/>
              <w:bottom w:val="nil"/>
              <w:right w:val="nil"/>
            </w:tcBorders>
            <w:shd w:val="clear" w:color="auto" w:fill="auto"/>
            <w:noWrap/>
            <w:vAlign w:val="center"/>
            <w:hideMark/>
          </w:tcPr>
          <w:p w14:paraId="5B907E2E"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3.041 </w:t>
            </w:r>
          </w:p>
        </w:tc>
        <w:tc>
          <w:tcPr>
            <w:tcW w:w="427" w:type="pct"/>
            <w:tcBorders>
              <w:top w:val="nil"/>
              <w:left w:val="nil"/>
              <w:bottom w:val="nil"/>
              <w:right w:val="nil"/>
            </w:tcBorders>
            <w:shd w:val="clear" w:color="auto" w:fill="auto"/>
            <w:noWrap/>
            <w:vAlign w:val="center"/>
            <w:hideMark/>
          </w:tcPr>
          <w:p w14:paraId="51458573"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117,3%</w:t>
            </w:r>
          </w:p>
        </w:tc>
        <w:tc>
          <w:tcPr>
            <w:tcW w:w="537" w:type="pct"/>
            <w:tcBorders>
              <w:top w:val="nil"/>
              <w:left w:val="nil"/>
              <w:bottom w:val="nil"/>
              <w:right w:val="nil"/>
            </w:tcBorders>
            <w:shd w:val="clear" w:color="auto" w:fill="auto"/>
            <w:noWrap/>
            <w:vAlign w:val="center"/>
            <w:hideMark/>
          </w:tcPr>
          <w:p w14:paraId="731D6557"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575,4%</w:t>
            </w:r>
          </w:p>
        </w:tc>
      </w:tr>
      <w:tr w:rsidR="00D65A82" w:rsidRPr="00D65A82" w14:paraId="4DF51B62" w14:textId="77777777" w:rsidTr="00505643">
        <w:trPr>
          <w:trHeight w:val="238"/>
        </w:trPr>
        <w:tc>
          <w:tcPr>
            <w:tcW w:w="2448" w:type="pct"/>
            <w:tcBorders>
              <w:top w:val="nil"/>
              <w:left w:val="nil"/>
              <w:bottom w:val="nil"/>
              <w:right w:val="nil"/>
            </w:tcBorders>
            <w:shd w:val="clear" w:color="auto" w:fill="auto"/>
            <w:noWrap/>
            <w:vAlign w:val="center"/>
            <w:hideMark/>
          </w:tcPr>
          <w:p w14:paraId="3FE1BCDD"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Rever. de Prov. p/ Riscos Trab., Cíveis, Fiscais</w:t>
            </w:r>
          </w:p>
        </w:tc>
        <w:tc>
          <w:tcPr>
            <w:tcW w:w="529" w:type="pct"/>
            <w:tcBorders>
              <w:top w:val="nil"/>
              <w:left w:val="nil"/>
              <w:bottom w:val="nil"/>
              <w:right w:val="nil"/>
            </w:tcBorders>
            <w:shd w:val="clear" w:color="auto" w:fill="auto"/>
            <w:noWrap/>
            <w:vAlign w:val="center"/>
            <w:hideMark/>
          </w:tcPr>
          <w:p w14:paraId="5217391C"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574 </w:t>
            </w:r>
          </w:p>
        </w:tc>
        <w:tc>
          <w:tcPr>
            <w:tcW w:w="529" w:type="pct"/>
            <w:tcBorders>
              <w:top w:val="nil"/>
              <w:left w:val="nil"/>
              <w:bottom w:val="nil"/>
              <w:right w:val="nil"/>
            </w:tcBorders>
            <w:shd w:val="clear" w:color="auto" w:fill="auto"/>
            <w:noWrap/>
            <w:vAlign w:val="center"/>
            <w:hideMark/>
          </w:tcPr>
          <w:p w14:paraId="5FF6C44E"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9.213 </w:t>
            </w:r>
          </w:p>
        </w:tc>
        <w:tc>
          <w:tcPr>
            <w:tcW w:w="530" w:type="pct"/>
            <w:tcBorders>
              <w:top w:val="nil"/>
              <w:left w:val="nil"/>
              <w:bottom w:val="nil"/>
              <w:right w:val="nil"/>
            </w:tcBorders>
            <w:shd w:val="clear" w:color="auto" w:fill="auto"/>
            <w:noWrap/>
            <w:vAlign w:val="center"/>
            <w:hideMark/>
          </w:tcPr>
          <w:p w14:paraId="18D5DC13"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8.550 </w:t>
            </w:r>
          </w:p>
        </w:tc>
        <w:tc>
          <w:tcPr>
            <w:tcW w:w="427" w:type="pct"/>
            <w:tcBorders>
              <w:top w:val="nil"/>
              <w:left w:val="nil"/>
              <w:bottom w:val="nil"/>
              <w:right w:val="nil"/>
            </w:tcBorders>
            <w:shd w:val="clear" w:color="auto" w:fill="auto"/>
            <w:noWrap/>
            <w:vAlign w:val="center"/>
            <w:hideMark/>
          </w:tcPr>
          <w:p w14:paraId="5F68826B"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-93,8%</w:t>
            </w:r>
          </w:p>
        </w:tc>
        <w:tc>
          <w:tcPr>
            <w:tcW w:w="537" w:type="pct"/>
            <w:tcBorders>
              <w:top w:val="nil"/>
              <w:left w:val="nil"/>
              <w:bottom w:val="nil"/>
              <w:right w:val="nil"/>
            </w:tcBorders>
            <w:shd w:val="clear" w:color="auto" w:fill="auto"/>
            <w:noWrap/>
            <w:vAlign w:val="center"/>
            <w:hideMark/>
          </w:tcPr>
          <w:p w14:paraId="47602195"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-93,3%</w:t>
            </w:r>
          </w:p>
        </w:tc>
      </w:tr>
      <w:tr w:rsidR="00D65A82" w:rsidRPr="00D65A82" w14:paraId="1E92BBD2" w14:textId="77777777" w:rsidTr="00505643">
        <w:trPr>
          <w:trHeight w:val="238"/>
        </w:trPr>
        <w:tc>
          <w:tcPr>
            <w:tcW w:w="2448" w:type="pct"/>
            <w:tcBorders>
              <w:top w:val="nil"/>
              <w:left w:val="nil"/>
              <w:bottom w:val="nil"/>
              <w:right w:val="nil"/>
            </w:tcBorders>
            <w:shd w:val="clear" w:color="auto" w:fill="auto"/>
            <w:noWrap/>
            <w:vAlign w:val="center"/>
          </w:tcPr>
          <w:p w14:paraId="4F2858AA"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Outras Receitas Operacionais</w:t>
            </w:r>
          </w:p>
        </w:tc>
        <w:tc>
          <w:tcPr>
            <w:tcW w:w="529" w:type="pct"/>
            <w:tcBorders>
              <w:top w:val="nil"/>
              <w:left w:val="nil"/>
              <w:bottom w:val="nil"/>
              <w:right w:val="nil"/>
            </w:tcBorders>
            <w:shd w:val="clear" w:color="auto" w:fill="auto"/>
            <w:noWrap/>
            <w:vAlign w:val="center"/>
          </w:tcPr>
          <w:p w14:paraId="59DE5855"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4.994 </w:t>
            </w:r>
          </w:p>
        </w:tc>
        <w:tc>
          <w:tcPr>
            <w:tcW w:w="529" w:type="pct"/>
            <w:tcBorders>
              <w:top w:val="nil"/>
              <w:left w:val="nil"/>
              <w:bottom w:val="nil"/>
              <w:right w:val="nil"/>
            </w:tcBorders>
            <w:shd w:val="clear" w:color="auto" w:fill="auto"/>
            <w:noWrap/>
            <w:vAlign w:val="center"/>
          </w:tcPr>
          <w:p w14:paraId="41EFA845"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3.693 </w:t>
            </w:r>
          </w:p>
        </w:tc>
        <w:tc>
          <w:tcPr>
            <w:tcW w:w="530" w:type="pct"/>
            <w:tcBorders>
              <w:top w:val="nil"/>
              <w:left w:val="nil"/>
              <w:bottom w:val="nil"/>
              <w:right w:val="nil"/>
            </w:tcBorders>
            <w:shd w:val="clear" w:color="auto" w:fill="auto"/>
            <w:noWrap/>
            <w:vAlign w:val="center"/>
          </w:tcPr>
          <w:p w14:paraId="22172E6B"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1.865 </w:t>
            </w:r>
          </w:p>
        </w:tc>
        <w:tc>
          <w:tcPr>
            <w:tcW w:w="427" w:type="pct"/>
            <w:tcBorders>
              <w:top w:val="nil"/>
              <w:left w:val="nil"/>
              <w:bottom w:val="nil"/>
              <w:right w:val="nil"/>
            </w:tcBorders>
            <w:shd w:val="clear" w:color="auto" w:fill="auto"/>
            <w:noWrap/>
            <w:vAlign w:val="center"/>
          </w:tcPr>
          <w:p w14:paraId="6E5C800E"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35,2%</w:t>
            </w:r>
          </w:p>
        </w:tc>
        <w:tc>
          <w:tcPr>
            <w:tcW w:w="537" w:type="pct"/>
            <w:tcBorders>
              <w:top w:val="nil"/>
              <w:left w:val="nil"/>
              <w:bottom w:val="nil"/>
              <w:right w:val="nil"/>
            </w:tcBorders>
            <w:shd w:val="clear" w:color="auto" w:fill="auto"/>
            <w:noWrap/>
            <w:vAlign w:val="center"/>
          </w:tcPr>
          <w:p w14:paraId="6DA99A56"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167,8%</w:t>
            </w:r>
          </w:p>
        </w:tc>
      </w:tr>
      <w:tr w:rsidR="00D65A82" w:rsidRPr="00D65A82" w14:paraId="378A6DFE" w14:textId="77777777" w:rsidTr="00505643">
        <w:trPr>
          <w:trHeight w:val="238"/>
        </w:trPr>
        <w:tc>
          <w:tcPr>
            <w:tcW w:w="2448" w:type="pct"/>
            <w:tcBorders>
              <w:top w:val="nil"/>
              <w:left w:val="nil"/>
              <w:bottom w:val="nil"/>
              <w:right w:val="nil"/>
            </w:tcBorders>
            <w:shd w:val="clear" w:color="auto" w:fill="auto"/>
            <w:noWrap/>
            <w:vAlign w:val="center"/>
            <w:hideMark/>
          </w:tcPr>
          <w:p w14:paraId="7E3C3463"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Tributos sobre Outras Receitas Operacionais (iv)</w:t>
            </w:r>
          </w:p>
        </w:tc>
        <w:tc>
          <w:tcPr>
            <w:tcW w:w="529" w:type="pct"/>
            <w:tcBorders>
              <w:top w:val="nil"/>
              <w:left w:val="nil"/>
              <w:bottom w:val="nil"/>
              <w:right w:val="nil"/>
            </w:tcBorders>
            <w:shd w:val="clear" w:color="auto" w:fill="auto"/>
            <w:noWrap/>
            <w:vAlign w:val="center"/>
            <w:hideMark/>
          </w:tcPr>
          <w:p w14:paraId="66B2B6A5"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(22.848)</w:t>
            </w:r>
          </w:p>
        </w:tc>
        <w:tc>
          <w:tcPr>
            <w:tcW w:w="529" w:type="pct"/>
            <w:tcBorders>
              <w:top w:val="nil"/>
              <w:left w:val="nil"/>
              <w:bottom w:val="nil"/>
              <w:right w:val="nil"/>
            </w:tcBorders>
            <w:shd w:val="clear" w:color="auto" w:fill="auto"/>
            <w:noWrap/>
            <w:vAlign w:val="center"/>
            <w:hideMark/>
          </w:tcPr>
          <w:p w14:paraId="7115BB5E"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   </w:t>
            </w:r>
          </w:p>
        </w:tc>
        <w:tc>
          <w:tcPr>
            <w:tcW w:w="530" w:type="pct"/>
            <w:tcBorders>
              <w:top w:val="nil"/>
              <w:left w:val="nil"/>
              <w:bottom w:val="nil"/>
              <w:right w:val="nil"/>
            </w:tcBorders>
            <w:shd w:val="clear" w:color="auto" w:fill="auto"/>
            <w:noWrap/>
            <w:vAlign w:val="center"/>
            <w:hideMark/>
          </w:tcPr>
          <w:p w14:paraId="69C206C6"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   </w:t>
            </w:r>
          </w:p>
        </w:tc>
        <w:tc>
          <w:tcPr>
            <w:tcW w:w="427" w:type="pct"/>
            <w:tcBorders>
              <w:top w:val="nil"/>
              <w:left w:val="nil"/>
              <w:bottom w:val="nil"/>
              <w:right w:val="nil"/>
            </w:tcBorders>
            <w:shd w:val="clear" w:color="auto" w:fill="auto"/>
            <w:noWrap/>
            <w:vAlign w:val="center"/>
            <w:hideMark/>
          </w:tcPr>
          <w:p w14:paraId="538ABD0F"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100,0%</w:t>
            </w:r>
          </w:p>
        </w:tc>
        <w:tc>
          <w:tcPr>
            <w:tcW w:w="537" w:type="pct"/>
            <w:tcBorders>
              <w:top w:val="nil"/>
              <w:left w:val="nil"/>
              <w:bottom w:val="nil"/>
              <w:right w:val="nil"/>
            </w:tcBorders>
            <w:shd w:val="clear" w:color="auto" w:fill="auto"/>
            <w:noWrap/>
            <w:vAlign w:val="center"/>
            <w:hideMark/>
          </w:tcPr>
          <w:p w14:paraId="0C83CE35"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100,0%</w:t>
            </w:r>
          </w:p>
        </w:tc>
      </w:tr>
      <w:tr w:rsidR="00D65A82" w:rsidRPr="00D65A82" w14:paraId="1C431ED2" w14:textId="77777777" w:rsidTr="00505643">
        <w:trPr>
          <w:trHeight w:val="238"/>
        </w:trPr>
        <w:tc>
          <w:tcPr>
            <w:tcW w:w="2448" w:type="pct"/>
            <w:tcBorders>
              <w:top w:val="single" w:sz="8" w:space="0" w:color="9BC2E6"/>
              <w:left w:val="nil"/>
              <w:bottom w:val="single" w:sz="8" w:space="0" w:color="9BC2E6"/>
              <w:right w:val="nil"/>
            </w:tcBorders>
            <w:shd w:val="clear" w:color="auto" w:fill="auto"/>
            <w:noWrap/>
            <w:vAlign w:val="center"/>
            <w:hideMark/>
          </w:tcPr>
          <w:p w14:paraId="54AA7F97"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Total</w:t>
            </w:r>
          </w:p>
        </w:tc>
        <w:tc>
          <w:tcPr>
            <w:tcW w:w="529" w:type="pct"/>
            <w:tcBorders>
              <w:top w:val="single" w:sz="8" w:space="0" w:color="9BC2E6"/>
              <w:left w:val="nil"/>
              <w:bottom w:val="single" w:sz="8" w:space="0" w:color="9BC2E6"/>
              <w:right w:val="nil"/>
            </w:tcBorders>
            <w:shd w:val="clear" w:color="auto" w:fill="auto"/>
            <w:noWrap/>
            <w:vAlign w:val="center"/>
            <w:hideMark/>
          </w:tcPr>
          <w:p w14:paraId="2BEDA749"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373.698 </w:t>
            </w:r>
          </w:p>
        </w:tc>
        <w:tc>
          <w:tcPr>
            <w:tcW w:w="529" w:type="pct"/>
            <w:tcBorders>
              <w:top w:val="single" w:sz="8" w:space="0" w:color="9BC2E6"/>
              <w:left w:val="nil"/>
              <w:bottom w:val="single" w:sz="8" w:space="0" w:color="9BC2E6"/>
              <w:right w:val="nil"/>
            </w:tcBorders>
            <w:shd w:val="clear" w:color="auto" w:fill="auto"/>
            <w:noWrap/>
            <w:vAlign w:val="center"/>
            <w:hideMark/>
          </w:tcPr>
          <w:p w14:paraId="573776C8"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296.872 </w:t>
            </w:r>
          </w:p>
        </w:tc>
        <w:tc>
          <w:tcPr>
            <w:tcW w:w="530" w:type="pct"/>
            <w:tcBorders>
              <w:top w:val="single" w:sz="8" w:space="0" w:color="9BC2E6"/>
              <w:left w:val="nil"/>
              <w:bottom w:val="single" w:sz="8" w:space="0" w:color="9BC2E6"/>
              <w:right w:val="nil"/>
            </w:tcBorders>
            <w:shd w:val="clear" w:color="auto" w:fill="auto"/>
            <w:noWrap/>
            <w:vAlign w:val="center"/>
            <w:hideMark/>
          </w:tcPr>
          <w:p w14:paraId="05D4B9A4"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255.455 </w:t>
            </w:r>
          </w:p>
        </w:tc>
        <w:tc>
          <w:tcPr>
            <w:tcW w:w="427" w:type="pct"/>
            <w:tcBorders>
              <w:top w:val="single" w:sz="8" w:space="0" w:color="9BC2E6"/>
              <w:left w:val="nil"/>
              <w:bottom w:val="single" w:sz="8" w:space="0" w:color="9BC2E6"/>
              <w:right w:val="nil"/>
            </w:tcBorders>
            <w:shd w:val="clear" w:color="auto" w:fill="auto"/>
            <w:noWrap/>
            <w:vAlign w:val="center"/>
            <w:hideMark/>
          </w:tcPr>
          <w:p w14:paraId="4CE27A08"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25,9%</w:t>
            </w:r>
          </w:p>
        </w:tc>
        <w:tc>
          <w:tcPr>
            <w:tcW w:w="537" w:type="pct"/>
            <w:tcBorders>
              <w:top w:val="single" w:sz="8" w:space="0" w:color="9BC2E6"/>
              <w:left w:val="nil"/>
              <w:bottom w:val="single" w:sz="8" w:space="0" w:color="9BC2E6"/>
              <w:right w:val="nil"/>
            </w:tcBorders>
            <w:shd w:val="clear" w:color="auto" w:fill="auto"/>
            <w:noWrap/>
            <w:vAlign w:val="center"/>
            <w:hideMark/>
          </w:tcPr>
          <w:p w14:paraId="27705A40"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46,3%</w:t>
            </w:r>
          </w:p>
        </w:tc>
      </w:tr>
      <w:tr w:rsidR="00D65A82" w:rsidRPr="00D65A82" w14:paraId="6748A6AC" w14:textId="77777777" w:rsidTr="00505643">
        <w:trPr>
          <w:trHeight w:val="238"/>
        </w:trPr>
        <w:tc>
          <w:tcPr>
            <w:tcW w:w="2448" w:type="pct"/>
            <w:tcBorders>
              <w:top w:val="nil"/>
              <w:left w:val="nil"/>
              <w:bottom w:val="nil"/>
              <w:right w:val="nil"/>
            </w:tcBorders>
            <w:shd w:val="clear" w:color="auto" w:fill="auto"/>
            <w:noWrap/>
            <w:vAlign w:val="center"/>
            <w:hideMark/>
          </w:tcPr>
          <w:p w14:paraId="56022266"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Outras Despesas Operacionais </w:t>
            </w:r>
          </w:p>
        </w:tc>
        <w:tc>
          <w:tcPr>
            <w:tcW w:w="529" w:type="pct"/>
            <w:tcBorders>
              <w:top w:val="nil"/>
              <w:left w:val="nil"/>
              <w:bottom w:val="nil"/>
              <w:right w:val="nil"/>
            </w:tcBorders>
            <w:shd w:val="clear" w:color="auto" w:fill="auto"/>
            <w:noWrap/>
            <w:vAlign w:val="center"/>
            <w:hideMark/>
          </w:tcPr>
          <w:p w14:paraId="2AEE812B"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p>
        </w:tc>
        <w:tc>
          <w:tcPr>
            <w:tcW w:w="529" w:type="pct"/>
            <w:tcBorders>
              <w:top w:val="nil"/>
              <w:left w:val="nil"/>
              <w:bottom w:val="nil"/>
              <w:right w:val="nil"/>
            </w:tcBorders>
            <w:shd w:val="clear" w:color="auto" w:fill="auto"/>
            <w:noWrap/>
            <w:vAlign w:val="center"/>
            <w:hideMark/>
          </w:tcPr>
          <w:p w14:paraId="1ADE077F" w14:textId="77777777" w:rsidR="00D65A82" w:rsidRPr="00D65A82" w:rsidRDefault="00D65A82" w:rsidP="00D65A82">
            <w:pPr>
              <w:tabs>
                <w:tab w:val="clear" w:pos="851"/>
              </w:tabs>
              <w:spacing w:before="0" w:after="0" w:line="240" w:lineRule="auto"/>
              <w:jc w:val="left"/>
              <w:rPr>
                <w:rFonts w:ascii="Times New Roman" w:hAnsi="Times New Roman"/>
                <w:color w:val="auto"/>
                <w:sz w:val="16"/>
                <w:szCs w:val="16"/>
                <w:lang w:eastAsia="pt-BR"/>
              </w:rPr>
            </w:pPr>
          </w:p>
        </w:tc>
        <w:tc>
          <w:tcPr>
            <w:tcW w:w="530" w:type="pct"/>
            <w:tcBorders>
              <w:top w:val="nil"/>
              <w:left w:val="nil"/>
              <w:bottom w:val="nil"/>
              <w:right w:val="nil"/>
            </w:tcBorders>
            <w:shd w:val="clear" w:color="auto" w:fill="auto"/>
            <w:noWrap/>
            <w:vAlign w:val="center"/>
            <w:hideMark/>
          </w:tcPr>
          <w:p w14:paraId="52D24171" w14:textId="77777777" w:rsidR="00D65A82" w:rsidRPr="00D65A82" w:rsidRDefault="00D65A82" w:rsidP="00D65A82">
            <w:pPr>
              <w:tabs>
                <w:tab w:val="clear" w:pos="851"/>
              </w:tabs>
              <w:spacing w:before="0" w:after="0" w:line="240" w:lineRule="auto"/>
              <w:jc w:val="left"/>
              <w:rPr>
                <w:rFonts w:ascii="Times New Roman" w:hAnsi="Times New Roman"/>
                <w:color w:val="auto"/>
                <w:sz w:val="16"/>
                <w:szCs w:val="16"/>
                <w:lang w:eastAsia="pt-BR"/>
              </w:rPr>
            </w:pPr>
          </w:p>
        </w:tc>
        <w:tc>
          <w:tcPr>
            <w:tcW w:w="427" w:type="pct"/>
            <w:tcBorders>
              <w:top w:val="nil"/>
              <w:left w:val="nil"/>
              <w:bottom w:val="nil"/>
              <w:right w:val="nil"/>
            </w:tcBorders>
            <w:shd w:val="clear" w:color="auto" w:fill="auto"/>
            <w:noWrap/>
            <w:vAlign w:val="center"/>
            <w:hideMark/>
          </w:tcPr>
          <w:p w14:paraId="67256FA1" w14:textId="77777777" w:rsidR="00D65A82" w:rsidRPr="00D65A82" w:rsidRDefault="00D65A82" w:rsidP="00D65A82">
            <w:pPr>
              <w:tabs>
                <w:tab w:val="clear" w:pos="851"/>
              </w:tabs>
              <w:spacing w:before="0" w:after="0" w:line="240" w:lineRule="auto"/>
              <w:jc w:val="left"/>
              <w:rPr>
                <w:rFonts w:ascii="Times New Roman" w:hAnsi="Times New Roman"/>
                <w:color w:val="auto"/>
                <w:sz w:val="16"/>
                <w:szCs w:val="16"/>
                <w:lang w:eastAsia="pt-BR"/>
              </w:rPr>
            </w:pPr>
          </w:p>
        </w:tc>
        <w:tc>
          <w:tcPr>
            <w:tcW w:w="537" w:type="pct"/>
            <w:tcBorders>
              <w:top w:val="nil"/>
              <w:left w:val="nil"/>
              <w:bottom w:val="nil"/>
              <w:right w:val="nil"/>
            </w:tcBorders>
            <w:shd w:val="clear" w:color="auto" w:fill="auto"/>
            <w:noWrap/>
            <w:vAlign w:val="center"/>
            <w:hideMark/>
          </w:tcPr>
          <w:p w14:paraId="22385CB1" w14:textId="77777777" w:rsidR="00D65A82" w:rsidRPr="00D65A82" w:rsidRDefault="00D65A82" w:rsidP="00D65A82">
            <w:pPr>
              <w:tabs>
                <w:tab w:val="clear" w:pos="851"/>
              </w:tabs>
              <w:spacing w:before="0" w:after="0" w:line="240" w:lineRule="auto"/>
              <w:jc w:val="left"/>
              <w:rPr>
                <w:rFonts w:ascii="Times New Roman" w:hAnsi="Times New Roman"/>
                <w:color w:val="auto"/>
                <w:sz w:val="16"/>
                <w:szCs w:val="16"/>
                <w:lang w:eastAsia="pt-BR"/>
              </w:rPr>
            </w:pPr>
          </w:p>
        </w:tc>
      </w:tr>
      <w:tr w:rsidR="00D65A82" w:rsidRPr="00D65A82" w14:paraId="054A4AE3" w14:textId="77777777" w:rsidTr="00505643">
        <w:trPr>
          <w:trHeight w:val="238"/>
        </w:trPr>
        <w:tc>
          <w:tcPr>
            <w:tcW w:w="2448" w:type="pct"/>
            <w:tcBorders>
              <w:top w:val="nil"/>
              <w:left w:val="nil"/>
              <w:bottom w:val="nil"/>
              <w:right w:val="nil"/>
            </w:tcBorders>
            <w:shd w:val="clear" w:color="auto" w:fill="auto"/>
            <w:noWrap/>
            <w:vAlign w:val="center"/>
            <w:hideMark/>
          </w:tcPr>
          <w:p w14:paraId="692F1369"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xml:space="preserve">Tributos </w:t>
            </w:r>
          </w:p>
        </w:tc>
        <w:tc>
          <w:tcPr>
            <w:tcW w:w="529" w:type="pct"/>
            <w:tcBorders>
              <w:top w:val="nil"/>
              <w:left w:val="nil"/>
              <w:bottom w:val="nil"/>
              <w:right w:val="nil"/>
            </w:tcBorders>
            <w:shd w:val="clear" w:color="auto" w:fill="auto"/>
            <w:noWrap/>
            <w:vAlign w:val="center"/>
            <w:hideMark/>
          </w:tcPr>
          <w:p w14:paraId="4E0897CF"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(6.116)</w:t>
            </w:r>
          </w:p>
        </w:tc>
        <w:tc>
          <w:tcPr>
            <w:tcW w:w="529" w:type="pct"/>
            <w:tcBorders>
              <w:top w:val="nil"/>
              <w:left w:val="nil"/>
              <w:bottom w:val="nil"/>
              <w:right w:val="nil"/>
            </w:tcBorders>
            <w:shd w:val="clear" w:color="auto" w:fill="auto"/>
            <w:noWrap/>
            <w:vAlign w:val="center"/>
            <w:hideMark/>
          </w:tcPr>
          <w:p w14:paraId="3AB4B2EC"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(10.835)</w:t>
            </w:r>
          </w:p>
        </w:tc>
        <w:tc>
          <w:tcPr>
            <w:tcW w:w="530" w:type="pct"/>
            <w:tcBorders>
              <w:top w:val="nil"/>
              <w:left w:val="nil"/>
              <w:bottom w:val="nil"/>
              <w:right w:val="nil"/>
            </w:tcBorders>
            <w:shd w:val="clear" w:color="auto" w:fill="auto"/>
            <w:noWrap/>
            <w:vAlign w:val="center"/>
            <w:hideMark/>
          </w:tcPr>
          <w:p w14:paraId="4140CF97"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(5.397)</w:t>
            </w:r>
          </w:p>
        </w:tc>
        <w:tc>
          <w:tcPr>
            <w:tcW w:w="427" w:type="pct"/>
            <w:tcBorders>
              <w:top w:val="nil"/>
              <w:left w:val="nil"/>
              <w:bottom w:val="nil"/>
              <w:right w:val="nil"/>
            </w:tcBorders>
            <w:shd w:val="clear" w:color="auto" w:fill="auto"/>
            <w:noWrap/>
            <w:vAlign w:val="center"/>
            <w:hideMark/>
          </w:tcPr>
          <w:p w14:paraId="6E68B51C"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-43,6%</w:t>
            </w:r>
          </w:p>
        </w:tc>
        <w:tc>
          <w:tcPr>
            <w:tcW w:w="537" w:type="pct"/>
            <w:tcBorders>
              <w:top w:val="nil"/>
              <w:left w:val="nil"/>
              <w:bottom w:val="nil"/>
              <w:right w:val="nil"/>
            </w:tcBorders>
            <w:shd w:val="clear" w:color="auto" w:fill="auto"/>
            <w:noWrap/>
            <w:vAlign w:val="center"/>
            <w:hideMark/>
          </w:tcPr>
          <w:p w14:paraId="41F8EA88"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13,3%</w:t>
            </w:r>
          </w:p>
        </w:tc>
      </w:tr>
      <w:tr w:rsidR="00D65A82" w:rsidRPr="00D65A82" w14:paraId="45929494" w14:textId="77777777" w:rsidTr="00505643">
        <w:trPr>
          <w:trHeight w:val="238"/>
        </w:trPr>
        <w:tc>
          <w:tcPr>
            <w:tcW w:w="2448" w:type="pct"/>
            <w:tcBorders>
              <w:top w:val="nil"/>
              <w:left w:val="nil"/>
              <w:bottom w:val="nil"/>
              <w:right w:val="nil"/>
            </w:tcBorders>
            <w:shd w:val="clear" w:color="auto" w:fill="auto"/>
            <w:noWrap/>
            <w:vAlign w:val="center"/>
            <w:hideMark/>
          </w:tcPr>
          <w:p w14:paraId="0E279406"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Multas sobre Contas a Receber – Contratos (v)</w:t>
            </w:r>
          </w:p>
        </w:tc>
        <w:tc>
          <w:tcPr>
            <w:tcW w:w="529" w:type="pct"/>
            <w:tcBorders>
              <w:top w:val="nil"/>
              <w:left w:val="nil"/>
              <w:bottom w:val="nil"/>
              <w:right w:val="nil"/>
            </w:tcBorders>
            <w:shd w:val="clear" w:color="auto" w:fill="auto"/>
            <w:noWrap/>
            <w:vAlign w:val="center"/>
            <w:hideMark/>
          </w:tcPr>
          <w:p w14:paraId="1F666E71"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(3.568)</w:t>
            </w:r>
          </w:p>
        </w:tc>
        <w:tc>
          <w:tcPr>
            <w:tcW w:w="529" w:type="pct"/>
            <w:tcBorders>
              <w:top w:val="nil"/>
              <w:left w:val="nil"/>
              <w:bottom w:val="nil"/>
              <w:right w:val="nil"/>
            </w:tcBorders>
            <w:shd w:val="clear" w:color="auto" w:fill="auto"/>
            <w:noWrap/>
            <w:vAlign w:val="center"/>
            <w:hideMark/>
          </w:tcPr>
          <w:p w14:paraId="37A7AABC"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(40.034)</w:t>
            </w:r>
          </w:p>
        </w:tc>
        <w:tc>
          <w:tcPr>
            <w:tcW w:w="530" w:type="pct"/>
            <w:tcBorders>
              <w:top w:val="nil"/>
              <w:left w:val="nil"/>
              <w:bottom w:val="nil"/>
              <w:right w:val="nil"/>
            </w:tcBorders>
            <w:shd w:val="clear" w:color="auto" w:fill="auto"/>
            <w:noWrap/>
            <w:vAlign w:val="center"/>
            <w:hideMark/>
          </w:tcPr>
          <w:p w14:paraId="364DC54A"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     </w:t>
            </w:r>
          </w:p>
        </w:tc>
        <w:tc>
          <w:tcPr>
            <w:tcW w:w="427" w:type="pct"/>
            <w:tcBorders>
              <w:top w:val="nil"/>
              <w:left w:val="nil"/>
              <w:bottom w:val="nil"/>
              <w:right w:val="nil"/>
            </w:tcBorders>
            <w:shd w:val="clear" w:color="auto" w:fill="auto"/>
            <w:noWrap/>
            <w:vAlign w:val="center"/>
            <w:hideMark/>
          </w:tcPr>
          <w:p w14:paraId="60967D4D"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-91,1%</w:t>
            </w:r>
          </w:p>
        </w:tc>
        <w:tc>
          <w:tcPr>
            <w:tcW w:w="537" w:type="pct"/>
            <w:tcBorders>
              <w:top w:val="nil"/>
              <w:left w:val="nil"/>
              <w:bottom w:val="nil"/>
              <w:right w:val="nil"/>
            </w:tcBorders>
            <w:shd w:val="clear" w:color="auto" w:fill="auto"/>
            <w:noWrap/>
            <w:vAlign w:val="center"/>
            <w:hideMark/>
          </w:tcPr>
          <w:p w14:paraId="0851CF83" w14:textId="77777777" w:rsidR="00D65A82" w:rsidRPr="00D65A82" w:rsidRDefault="00D65A82" w:rsidP="00D65A82">
            <w:pPr>
              <w:tabs>
                <w:tab w:val="clear" w:pos="851"/>
              </w:tabs>
              <w:spacing w:before="0" w:after="0" w:line="240" w:lineRule="auto"/>
              <w:jc w:val="right"/>
              <w:rPr>
                <w:rFonts w:ascii="Calibri" w:hAnsi="Calibri" w:cs="Calibri"/>
                <w:color w:val="000000"/>
                <w:sz w:val="16"/>
                <w:szCs w:val="16"/>
                <w:lang w:eastAsia="pt-BR"/>
              </w:rPr>
            </w:pPr>
            <w:r w:rsidRPr="00D65A82">
              <w:rPr>
                <w:rFonts w:ascii="Arial" w:hAnsi="Arial" w:cs="Arial"/>
                <w:color w:val="000000"/>
                <w:sz w:val="16"/>
                <w:szCs w:val="16"/>
                <w:lang w:eastAsia="pt-BR"/>
              </w:rPr>
              <w:t>100,0%</w:t>
            </w:r>
          </w:p>
        </w:tc>
      </w:tr>
      <w:tr w:rsidR="00D65A82" w:rsidRPr="00D65A82" w14:paraId="02F8B42A" w14:textId="77777777" w:rsidTr="00505643">
        <w:trPr>
          <w:trHeight w:val="238"/>
        </w:trPr>
        <w:tc>
          <w:tcPr>
            <w:tcW w:w="2448" w:type="pct"/>
            <w:tcBorders>
              <w:top w:val="nil"/>
              <w:left w:val="nil"/>
              <w:bottom w:val="nil"/>
              <w:right w:val="nil"/>
            </w:tcBorders>
            <w:shd w:val="clear" w:color="auto" w:fill="auto"/>
            <w:noWrap/>
            <w:vAlign w:val="center"/>
            <w:hideMark/>
          </w:tcPr>
          <w:p w14:paraId="235AD041"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Baixa de Ativo Imobilizado (vi)</w:t>
            </w:r>
          </w:p>
        </w:tc>
        <w:tc>
          <w:tcPr>
            <w:tcW w:w="529" w:type="pct"/>
            <w:tcBorders>
              <w:top w:val="nil"/>
              <w:left w:val="nil"/>
              <w:bottom w:val="nil"/>
              <w:right w:val="nil"/>
            </w:tcBorders>
            <w:shd w:val="clear" w:color="auto" w:fill="auto"/>
            <w:noWrap/>
            <w:vAlign w:val="center"/>
            <w:hideMark/>
          </w:tcPr>
          <w:p w14:paraId="6DF402F6"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(2.666)</w:t>
            </w:r>
          </w:p>
        </w:tc>
        <w:tc>
          <w:tcPr>
            <w:tcW w:w="529" w:type="pct"/>
            <w:tcBorders>
              <w:top w:val="nil"/>
              <w:left w:val="nil"/>
              <w:bottom w:val="nil"/>
              <w:right w:val="nil"/>
            </w:tcBorders>
            <w:shd w:val="clear" w:color="auto" w:fill="auto"/>
            <w:noWrap/>
            <w:vAlign w:val="center"/>
            <w:hideMark/>
          </w:tcPr>
          <w:p w14:paraId="45227DCB"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(383)</w:t>
            </w:r>
          </w:p>
        </w:tc>
        <w:tc>
          <w:tcPr>
            <w:tcW w:w="530" w:type="pct"/>
            <w:tcBorders>
              <w:top w:val="nil"/>
              <w:left w:val="nil"/>
              <w:bottom w:val="nil"/>
              <w:right w:val="nil"/>
            </w:tcBorders>
            <w:shd w:val="clear" w:color="auto" w:fill="auto"/>
            <w:noWrap/>
            <w:vAlign w:val="center"/>
            <w:hideMark/>
          </w:tcPr>
          <w:p w14:paraId="5740BA46"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(16.643)</w:t>
            </w:r>
          </w:p>
        </w:tc>
        <w:tc>
          <w:tcPr>
            <w:tcW w:w="427" w:type="pct"/>
            <w:tcBorders>
              <w:top w:val="nil"/>
              <w:left w:val="nil"/>
              <w:bottom w:val="nil"/>
              <w:right w:val="nil"/>
            </w:tcBorders>
            <w:shd w:val="clear" w:color="auto" w:fill="auto"/>
            <w:noWrap/>
            <w:vAlign w:val="center"/>
            <w:hideMark/>
          </w:tcPr>
          <w:p w14:paraId="6936EDFD"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596,1%</w:t>
            </w:r>
          </w:p>
        </w:tc>
        <w:tc>
          <w:tcPr>
            <w:tcW w:w="537" w:type="pct"/>
            <w:tcBorders>
              <w:top w:val="nil"/>
              <w:left w:val="nil"/>
              <w:bottom w:val="nil"/>
              <w:right w:val="nil"/>
            </w:tcBorders>
            <w:shd w:val="clear" w:color="auto" w:fill="auto"/>
            <w:noWrap/>
            <w:vAlign w:val="center"/>
            <w:hideMark/>
          </w:tcPr>
          <w:p w14:paraId="7B54E596"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-84,0%</w:t>
            </w:r>
          </w:p>
        </w:tc>
      </w:tr>
      <w:tr w:rsidR="00D65A82" w:rsidRPr="00D65A82" w14:paraId="0390C80A" w14:textId="77777777" w:rsidTr="00505643">
        <w:trPr>
          <w:trHeight w:val="238"/>
        </w:trPr>
        <w:tc>
          <w:tcPr>
            <w:tcW w:w="2448" w:type="pct"/>
            <w:tcBorders>
              <w:top w:val="nil"/>
              <w:left w:val="nil"/>
              <w:bottom w:val="nil"/>
              <w:right w:val="nil"/>
            </w:tcBorders>
            <w:shd w:val="clear" w:color="auto" w:fill="auto"/>
            <w:noWrap/>
            <w:vAlign w:val="center"/>
            <w:hideMark/>
          </w:tcPr>
          <w:p w14:paraId="1A246EBA"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Provisão p/ Riscos Trabalhistas, Cíveis, Fiscais</w:t>
            </w:r>
          </w:p>
        </w:tc>
        <w:tc>
          <w:tcPr>
            <w:tcW w:w="529" w:type="pct"/>
            <w:tcBorders>
              <w:top w:val="nil"/>
              <w:left w:val="nil"/>
              <w:bottom w:val="nil"/>
              <w:right w:val="nil"/>
            </w:tcBorders>
            <w:shd w:val="clear" w:color="auto" w:fill="auto"/>
            <w:noWrap/>
            <w:vAlign w:val="center"/>
            <w:hideMark/>
          </w:tcPr>
          <w:p w14:paraId="02B88348"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(498)</w:t>
            </w:r>
          </w:p>
        </w:tc>
        <w:tc>
          <w:tcPr>
            <w:tcW w:w="529" w:type="pct"/>
            <w:tcBorders>
              <w:top w:val="nil"/>
              <w:left w:val="nil"/>
              <w:bottom w:val="nil"/>
              <w:right w:val="nil"/>
            </w:tcBorders>
            <w:shd w:val="clear" w:color="auto" w:fill="auto"/>
            <w:noWrap/>
            <w:vAlign w:val="center"/>
            <w:hideMark/>
          </w:tcPr>
          <w:p w14:paraId="7B9123FD"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(962)</w:t>
            </w:r>
          </w:p>
        </w:tc>
        <w:tc>
          <w:tcPr>
            <w:tcW w:w="530" w:type="pct"/>
            <w:tcBorders>
              <w:top w:val="nil"/>
              <w:left w:val="nil"/>
              <w:bottom w:val="nil"/>
              <w:right w:val="nil"/>
            </w:tcBorders>
            <w:shd w:val="clear" w:color="auto" w:fill="auto"/>
            <w:noWrap/>
            <w:vAlign w:val="center"/>
            <w:hideMark/>
          </w:tcPr>
          <w:p w14:paraId="0A1EA204"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(5.189)</w:t>
            </w:r>
          </w:p>
        </w:tc>
        <w:tc>
          <w:tcPr>
            <w:tcW w:w="427" w:type="pct"/>
            <w:tcBorders>
              <w:top w:val="nil"/>
              <w:left w:val="nil"/>
              <w:bottom w:val="nil"/>
              <w:right w:val="nil"/>
            </w:tcBorders>
            <w:shd w:val="clear" w:color="auto" w:fill="auto"/>
            <w:noWrap/>
            <w:vAlign w:val="center"/>
            <w:hideMark/>
          </w:tcPr>
          <w:p w14:paraId="543A3CA8"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-48,2%</w:t>
            </w:r>
          </w:p>
        </w:tc>
        <w:tc>
          <w:tcPr>
            <w:tcW w:w="537" w:type="pct"/>
            <w:tcBorders>
              <w:top w:val="nil"/>
              <w:left w:val="nil"/>
              <w:bottom w:val="nil"/>
              <w:right w:val="nil"/>
            </w:tcBorders>
            <w:shd w:val="clear" w:color="auto" w:fill="auto"/>
            <w:noWrap/>
            <w:vAlign w:val="center"/>
            <w:hideMark/>
          </w:tcPr>
          <w:p w14:paraId="5935E4A1"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-90,4%</w:t>
            </w:r>
          </w:p>
        </w:tc>
      </w:tr>
      <w:tr w:rsidR="00D65A82" w:rsidRPr="00D65A82" w14:paraId="3FA19284" w14:textId="77777777" w:rsidTr="00505643">
        <w:trPr>
          <w:trHeight w:val="238"/>
        </w:trPr>
        <w:tc>
          <w:tcPr>
            <w:tcW w:w="2448" w:type="pct"/>
            <w:tcBorders>
              <w:top w:val="nil"/>
              <w:left w:val="nil"/>
              <w:bottom w:val="nil"/>
              <w:right w:val="nil"/>
            </w:tcBorders>
            <w:shd w:val="clear" w:color="auto" w:fill="auto"/>
            <w:noWrap/>
            <w:vAlign w:val="center"/>
            <w:hideMark/>
          </w:tcPr>
          <w:p w14:paraId="6456C90D"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xml:space="preserve">Outras Despesas Operacionais </w:t>
            </w:r>
          </w:p>
        </w:tc>
        <w:tc>
          <w:tcPr>
            <w:tcW w:w="529" w:type="pct"/>
            <w:tcBorders>
              <w:top w:val="nil"/>
              <w:left w:val="nil"/>
              <w:bottom w:val="nil"/>
              <w:right w:val="nil"/>
            </w:tcBorders>
            <w:shd w:val="clear" w:color="auto" w:fill="auto"/>
            <w:noWrap/>
            <w:vAlign w:val="center"/>
            <w:hideMark/>
          </w:tcPr>
          <w:p w14:paraId="706BD202"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(1.944)</w:t>
            </w:r>
          </w:p>
        </w:tc>
        <w:tc>
          <w:tcPr>
            <w:tcW w:w="529" w:type="pct"/>
            <w:tcBorders>
              <w:top w:val="nil"/>
              <w:left w:val="nil"/>
              <w:bottom w:val="nil"/>
              <w:right w:val="nil"/>
            </w:tcBorders>
            <w:shd w:val="clear" w:color="auto" w:fill="auto"/>
            <w:noWrap/>
            <w:vAlign w:val="center"/>
            <w:hideMark/>
          </w:tcPr>
          <w:p w14:paraId="73649235"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(3.445)</w:t>
            </w:r>
          </w:p>
        </w:tc>
        <w:tc>
          <w:tcPr>
            <w:tcW w:w="530" w:type="pct"/>
            <w:tcBorders>
              <w:top w:val="nil"/>
              <w:left w:val="nil"/>
              <w:bottom w:val="nil"/>
              <w:right w:val="nil"/>
            </w:tcBorders>
            <w:shd w:val="clear" w:color="auto" w:fill="auto"/>
            <w:noWrap/>
            <w:vAlign w:val="center"/>
            <w:hideMark/>
          </w:tcPr>
          <w:p w14:paraId="7449E247"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(1.833)</w:t>
            </w:r>
          </w:p>
        </w:tc>
        <w:tc>
          <w:tcPr>
            <w:tcW w:w="427" w:type="pct"/>
            <w:tcBorders>
              <w:top w:val="nil"/>
              <w:left w:val="nil"/>
              <w:bottom w:val="nil"/>
              <w:right w:val="nil"/>
            </w:tcBorders>
            <w:shd w:val="clear" w:color="auto" w:fill="auto"/>
            <w:noWrap/>
            <w:vAlign w:val="center"/>
            <w:hideMark/>
          </w:tcPr>
          <w:p w14:paraId="517AB4B4"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-43,6%</w:t>
            </w:r>
          </w:p>
        </w:tc>
        <w:tc>
          <w:tcPr>
            <w:tcW w:w="537" w:type="pct"/>
            <w:tcBorders>
              <w:top w:val="nil"/>
              <w:left w:val="nil"/>
              <w:bottom w:val="nil"/>
              <w:right w:val="nil"/>
            </w:tcBorders>
            <w:shd w:val="clear" w:color="auto" w:fill="auto"/>
            <w:noWrap/>
            <w:vAlign w:val="center"/>
            <w:hideMark/>
          </w:tcPr>
          <w:p w14:paraId="6B73416B"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6,1%</w:t>
            </w:r>
          </w:p>
        </w:tc>
      </w:tr>
      <w:tr w:rsidR="00D65A82" w:rsidRPr="00D65A82" w14:paraId="7B6D2D9E" w14:textId="77777777" w:rsidTr="00505643">
        <w:trPr>
          <w:trHeight w:val="238"/>
        </w:trPr>
        <w:tc>
          <w:tcPr>
            <w:tcW w:w="2448" w:type="pct"/>
            <w:tcBorders>
              <w:top w:val="single" w:sz="8" w:space="0" w:color="9BC2E6"/>
              <w:left w:val="nil"/>
              <w:bottom w:val="single" w:sz="8" w:space="0" w:color="9BC2E6"/>
              <w:right w:val="nil"/>
            </w:tcBorders>
            <w:shd w:val="clear" w:color="auto" w:fill="auto"/>
            <w:noWrap/>
            <w:vAlign w:val="center"/>
            <w:hideMark/>
          </w:tcPr>
          <w:p w14:paraId="347EBA7B"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Total</w:t>
            </w:r>
          </w:p>
        </w:tc>
        <w:tc>
          <w:tcPr>
            <w:tcW w:w="529" w:type="pct"/>
            <w:tcBorders>
              <w:top w:val="single" w:sz="8" w:space="0" w:color="9BC2E6"/>
              <w:left w:val="nil"/>
              <w:bottom w:val="single" w:sz="8" w:space="0" w:color="9BC2E6"/>
              <w:right w:val="nil"/>
            </w:tcBorders>
            <w:shd w:val="clear" w:color="auto" w:fill="auto"/>
            <w:noWrap/>
            <w:vAlign w:val="center"/>
            <w:hideMark/>
          </w:tcPr>
          <w:p w14:paraId="7CC4C311"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(14.792)</w:t>
            </w:r>
          </w:p>
        </w:tc>
        <w:tc>
          <w:tcPr>
            <w:tcW w:w="529" w:type="pct"/>
            <w:tcBorders>
              <w:top w:val="single" w:sz="8" w:space="0" w:color="9BC2E6"/>
              <w:left w:val="nil"/>
              <w:bottom w:val="single" w:sz="8" w:space="0" w:color="9BC2E6"/>
              <w:right w:val="nil"/>
            </w:tcBorders>
            <w:shd w:val="clear" w:color="auto" w:fill="auto"/>
            <w:noWrap/>
            <w:vAlign w:val="center"/>
            <w:hideMark/>
          </w:tcPr>
          <w:p w14:paraId="237C60D5"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(55.659)</w:t>
            </w:r>
          </w:p>
        </w:tc>
        <w:tc>
          <w:tcPr>
            <w:tcW w:w="530" w:type="pct"/>
            <w:tcBorders>
              <w:top w:val="single" w:sz="8" w:space="0" w:color="9BC2E6"/>
              <w:left w:val="nil"/>
              <w:bottom w:val="single" w:sz="8" w:space="0" w:color="9BC2E6"/>
              <w:right w:val="nil"/>
            </w:tcBorders>
            <w:shd w:val="clear" w:color="auto" w:fill="auto"/>
            <w:noWrap/>
            <w:vAlign w:val="center"/>
            <w:hideMark/>
          </w:tcPr>
          <w:p w14:paraId="759B9661"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(29.062)</w:t>
            </w:r>
          </w:p>
        </w:tc>
        <w:tc>
          <w:tcPr>
            <w:tcW w:w="427" w:type="pct"/>
            <w:tcBorders>
              <w:top w:val="single" w:sz="8" w:space="0" w:color="9BC2E6"/>
              <w:left w:val="nil"/>
              <w:bottom w:val="single" w:sz="8" w:space="0" w:color="9BC2E6"/>
              <w:right w:val="nil"/>
            </w:tcBorders>
            <w:shd w:val="clear" w:color="auto" w:fill="auto"/>
            <w:noWrap/>
            <w:vAlign w:val="center"/>
            <w:hideMark/>
          </w:tcPr>
          <w:p w14:paraId="6CE5009F"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-73,4%</w:t>
            </w:r>
          </w:p>
        </w:tc>
        <w:tc>
          <w:tcPr>
            <w:tcW w:w="537" w:type="pct"/>
            <w:tcBorders>
              <w:top w:val="single" w:sz="8" w:space="0" w:color="9BC2E6"/>
              <w:left w:val="nil"/>
              <w:bottom w:val="single" w:sz="8" w:space="0" w:color="9BC2E6"/>
              <w:right w:val="nil"/>
            </w:tcBorders>
            <w:shd w:val="clear" w:color="auto" w:fill="auto"/>
            <w:noWrap/>
            <w:vAlign w:val="center"/>
            <w:hideMark/>
          </w:tcPr>
          <w:p w14:paraId="2855B77E"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-49,1%</w:t>
            </w:r>
          </w:p>
        </w:tc>
      </w:tr>
      <w:tr w:rsidR="00D65A82" w:rsidRPr="00D65A82" w14:paraId="0951F27A" w14:textId="77777777" w:rsidTr="00505643">
        <w:trPr>
          <w:trHeight w:val="238"/>
        </w:trPr>
        <w:tc>
          <w:tcPr>
            <w:tcW w:w="2448" w:type="pct"/>
            <w:tcBorders>
              <w:top w:val="nil"/>
              <w:left w:val="nil"/>
              <w:bottom w:val="single" w:sz="8" w:space="0" w:color="9BC2E6"/>
              <w:right w:val="nil"/>
            </w:tcBorders>
            <w:shd w:val="clear" w:color="auto" w:fill="auto"/>
            <w:noWrap/>
            <w:vAlign w:val="center"/>
            <w:hideMark/>
          </w:tcPr>
          <w:p w14:paraId="267C063A"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Outras Receitas/Despesas Operacionais, Líquida</w:t>
            </w:r>
          </w:p>
        </w:tc>
        <w:tc>
          <w:tcPr>
            <w:tcW w:w="529" w:type="pct"/>
            <w:tcBorders>
              <w:top w:val="nil"/>
              <w:left w:val="nil"/>
              <w:bottom w:val="single" w:sz="8" w:space="0" w:color="9BC2E6"/>
              <w:right w:val="nil"/>
            </w:tcBorders>
            <w:shd w:val="clear" w:color="auto" w:fill="auto"/>
            <w:noWrap/>
            <w:vAlign w:val="center"/>
            <w:hideMark/>
          </w:tcPr>
          <w:p w14:paraId="7F07B469"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358.906 </w:t>
            </w:r>
          </w:p>
        </w:tc>
        <w:tc>
          <w:tcPr>
            <w:tcW w:w="529" w:type="pct"/>
            <w:tcBorders>
              <w:top w:val="nil"/>
              <w:left w:val="nil"/>
              <w:bottom w:val="single" w:sz="8" w:space="0" w:color="9BC2E6"/>
              <w:right w:val="nil"/>
            </w:tcBorders>
            <w:shd w:val="clear" w:color="auto" w:fill="auto"/>
            <w:noWrap/>
            <w:vAlign w:val="center"/>
            <w:hideMark/>
          </w:tcPr>
          <w:p w14:paraId="65A11C13"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241.213 </w:t>
            </w:r>
          </w:p>
        </w:tc>
        <w:tc>
          <w:tcPr>
            <w:tcW w:w="530" w:type="pct"/>
            <w:tcBorders>
              <w:top w:val="nil"/>
              <w:left w:val="nil"/>
              <w:bottom w:val="single" w:sz="8" w:space="0" w:color="9BC2E6"/>
              <w:right w:val="nil"/>
            </w:tcBorders>
            <w:shd w:val="clear" w:color="auto" w:fill="auto"/>
            <w:noWrap/>
            <w:vAlign w:val="center"/>
            <w:hideMark/>
          </w:tcPr>
          <w:p w14:paraId="70BEEF86"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226.393 </w:t>
            </w:r>
          </w:p>
        </w:tc>
        <w:tc>
          <w:tcPr>
            <w:tcW w:w="427" w:type="pct"/>
            <w:tcBorders>
              <w:top w:val="nil"/>
              <w:left w:val="nil"/>
              <w:bottom w:val="single" w:sz="8" w:space="0" w:color="9BC2E6"/>
              <w:right w:val="nil"/>
            </w:tcBorders>
            <w:shd w:val="clear" w:color="auto" w:fill="auto"/>
            <w:noWrap/>
            <w:vAlign w:val="center"/>
            <w:hideMark/>
          </w:tcPr>
          <w:p w14:paraId="67F7D3B9"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48,8%</w:t>
            </w:r>
          </w:p>
        </w:tc>
        <w:tc>
          <w:tcPr>
            <w:tcW w:w="537" w:type="pct"/>
            <w:tcBorders>
              <w:top w:val="nil"/>
              <w:left w:val="nil"/>
              <w:bottom w:val="single" w:sz="8" w:space="0" w:color="9BC2E6"/>
              <w:right w:val="nil"/>
            </w:tcBorders>
            <w:shd w:val="clear" w:color="auto" w:fill="auto"/>
            <w:noWrap/>
            <w:vAlign w:val="center"/>
            <w:hideMark/>
          </w:tcPr>
          <w:p w14:paraId="29825DB7"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8"/>
                <w:szCs w:val="18"/>
                <w:lang w:eastAsia="pt-BR"/>
              </w:rPr>
              <w:t>58,5%</w:t>
            </w:r>
          </w:p>
        </w:tc>
      </w:tr>
    </w:tbl>
    <w:p w14:paraId="74534E57" w14:textId="77777777" w:rsidR="00D65A82" w:rsidRDefault="00D65A82" w:rsidP="00D65A82">
      <w:pPr>
        <w:tabs>
          <w:tab w:val="clear" w:pos="851"/>
        </w:tabs>
        <w:spacing w:before="0" w:after="0" w:line="240" w:lineRule="auto"/>
        <w:jc w:val="left"/>
        <w:rPr>
          <w:rFonts w:eastAsia="Calibri"/>
          <w:sz w:val="22"/>
        </w:rPr>
      </w:pPr>
    </w:p>
    <w:p w14:paraId="6D4F8D20" w14:textId="5128F60B" w:rsidR="00D65A82" w:rsidRPr="00D65A82" w:rsidRDefault="00D65A82" w:rsidP="0065694B">
      <w:pPr>
        <w:tabs>
          <w:tab w:val="clear" w:pos="851"/>
        </w:tabs>
        <w:spacing w:before="0" w:after="0" w:line="240" w:lineRule="auto"/>
        <w:rPr>
          <w:rFonts w:eastAsia="Calibri"/>
          <w:sz w:val="22"/>
        </w:rPr>
      </w:pPr>
      <w:r w:rsidRPr="00D65A82">
        <w:rPr>
          <w:rFonts w:eastAsia="Calibri"/>
          <w:sz w:val="22"/>
        </w:rPr>
        <w:t xml:space="preserve">No ano de 2024, o resultado da rubrica de Outras Receitas Operacionais deduzidas de Outras Despesas Operacionais foi positivo no montante de R$ 358,9 milhões (R$ 241,2 milhões em 2023 e R$ 226,4 milhões em 2022), aumento de 48,8% e 58,5% em relação aos exercícios de 2023 e 2022, respectivamente. As principais variações ocorreram nas seguintes rubricas: </w:t>
      </w:r>
    </w:p>
    <w:p w14:paraId="1FE5F804" w14:textId="77777777" w:rsidR="00D65A82" w:rsidRPr="00D65A82" w:rsidRDefault="00D65A82" w:rsidP="00D65A82">
      <w:pPr>
        <w:tabs>
          <w:tab w:val="clear" w:pos="851"/>
        </w:tabs>
        <w:spacing w:before="0" w:after="0" w:line="240" w:lineRule="auto"/>
        <w:jc w:val="left"/>
        <w:rPr>
          <w:rFonts w:eastAsia="Calibri"/>
          <w:sz w:val="22"/>
        </w:rPr>
      </w:pPr>
    </w:p>
    <w:p w14:paraId="546880CD" w14:textId="4EF9CF4F" w:rsidR="00D65A82" w:rsidRPr="00D65A82" w:rsidRDefault="00D65A82" w:rsidP="0065694B">
      <w:pPr>
        <w:tabs>
          <w:tab w:val="clear" w:pos="851"/>
        </w:tabs>
        <w:spacing w:before="0" w:after="0" w:line="240" w:lineRule="auto"/>
        <w:rPr>
          <w:rFonts w:eastAsia="Calibri"/>
          <w:sz w:val="22"/>
        </w:rPr>
      </w:pPr>
      <w:r w:rsidRPr="00D65A82">
        <w:rPr>
          <w:rFonts w:eastAsia="Calibri"/>
          <w:b/>
          <w:sz w:val="22"/>
        </w:rPr>
        <w:t>i) Superávit de Previdência Privada:</w:t>
      </w:r>
      <w:r w:rsidRPr="00D65A82">
        <w:rPr>
          <w:rFonts w:eastAsia="Calibri"/>
          <w:sz w:val="22"/>
        </w:rPr>
        <w:t xml:space="preserve"> Trata-se do reconhecimento do superávit relativo aos planos PBS-A, PBS-Telebras e Telebras Prev que serão distribuídos pela Sistel em 36 parcelas mensais. No exercício de 2024, a Companhia reconheceu no seu resultado o montante de R$ 212,0 milhões (R$ 33,9 milhões em 2023) relativo ao direito de recebimento dos superávits dos planos PBS-A, PBS-Telebras e Telebras Prev, que são patrocinados pela Telebras. Esses superávits serão recebidos em 36 parcelas mensais e serão atualizados pela variação das cotas dos planos.</w:t>
      </w:r>
    </w:p>
    <w:p w14:paraId="48222006" w14:textId="77777777" w:rsidR="00D65A82" w:rsidRPr="00D65A82" w:rsidRDefault="00D65A82" w:rsidP="0065694B">
      <w:pPr>
        <w:tabs>
          <w:tab w:val="clear" w:pos="851"/>
        </w:tabs>
        <w:spacing w:before="0" w:after="0" w:line="240" w:lineRule="auto"/>
        <w:rPr>
          <w:rFonts w:eastAsia="Calibri"/>
          <w:b/>
          <w:sz w:val="22"/>
        </w:rPr>
      </w:pPr>
    </w:p>
    <w:p w14:paraId="60336111" w14:textId="2B73E4F4" w:rsidR="00D65A82" w:rsidRPr="00D65A82" w:rsidRDefault="00D65A82" w:rsidP="0065694B">
      <w:pPr>
        <w:tabs>
          <w:tab w:val="clear" w:pos="851"/>
        </w:tabs>
        <w:spacing w:before="0" w:after="0" w:line="240" w:lineRule="auto"/>
        <w:rPr>
          <w:rFonts w:eastAsia="Calibri"/>
          <w:sz w:val="22"/>
        </w:rPr>
      </w:pPr>
      <w:r w:rsidRPr="00D65A82">
        <w:rPr>
          <w:rFonts w:eastAsia="Calibri"/>
          <w:b/>
          <w:sz w:val="22"/>
        </w:rPr>
        <w:t>ii) Subvenções Orçamentárias Recebidas:</w:t>
      </w:r>
      <w:r w:rsidRPr="00D65A82">
        <w:rPr>
          <w:rFonts w:eastAsia="Calibri"/>
          <w:sz w:val="22"/>
        </w:rPr>
        <w:t xml:space="preserve">  A partir de 1 de janeiro de 2020, a Telebras passou a ser classificada como uma Empresa Estatal Dependente, e, dessa forma, passou a receber recursos orçamentários para o pagamento dos gastos com pessoal, outros custeios e investimentos. Os recursos recebidos para pagamento de pessoal e outros custeios são reconhecidos no resultado da Companhia com base no CPC 07 – Subvenções e Assistência Governamentais, os recursos de investimento são contabilizados no passivo exigível (não circulante) como Adiantamento para Futuro Aumento de Capital (AFAC). Em 2024, a Telebras reconheceu o montante de R$ 158,4 milhões no resultado da Companhia (R$ 240,2 milhões em 2023 e R$ 241,5 em 2022). </w:t>
      </w:r>
    </w:p>
    <w:p w14:paraId="2E1FAFAE" w14:textId="77777777" w:rsidR="00D65A82" w:rsidRPr="00D65A82" w:rsidRDefault="00D65A82" w:rsidP="0065694B">
      <w:pPr>
        <w:tabs>
          <w:tab w:val="clear" w:pos="851"/>
        </w:tabs>
        <w:spacing w:before="0" w:after="0" w:line="240" w:lineRule="auto"/>
        <w:rPr>
          <w:rFonts w:eastAsia="Calibri"/>
          <w:sz w:val="22"/>
        </w:rPr>
      </w:pPr>
    </w:p>
    <w:p w14:paraId="10A36C46" w14:textId="77777777" w:rsidR="00D65A82" w:rsidRPr="00D65A82" w:rsidRDefault="00D65A82" w:rsidP="0065694B">
      <w:pPr>
        <w:tabs>
          <w:tab w:val="clear" w:pos="851"/>
        </w:tabs>
        <w:spacing w:before="0" w:after="0" w:line="240" w:lineRule="auto"/>
        <w:rPr>
          <w:rFonts w:eastAsia="Calibri"/>
          <w:sz w:val="22"/>
        </w:rPr>
      </w:pPr>
      <w:r w:rsidRPr="00D65A82">
        <w:rPr>
          <w:rFonts w:eastAsia="Calibri"/>
          <w:b/>
          <w:sz w:val="22"/>
        </w:rPr>
        <w:t>iii) Recuperação de Créditos Tributários:</w:t>
      </w:r>
      <w:r w:rsidRPr="00D65A82">
        <w:rPr>
          <w:rFonts w:eastAsia="Calibri"/>
          <w:sz w:val="22"/>
        </w:rPr>
        <w:t xml:space="preserve"> Em 2024, a Telebras registrou o montante de R$ 20,5 milhões (R$ 9,5 milhões em 2023 – R$ 3,0 milhões em 2022), referente a créditos tributários das contribuições do Pis e Cofins, em decorrência da reescrita fiscal.</w:t>
      </w:r>
    </w:p>
    <w:p w14:paraId="687D6689" w14:textId="77777777" w:rsidR="00D65A82" w:rsidRPr="00D65A82" w:rsidRDefault="00D65A82" w:rsidP="0065694B">
      <w:pPr>
        <w:tabs>
          <w:tab w:val="clear" w:pos="851"/>
        </w:tabs>
        <w:spacing w:before="0" w:after="0" w:line="240" w:lineRule="auto"/>
        <w:rPr>
          <w:rFonts w:eastAsia="Calibri"/>
          <w:sz w:val="22"/>
        </w:rPr>
      </w:pPr>
    </w:p>
    <w:p w14:paraId="2DD37CF2" w14:textId="77777777" w:rsidR="00D65A82" w:rsidRPr="00D65A82" w:rsidRDefault="00D65A82" w:rsidP="0065694B">
      <w:pPr>
        <w:tabs>
          <w:tab w:val="clear" w:pos="851"/>
        </w:tabs>
        <w:spacing w:before="0" w:after="0" w:line="240" w:lineRule="auto"/>
        <w:rPr>
          <w:rFonts w:eastAsia="Calibri"/>
          <w:sz w:val="22"/>
        </w:rPr>
      </w:pPr>
      <w:r w:rsidRPr="00D65A82">
        <w:rPr>
          <w:rFonts w:eastAsia="Calibri"/>
          <w:b/>
          <w:sz w:val="22"/>
        </w:rPr>
        <w:t xml:space="preserve">iv) Tributos sobre Outras Receitas Operacionais: </w:t>
      </w:r>
      <w:r w:rsidRPr="00D65A82">
        <w:rPr>
          <w:rFonts w:eastAsia="Calibri"/>
          <w:sz w:val="22"/>
        </w:rPr>
        <w:t xml:space="preserve">O valor foi impactado pelo reconhecimento da receita de superávit no exercício, sobre a qual incidem as contribuições para Pis e Cofins. </w:t>
      </w:r>
    </w:p>
    <w:p w14:paraId="256D2E53" w14:textId="77777777" w:rsidR="00D65A82" w:rsidRPr="00D65A82" w:rsidRDefault="00D65A82" w:rsidP="0065694B">
      <w:pPr>
        <w:tabs>
          <w:tab w:val="clear" w:pos="851"/>
        </w:tabs>
        <w:spacing w:before="0" w:after="0" w:line="240" w:lineRule="auto"/>
        <w:rPr>
          <w:rFonts w:eastAsia="Calibri"/>
          <w:sz w:val="22"/>
        </w:rPr>
      </w:pPr>
    </w:p>
    <w:p w14:paraId="6896FAE5" w14:textId="18234021" w:rsidR="00D65A82" w:rsidRPr="00D65A82" w:rsidRDefault="00D65A82" w:rsidP="0065694B">
      <w:pPr>
        <w:tabs>
          <w:tab w:val="clear" w:pos="851"/>
        </w:tabs>
        <w:spacing w:before="0" w:after="0" w:line="240" w:lineRule="auto"/>
        <w:rPr>
          <w:rFonts w:eastAsia="Calibri"/>
          <w:sz w:val="22"/>
        </w:rPr>
      </w:pPr>
      <w:r w:rsidRPr="00D65A82">
        <w:rPr>
          <w:rFonts w:eastAsia="Calibri"/>
          <w:b/>
          <w:sz w:val="22"/>
        </w:rPr>
        <w:t>v) Multas sobre Contas a Receber – Contratos:</w:t>
      </w:r>
      <w:r w:rsidRPr="00D65A82">
        <w:rPr>
          <w:rFonts w:eastAsia="Calibri"/>
          <w:sz w:val="22"/>
        </w:rPr>
        <w:t xml:space="preserve"> No ano de 2024, a Companhia reconheceu no resultado do período o valor de R$ 3,6 milhões (R$ 40,0 milhões em 2023) relativo às multas em decorrência de penalidades aplicadas sobre os contratos de prestação de serviços em decorrência de penalidades aplicadas na execução dos serviços.  A redução em relação ao ano de 2023, é justificada pelo reconhecimento no terceiro trimestre de 2023 do Valor relativo às multas aplicadas pela Dataprev em decorrência de penalidades aplicadas na execução dos serviços. O montante dessas multas foi de R$ 39.4 milhões.</w:t>
      </w:r>
    </w:p>
    <w:p w14:paraId="03240DBE" w14:textId="77777777" w:rsidR="00D65A82" w:rsidRPr="00D65A82" w:rsidRDefault="00D65A82" w:rsidP="0065694B">
      <w:pPr>
        <w:tabs>
          <w:tab w:val="clear" w:pos="851"/>
        </w:tabs>
        <w:spacing w:before="0" w:after="0" w:line="240" w:lineRule="auto"/>
        <w:rPr>
          <w:rFonts w:eastAsia="Calibri"/>
          <w:b/>
          <w:sz w:val="22"/>
        </w:rPr>
      </w:pPr>
    </w:p>
    <w:p w14:paraId="7F2DD20D" w14:textId="7C672213" w:rsidR="00247165" w:rsidRPr="00D44CF4" w:rsidRDefault="00D65A82" w:rsidP="0065694B">
      <w:pPr>
        <w:spacing w:before="120" w:line="240" w:lineRule="auto"/>
        <w:rPr>
          <w:rFonts w:cs="Arial"/>
          <w:b/>
          <w:bCs/>
          <w:szCs w:val="26"/>
        </w:rPr>
      </w:pPr>
      <w:r w:rsidRPr="00D65A82">
        <w:rPr>
          <w:rFonts w:eastAsia="Calibri"/>
          <w:b/>
          <w:sz w:val="22"/>
        </w:rPr>
        <w:t>vi) Baixa de Bens do Ativo Imobilizado:</w:t>
      </w:r>
      <w:r w:rsidRPr="00D65A82">
        <w:rPr>
          <w:rFonts w:eastAsia="Calibri"/>
          <w:sz w:val="22"/>
        </w:rPr>
        <w:t xml:space="preserve"> No exercício de 2024, a Telebras realizou baixas de bens do ativo imobilizado no montante de R$ 2,6 milhões (R$ 0,4 milhão em 2023 e R$ 16,6 milhões em 2022</w:t>
      </w:r>
      <w:r w:rsidR="00380BF2">
        <w:rPr>
          <w:rFonts w:eastAsia="Calibri"/>
          <w:sz w:val="22"/>
        </w:rPr>
        <w:t>)</w:t>
      </w:r>
      <w:r w:rsidRPr="00D65A82">
        <w:rPr>
          <w:rFonts w:eastAsia="Calibri"/>
          <w:sz w:val="22"/>
        </w:rPr>
        <w:t>. Essas baixas ocorreram devido à realização de inventário dos bens da Telebras.</w:t>
      </w:r>
    </w:p>
    <w:p w14:paraId="0A345527" w14:textId="4B25AB6A" w:rsidR="003E0246" w:rsidRPr="00D44CF4" w:rsidRDefault="003E0246" w:rsidP="00087F48">
      <w:pPr>
        <w:pStyle w:val="Ttulo3"/>
        <w:ind w:left="709" w:hanging="709"/>
        <w:rPr>
          <w:b w:val="0"/>
        </w:rPr>
      </w:pPr>
      <w:bookmarkStart w:id="17" w:name="_Toc191641872"/>
      <w:r w:rsidRPr="00D44CF4">
        <w:t>Resultado Financeiro</w:t>
      </w:r>
      <w:bookmarkEnd w:id="17"/>
      <w:r w:rsidRPr="00D44CF4">
        <w:t xml:space="preserve"> </w:t>
      </w:r>
    </w:p>
    <w:tbl>
      <w:tblPr>
        <w:tblW w:w="5000" w:type="pct"/>
        <w:tblCellMar>
          <w:left w:w="70" w:type="dxa"/>
          <w:right w:w="70" w:type="dxa"/>
        </w:tblCellMar>
        <w:tblLook w:val="04A0" w:firstRow="1" w:lastRow="0" w:firstColumn="1" w:lastColumn="0" w:noHBand="0" w:noVBand="1"/>
      </w:tblPr>
      <w:tblGrid>
        <w:gridCol w:w="4553"/>
        <w:gridCol w:w="1003"/>
        <w:gridCol w:w="1003"/>
        <w:gridCol w:w="1003"/>
        <w:gridCol w:w="683"/>
        <w:gridCol w:w="827"/>
      </w:tblGrid>
      <w:tr w:rsidR="00D65A82" w:rsidRPr="00D65A82" w14:paraId="354C7F6D" w14:textId="77777777" w:rsidTr="00505643">
        <w:trPr>
          <w:trHeight w:val="238"/>
          <w:tblHeader/>
        </w:trPr>
        <w:tc>
          <w:tcPr>
            <w:tcW w:w="2509" w:type="pct"/>
            <w:tcBorders>
              <w:top w:val="single" w:sz="8" w:space="0" w:color="8EA9DB"/>
              <w:left w:val="nil"/>
              <w:bottom w:val="single" w:sz="8" w:space="0" w:color="8EA9DB"/>
              <w:right w:val="nil"/>
            </w:tcBorders>
            <w:shd w:val="clear" w:color="auto" w:fill="auto"/>
            <w:noWrap/>
            <w:vAlign w:val="center"/>
            <w:hideMark/>
          </w:tcPr>
          <w:p w14:paraId="6C7F7171" w14:textId="77777777" w:rsidR="00D65A82" w:rsidRPr="00D65A82" w:rsidRDefault="00D65A82" w:rsidP="00D65A82">
            <w:pPr>
              <w:tabs>
                <w:tab w:val="clear" w:pos="851"/>
              </w:tabs>
              <w:spacing w:before="0" w:after="0" w:line="240" w:lineRule="auto"/>
              <w:jc w:val="left"/>
              <w:rPr>
                <w:rFonts w:ascii="Arial" w:hAnsi="Arial" w:cs="Arial"/>
                <w:b/>
                <w:bCs/>
                <w:color w:val="2F75B5"/>
                <w:sz w:val="16"/>
                <w:szCs w:val="16"/>
                <w:lang w:eastAsia="pt-BR"/>
              </w:rPr>
            </w:pPr>
            <w:bookmarkStart w:id="18" w:name="_Hlk364801"/>
            <w:r w:rsidRPr="00D65A82">
              <w:rPr>
                <w:rFonts w:ascii="Arial" w:hAnsi="Arial" w:cs="Arial"/>
                <w:b/>
                <w:bCs/>
                <w:color w:val="2F75B5"/>
                <w:sz w:val="16"/>
                <w:szCs w:val="16"/>
                <w:lang w:eastAsia="pt-BR"/>
              </w:rPr>
              <w:t>R$ mil</w:t>
            </w:r>
          </w:p>
        </w:tc>
        <w:tc>
          <w:tcPr>
            <w:tcW w:w="553" w:type="pct"/>
            <w:tcBorders>
              <w:top w:val="single" w:sz="8" w:space="0" w:color="8EA9DB"/>
              <w:left w:val="nil"/>
              <w:bottom w:val="single" w:sz="8" w:space="0" w:color="8EA9DB"/>
              <w:right w:val="nil"/>
            </w:tcBorders>
            <w:shd w:val="clear" w:color="000000" w:fill="FFFFFF"/>
            <w:noWrap/>
            <w:vAlign w:val="center"/>
            <w:hideMark/>
          </w:tcPr>
          <w:p w14:paraId="702FF069"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2024</w:t>
            </w:r>
          </w:p>
        </w:tc>
        <w:tc>
          <w:tcPr>
            <w:tcW w:w="553" w:type="pct"/>
            <w:tcBorders>
              <w:top w:val="single" w:sz="8" w:space="0" w:color="8EA9DB"/>
              <w:left w:val="nil"/>
              <w:bottom w:val="single" w:sz="8" w:space="0" w:color="8EA9DB"/>
              <w:right w:val="nil"/>
            </w:tcBorders>
            <w:shd w:val="clear" w:color="000000" w:fill="FFFFFF"/>
            <w:noWrap/>
            <w:vAlign w:val="center"/>
            <w:hideMark/>
          </w:tcPr>
          <w:p w14:paraId="7A26EFCA"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2023</w:t>
            </w:r>
          </w:p>
        </w:tc>
        <w:tc>
          <w:tcPr>
            <w:tcW w:w="553" w:type="pct"/>
            <w:tcBorders>
              <w:top w:val="single" w:sz="8" w:space="0" w:color="8EA9DB"/>
              <w:left w:val="nil"/>
              <w:bottom w:val="single" w:sz="8" w:space="0" w:color="8EA9DB"/>
              <w:right w:val="nil"/>
            </w:tcBorders>
            <w:shd w:val="clear" w:color="000000" w:fill="FFFFFF"/>
            <w:noWrap/>
            <w:vAlign w:val="center"/>
            <w:hideMark/>
          </w:tcPr>
          <w:p w14:paraId="42CA1E21"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2022</w:t>
            </w:r>
          </w:p>
        </w:tc>
        <w:tc>
          <w:tcPr>
            <w:tcW w:w="376" w:type="pct"/>
            <w:tcBorders>
              <w:top w:val="single" w:sz="8" w:space="0" w:color="9BC2E6"/>
              <w:left w:val="nil"/>
              <w:bottom w:val="single" w:sz="8" w:space="0" w:color="9BC2E6"/>
              <w:right w:val="nil"/>
            </w:tcBorders>
            <w:shd w:val="clear" w:color="000000" w:fill="FFFFFF"/>
            <w:vAlign w:val="center"/>
            <w:hideMark/>
          </w:tcPr>
          <w:p w14:paraId="5EF2BAAB"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Δ 2024 X 2023</w:t>
            </w:r>
          </w:p>
        </w:tc>
        <w:tc>
          <w:tcPr>
            <w:tcW w:w="456" w:type="pct"/>
            <w:tcBorders>
              <w:top w:val="single" w:sz="8" w:space="0" w:color="8EA9DB"/>
              <w:left w:val="nil"/>
              <w:bottom w:val="single" w:sz="8" w:space="0" w:color="8EA9DB"/>
              <w:right w:val="nil"/>
            </w:tcBorders>
            <w:shd w:val="clear" w:color="000000" w:fill="FFFFFF"/>
            <w:vAlign w:val="center"/>
            <w:hideMark/>
          </w:tcPr>
          <w:p w14:paraId="20F0146E"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Δ 2024 X 2022</w:t>
            </w:r>
          </w:p>
        </w:tc>
      </w:tr>
      <w:tr w:rsidR="00D65A82" w:rsidRPr="00D65A82" w14:paraId="62A1495D" w14:textId="77777777" w:rsidTr="00505643">
        <w:trPr>
          <w:trHeight w:val="238"/>
        </w:trPr>
        <w:tc>
          <w:tcPr>
            <w:tcW w:w="2509" w:type="pct"/>
            <w:tcBorders>
              <w:top w:val="nil"/>
              <w:left w:val="nil"/>
              <w:bottom w:val="nil"/>
              <w:right w:val="nil"/>
            </w:tcBorders>
            <w:shd w:val="clear" w:color="auto" w:fill="auto"/>
            <w:noWrap/>
            <w:vAlign w:val="center"/>
            <w:hideMark/>
          </w:tcPr>
          <w:p w14:paraId="52C14CAB"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Receitas Financeiras</w:t>
            </w:r>
          </w:p>
        </w:tc>
        <w:tc>
          <w:tcPr>
            <w:tcW w:w="553" w:type="pct"/>
            <w:tcBorders>
              <w:top w:val="nil"/>
              <w:left w:val="nil"/>
              <w:bottom w:val="nil"/>
              <w:right w:val="nil"/>
            </w:tcBorders>
            <w:shd w:val="clear" w:color="auto" w:fill="auto"/>
            <w:noWrap/>
            <w:vAlign w:val="center"/>
            <w:hideMark/>
          </w:tcPr>
          <w:p w14:paraId="5CA70E51"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p>
        </w:tc>
        <w:tc>
          <w:tcPr>
            <w:tcW w:w="553" w:type="pct"/>
            <w:tcBorders>
              <w:top w:val="nil"/>
              <w:left w:val="nil"/>
              <w:bottom w:val="nil"/>
              <w:right w:val="nil"/>
            </w:tcBorders>
            <w:shd w:val="clear" w:color="auto" w:fill="auto"/>
            <w:noWrap/>
            <w:vAlign w:val="center"/>
            <w:hideMark/>
          </w:tcPr>
          <w:p w14:paraId="0FDD1D3C" w14:textId="77777777" w:rsidR="00D65A82" w:rsidRPr="00D65A82" w:rsidRDefault="00D65A82" w:rsidP="00D65A82">
            <w:pPr>
              <w:tabs>
                <w:tab w:val="clear" w:pos="851"/>
              </w:tabs>
              <w:spacing w:before="0" w:after="0" w:line="240" w:lineRule="auto"/>
              <w:jc w:val="left"/>
              <w:rPr>
                <w:rFonts w:ascii="Times New Roman" w:hAnsi="Times New Roman"/>
                <w:color w:val="auto"/>
                <w:sz w:val="16"/>
                <w:szCs w:val="16"/>
                <w:lang w:eastAsia="pt-BR"/>
              </w:rPr>
            </w:pPr>
          </w:p>
        </w:tc>
        <w:tc>
          <w:tcPr>
            <w:tcW w:w="553" w:type="pct"/>
            <w:tcBorders>
              <w:top w:val="nil"/>
              <w:left w:val="nil"/>
              <w:bottom w:val="nil"/>
              <w:right w:val="nil"/>
            </w:tcBorders>
            <w:shd w:val="clear" w:color="auto" w:fill="auto"/>
            <w:noWrap/>
            <w:vAlign w:val="center"/>
            <w:hideMark/>
          </w:tcPr>
          <w:p w14:paraId="30B7382D" w14:textId="77777777" w:rsidR="00D65A82" w:rsidRPr="00D65A82" w:rsidRDefault="00D65A82" w:rsidP="00D65A82">
            <w:pPr>
              <w:tabs>
                <w:tab w:val="clear" w:pos="851"/>
              </w:tabs>
              <w:spacing w:before="0" w:after="0" w:line="240" w:lineRule="auto"/>
              <w:jc w:val="left"/>
              <w:rPr>
                <w:rFonts w:ascii="Times New Roman" w:hAnsi="Times New Roman"/>
                <w:color w:val="auto"/>
                <w:sz w:val="16"/>
                <w:szCs w:val="16"/>
                <w:lang w:eastAsia="pt-BR"/>
              </w:rPr>
            </w:pPr>
          </w:p>
        </w:tc>
        <w:tc>
          <w:tcPr>
            <w:tcW w:w="376" w:type="pct"/>
            <w:tcBorders>
              <w:top w:val="nil"/>
              <w:left w:val="nil"/>
              <w:bottom w:val="nil"/>
              <w:right w:val="nil"/>
            </w:tcBorders>
            <w:shd w:val="clear" w:color="auto" w:fill="auto"/>
            <w:vAlign w:val="center"/>
            <w:hideMark/>
          </w:tcPr>
          <w:p w14:paraId="7FF2E4B8"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w:t>
            </w:r>
          </w:p>
        </w:tc>
        <w:tc>
          <w:tcPr>
            <w:tcW w:w="456" w:type="pct"/>
            <w:tcBorders>
              <w:top w:val="nil"/>
              <w:left w:val="nil"/>
              <w:bottom w:val="nil"/>
              <w:right w:val="nil"/>
            </w:tcBorders>
            <w:shd w:val="clear" w:color="auto" w:fill="auto"/>
            <w:vAlign w:val="center"/>
            <w:hideMark/>
          </w:tcPr>
          <w:p w14:paraId="243D66E6"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w:t>
            </w:r>
          </w:p>
        </w:tc>
      </w:tr>
      <w:tr w:rsidR="00D65A82" w:rsidRPr="00D65A82" w14:paraId="691C944C" w14:textId="77777777" w:rsidTr="00505643">
        <w:trPr>
          <w:trHeight w:val="238"/>
        </w:trPr>
        <w:tc>
          <w:tcPr>
            <w:tcW w:w="2509" w:type="pct"/>
            <w:tcBorders>
              <w:top w:val="nil"/>
              <w:left w:val="nil"/>
              <w:bottom w:val="nil"/>
              <w:right w:val="nil"/>
            </w:tcBorders>
            <w:shd w:val="clear" w:color="auto" w:fill="auto"/>
            <w:noWrap/>
            <w:vAlign w:val="center"/>
            <w:hideMark/>
          </w:tcPr>
          <w:p w14:paraId="60885D62"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Juros sobre Aplicação Financeira (i)</w:t>
            </w:r>
          </w:p>
        </w:tc>
        <w:tc>
          <w:tcPr>
            <w:tcW w:w="553" w:type="pct"/>
            <w:tcBorders>
              <w:top w:val="nil"/>
              <w:left w:val="nil"/>
              <w:bottom w:val="nil"/>
              <w:right w:val="nil"/>
            </w:tcBorders>
            <w:shd w:val="clear" w:color="auto" w:fill="auto"/>
            <w:noWrap/>
            <w:vAlign w:val="center"/>
            <w:hideMark/>
          </w:tcPr>
          <w:p w14:paraId="6A736851"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116.459 </w:t>
            </w:r>
          </w:p>
        </w:tc>
        <w:tc>
          <w:tcPr>
            <w:tcW w:w="553" w:type="pct"/>
            <w:tcBorders>
              <w:top w:val="nil"/>
              <w:left w:val="nil"/>
              <w:bottom w:val="nil"/>
              <w:right w:val="nil"/>
            </w:tcBorders>
            <w:shd w:val="clear" w:color="auto" w:fill="auto"/>
            <w:noWrap/>
            <w:vAlign w:val="center"/>
            <w:hideMark/>
          </w:tcPr>
          <w:p w14:paraId="6875E4F5"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155.382 </w:t>
            </w:r>
          </w:p>
        </w:tc>
        <w:tc>
          <w:tcPr>
            <w:tcW w:w="553" w:type="pct"/>
            <w:tcBorders>
              <w:top w:val="nil"/>
              <w:left w:val="nil"/>
              <w:bottom w:val="nil"/>
              <w:right w:val="nil"/>
            </w:tcBorders>
            <w:shd w:val="clear" w:color="auto" w:fill="auto"/>
            <w:noWrap/>
            <w:vAlign w:val="center"/>
            <w:hideMark/>
          </w:tcPr>
          <w:p w14:paraId="0DDD7CAC"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108.348 </w:t>
            </w:r>
          </w:p>
        </w:tc>
        <w:tc>
          <w:tcPr>
            <w:tcW w:w="376" w:type="pct"/>
            <w:tcBorders>
              <w:top w:val="nil"/>
              <w:left w:val="nil"/>
              <w:bottom w:val="nil"/>
              <w:right w:val="nil"/>
            </w:tcBorders>
            <w:shd w:val="clear" w:color="auto" w:fill="auto"/>
            <w:noWrap/>
            <w:vAlign w:val="center"/>
            <w:hideMark/>
          </w:tcPr>
          <w:p w14:paraId="05049B05"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-25,0%</w:t>
            </w:r>
          </w:p>
        </w:tc>
        <w:tc>
          <w:tcPr>
            <w:tcW w:w="456" w:type="pct"/>
            <w:tcBorders>
              <w:top w:val="nil"/>
              <w:left w:val="nil"/>
              <w:bottom w:val="nil"/>
              <w:right w:val="nil"/>
            </w:tcBorders>
            <w:shd w:val="clear" w:color="auto" w:fill="auto"/>
            <w:noWrap/>
            <w:vAlign w:val="center"/>
            <w:hideMark/>
          </w:tcPr>
          <w:p w14:paraId="1CBBBBB3"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7,5%</w:t>
            </w:r>
          </w:p>
        </w:tc>
      </w:tr>
      <w:tr w:rsidR="00D65A82" w:rsidRPr="00D65A82" w14:paraId="2D333F63" w14:textId="77777777" w:rsidTr="00505643">
        <w:trPr>
          <w:trHeight w:val="238"/>
        </w:trPr>
        <w:tc>
          <w:tcPr>
            <w:tcW w:w="2509" w:type="pct"/>
            <w:tcBorders>
              <w:top w:val="nil"/>
              <w:left w:val="nil"/>
              <w:bottom w:val="nil"/>
              <w:right w:val="nil"/>
            </w:tcBorders>
            <w:shd w:val="clear" w:color="auto" w:fill="auto"/>
            <w:noWrap/>
            <w:vAlign w:val="center"/>
            <w:hideMark/>
          </w:tcPr>
          <w:p w14:paraId="08721263"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Juros sobre Tributos</w:t>
            </w:r>
          </w:p>
        </w:tc>
        <w:tc>
          <w:tcPr>
            <w:tcW w:w="553" w:type="pct"/>
            <w:tcBorders>
              <w:top w:val="nil"/>
              <w:left w:val="nil"/>
              <w:bottom w:val="nil"/>
              <w:right w:val="nil"/>
            </w:tcBorders>
            <w:shd w:val="clear" w:color="auto" w:fill="auto"/>
            <w:noWrap/>
            <w:vAlign w:val="center"/>
            <w:hideMark/>
          </w:tcPr>
          <w:p w14:paraId="1B380D39"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10.871 </w:t>
            </w:r>
          </w:p>
        </w:tc>
        <w:tc>
          <w:tcPr>
            <w:tcW w:w="553" w:type="pct"/>
            <w:tcBorders>
              <w:top w:val="nil"/>
              <w:left w:val="nil"/>
              <w:bottom w:val="nil"/>
              <w:right w:val="nil"/>
            </w:tcBorders>
            <w:shd w:val="clear" w:color="auto" w:fill="auto"/>
            <w:noWrap/>
            <w:vAlign w:val="center"/>
            <w:hideMark/>
          </w:tcPr>
          <w:p w14:paraId="50601275"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12.221 </w:t>
            </w:r>
          </w:p>
        </w:tc>
        <w:tc>
          <w:tcPr>
            <w:tcW w:w="553" w:type="pct"/>
            <w:tcBorders>
              <w:top w:val="nil"/>
              <w:left w:val="nil"/>
              <w:bottom w:val="nil"/>
              <w:right w:val="nil"/>
            </w:tcBorders>
            <w:shd w:val="clear" w:color="auto" w:fill="auto"/>
            <w:noWrap/>
            <w:vAlign w:val="center"/>
            <w:hideMark/>
          </w:tcPr>
          <w:p w14:paraId="10B0E8AD"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8.743 </w:t>
            </w:r>
          </w:p>
        </w:tc>
        <w:tc>
          <w:tcPr>
            <w:tcW w:w="376" w:type="pct"/>
            <w:tcBorders>
              <w:top w:val="nil"/>
              <w:left w:val="nil"/>
              <w:bottom w:val="nil"/>
              <w:right w:val="nil"/>
            </w:tcBorders>
            <w:shd w:val="clear" w:color="auto" w:fill="auto"/>
            <w:noWrap/>
            <w:vAlign w:val="center"/>
            <w:hideMark/>
          </w:tcPr>
          <w:p w14:paraId="6DDAE3FA"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-11,0%</w:t>
            </w:r>
          </w:p>
        </w:tc>
        <w:tc>
          <w:tcPr>
            <w:tcW w:w="456" w:type="pct"/>
            <w:tcBorders>
              <w:top w:val="nil"/>
              <w:left w:val="nil"/>
              <w:bottom w:val="nil"/>
              <w:right w:val="nil"/>
            </w:tcBorders>
            <w:shd w:val="clear" w:color="auto" w:fill="auto"/>
            <w:noWrap/>
            <w:vAlign w:val="center"/>
            <w:hideMark/>
          </w:tcPr>
          <w:p w14:paraId="0168D154"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24,3%</w:t>
            </w:r>
          </w:p>
        </w:tc>
      </w:tr>
      <w:tr w:rsidR="00D65A82" w:rsidRPr="00D65A82" w14:paraId="08A2AFAC" w14:textId="77777777" w:rsidTr="00505643">
        <w:trPr>
          <w:trHeight w:val="238"/>
        </w:trPr>
        <w:tc>
          <w:tcPr>
            <w:tcW w:w="2509" w:type="pct"/>
            <w:tcBorders>
              <w:top w:val="nil"/>
              <w:left w:val="nil"/>
              <w:bottom w:val="nil"/>
              <w:right w:val="nil"/>
            </w:tcBorders>
            <w:shd w:val="clear" w:color="auto" w:fill="auto"/>
            <w:noWrap/>
            <w:vAlign w:val="center"/>
            <w:hideMark/>
          </w:tcPr>
          <w:p w14:paraId="22137177"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Juros sobre Depósitos Judiciais</w:t>
            </w:r>
          </w:p>
        </w:tc>
        <w:tc>
          <w:tcPr>
            <w:tcW w:w="553" w:type="pct"/>
            <w:tcBorders>
              <w:top w:val="nil"/>
              <w:left w:val="nil"/>
              <w:bottom w:val="nil"/>
              <w:right w:val="nil"/>
            </w:tcBorders>
            <w:shd w:val="clear" w:color="auto" w:fill="auto"/>
            <w:noWrap/>
            <w:vAlign w:val="center"/>
            <w:hideMark/>
          </w:tcPr>
          <w:p w14:paraId="5EF49F8F"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3.644 </w:t>
            </w:r>
          </w:p>
        </w:tc>
        <w:tc>
          <w:tcPr>
            <w:tcW w:w="553" w:type="pct"/>
            <w:tcBorders>
              <w:top w:val="nil"/>
              <w:left w:val="nil"/>
              <w:bottom w:val="nil"/>
              <w:right w:val="nil"/>
            </w:tcBorders>
            <w:shd w:val="clear" w:color="auto" w:fill="auto"/>
            <w:noWrap/>
            <w:vAlign w:val="center"/>
            <w:hideMark/>
          </w:tcPr>
          <w:p w14:paraId="699A116B"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4.142 </w:t>
            </w:r>
          </w:p>
        </w:tc>
        <w:tc>
          <w:tcPr>
            <w:tcW w:w="553" w:type="pct"/>
            <w:tcBorders>
              <w:top w:val="nil"/>
              <w:left w:val="nil"/>
              <w:bottom w:val="nil"/>
              <w:right w:val="nil"/>
            </w:tcBorders>
            <w:shd w:val="clear" w:color="auto" w:fill="auto"/>
            <w:noWrap/>
            <w:vAlign w:val="center"/>
            <w:hideMark/>
          </w:tcPr>
          <w:p w14:paraId="569B1D92"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3.467 </w:t>
            </w:r>
          </w:p>
        </w:tc>
        <w:tc>
          <w:tcPr>
            <w:tcW w:w="376" w:type="pct"/>
            <w:tcBorders>
              <w:top w:val="nil"/>
              <w:left w:val="nil"/>
              <w:bottom w:val="nil"/>
              <w:right w:val="nil"/>
            </w:tcBorders>
            <w:shd w:val="clear" w:color="auto" w:fill="auto"/>
            <w:noWrap/>
            <w:vAlign w:val="center"/>
            <w:hideMark/>
          </w:tcPr>
          <w:p w14:paraId="17CA52DE"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-12,0%</w:t>
            </w:r>
          </w:p>
        </w:tc>
        <w:tc>
          <w:tcPr>
            <w:tcW w:w="456" w:type="pct"/>
            <w:tcBorders>
              <w:top w:val="nil"/>
              <w:left w:val="nil"/>
              <w:bottom w:val="nil"/>
              <w:right w:val="nil"/>
            </w:tcBorders>
            <w:shd w:val="clear" w:color="auto" w:fill="auto"/>
            <w:noWrap/>
            <w:vAlign w:val="center"/>
            <w:hideMark/>
          </w:tcPr>
          <w:p w14:paraId="47D9C68B"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5,1%</w:t>
            </w:r>
          </w:p>
        </w:tc>
      </w:tr>
      <w:tr w:rsidR="00D65A82" w:rsidRPr="00D65A82" w14:paraId="5451D09F" w14:textId="77777777" w:rsidTr="00505643">
        <w:trPr>
          <w:trHeight w:val="238"/>
        </w:trPr>
        <w:tc>
          <w:tcPr>
            <w:tcW w:w="2509" w:type="pct"/>
            <w:tcBorders>
              <w:top w:val="nil"/>
              <w:left w:val="nil"/>
              <w:bottom w:val="nil"/>
              <w:right w:val="nil"/>
            </w:tcBorders>
            <w:shd w:val="clear" w:color="auto" w:fill="auto"/>
            <w:noWrap/>
            <w:vAlign w:val="center"/>
            <w:hideMark/>
          </w:tcPr>
          <w:p w14:paraId="6439FF8C"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xml:space="preserve">Juros sobre Superavit Previdência Privada </w:t>
            </w:r>
          </w:p>
        </w:tc>
        <w:tc>
          <w:tcPr>
            <w:tcW w:w="553" w:type="pct"/>
            <w:tcBorders>
              <w:top w:val="nil"/>
              <w:left w:val="nil"/>
              <w:bottom w:val="nil"/>
              <w:right w:val="nil"/>
            </w:tcBorders>
            <w:shd w:val="clear" w:color="auto" w:fill="auto"/>
            <w:noWrap/>
            <w:vAlign w:val="center"/>
            <w:hideMark/>
          </w:tcPr>
          <w:p w14:paraId="200D8231"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2.610 </w:t>
            </w:r>
          </w:p>
        </w:tc>
        <w:tc>
          <w:tcPr>
            <w:tcW w:w="553" w:type="pct"/>
            <w:tcBorders>
              <w:top w:val="nil"/>
              <w:left w:val="nil"/>
              <w:bottom w:val="nil"/>
              <w:right w:val="nil"/>
            </w:tcBorders>
            <w:shd w:val="clear" w:color="auto" w:fill="auto"/>
            <w:noWrap/>
            <w:vAlign w:val="center"/>
            <w:hideMark/>
          </w:tcPr>
          <w:p w14:paraId="41484D98"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1.439 </w:t>
            </w:r>
          </w:p>
        </w:tc>
        <w:tc>
          <w:tcPr>
            <w:tcW w:w="553" w:type="pct"/>
            <w:tcBorders>
              <w:top w:val="nil"/>
              <w:left w:val="nil"/>
              <w:bottom w:val="nil"/>
              <w:right w:val="nil"/>
            </w:tcBorders>
            <w:shd w:val="clear" w:color="auto" w:fill="auto"/>
            <w:noWrap/>
            <w:vAlign w:val="center"/>
            <w:hideMark/>
          </w:tcPr>
          <w:p w14:paraId="0DD5981D"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4.132 </w:t>
            </w:r>
          </w:p>
        </w:tc>
        <w:tc>
          <w:tcPr>
            <w:tcW w:w="376" w:type="pct"/>
            <w:tcBorders>
              <w:top w:val="nil"/>
              <w:left w:val="nil"/>
              <w:bottom w:val="nil"/>
              <w:right w:val="nil"/>
            </w:tcBorders>
            <w:shd w:val="clear" w:color="auto" w:fill="auto"/>
            <w:noWrap/>
            <w:vAlign w:val="center"/>
            <w:hideMark/>
          </w:tcPr>
          <w:p w14:paraId="5639467C"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81,4%</w:t>
            </w:r>
          </w:p>
        </w:tc>
        <w:tc>
          <w:tcPr>
            <w:tcW w:w="456" w:type="pct"/>
            <w:tcBorders>
              <w:top w:val="nil"/>
              <w:left w:val="nil"/>
              <w:bottom w:val="nil"/>
              <w:right w:val="nil"/>
            </w:tcBorders>
            <w:shd w:val="clear" w:color="auto" w:fill="auto"/>
            <w:noWrap/>
            <w:vAlign w:val="center"/>
            <w:hideMark/>
          </w:tcPr>
          <w:p w14:paraId="6E51D47E"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-36,8%</w:t>
            </w:r>
          </w:p>
        </w:tc>
      </w:tr>
      <w:tr w:rsidR="00D65A82" w:rsidRPr="00D65A82" w14:paraId="77562E23" w14:textId="77777777" w:rsidTr="00505643">
        <w:trPr>
          <w:trHeight w:val="238"/>
        </w:trPr>
        <w:tc>
          <w:tcPr>
            <w:tcW w:w="2509" w:type="pct"/>
            <w:tcBorders>
              <w:top w:val="nil"/>
              <w:left w:val="nil"/>
              <w:bottom w:val="nil"/>
              <w:right w:val="nil"/>
            </w:tcBorders>
            <w:shd w:val="clear" w:color="auto" w:fill="auto"/>
            <w:noWrap/>
            <w:vAlign w:val="center"/>
            <w:hideMark/>
          </w:tcPr>
          <w:p w14:paraId="61BD3E80"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Outras Receitas</w:t>
            </w:r>
          </w:p>
        </w:tc>
        <w:tc>
          <w:tcPr>
            <w:tcW w:w="553" w:type="pct"/>
            <w:tcBorders>
              <w:top w:val="nil"/>
              <w:left w:val="nil"/>
              <w:bottom w:val="nil"/>
              <w:right w:val="nil"/>
            </w:tcBorders>
            <w:shd w:val="clear" w:color="auto" w:fill="auto"/>
            <w:noWrap/>
            <w:vAlign w:val="center"/>
            <w:hideMark/>
          </w:tcPr>
          <w:p w14:paraId="34138D11"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867 </w:t>
            </w:r>
          </w:p>
        </w:tc>
        <w:tc>
          <w:tcPr>
            <w:tcW w:w="553" w:type="pct"/>
            <w:tcBorders>
              <w:top w:val="nil"/>
              <w:left w:val="nil"/>
              <w:bottom w:val="nil"/>
              <w:right w:val="nil"/>
            </w:tcBorders>
            <w:shd w:val="clear" w:color="auto" w:fill="auto"/>
            <w:noWrap/>
            <w:vAlign w:val="center"/>
            <w:hideMark/>
          </w:tcPr>
          <w:p w14:paraId="6D179379"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294 </w:t>
            </w:r>
          </w:p>
        </w:tc>
        <w:tc>
          <w:tcPr>
            <w:tcW w:w="553" w:type="pct"/>
            <w:tcBorders>
              <w:top w:val="nil"/>
              <w:left w:val="nil"/>
              <w:bottom w:val="nil"/>
              <w:right w:val="nil"/>
            </w:tcBorders>
            <w:shd w:val="clear" w:color="auto" w:fill="auto"/>
            <w:noWrap/>
            <w:vAlign w:val="center"/>
            <w:hideMark/>
          </w:tcPr>
          <w:p w14:paraId="3C81820B"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349 </w:t>
            </w:r>
          </w:p>
        </w:tc>
        <w:tc>
          <w:tcPr>
            <w:tcW w:w="376" w:type="pct"/>
            <w:tcBorders>
              <w:top w:val="nil"/>
              <w:left w:val="nil"/>
              <w:bottom w:val="nil"/>
              <w:right w:val="nil"/>
            </w:tcBorders>
            <w:shd w:val="clear" w:color="auto" w:fill="auto"/>
            <w:noWrap/>
            <w:vAlign w:val="center"/>
            <w:hideMark/>
          </w:tcPr>
          <w:p w14:paraId="4F66A7DA"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194,9%</w:t>
            </w:r>
          </w:p>
        </w:tc>
        <w:tc>
          <w:tcPr>
            <w:tcW w:w="456" w:type="pct"/>
            <w:tcBorders>
              <w:top w:val="nil"/>
              <w:left w:val="nil"/>
              <w:bottom w:val="nil"/>
              <w:right w:val="nil"/>
            </w:tcBorders>
            <w:shd w:val="clear" w:color="auto" w:fill="auto"/>
            <w:noWrap/>
            <w:vAlign w:val="center"/>
            <w:hideMark/>
          </w:tcPr>
          <w:p w14:paraId="30423774"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148,4%</w:t>
            </w:r>
          </w:p>
        </w:tc>
      </w:tr>
      <w:tr w:rsidR="00D65A82" w:rsidRPr="00D65A82" w14:paraId="56407012" w14:textId="77777777" w:rsidTr="00505643">
        <w:trPr>
          <w:trHeight w:val="238"/>
        </w:trPr>
        <w:tc>
          <w:tcPr>
            <w:tcW w:w="2509" w:type="pct"/>
            <w:tcBorders>
              <w:top w:val="nil"/>
              <w:left w:val="nil"/>
              <w:bottom w:val="nil"/>
              <w:right w:val="nil"/>
            </w:tcBorders>
            <w:shd w:val="clear" w:color="auto" w:fill="auto"/>
            <w:noWrap/>
            <w:vAlign w:val="center"/>
            <w:hideMark/>
          </w:tcPr>
          <w:p w14:paraId="4034DC1E"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Tributos sobre Receitas Financeiras</w:t>
            </w:r>
          </w:p>
        </w:tc>
        <w:tc>
          <w:tcPr>
            <w:tcW w:w="553" w:type="pct"/>
            <w:tcBorders>
              <w:top w:val="nil"/>
              <w:left w:val="nil"/>
              <w:bottom w:val="nil"/>
              <w:right w:val="nil"/>
            </w:tcBorders>
            <w:shd w:val="clear" w:color="auto" w:fill="auto"/>
            <w:noWrap/>
            <w:vAlign w:val="center"/>
            <w:hideMark/>
          </w:tcPr>
          <w:p w14:paraId="46ED37DA"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(6.107)</w:t>
            </w:r>
          </w:p>
        </w:tc>
        <w:tc>
          <w:tcPr>
            <w:tcW w:w="553" w:type="pct"/>
            <w:tcBorders>
              <w:top w:val="nil"/>
              <w:left w:val="nil"/>
              <w:bottom w:val="nil"/>
              <w:right w:val="nil"/>
            </w:tcBorders>
            <w:shd w:val="clear" w:color="auto" w:fill="auto"/>
            <w:noWrap/>
            <w:vAlign w:val="center"/>
            <w:hideMark/>
          </w:tcPr>
          <w:p w14:paraId="15846E94"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(7.840)</w:t>
            </w:r>
          </w:p>
        </w:tc>
        <w:tc>
          <w:tcPr>
            <w:tcW w:w="553" w:type="pct"/>
            <w:tcBorders>
              <w:top w:val="nil"/>
              <w:left w:val="nil"/>
              <w:bottom w:val="nil"/>
              <w:right w:val="nil"/>
            </w:tcBorders>
            <w:shd w:val="clear" w:color="auto" w:fill="auto"/>
            <w:noWrap/>
            <w:vAlign w:val="center"/>
            <w:hideMark/>
          </w:tcPr>
          <w:p w14:paraId="1492E914"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(5.667)</w:t>
            </w:r>
          </w:p>
        </w:tc>
        <w:tc>
          <w:tcPr>
            <w:tcW w:w="376" w:type="pct"/>
            <w:tcBorders>
              <w:top w:val="nil"/>
              <w:left w:val="nil"/>
              <w:bottom w:val="nil"/>
              <w:right w:val="nil"/>
            </w:tcBorders>
            <w:shd w:val="clear" w:color="auto" w:fill="auto"/>
            <w:noWrap/>
            <w:vAlign w:val="center"/>
            <w:hideMark/>
          </w:tcPr>
          <w:p w14:paraId="6304586A"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-22,1%</w:t>
            </w:r>
          </w:p>
        </w:tc>
        <w:tc>
          <w:tcPr>
            <w:tcW w:w="456" w:type="pct"/>
            <w:tcBorders>
              <w:top w:val="nil"/>
              <w:left w:val="nil"/>
              <w:bottom w:val="nil"/>
              <w:right w:val="nil"/>
            </w:tcBorders>
            <w:shd w:val="clear" w:color="auto" w:fill="auto"/>
            <w:noWrap/>
            <w:vAlign w:val="center"/>
            <w:hideMark/>
          </w:tcPr>
          <w:p w14:paraId="38C0C488"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7,8%</w:t>
            </w:r>
          </w:p>
        </w:tc>
      </w:tr>
      <w:tr w:rsidR="00D65A82" w:rsidRPr="00D65A82" w14:paraId="79FC43D0" w14:textId="77777777" w:rsidTr="00505643">
        <w:trPr>
          <w:trHeight w:val="238"/>
        </w:trPr>
        <w:tc>
          <w:tcPr>
            <w:tcW w:w="2509" w:type="pct"/>
            <w:tcBorders>
              <w:top w:val="single" w:sz="8" w:space="0" w:color="9BC2E6"/>
              <w:left w:val="nil"/>
              <w:bottom w:val="single" w:sz="8" w:space="0" w:color="9BC2E6"/>
              <w:right w:val="nil"/>
            </w:tcBorders>
            <w:shd w:val="clear" w:color="auto" w:fill="auto"/>
            <w:noWrap/>
            <w:vAlign w:val="center"/>
            <w:hideMark/>
          </w:tcPr>
          <w:p w14:paraId="01183424"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Total</w:t>
            </w:r>
          </w:p>
        </w:tc>
        <w:tc>
          <w:tcPr>
            <w:tcW w:w="553" w:type="pct"/>
            <w:tcBorders>
              <w:top w:val="single" w:sz="8" w:space="0" w:color="9BC2E6"/>
              <w:left w:val="nil"/>
              <w:bottom w:val="single" w:sz="8" w:space="0" w:color="9BC2E6"/>
              <w:right w:val="nil"/>
            </w:tcBorders>
            <w:shd w:val="clear" w:color="auto" w:fill="auto"/>
            <w:noWrap/>
            <w:vAlign w:val="center"/>
            <w:hideMark/>
          </w:tcPr>
          <w:p w14:paraId="1894F524"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128.344 </w:t>
            </w:r>
          </w:p>
        </w:tc>
        <w:tc>
          <w:tcPr>
            <w:tcW w:w="553" w:type="pct"/>
            <w:tcBorders>
              <w:top w:val="single" w:sz="8" w:space="0" w:color="9BC2E6"/>
              <w:left w:val="nil"/>
              <w:bottom w:val="single" w:sz="8" w:space="0" w:color="9BC2E6"/>
              <w:right w:val="nil"/>
            </w:tcBorders>
            <w:shd w:val="clear" w:color="auto" w:fill="auto"/>
            <w:noWrap/>
            <w:vAlign w:val="center"/>
            <w:hideMark/>
          </w:tcPr>
          <w:p w14:paraId="258D1210"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165.638 </w:t>
            </w:r>
          </w:p>
        </w:tc>
        <w:tc>
          <w:tcPr>
            <w:tcW w:w="553" w:type="pct"/>
            <w:tcBorders>
              <w:top w:val="single" w:sz="8" w:space="0" w:color="9BC2E6"/>
              <w:left w:val="nil"/>
              <w:bottom w:val="single" w:sz="8" w:space="0" w:color="9BC2E6"/>
              <w:right w:val="nil"/>
            </w:tcBorders>
            <w:shd w:val="clear" w:color="auto" w:fill="auto"/>
            <w:noWrap/>
            <w:vAlign w:val="center"/>
            <w:hideMark/>
          </w:tcPr>
          <w:p w14:paraId="2FFAC6B1"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119.372 </w:t>
            </w:r>
          </w:p>
        </w:tc>
        <w:tc>
          <w:tcPr>
            <w:tcW w:w="376" w:type="pct"/>
            <w:tcBorders>
              <w:top w:val="single" w:sz="8" w:space="0" w:color="9BC2E6"/>
              <w:left w:val="nil"/>
              <w:bottom w:val="single" w:sz="8" w:space="0" w:color="9BC2E6"/>
              <w:right w:val="nil"/>
            </w:tcBorders>
            <w:shd w:val="clear" w:color="auto" w:fill="auto"/>
            <w:noWrap/>
            <w:vAlign w:val="center"/>
            <w:hideMark/>
          </w:tcPr>
          <w:p w14:paraId="42A55273"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-22,5%</w:t>
            </w:r>
          </w:p>
        </w:tc>
        <w:tc>
          <w:tcPr>
            <w:tcW w:w="456" w:type="pct"/>
            <w:tcBorders>
              <w:top w:val="single" w:sz="8" w:space="0" w:color="9BC2E6"/>
              <w:left w:val="nil"/>
              <w:bottom w:val="single" w:sz="8" w:space="0" w:color="9BC2E6"/>
              <w:right w:val="nil"/>
            </w:tcBorders>
            <w:shd w:val="clear" w:color="auto" w:fill="auto"/>
            <w:noWrap/>
            <w:vAlign w:val="center"/>
            <w:hideMark/>
          </w:tcPr>
          <w:p w14:paraId="5B58D550"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7,52%</w:t>
            </w:r>
          </w:p>
        </w:tc>
      </w:tr>
      <w:tr w:rsidR="00D65A82" w:rsidRPr="00D65A82" w14:paraId="0A83B60A" w14:textId="77777777" w:rsidTr="00505643">
        <w:trPr>
          <w:trHeight w:val="238"/>
        </w:trPr>
        <w:tc>
          <w:tcPr>
            <w:tcW w:w="2509" w:type="pct"/>
            <w:tcBorders>
              <w:top w:val="nil"/>
              <w:left w:val="nil"/>
              <w:bottom w:val="nil"/>
              <w:right w:val="nil"/>
            </w:tcBorders>
            <w:shd w:val="clear" w:color="auto" w:fill="auto"/>
            <w:noWrap/>
            <w:vAlign w:val="center"/>
            <w:hideMark/>
          </w:tcPr>
          <w:p w14:paraId="5DC27607"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Despesas Financeiras</w:t>
            </w:r>
          </w:p>
        </w:tc>
        <w:tc>
          <w:tcPr>
            <w:tcW w:w="553" w:type="pct"/>
            <w:tcBorders>
              <w:top w:val="nil"/>
              <w:left w:val="nil"/>
              <w:bottom w:val="nil"/>
              <w:right w:val="nil"/>
            </w:tcBorders>
            <w:shd w:val="clear" w:color="auto" w:fill="auto"/>
            <w:noWrap/>
            <w:vAlign w:val="bottom"/>
            <w:hideMark/>
          </w:tcPr>
          <w:p w14:paraId="0836C0F0"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p>
        </w:tc>
        <w:tc>
          <w:tcPr>
            <w:tcW w:w="553" w:type="pct"/>
            <w:tcBorders>
              <w:top w:val="nil"/>
              <w:left w:val="nil"/>
              <w:bottom w:val="nil"/>
              <w:right w:val="nil"/>
            </w:tcBorders>
            <w:shd w:val="clear" w:color="auto" w:fill="auto"/>
            <w:noWrap/>
            <w:vAlign w:val="bottom"/>
            <w:hideMark/>
          </w:tcPr>
          <w:p w14:paraId="37947B39" w14:textId="77777777" w:rsidR="00D65A82" w:rsidRPr="00D65A82" w:rsidRDefault="00D65A82" w:rsidP="00D65A82">
            <w:pPr>
              <w:tabs>
                <w:tab w:val="clear" w:pos="851"/>
              </w:tabs>
              <w:spacing w:before="0" w:after="0" w:line="240" w:lineRule="auto"/>
              <w:jc w:val="left"/>
              <w:rPr>
                <w:rFonts w:ascii="Times New Roman" w:hAnsi="Times New Roman"/>
                <w:color w:val="auto"/>
                <w:sz w:val="16"/>
                <w:szCs w:val="16"/>
                <w:lang w:eastAsia="pt-BR"/>
              </w:rPr>
            </w:pPr>
          </w:p>
        </w:tc>
        <w:tc>
          <w:tcPr>
            <w:tcW w:w="553" w:type="pct"/>
            <w:tcBorders>
              <w:top w:val="nil"/>
              <w:left w:val="nil"/>
              <w:bottom w:val="nil"/>
              <w:right w:val="nil"/>
            </w:tcBorders>
            <w:shd w:val="clear" w:color="auto" w:fill="auto"/>
            <w:noWrap/>
            <w:vAlign w:val="bottom"/>
            <w:hideMark/>
          </w:tcPr>
          <w:p w14:paraId="564810D9" w14:textId="77777777" w:rsidR="00D65A82" w:rsidRPr="00D65A82" w:rsidRDefault="00D65A82" w:rsidP="00D65A82">
            <w:pPr>
              <w:tabs>
                <w:tab w:val="clear" w:pos="851"/>
              </w:tabs>
              <w:spacing w:before="0" w:after="0" w:line="240" w:lineRule="auto"/>
              <w:jc w:val="left"/>
              <w:rPr>
                <w:rFonts w:ascii="Times New Roman" w:hAnsi="Times New Roman"/>
                <w:color w:val="auto"/>
                <w:sz w:val="16"/>
                <w:szCs w:val="16"/>
                <w:lang w:eastAsia="pt-BR"/>
              </w:rPr>
            </w:pPr>
          </w:p>
        </w:tc>
        <w:tc>
          <w:tcPr>
            <w:tcW w:w="376" w:type="pct"/>
            <w:tcBorders>
              <w:top w:val="nil"/>
              <w:left w:val="nil"/>
              <w:bottom w:val="nil"/>
              <w:right w:val="nil"/>
            </w:tcBorders>
            <w:shd w:val="clear" w:color="auto" w:fill="auto"/>
            <w:noWrap/>
            <w:vAlign w:val="bottom"/>
            <w:hideMark/>
          </w:tcPr>
          <w:p w14:paraId="25BB3830" w14:textId="77777777" w:rsidR="00D65A82" w:rsidRPr="00D65A82" w:rsidRDefault="00D65A82" w:rsidP="00D65A82">
            <w:pPr>
              <w:tabs>
                <w:tab w:val="clear" w:pos="851"/>
              </w:tabs>
              <w:spacing w:before="0" w:after="0" w:line="240" w:lineRule="auto"/>
              <w:jc w:val="left"/>
              <w:rPr>
                <w:rFonts w:ascii="Times New Roman" w:hAnsi="Times New Roman"/>
                <w:color w:val="auto"/>
                <w:sz w:val="16"/>
                <w:szCs w:val="16"/>
                <w:lang w:eastAsia="pt-BR"/>
              </w:rPr>
            </w:pPr>
          </w:p>
        </w:tc>
        <w:tc>
          <w:tcPr>
            <w:tcW w:w="456" w:type="pct"/>
            <w:tcBorders>
              <w:top w:val="nil"/>
              <w:left w:val="nil"/>
              <w:bottom w:val="nil"/>
              <w:right w:val="nil"/>
            </w:tcBorders>
            <w:shd w:val="clear" w:color="auto" w:fill="auto"/>
            <w:noWrap/>
            <w:vAlign w:val="bottom"/>
            <w:hideMark/>
          </w:tcPr>
          <w:p w14:paraId="1A675DBC" w14:textId="77777777" w:rsidR="00D65A82" w:rsidRPr="00D65A82" w:rsidRDefault="00D65A82" w:rsidP="00D65A82">
            <w:pPr>
              <w:tabs>
                <w:tab w:val="clear" w:pos="851"/>
              </w:tabs>
              <w:spacing w:before="0" w:after="0" w:line="240" w:lineRule="auto"/>
              <w:jc w:val="left"/>
              <w:rPr>
                <w:rFonts w:ascii="Times New Roman" w:hAnsi="Times New Roman"/>
                <w:color w:val="auto"/>
                <w:sz w:val="16"/>
                <w:szCs w:val="16"/>
                <w:lang w:eastAsia="pt-BR"/>
              </w:rPr>
            </w:pPr>
          </w:p>
        </w:tc>
      </w:tr>
      <w:tr w:rsidR="00D65A82" w:rsidRPr="00D65A82" w14:paraId="63EA5DC6" w14:textId="77777777" w:rsidTr="00505643">
        <w:trPr>
          <w:trHeight w:val="238"/>
        </w:trPr>
        <w:tc>
          <w:tcPr>
            <w:tcW w:w="2509" w:type="pct"/>
            <w:tcBorders>
              <w:top w:val="nil"/>
              <w:left w:val="nil"/>
              <w:bottom w:val="nil"/>
              <w:right w:val="nil"/>
            </w:tcBorders>
            <w:shd w:val="clear" w:color="auto" w:fill="auto"/>
            <w:noWrap/>
            <w:vAlign w:val="center"/>
            <w:hideMark/>
          </w:tcPr>
          <w:p w14:paraId="79EB4EB5"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Juros sobre Adiantamento para Futuro Aumento de Capital (ii)</w:t>
            </w:r>
          </w:p>
        </w:tc>
        <w:tc>
          <w:tcPr>
            <w:tcW w:w="553" w:type="pct"/>
            <w:tcBorders>
              <w:top w:val="nil"/>
              <w:left w:val="nil"/>
              <w:bottom w:val="nil"/>
              <w:right w:val="nil"/>
            </w:tcBorders>
            <w:shd w:val="clear" w:color="auto" w:fill="auto"/>
            <w:noWrap/>
            <w:vAlign w:val="center"/>
            <w:hideMark/>
          </w:tcPr>
          <w:p w14:paraId="533774FB"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(189.369)</w:t>
            </w:r>
          </w:p>
        </w:tc>
        <w:tc>
          <w:tcPr>
            <w:tcW w:w="553" w:type="pct"/>
            <w:tcBorders>
              <w:top w:val="nil"/>
              <w:left w:val="nil"/>
              <w:bottom w:val="nil"/>
              <w:right w:val="nil"/>
            </w:tcBorders>
            <w:shd w:val="clear" w:color="auto" w:fill="auto"/>
            <w:noWrap/>
            <w:vAlign w:val="center"/>
            <w:hideMark/>
          </w:tcPr>
          <w:p w14:paraId="118FAB83"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(198.416)</w:t>
            </w:r>
          </w:p>
        </w:tc>
        <w:tc>
          <w:tcPr>
            <w:tcW w:w="553" w:type="pct"/>
            <w:tcBorders>
              <w:top w:val="nil"/>
              <w:left w:val="nil"/>
              <w:bottom w:val="nil"/>
              <w:right w:val="nil"/>
            </w:tcBorders>
            <w:shd w:val="clear" w:color="auto" w:fill="auto"/>
            <w:noWrap/>
            <w:vAlign w:val="center"/>
            <w:hideMark/>
          </w:tcPr>
          <w:p w14:paraId="4FB36A66"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(185.767)</w:t>
            </w:r>
          </w:p>
        </w:tc>
        <w:tc>
          <w:tcPr>
            <w:tcW w:w="376" w:type="pct"/>
            <w:tcBorders>
              <w:top w:val="nil"/>
              <w:left w:val="nil"/>
              <w:bottom w:val="nil"/>
              <w:right w:val="nil"/>
            </w:tcBorders>
            <w:shd w:val="clear" w:color="auto" w:fill="auto"/>
            <w:noWrap/>
            <w:vAlign w:val="center"/>
            <w:hideMark/>
          </w:tcPr>
          <w:p w14:paraId="3105B288"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-4,6%</w:t>
            </w:r>
          </w:p>
        </w:tc>
        <w:tc>
          <w:tcPr>
            <w:tcW w:w="456" w:type="pct"/>
            <w:tcBorders>
              <w:top w:val="nil"/>
              <w:left w:val="nil"/>
              <w:bottom w:val="nil"/>
              <w:right w:val="nil"/>
            </w:tcBorders>
            <w:shd w:val="clear" w:color="auto" w:fill="auto"/>
            <w:noWrap/>
            <w:vAlign w:val="center"/>
            <w:hideMark/>
          </w:tcPr>
          <w:p w14:paraId="429EDF53"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1,9%</w:t>
            </w:r>
          </w:p>
        </w:tc>
      </w:tr>
      <w:tr w:rsidR="00D65A82" w:rsidRPr="00D65A82" w14:paraId="34A22F05" w14:textId="77777777" w:rsidTr="00505643">
        <w:trPr>
          <w:trHeight w:val="238"/>
        </w:trPr>
        <w:tc>
          <w:tcPr>
            <w:tcW w:w="2509" w:type="pct"/>
            <w:tcBorders>
              <w:top w:val="nil"/>
              <w:left w:val="nil"/>
              <w:bottom w:val="nil"/>
              <w:right w:val="nil"/>
            </w:tcBorders>
            <w:shd w:val="clear" w:color="auto" w:fill="auto"/>
            <w:noWrap/>
            <w:vAlign w:val="center"/>
            <w:hideMark/>
          </w:tcPr>
          <w:p w14:paraId="311C60FA"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Juros e Variação Monetária de Acordos Judiciais (iv)</w:t>
            </w:r>
          </w:p>
        </w:tc>
        <w:tc>
          <w:tcPr>
            <w:tcW w:w="553" w:type="pct"/>
            <w:tcBorders>
              <w:top w:val="nil"/>
              <w:left w:val="nil"/>
              <w:bottom w:val="nil"/>
              <w:right w:val="nil"/>
            </w:tcBorders>
            <w:shd w:val="clear" w:color="auto" w:fill="auto"/>
            <w:noWrap/>
            <w:vAlign w:val="center"/>
            <w:hideMark/>
          </w:tcPr>
          <w:p w14:paraId="28C12DD0"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(12.998)</w:t>
            </w:r>
          </w:p>
        </w:tc>
        <w:tc>
          <w:tcPr>
            <w:tcW w:w="553" w:type="pct"/>
            <w:tcBorders>
              <w:top w:val="nil"/>
              <w:left w:val="nil"/>
              <w:bottom w:val="nil"/>
              <w:right w:val="nil"/>
            </w:tcBorders>
            <w:shd w:val="clear" w:color="auto" w:fill="auto"/>
            <w:noWrap/>
            <w:vAlign w:val="center"/>
            <w:hideMark/>
          </w:tcPr>
          <w:p w14:paraId="160759FC"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(13.678)</w:t>
            </w:r>
          </w:p>
        </w:tc>
        <w:tc>
          <w:tcPr>
            <w:tcW w:w="553" w:type="pct"/>
            <w:tcBorders>
              <w:top w:val="nil"/>
              <w:left w:val="nil"/>
              <w:bottom w:val="nil"/>
              <w:right w:val="nil"/>
            </w:tcBorders>
            <w:shd w:val="clear" w:color="auto" w:fill="auto"/>
            <w:noWrap/>
            <w:vAlign w:val="center"/>
            <w:hideMark/>
          </w:tcPr>
          <w:p w14:paraId="3313CEB9"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(18.483)</w:t>
            </w:r>
          </w:p>
        </w:tc>
        <w:tc>
          <w:tcPr>
            <w:tcW w:w="376" w:type="pct"/>
            <w:tcBorders>
              <w:top w:val="nil"/>
              <w:left w:val="nil"/>
              <w:bottom w:val="nil"/>
              <w:right w:val="nil"/>
            </w:tcBorders>
            <w:shd w:val="clear" w:color="auto" w:fill="auto"/>
            <w:noWrap/>
            <w:vAlign w:val="center"/>
            <w:hideMark/>
          </w:tcPr>
          <w:p w14:paraId="19EE4F33"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-5,0%</w:t>
            </w:r>
          </w:p>
        </w:tc>
        <w:tc>
          <w:tcPr>
            <w:tcW w:w="456" w:type="pct"/>
            <w:tcBorders>
              <w:top w:val="nil"/>
              <w:left w:val="nil"/>
              <w:bottom w:val="nil"/>
              <w:right w:val="nil"/>
            </w:tcBorders>
            <w:shd w:val="clear" w:color="auto" w:fill="auto"/>
            <w:noWrap/>
            <w:vAlign w:val="center"/>
            <w:hideMark/>
          </w:tcPr>
          <w:p w14:paraId="66610FA6"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-29,7%</w:t>
            </w:r>
          </w:p>
        </w:tc>
      </w:tr>
      <w:tr w:rsidR="00D65A82" w:rsidRPr="00D65A82" w14:paraId="0B342F86" w14:textId="77777777" w:rsidTr="00505643">
        <w:trPr>
          <w:trHeight w:val="238"/>
        </w:trPr>
        <w:tc>
          <w:tcPr>
            <w:tcW w:w="2509" w:type="pct"/>
            <w:tcBorders>
              <w:top w:val="nil"/>
              <w:left w:val="nil"/>
              <w:bottom w:val="nil"/>
              <w:right w:val="nil"/>
            </w:tcBorders>
            <w:shd w:val="clear" w:color="auto" w:fill="auto"/>
            <w:noWrap/>
            <w:vAlign w:val="center"/>
            <w:hideMark/>
          </w:tcPr>
          <w:p w14:paraId="4CF292E1"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Juros/VM s/ Prov. p/ Riscos Trabalhistas, Cíveis e Fiscais</w:t>
            </w:r>
          </w:p>
        </w:tc>
        <w:tc>
          <w:tcPr>
            <w:tcW w:w="553" w:type="pct"/>
            <w:tcBorders>
              <w:top w:val="nil"/>
              <w:left w:val="nil"/>
              <w:bottom w:val="nil"/>
              <w:right w:val="nil"/>
            </w:tcBorders>
            <w:shd w:val="clear" w:color="auto" w:fill="auto"/>
            <w:noWrap/>
            <w:vAlign w:val="center"/>
            <w:hideMark/>
          </w:tcPr>
          <w:p w14:paraId="10F9A732"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(6.298)</w:t>
            </w:r>
          </w:p>
        </w:tc>
        <w:tc>
          <w:tcPr>
            <w:tcW w:w="553" w:type="pct"/>
            <w:tcBorders>
              <w:top w:val="nil"/>
              <w:left w:val="nil"/>
              <w:bottom w:val="nil"/>
              <w:right w:val="nil"/>
            </w:tcBorders>
            <w:shd w:val="clear" w:color="auto" w:fill="auto"/>
            <w:noWrap/>
            <w:vAlign w:val="center"/>
            <w:hideMark/>
          </w:tcPr>
          <w:p w14:paraId="548FDA64"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(6.775)</w:t>
            </w:r>
          </w:p>
        </w:tc>
        <w:tc>
          <w:tcPr>
            <w:tcW w:w="553" w:type="pct"/>
            <w:tcBorders>
              <w:top w:val="nil"/>
              <w:left w:val="nil"/>
              <w:bottom w:val="nil"/>
              <w:right w:val="nil"/>
            </w:tcBorders>
            <w:shd w:val="clear" w:color="auto" w:fill="auto"/>
            <w:noWrap/>
            <w:vAlign w:val="center"/>
            <w:hideMark/>
          </w:tcPr>
          <w:p w14:paraId="2DBA1522"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(7.544)</w:t>
            </w:r>
          </w:p>
        </w:tc>
        <w:tc>
          <w:tcPr>
            <w:tcW w:w="376" w:type="pct"/>
            <w:tcBorders>
              <w:top w:val="nil"/>
              <w:left w:val="nil"/>
              <w:bottom w:val="nil"/>
              <w:right w:val="nil"/>
            </w:tcBorders>
            <w:shd w:val="clear" w:color="auto" w:fill="auto"/>
            <w:noWrap/>
            <w:vAlign w:val="center"/>
            <w:hideMark/>
          </w:tcPr>
          <w:p w14:paraId="56C974EB"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-7,0%</w:t>
            </w:r>
          </w:p>
        </w:tc>
        <w:tc>
          <w:tcPr>
            <w:tcW w:w="456" w:type="pct"/>
            <w:tcBorders>
              <w:top w:val="nil"/>
              <w:left w:val="nil"/>
              <w:bottom w:val="nil"/>
              <w:right w:val="nil"/>
            </w:tcBorders>
            <w:shd w:val="clear" w:color="auto" w:fill="auto"/>
            <w:noWrap/>
            <w:vAlign w:val="center"/>
            <w:hideMark/>
          </w:tcPr>
          <w:p w14:paraId="099744B9"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-16,5%</w:t>
            </w:r>
          </w:p>
        </w:tc>
      </w:tr>
      <w:tr w:rsidR="00D65A82" w:rsidRPr="00D65A82" w14:paraId="2B1A46B0" w14:textId="77777777" w:rsidTr="00505643">
        <w:trPr>
          <w:trHeight w:val="238"/>
        </w:trPr>
        <w:tc>
          <w:tcPr>
            <w:tcW w:w="2509" w:type="pct"/>
            <w:tcBorders>
              <w:top w:val="nil"/>
              <w:left w:val="nil"/>
              <w:bottom w:val="nil"/>
              <w:right w:val="nil"/>
            </w:tcBorders>
            <w:shd w:val="clear" w:color="auto" w:fill="auto"/>
            <w:noWrap/>
            <w:vAlign w:val="center"/>
            <w:hideMark/>
          </w:tcPr>
          <w:p w14:paraId="6C0FD1A3"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Juros sobre Empréstimos e Financiamentos</w:t>
            </w:r>
          </w:p>
        </w:tc>
        <w:tc>
          <w:tcPr>
            <w:tcW w:w="553" w:type="pct"/>
            <w:tcBorders>
              <w:top w:val="nil"/>
              <w:left w:val="nil"/>
              <w:bottom w:val="nil"/>
              <w:right w:val="nil"/>
            </w:tcBorders>
            <w:shd w:val="clear" w:color="auto" w:fill="auto"/>
            <w:noWrap/>
            <w:vAlign w:val="center"/>
            <w:hideMark/>
          </w:tcPr>
          <w:p w14:paraId="35EA4FA1"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(3.651)</w:t>
            </w:r>
          </w:p>
        </w:tc>
        <w:tc>
          <w:tcPr>
            <w:tcW w:w="553" w:type="pct"/>
            <w:tcBorders>
              <w:top w:val="nil"/>
              <w:left w:val="nil"/>
              <w:bottom w:val="nil"/>
              <w:right w:val="nil"/>
            </w:tcBorders>
            <w:shd w:val="clear" w:color="auto" w:fill="auto"/>
            <w:noWrap/>
            <w:vAlign w:val="center"/>
            <w:hideMark/>
          </w:tcPr>
          <w:p w14:paraId="78FD9F3D"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(5.474)</w:t>
            </w:r>
          </w:p>
        </w:tc>
        <w:tc>
          <w:tcPr>
            <w:tcW w:w="553" w:type="pct"/>
            <w:tcBorders>
              <w:top w:val="nil"/>
              <w:left w:val="nil"/>
              <w:bottom w:val="nil"/>
              <w:right w:val="nil"/>
            </w:tcBorders>
            <w:shd w:val="clear" w:color="auto" w:fill="auto"/>
            <w:noWrap/>
            <w:vAlign w:val="center"/>
            <w:hideMark/>
          </w:tcPr>
          <w:p w14:paraId="34D2D980"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(6.707)</w:t>
            </w:r>
          </w:p>
        </w:tc>
        <w:tc>
          <w:tcPr>
            <w:tcW w:w="376" w:type="pct"/>
            <w:tcBorders>
              <w:top w:val="nil"/>
              <w:left w:val="nil"/>
              <w:bottom w:val="nil"/>
              <w:right w:val="nil"/>
            </w:tcBorders>
            <w:shd w:val="clear" w:color="auto" w:fill="auto"/>
            <w:noWrap/>
            <w:vAlign w:val="center"/>
            <w:hideMark/>
          </w:tcPr>
          <w:p w14:paraId="17EEE489"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-33,3%</w:t>
            </w:r>
          </w:p>
        </w:tc>
        <w:tc>
          <w:tcPr>
            <w:tcW w:w="456" w:type="pct"/>
            <w:tcBorders>
              <w:top w:val="nil"/>
              <w:left w:val="nil"/>
              <w:bottom w:val="nil"/>
              <w:right w:val="nil"/>
            </w:tcBorders>
            <w:shd w:val="clear" w:color="auto" w:fill="auto"/>
            <w:noWrap/>
            <w:vAlign w:val="center"/>
            <w:hideMark/>
          </w:tcPr>
          <w:p w14:paraId="42C217DD"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-45,6%</w:t>
            </w:r>
          </w:p>
        </w:tc>
      </w:tr>
      <w:tr w:rsidR="00D65A82" w:rsidRPr="00D65A82" w14:paraId="0695BDCD" w14:textId="77777777" w:rsidTr="00505643">
        <w:trPr>
          <w:trHeight w:val="238"/>
        </w:trPr>
        <w:tc>
          <w:tcPr>
            <w:tcW w:w="2509" w:type="pct"/>
            <w:tcBorders>
              <w:top w:val="nil"/>
              <w:left w:val="nil"/>
              <w:bottom w:val="nil"/>
              <w:right w:val="nil"/>
            </w:tcBorders>
            <w:shd w:val="clear" w:color="auto" w:fill="auto"/>
            <w:noWrap/>
            <w:vAlign w:val="center"/>
            <w:hideMark/>
          </w:tcPr>
          <w:p w14:paraId="2A1699C4"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Outras Despesas</w:t>
            </w:r>
          </w:p>
        </w:tc>
        <w:tc>
          <w:tcPr>
            <w:tcW w:w="553" w:type="pct"/>
            <w:tcBorders>
              <w:top w:val="nil"/>
              <w:left w:val="nil"/>
              <w:bottom w:val="nil"/>
              <w:right w:val="nil"/>
            </w:tcBorders>
            <w:shd w:val="clear" w:color="auto" w:fill="auto"/>
            <w:noWrap/>
            <w:vAlign w:val="center"/>
            <w:hideMark/>
          </w:tcPr>
          <w:p w14:paraId="4015C726"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(1.096)</w:t>
            </w:r>
          </w:p>
        </w:tc>
        <w:tc>
          <w:tcPr>
            <w:tcW w:w="553" w:type="pct"/>
            <w:tcBorders>
              <w:top w:val="nil"/>
              <w:left w:val="nil"/>
              <w:bottom w:val="nil"/>
              <w:right w:val="nil"/>
            </w:tcBorders>
            <w:shd w:val="clear" w:color="auto" w:fill="auto"/>
            <w:noWrap/>
            <w:vAlign w:val="center"/>
            <w:hideMark/>
          </w:tcPr>
          <w:p w14:paraId="1E85D991"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(1.245)</w:t>
            </w:r>
          </w:p>
        </w:tc>
        <w:tc>
          <w:tcPr>
            <w:tcW w:w="553" w:type="pct"/>
            <w:tcBorders>
              <w:top w:val="nil"/>
              <w:left w:val="nil"/>
              <w:bottom w:val="nil"/>
              <w:right w:val="nil"/>
            </w:tcBorders>
            <w:shd w:val="clear" w:color="auto" w:fill="auto"/>
            <w:noWrap/>
            <w:vAlign w:val="center"/>
            <w:hideMark/>
          </w:tcPr>
          <w:p w14:paraId="0FF86493"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(1.019)</w:t>
            </w:r>
          </w:p>
        </w:tc>
        <w:tc>
          <w:tcPr>
            <w:tcW w:w="376" w:type="pct"/>
            <w:tcBorders>
              <w:top w:val="nil"/>
              <w:left w:val="nil"/>
              <w:bottom w:val="nil"/>
              <w:right w:val="nil"/>
            </w:tcBorders>
            <w:shd w:val="clear" w:color="auto" w:fill="auto"/>
            <w:noWrap/>
            <w:vAlign w:val="center"/>
            <w:hideMark/>
          </w:tcPr>
          <w:p w14:paraId="47370729"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-12,0%</w:t>
            </w:r>
          </w:p>
        </w:tc>
        <w:tc>
          <w:tcPr>
            <w:tcW w:w="456" w:type="pct"/>
            <w:tcBorders>
              <w:top w:val="nil"/>
              <w:left w:val="nil"/>
              <w:bottom w:val="nil"/>
              <w:right w:val="nil"/>
            </w:tcBorders>
            <w:shd w:val="clear" w:color="auto" w:fill="auto"/>
            <w:noWrap/>
            <w:vAlign w:val="center"/>
            <w:hideMark/>
          </w:tcPr>
          <w:p w14:paraId="251A8CBC"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7,6%</w:t>
            </w:r>
          </w:p>
        </w:tc>
      </w:tr>
      <w:tr w:rsidR="00D65A82" w:rsidRPr="00D65A82" w14:paraId="1CD1EB93" w14:textId="77777777" w:rsidTr="00505643">
        <w:trPr>
          <w:trHeight w:val="238"/>
        </w:trPr>
        <w:tc>
          <w:tcPr>
            <w:tcW w:w="2509" w:type="pct"/>
            <w:tcBorders>
              <w:top w:val="single" w:sz="8" w:space="0" w:color="9BC2E6"/>
              <w:left w:val="nil"/>
              <w:bottom w:val="single" w:sz="8" w:space="0" w:color="9BC2E6"/>
              <w:right w:val="nil"/>
            </w:tcBorders>
            <w:shd w:val="clear" w:color="auto" w:fill="auto"/>
            <w:noWrap/>
            <w:vAlign w:val="center"/>
            <w:hideMark/>
          </w:tcPr>
          <w:p w14:paraId="399F091C"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Total</w:t>
            </w:r>
          </w:p>
        </w:tc>
        <w:tc>
          <w:tcPr>
            <w:tcW w:w="553" w:type="pct"/>
            <w:tcBorders>
              <w:top w:val="single" w:sz="8" w:space="0" w:color="9BC2E6"/>
              <w:left w:val="nil"/>
              <w:bottom w:val="single" w:sz="8" w:space="0" w:color="9BC2E6"/>
              <w:right w:val="nil"/>
            </w:tcBorders>
            <w:shd w:val="clear" w:color="auto" w:fill="auto"/>
            <w:noWrap/>
            <w:vAlign w:val="center"/>
            <w:hideMark/>
          </w:tcPr>
          <w:p w14:paraId="252D5462"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(213.412)</w:t>
            </w:r>
          </w:p>
        </w:tc>
        <w:tc>
          <w:tcPr>
            <w:tcW w:w="553" w:type="pct"/>
            <w:tcBorders>
              <w:top w:val="single" w:sz="8" w:space="0" w:color="9BC2E6"/>
              <w:left w:val="nil"/>
              <w:bottom w:val="single" w:sz="8" w:space="0" w:color="9BC2E6"/>
              <w:right w:val="nil"/>
            </w:tcBorders>
            <w:shd w:val="clear" w:color="auto" w:fill="auto"/>
            <w:noWrap/>
            <w:vAlign w:val="center"/>
            <w:hideMark/>
          </w:tcPr>
          <w:p w14:paraId="570B0BF1"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(225.588)</w:t>
            </w:r>
          </w:p>
        </w:tc>
        <w:tc>
          <w:tcPr>
            <w:tcW w:w="553" w:type="pct"/>
            <w:tcBorders>
              <w:top w:val="single" w:sz="8" w:space="0" w:color="9BC2E6"/>
              <w:left w:val="nil"/>
              <w:bottom w:val="single" w:sz="8" w:space="0" w:color="9BC2E6"/>
              <w:right w:val="nil"/>
            </w:tcBorders>
            <w:shd w:val="clear" w:color="auto" w:fill="auto"/>
            <w:noWrap/>
            <w:vAlign w:val="center"/>
            <w:hideMark/>
          </w:tcPr>
          <w:p w14:paraId="5DD5FC4F"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(219.520)</w:t>
            </w:r>
          </w:p>
        </w:tc>
        <w:tc>
          <w:tcPr>
            <w:tcW w:w="376" w:type="pct"/>
            <w:tcBorders>
              <w:top w:val="single" w:sz="8" w:space="0" w:color="9BC2E6"/>
              <w:left w:val="nil"/>
              <w:bottom w:val="single" w:sz="8" w:space="0" w:color="9BC2E6"/>
              <w:right w:val="nil"/>
            </w:tcBorders>
            <w:shd w:val="clear" w:color="auto" w:fill="auto"/>
            <w:noWrap/>
            <w:vAlign w:val="center"/>
            <w:hideMark/>
          </w:tcPr>
          <w:p w14:paraId="753D41C8"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-5,4%</w:t>
            </w:r>
          </w:p>
        </w:tc>
        <w:tc>
          <w:tcPr>
            <w:tcW w:w="456" w:type="pct"/>
            <w:tcBorders>
              <w:top w:val="single" w:sz="8" w:space="0" w:color="9BC2E6"/>
              <w:left w:val="nil"/>
              <w:bottom w:val="single" w:sz="8" w:space="0" w:color="9BC2E6"/>
              <w:right w:val="nil"/>
            </w:tcBorders>
            <w:shd w:val="clear" w:color="auto" w:fill="auto"/>
            <w:noWrap/>
            <w:vAlign w:val="center"/>
            <w:hideMark/>
          </w:tcPr>
          <w:p w14:paraId="4A1182C0"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-2,78%</w:t>
            </w:r>
          </w:p>
        </w:tc>
      </w:tr>
      <w:tr w:rsidR="00D65A82" w:rsidRPr="00D65A82" w14:paraId="52847D14" w14:textId="77777777" w:rsidTr="00505643">
        <w:trPr>
          <w:trHeight w:val="238"/>
        </w:trPr>
        <w:tc>
          <w:tcPr>
            <w:tcW w:w="2509" w:type="pct"/>
            <w:tcBorders>
              <w:top w:val="nil"/>
              <w:left w:val="nil"/>
              <w:bottom w:val="single" w:sz="8" w:space="0" w:color="9BC2E6"/>
              <w:right w:val="nil"/>
            </w:tcBorders>
            <w:shd w:val="clear" w:color="auto" w:fill="auto"/>
            <w:noWrap/>
            <w:vAlign w:val="center"/>
            <w:hideMark/>
          </w:tcPr>
          <w:p w14:paraId="3C47287D"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Resultado Financeiro</w:t>
            </w:r>
          </w:p>
        </w:tc>
        <w:tc>
          <w:tcPr>
            <w:tcW w:w="553" w:type="pct"/>
            <w:tcBorders>
              <w:top w:val="nil"/>
              <w:left w:val="nil"/>
              <w:bottom w:val="single" w:sz="8" w:space="0" w:color="9BC2E6"/>
              <w:right w:val="nil"/>
            </w:tcBorders>
            <w:shd w:val="clear" w:color="auto" w:fill="auto"/>
            <w:noWrap/>
            <w:vAlign w:val="center"/>
            <w:hideMark/>
          </w:tcPr>
          <w:p w14:paraId="10E92532"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(85.068)</w:t>
            </w:r>
          </w:p>
        </w:tc>
        <w:tc>
          <w:tcPr>
            <w:tcW w:w="553" w:type="pct"/>
            <w:tcBorders>
              <w:top w:val="nil"/>
              <w:left w:val="nil"/>
              <w:bottom w:val="single" w:sz="8" w:space="0" w:color="9BC2E6"/>
              <w:right w:val="nil"/>
            </w:tcBorders>
            <w:shd w:val="clear" w:color="auto" w:fill="auto"/>
            <w:noWrap/>
            <w:vAlign w:val="center"/>
            <w:hideMark/>
          </w:tcPr>
          <w:p w14:paraId="5B44A436"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(59.950)</w:t>
            </w:r>
          </w:p>
        </w:tc>
        <w:tc>
          <w:tcPr>
            <w:tcW w:w="553" w:type="pct"/>
            <w:tcBorders>
              <w:top w:val="nil"/>
              <w:left w:val="nil"/>
              <w:bottom w:val="single" w:sz="8" w:space="0" w:color="9BC2E6"/>
              <w:right w:val="nil"/>
            </w:tcBorders>
            <w:shd w:val="clear" w:color="auto" w:fill="auto"/>
            <w:noWrap/>
            <w:vAlign w:val="center"/>
            <w:hideMark/>
          </w:tcPr>
          <w:p w14:paraId="735C9C88"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(100.148)</w:t>
            </w:r>
          </w:p>
        </w:tc>
        <w:tc>
          <w:tcPr>
            <w:tcW w:w="376" w:type="pct"/>
            <w:tcBorders>
              <w:top w:val="nil"/>
              <w:left w:val="nil"/>
              <w:bottom w:val="single" w:sz="8" w:space="0" w:color="9BC2E6"/>
              <w:right w:val="nil"/>
            </w:tcBorders>
            <w:shd w:val="clear" w:color="auto" w:fill="auto"/>
            <w:noWrap/>
            <w:vAlign w:val="center"/>
            <w:hideMark/>
          </w:tcPr>
          <w:p w14:paraId="42EE0358"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41,9%</w:t>
            </w:r>
          </w:p>
        </w:tc>
        <w:tc>
          <w:tcPr>
            <w:tcW w:w="456" w:type="pct"/>
            <w:tcBorders>
              <w:top w:val="nil"/>
              <w:left w:val="nil"/>
              <w:bottom w:val="single" w:sz="8" w:space="0" w:color="9BC2E6"/>
              <w:right w:val="nil"/>
            </w:tcBorders>
            <w:shd w:val="clear" w:color="auto" w:fill="auto"/>
            <w:noWrap/>
            <w:vAlign w:val="center"/>
            <w:hideMark/>
          </w:tcPr>
          <w:p w14:paraId="40031D36"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-15,1%</w:t>
            </w:r>
          </w:p>
        </w:tc>
      </w:tr>
    </w:tbl>
    <w:p w14:paraId="060DF425" w14:textId="77777777" w:rsidR="00D65A82" w:rsidRDefault="00D65A82" w:rsidP="00D65A82">
      <w:pPr>
        <w:tabs>
          <w:tab w:val="clear" w:pos="851"/>
        </w:tabs>
        <w:spacing w:before="0" w:after="0" w:line="240" w:lineRule="auto"/>
        <w:jc w:val="left"/>
        <w:rPr>
          <w:rFonts w:eastAsia="Calibri"/>
          <w:sz w:val="22"/>
        </w:rPr>
      </w:pPr>
    </w:p>
    <w:p w14:paraId="72F859F3" w14:textId="7E43B1EE" w:rsidR="00D65A82" w:rsidRPr="00D65A82" w:rsidRDefault="00D65A82" w:rsidP="0065694B">
      <w:pPr>
        <w:tabs>
          <w:tab w:val="clear" w:pos="851"/>
        </w:tabs>
        <w:spacing w:before="0" w:after="0" w:line="240" w:lineRule="auto"/>
        <w:rPr>
          <w:rFonts w:eastAsia="Calibri"/>
          <w:sz w:val="22"/>
        </w:rPr>
      </w:pPr>
      <w:r w:rsidRPr="00D65A82">
        <w:rPr>
          <w:rFonts w:eastAsia="Calibri"/>
          <w:sz w:val="22"/>
        </w:rPr>
        <w:t>No exercício de 2024, o resultado financeiro foi negativo no valor de R$ 85,1 milhões (R$ 60,0 milhões em 2023 e R$ 100,1 milhões em 2022), aumento de 41,9% na comparação com o ano de 2023 e redução de 15,1% em relação ao ano de 2022. As principais rubricas do resultado financeiro apresentaram os seguintes comportamentos:</w:t>
      </w:r>
    </w:p>
    <w:p w14:paraId="3C9FC626" w14:textId="77777777" w:rsidR="00D65A82" w:rsidRPr="00D65A82" w:rsidRDefault="00D65A82" w:rsidP="0065694B">
      <w:pPr>
        <w:tabs>
          <w:tab w:val="clear" w:pos="851"/>
        </w:tabs>
        <w:spacing w:before="0" w:after="0" w:line="240" w:lineRule="auto"/>
        <w:rPr>
          <w:rFonts w:eastAsia="Calibri"/>
          <w:sz w:val="22"/>
        </w:rPr>
      </w:pPr>
    </w:p>
    <w:p w14:paraId="588177D8" w14:textId="37B795A8" w:rsidR="00D65A82" w:rsidRPr="00D65A82" w:rsidRDefault="00D65A82" w:rsidP="0065694B">
      <w:pPr>
        <w:tabs>
          <w:tab w:val="clear" w:pos="851"/>
        </w:tabs>
        <w:spacing w:before="0" w:after="0" w:line="240" w:lineRule="auto"/>
        <w:rPr>
          <w:rFonts w:eastAsia="Calibri"/>
          <w:sz w:val="22"/>
        </w:rPr>
      </w:pPr>
      <w:r w:rsidRPr="00D65A82">
        <w:rPr>
          <w:rFonts w:eastAsia="Calibri"/>
          <w:b/>
          <w:bCs/>
          <w:sz w:val="22"/>
        </w:rPr>
        <w:t>i) Juros sobre Aplicações Financeiras:</w:t>
      </w:r>
      <w:r w:rsidRPr="00D65A82">
        <w:rPr>
          <w:rFonts w:eastAsia="Calibri"/>
          <w:sz w:val="22"/>
        </w:rPr>
        <w:t xml:space="preserve"> No exercício de 2024, a receita de juros sobre aplicações financeira apresentou redução de 25,0% na comparação com o ano de 2023. Com relação ao ano de 2022, ocorreu um crescimento de 7,5%. Esse comportamento é reflexo das alterações na taxa de juros (Selic) e também pelo desempenho dos fluxos de caixa entre os períodos comparados.</w:t>
      </w:r>
    </w:p>
    <w:p w14:paraId="79DF83B7" w14:textId="77777777" w:rsidR="00D65A82" w:rsidRPr="00D65A82" w:rsidRDefault="00D65A82" w:rsidP="0065694B">
      <w:pPr>
        <w:tabs>
          <w:tab w:val="clear" w:pos="851"/>
        </w:tabs>
        <w:spacing w:before="0" w:after="0" w:line="240" w:lineRule="auto"/>
        <w:rPr>
          <w:rFonts w:eastAsia="Calibri"/>
          <w:sz w:val="22"/>
        </w:rPr>
      </w:pPr>
    </w:p>
    <w:p w14:paraId="6794FF07" w14:textId="04A44C2D" w:rsidR="00D65A82" w:rsidRPr="00D65A82" w:rsidRDefault="00D65A82" w:rsidP="0065694B">
      <w:pPr>
        <w:tabs>
          <w:tab w:val="clear" w:pos="851"/>
        </w:tabs>
        <w:spacing w:before="0" w:after="0" w:line="240" w:lineRule="auto"/>
        <w:rPr>
          <w:rFonts w:eastAsia="Calibri"/>
          <w:sz w:val="22"/>
        </w:rPr>
      </w:pPr>
      <w:r w:rsidRPr="00D65A82">
        <w:rPr>
          <w:rFonts w:eastAsia="Calibri"/>
          <w:b/>
          <w:bCs/>
          <w:sz w:val="22"/>
        </w:rPr>
        <w:t>ii) Juros sobre Adiantamentos para Futuro Aumento de Capital (AFAC):</w:t>
      </w:r>
      <w:r w:rsidRPr="00D65A82">
        <w:rPr>
          <w:rFonts w:eastAsia="Calibri"/>
          <w:sz w:val="22"/>
        </w:rPr>
        <w:t xml:space="preserve"> No ano de 2024, os juros sobre AFAC apresentaram redução de 4,6%, explicada basicamente pela variação da taxa SELIC sobre os aportes recebidos do controlador (a União). </w:t>
      </w:r>
    </w:p>
    <w:p w14:paraId="2C6CC823" w14:textId="7F825934" w:rsidR="00247165" w:rsidRPr="00D44CF4" w:rsidRDefault="00D65A82" w:rsidP="0065694B">
      <w:pPr>
        <w:spacing w:after="0" w:line="240" w:lineRule="auto"/>
        <w:rPr>
          <w:rFonts w:eastAsia="Arial"/>
          <w:sz w:val="22"/>
        </w:rPr>
      </w:pPr>
      <w:r w:rsidRPr="00D65A82">
        <w:rPr>
          <w:rFonts w:eastAsia="Calibri"/>
          <w:b/>
          <w:sz w:val="22"/>
        </w:rPr>
        <w:t>iii</w:t>
      </w:r>
      <w:r w:rsidRPr="00D65A82">
        <w:rPr>
          <w:rFonts w:eastAsia="Calibri"/>
          <w:sz w:val="22"/>
        </w:rPr>
        <w:t xml:space="preserve">) </w:t>
      </w:r>
      <w:r w:rsidRPr="00D65A82">
        <w:rPr>
          <w:rFonts w:eastAsia="Calibri"/>
          <w:b/>
          <w:sz w:val="22"/>
        </w:rPr>
        <w:t>Juros e Variação Monetária de Acordos Judiciais:</w:t>
      </w:r>
      <w:r w:rsidRPr="00D65A82">
        <w:rPr>
          <w:rFonts w:eastAsia="Calibri"/>
          <w:sz w:val="22"/>
        </w:rPr>
        <w:t xml:space="preserve"> A redução de 5,0% e 29,7%, respectivamente, em relação aos anos de 2023 e 2022, é explicada principalmente pela amortização da dívida junto à FUNCEF e PREVI. </w:t>
      </w:r>
    </w:p>
    <w:p w14:paraId="0555EEF0" w14:textId="4CC8303C" w:rsidR="003E0246" w:rsidRPr="00D44CF4" w:rsidRDefault="003E0246" w:rsidP="00087F48">
      <w:pPr>
        <w:pStyle w:val="Ttulo3"/>
        <w:ind w:left="709" w:hanging="709"/>
      </w:pPr>
      <w:bookmarkStart w:id="19" w:name="_Toc191641873"/>
      <w:bookmarkEnd w:id="18"/>
      <w:r w:rsidRPr="00D44CF4">
        <w:t>Prejuízo Líquido do Exercício Ajustado</w:t>
      </w:r>
      <w:bookmarkEnd w:id="19"/>
      <w:r w:rsidRPr="00D44CF4">
        <w:t xml:space="preserve"> </w:t>
      </w:r>
    </w:p>
    <w:tbl>
      <w:tblPr>
        <w:tblW w:w="5000" w:type="pct"/>
        <w:tblCellMar>
          <w:left w:w="70" w:type="dxa"/>
          <w:right w:w="70" w:type="dxa"/>
        </w:tblCellMar>
        <w:tblLook w:val="04A0" w:firstRow="1" w:lastRow="0" w:firstColumn="1" w:lastColumn="0" w:noHBand="0" w:noVBand="1"/>
      </w:tblPr>
      <w:tblGrid>
        <w:gridCol w:w="4447"/>
        <w:gridCol w:w="914"/>
        <w:gridCol w:w="914"/>
        <w:gridCol w:w="1038"/>
        <w:gridCol w:w="778"/>
        <w:gridCol w:w="981"/>
      </w:tblGrid>
      <w:tr w:rsidR="00D65A82" w:rsidRPr="00D65A82" w14:paraId="5AA90074" w14:textId="77777777" w:rsidTr="003D7F9A">
        <w:trPr>
          <w:trHeight w:val="238"/>
        </w:trPr>
        <w:tc>
          <w:tcPr>
            <w:tcW w:w="2472" w:type="pct"/>
            <w:tcBorders>
              <w:top w:val="single" w:sz="8" w:space="0" w:color="8EA9DB"/>
              <w:left w:val="nil"/>
              <w:bottom w:val="single" w:sz="8" w:space="0" w:color="8EA9DB"/>
              <w:right w:val="nil"/>
            </w:tcBorders>
            <w:shd w:val="clear" w:color="auto" w:fill="auto"/>
            <w:noWrap/>
            <w:vAlign w:val="center"/>
            <w:hideMark/>
          </w:tcPr>
          <w:p w14:paraId="289AA69D" w14:textId="77777777" w:rsidR="00D65A82" w:rsidRPr="00D65A82" w:rsidRDefault="00D65A82" w:rsidP="00D65A82">
            <w:pPr>
              <w:tabs>
                <w:tab w:val="clear" w:pos="851"/>
              </w:tabs>
              <w:spacing w:before="0" w:after="0" w:line="240" w:lineRule="auto"/>
              <w:jc w:val="left"/>
              <w:rPr>
                <w:rFonts w:ascii="Arial" w:hAnsi="Arial" w:cs="Arial"/>
                <w:b/>
                <w:bCs/>
                <w:color w:val="2F75B5"/>
                <w:sz w:val="16"/>
                <w:szCs w:val="16"/>
                <w:lang w:eastAsia="pt-BR"/>
              </w:rPr>
            </w:pPr>
            <w:r w:rsidRPr="00D65A82">
              <w:rPr>
                <w:rFonts w:ascii="Arial" w:hAnsi="Arial" w:cs="Arial"/>
                <w:b/>
                <w:bCs/>
                <w:color w:val="2F75B5"/>
                <w:sz w:val="16"/>
                <w:szCs w:val="16"/>
                <w:lang w:eastAsia="pt-BR"/>
              </w:rPr>
              <w:t>R$ mil</w:t>
            </w:r>
          </w:p>
        </w:tc>
        <w:tc>
          <w:tcPr>
            <w:tcW w:w="490" w:type="pct"/>
            <w:tcBorders>
              <w:top w:val="single" w:sz="8" w:space="0" w:color="8EA9DB"/>
              <w:left w:val="nil"/>
              <w:bottom w:val="single" w:sz="8" w:space="0" w:color="8EA9DB"/>
              <w:right w:val="nil"/>
            </w:tcBorders>
            <w:shd w:val="clear" w:color="000000" w:fill="FFFFFF"/>
            <w:noWrap/>
            <w:vAlign w:val="center"/>
            <w:hideMark/>
          </w:tcPr>
          <w:p w14:paraId="4FF6A79B"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2024</w:t>
            </w:r>
          </w:p>
        </w:tc>
        <w:tc>
          <w:tcPr>
            <w:tcW w:w="490" w:type="pct"/>
            <w:tcBorders>
              <w:top w:val="single" w:sz="8" w:space="0" w:color="8EA9DB"/>
              <w:left w:val="nil"/>
              <w:bottom w:val="single" w:sz="8" w:space="0" w:color="8EA9DB"/>
              <w:right w:val="nil"/>
            </w:tcBorders>
            <w:shd w:val="clear" w:color="000000" w:fill="FFFFFF"/>
            <w:noWrap/>
            <w:vAlign w:val="center"/>
            <w:hideMark/>
          </w:tcPr>
          <w:p w14:paraId="4488C597"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2023</w:t>
            </w:r>
          </w:p>
        </w:tc>
        <w:tc>
          <w:tcPr>
            <w:tcW w:w="538" w:type="pct"/>
            <w:tcBorders>
              <w:top w:val="single" w:sz="8" w:space="0" w:color="8EA9DB"/>
              <w:left w:val="nil"/>
              <w:bottom w:val="single" w:sz="8" w:space="0" w:color="8EA9DB"/>
              <w:right w:val="nil"/>
            </w:tcBorders>
            <w:shd w:val="clear" w:color="000000" w:fill="FFFFFF"/>
            <w:noWrap/>
            <w:vAlign w:val="center"/>
            <w:hideMark/>
          </w:tcPr>
          <w:p w14:paraId="4E111B5B"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2022</w:t>
            </w:r>
          </w:p>
        </w:tc>
        <w:tc>
          <w:tcPr>
            <w:tcW w:w="449" w:type="pct"/>
            <w:tcBorders>
              <w:top w:val="single" w:sz="8" w:space="0" w:color="9BC2E6"/>
              <w:left w:val="nil"/>
              <w:bottom w:val="single" w:sz="8" w:space="0" w:color="9BC2E6"/>
              <w:right w:val="nil"/>
            </w:tcBorders>
            <w:shd w:val="clear" w:color="000000" w:fill="FFFFFF"/>
            <w:vAlign w:val="center"/>
            <w:hideMark/>
          </w:tcPr>
          <w:p w14:paraId="01534250"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Δ 2024 X 2023</w:t>
            </w:r>
          </w:p>
        </w:tc>
        <w:tc>
          <w:tcPr>
            <w:tcW w:w="561" w:type="pct"/>
            <w:tcBorders>
              <w:top w:val="single" w:sz="8" w:space="0" w:color="9BC2E6"/>
              <w:left w:val="nil"/>
              <w:bottom w:val="single" w:sz="8" w:space="0" w:color="9BC2E6"/>
              <w:right w:val="nil"/>
            </w:tcBorders>
            <w:shd w:val="clear" w:color="000000" w:fill="FFFFFF"/>
            <w:vAlign w:val="center"/>
            <w:hideMark/>
          </w:tcPr>
          <w:p w14:paraId="722398C7"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Δ 2024 X 2022</w:t>
            </w:r>
          </w:p>
        </w:tc>
      </w:tr>
      <w:tr w:rsidR="00D65A82" w:rsidRPr="00D65A82" w14:paraId="45E70F38" w14:textId="77777777" w:rsidTr="003D7F9A">
        <w:trPr>
          <w:trHeight w:val="238"/>
        </w:trPr>
        <w:tc>
          <w:tcPr>
            <w:tcW w:w="2472" w:type="pct"/>
            <w:tcBorders>
              <w:top w:val="nil"/>
              <w:left w:val="nil"/>
              <w:bottom w:val="nil"/>
              <w:right w:val="nil"/>
            </w:tcBorders>
            <w:shd w:val="clear" w:color="auto" w:fill="auto"/>
            <w:noWrap/>
            <w:vAlign w:val="center"/>
            <w:hideMark/>
          </w:tcPr>
          <w:p w14:paraId="208358C1"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Prejuízo Líquido do Exercício</w:t>
            </w:r>
          </w:p>
        </w:tc>
        <w:tc>
          <w:tcPr>
            <w:tcW w:w="490" w:type="pct"/>
            <w:tcBorders>
              <w:top w:val="nil"/>
              <w:left w:val="nil"/>
              <w:bottom w:val="nil"/>
              <w:right w:val="nil"/>
            </w:tcBorders>
            <w:shd w:val="clear" w:color="auto" w:fill="auto"/>
            <w:noWrap/>
            <w:vAlign w:val="center"/>
            <w:hideMark/>
          </w:tcPr>
          <w:p w14:paraId="69F0AC31"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(66.572)</w:t>
            </w:r>
          </w:p>
        </w:tc>
        <w:tc>
          <w:tcPr>
            <w:tcW w:w="490" w:type="pct"/>
            <w:tcBorders>
              <w:top w:val="nil"/>
              <w:left w:val="nil"/>
              <w:bottom w:val="nil"/>
              <w:right w:val="nil"/>
            </w:tcBorders>
            <w:shd w:val="clear" w:color="auto" w:fill="auto"/>
            <w:noWrap/>
            <w:vAlign w:val="center"/>
            <w:hideMark/>
          </w:tcPr>
          <w:p w14:paraId="510AC9F6"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(127.357)</w:t>
            </w:r>
          </w:p>
        </w:tc>
        <w:tc>
          <w:tcPr>
            <w:tcW w:w="538" w:type="pct"/>
            <w:tcBorders>
              <w:top w:val="nil"/>
              <w:left w:val="nil"/>
              <w:bottom w:val="nil"/>
              <w:right w:val="nil"/>
            </w:tcBorders>
            <w:shd w:val="clear" w:color="auto" w:fill="auto"/>
            <w:noWrap/>
            <w:vAlign w:val="center"/>
            <w:hideMark/>
          </w:tcPr>
          <w:p w14:paraId="25F2CD5E"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(168.459)</w:t>
            </w:r>
          </w:p>
        </w:tc>
        <w:tc>
          <w:tcPr>
            <w:tcW w:w="449" w:type="pct"/>
            <w:tcBorders>
              <w:top w:val="nil"/>
              <w:left w:val="nil"/>
              <w:bottom w:val="nil"/>
              <w:right w:val="nil"/>
            </w:tcBorders>
            <w:shd w:val="clear" w:color="auto" w:fill="auto"/>
            <w:noWrap/>
            <w:vAlign w:val="center"/>
            <w:hideMark/>
          </w:tcPr>
          <w:p w14:paraId="6EBD514F"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-47,7%</w:t>
            </w:r>
          </w:p>
        </w:tc>
        <w:tc>
          <w:tcPr>
            <w:tcW w:w="561" w:type="pct"/>
            <w:tcBorders>
              <w:top w:val="nil"/>
              <w:left w:val="nil"/>
              <w:bottom w:val="nil"/>
              <w:right w:val="nil"/>
            </w:tcBorders>
            <w:shd w:val="clear" w:color="auto" w:fill="auto"/>
            <w:noWrap/>
            <w:vAlign w:val="center"/>
            <w:hideMark/>
          </w:tcPr>
          <w:p w14:paraId="6FE52C72"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-60,5%</w:t>
            </w:r>
          </w:p>
        </w:tc>
      </w:tr>
      <w:tr w:rsidR="00D65A82" w:rsidRPr="00D65A82" w14:paraId="1A7383FC" w14:textId="77777777" w:rsidTr="003D7F9A">
        <w:trPr>
          <w:trHeight w:val="238"/>
        </w:trPr>
        <w:tc>
          <w:tcPr>
            <w:tcW w:w="2472" w:type="pct"/>
            <w:tcBorders>
              <w:top w:val="nil"/>
              <w:left w:val="nil"/>
              <w:bottom w:val="nil"/>
              <w:right w:val="nil"/>
            </w:tcBorders>
            <w:shd w:val="clear" w:color="auto" w:fill="auto"/>
            <w:noWrap/>
            <w:vAlign w:val="center"/>
            <w:hideMark/>
          </w:tcPr>
          <w:p w14:paraId="4C3FB049"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Ajuste de Eventos Não Recorrentes:</w:t>
            </w:r>
          </w:p>
        </w:tc>
        <w:tc>
          <w:tcPr>
            <w:tcW w:w="490" w:type="pct"/>
            <w:tcBorders>
              <w:top w:val="nil"/>
              <w:left w:val="nil"/>
              <w:bottom w:val="nil"/>
              <w:right w:val="nil"/>
            </w:tcBorders>
            <w:shd w:val="clear" w:color="auto" w:fill="auto"/>
            <w:noWrap/>
            <w:vAlign w:val="center"/>
            <w:hideMark/>
          </w:tcPr>
          <w:p w14:paraId="425AAB4C"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p>
        </w:tc>
        <w:tc>
          <w:tcPr>
            <w:tcW w:w="490" w:type="pct"/>
            <w:tcBorders>
              <w:top w:val="nil"/>
              <w:left w:val="nil"/>
              <w:bottom w:val="nil"/>
              <w:right w:val="nil"/>
            </w:tcBorders>
            <w:shd w:val="clear" w:color="auto" w:fill="auto"/>
            <w:noWrap/>
            <w:vAlign w:val="center"/>
            <w:hideMark/>
          </w:tcPr>
          <w:p w14:paraId="2B6A6717" w14:textId="77777777" w:rsidR="00D65A82" w:rsidRPr="00D65A82" w:rsidRDefault="00D65A82" w:rsidP="00D65A82">
            <w:pPr>
              <w:tabs>
                <w:tab w:val="clear" w:pos="851"/>
              </w:tabs>
              <w:spacing w:before="0" w:after="0" w:line="240" w:lineRule="auto"/>
              <w:jc w:val="left"/>
              <w:rPr>
                <w:rFonts w:ascii="Times New Roman" w:hAnsi="Times New Roman"/>
                <w:color w:val="auto"/>
                <w:sz w:val="16"/>
                <w:szCs w:val="16"/>
                <w:lang w:eastAsia="pt-BR"/>
              </w:rPr>
            </w:pPr>
          </w:p>
        </w:tc>
        <w:tc>
          <w:tcPr>
            <w:tcW w:w="538" w:type="pct"/>
            <w:tcBorders>
              <w:top w:val="nil"/>
              <w:left w:val="nil"/>
              <w:bottom w:val="nil"/>
              <w:right w:val="nil"/>
            </w:tcBorders>
            <w:shd w:val="clear" w:color="auto" w:fill="auto"/>
            <w:noWrap/>
            <w:vAlign w:val="center"/>
            <w:hideMark/>
          </w:tcPr>
          <w:p w14:paraId="2C01A716" w14:textId="77777777" w:rsidR="00D65A82" w:rsidRPr="00D65A82" w:rsidRDefault="00D65A82" w:rsidP="00D65A82">
            <w:pPr>
              <w:tabs>
                <w:tab w:val="clear" w:pos="851"/>
              </w:tabs>
              <w:spacing w:before="0" w:after="0" w:line="240" w:lineRule="auto"/>
              <w:jc w:val="left"/>
              <w:rPr>
                <w:rFonts w:ascii="Times New Roman" w:hAnsi="Times New Roman"/>
                <w:color w:val="auto"/>
                <w:sz w:val="16"/>
                <w:szCs w:val="16"/>
                <w:lang w:eastAsia="pt-BR"/>
              </w:rPr>
            </w:pPr>
          </w:p>
        </w:tc>
        <w:tc>
          <w:tcPr>
            <w:tcW w:w="449" w:type="pct"/>
            <w:tcBorders>
              <w:top w:val="nil"/>
              <w:left w:val="nil"/>
              <w:bottom w:val="nil"/>
              <w:right w:val="nil"/>
            </w:tcBorders>
            <w:shd w:val="clear" w:color="auto" w:fill="auto"/>
            <w:noWrap/>
            <w:vAlign w:val="center"/>
            <w:hideMark/>
          </w:tcPr>
          <w:p w14:paraId="5673C6A4" w14:textId="77777777" w:rsidR="00D65A82" w:rsidRPr="00D65A82" w:rsidRDefault="00D65A82" w:rsidP="00D65A82">
            <w:pPr>
              <w:tabs>
                <w:tab w:val="clear" w:pos="851"/>
              </w:tabs>
              <w:spacing w:before="0" w:after="0" w:line="240" w:lineRule="auto"/>
              <w:jc w:val="left"/>
              <w:rPr>
                <w:rFonts w:ascii="Times New Roman" w:hAnsi="Times New Roman"/>
                <w:color w:val="auto"/>
                <w:sz w:val="16"/>
                <w:szCs w:val="16"/>
                <w:lang w:eastAsia="pt-BR"/>
              </w:rPr>
            </w:pPr>
          </w:p>
        </w:tc>
        <w:tc>
          <w:tcPr>
            <w:tcW w:w="561" w:type="pct"/>
            <w:tcBorders>
              <w:top w:val="nil"/>
              <w:left w:val="nil"/>
              <w:bottom w:val="nil"/>
              <w:right w:val="nil"/>
            </w:tcBorders>
            <w:shd w:val="clear" w:color="auto" w:fill="auto"/>
            <w:noWrap/>
            <w:vAlign w:val="center"/>
            <w:hideMark/>
          </w:tcPr>
          <w:p w14:paraId="32985EA4" w14:textId="77777777" w:rsidR="00D65A82" w:rsidRPr="00D65A82" w:rsidRDefault="00D65A82" w:rsidP="00D65A82">
            <w:pPr>
              <w:tabs>
                <w:tab w:val="clear" w:pos="851"/>
              </w:tabs>
              <w:spacing w:before="0" w:after="0" w:line="240" w:lineRule="auto"/>
              <w:jc w:val="left"/>
              <w:rPr>
                <w:rFonts w:ascii="Times New Roman" w:hAnsi="Times New Roman"/>
                <w:color w:val="auto"/>
                <w:sz w:val="16"/>
                <w:szCs w:val="16"/>
                <w:lang w:eastAsia="pt-BR"/>
              </w:rPr>
            </w:pPr>
          </w:p>
        </w:tc>
      </w:tr>
      <w:tr w:rsidR="00D65A82" w:rsidRPr="00D65A82" w14:paraId="21CC2407" w14:textId="77777777" w:rsidTr="003D7F9A">
        <w:trPr>
          <w:trHeight w:val="238"/>
        </w:trPr>
        <w:tc>
          <w:tcPr>
            <w:tcW w:w="2472" w:type="pct"/>
            <w:tcBorders>
              <w:top w:val="nil"/>
              <w:left w:val="nil"/>
              <w:bottom w:val="nil"/>
              <w:right w:val="nil"/>
            </w:tcBorders>
            <w:shd w:val="clear" w:color="auto" w:fill="auto"/>
            <w:noWrap/>
            <w:vAlign w:val="center"/>
            <w:hideMark/>
          </w:tcPr>
          <w:p w14:paraId="5C9B1C2F"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Superávit de Previdência Privada</w:t>
            </w:r>
          </w:p>
        </w:tc>
        <w:tc>
          <w:tcPr>
            <w:tcW w:w="490" w:type="pct"/>
            <w:tcBorders>
              <w:top w:val="nil"/>
              <w:left w:val="nil"/>
              <w:bottom w:val="nil"/>
              <w:right w:val="nil"/>
            </w:tcBorders>
            <w:shd w:val="clear" w:color="auto" w:fill="auto"/>
            <w:noWrap/>
            <w:vAlign w:val="center"/>
            <w:hideMark/>
          </w:tcPr>
          <w:p w14:paraId="45951569"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(212.038)</w:t>
            </w:r>
          </w:p>
        </w:tc>
        <w:tc>
          <w:tcPr>
            <w:tcW w:w="490" w:type="pct"/>
            <w:tcBorders>
              <w:top w:val="nil"/>
              <w:left w:val="nil"/>
              <w:bottom w:val="nil"/>
              <w:right w:val="nil"/>
            </w:tcBorders>
            <w:shd w:val="clear" w:color="auto" w:fill="auto"/>
            <w:noWrap/>
            <w:vAlign w:val="center"/>
            <w:hideMark/>
          </w:tcPr>
          <w:p w14:paraId="03632AED"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(33.912)</w:t>
            </w:r>
          </w:p>
        </w:tc>
        <w:tc>
          <w:tcPr>
            <w:tcW w:w="538" w:type="pct"/>
            <w:tcBorders>
              <w:top w:val="nil"/>
              <w:left w:val="nil"/>
              <w:bottom w:val="nil"/>
              <w:right w:val="nil"/>
            </w:tcBorders>
            <w:shd w:val="clear" w:color="auto" w:fill="auto"/>
            <w:noWrap/>
            <w:vAlign w:val="center"/>
            <w:hideMark/>
          </w:tcPr>
          <w:p w14:paraId="0E72680B"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       </w:t>
            </w:r>
          </w:p>
        </w:tc>
        <w:tc>
          <w:tcPr>
            <w:tcW w:w="449" w:type="pct"/>
            <w:tcBorders>
              <w:top w:val="nil"/>
              <w:left w:val="nil"/>
              <w:bottom w:val="nil"/>
              <w:right w:val="nil"/>
            </w:tcBorders>
            <w:shd w:val="clear" w:color="auto" w:fill="auto"/>
            <w:noWrap/>
            <w:vAlign w:val="center"/>
            <w:hideMark/>
          </w:tcPr>
          <w:p w14:paraId="560E2C56"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525,3%</w:t>
            </w:r>
          </w:p>
        </w:tc>
        <w:tc>
          <w:tcPr>
            <w:tcW w:w="561" w:type="pct"/>
            <w:tcBorders>
              <w:top w:val="nil"/>
              <w:left w:val="nil"/>
              <w:bottom w:val="nil"/>
              <w:right w:val="nil"/>
            </w:tcBorders>
            <w:shd w:val="clear" w:color="auto" w:fill="auto"/>
            <w:noWrap/>
            <w:vAlign w:val="center"/>
            <w:hideMark/>
          </w:tcPr>
          <w:p w14:paraId="78C7BDE0"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100,0%</w:t>
            </w:r>
          </w:p>
        </w:tc>
      </w:tr>
      <w:tr w:rsidR="00D65A82" w:rsidRPr="00D65A82" w14:paraId="587FD626" w14:textId="77777777" w:rsidTr="003D7F9A">
        <w:trPr>
          <w:trHeight w:val="238"/>
        </w:trPr>
        <w:tc>
          <w:tcPr>
            <w:tcW w:w="2472" w:type="pct"/>
            <w:tcBorders>
              <w:top w:val="nil"/>
              <w:left w:val="nil"/>
              <w:bottom w:val="nil"/>
              <w:right w:val="nil"/>
            </w:tcBorders>
            <w:shd w:val="clear" w:color="auto" w:fill="auto"/>
            <w:noWrap/>
            <w:vAlign w:val="center"/>
            <w:hideMark/>
          </w:tcPr>
          <w:p w14:paraId="2F8ED884"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Tributos sobre Superávit de Previdência Privada</w:t>
            </w:r>
          </w:p>
        </w:tc>
        <w:tc>
          <w:tcPr>
            <w:tcW w:w="490" w:type="pct"/>
            <w:tcBorders>
              <w:top w:val="nil"/>
              <w:left w:val="nil"/>
              <w:bottom w:val="nil"/>
              <w:right w:val="nil"/>
            </w:tcBorders>
            <w:shd w:val="clear" w:color="auto" w:fill="auto"/>
            <w:noWrap/>
            <w:vAlign w:val="center"/>
            <w:hideMark/>
          </w:tcPr>
          <w:p w14:paraId="16150DBB"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19.614 </w:t>
            </w:r>
          </w:p>
        </w:tc>
        <w:tc>
          <w:tcPr>
            <w:tcW w:w="490" w:type="pct"/>
            <w:tcBorders>
              <w:top w:val="nil"/>
              <w:left w:val="nil"/>
              <w:bottom w:val="nil"/>
              <w:right w:val="nil"/>
            </w:tcBorders>
            <w:shd w:val="clear" w:color="auto" w:fill="auto"/>
            <w:noWrap/>
            <w:vAlign w:val="center"/>
            <w:hideMark/>
          </w:tcPr>
          <w:p w14:paraId="40BC873D"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3.137 </w:t>
            </w:r>
          </w:p>
        </w:tc>
        <w:tc>
          <w:tcPr>
            <w:tcW w:w="538" w:type="pct"/>
            <w:tcBorders>
              <w:top w:val="nil"/>
              <w:left w:val="nil"/>
              <w:bottom w:val="nil"/>
              <w:right w:val="nil"/>
            </w:tcBorders>
            <w:shd w:val="clear" w:color="auto" w:fill="auto"/>
            <w:noWrap/>
            <w:vAlign w:val="center"/>
            <w:hideMark/>
          </w:tcPr>
          <w:p w14:paraId="1B9D13DE"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       </w:t>
            </w:r>
          </w:p>
        </w:tc>
        <w:tc>
          <w:tcPr>
            <w:tcW w:w="449" w:type="pct"/>
            <w:tcBorders>
              <w:top w:val="nil"/>
              <w:left w:val="nil"/>
              <w:bottom w:val="nil"/>
              <w:right w:val="nil"/>
            </w:tcBorders>
            <w:shd w:val="clear" w:color="auto" w:fill="auto"/>
            <w:noWrap/>
            <w:vAlign w:val="center"/>
            <w:hideMark/>
          </w:tcPr>
          <w:p w14:paraId="740FE3EB"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525,2%</w:t>
            </w:r>
          </w:p>
        </w:tc>
        <w:tc>
          <w:tcPr>
            <w:tcW w:w="561" w:type="pct"/>
            <w:tcBorders>
              <w:top w:val="nil"/>
              <w:left w:val="nil"/>
              <w:bottom w:val="nil"/>
              <w:right w:val="nil"/>
            </w:tcBorders>
            <w:shd w:val="clear" w:color="auto" w:fill="auto"/>
            <w:noWrap/>
            <w:vAlign w:val="center"/>
            <w:hideMark/>
          </w:tcPr>
          <w:p w14:paraId="20A79806"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100,0%</w:t>
            </w:r>
          </w:p>
        </w:tc>
      </w:tr>
      <w:tr w:rsidR="00D65A82" w:rsidRPr="00D65A82" w14:paraId="61CBBF92" w14:textId="77777777" w:rsidTr="003D7F9A">
        <w:trPr>
          <w:trHeight w:val="238"/>
        </w:trPr>
        <w:tc>
          <w:tcPr>
            <w:tcW w:w="2472" w:type="pct"/>
            <w:tcBorders>
              <w:top w:val="nil"/>
              <w:left w:val="nil"/>
              <w:bottom w:val="nil"/>
              <w:right w:val="nil"/>
            </w:tcBorders>
            <w:shd w:val="clear" w:color="auto" w:fill="auto"/>
            <w:noWrap/>
            <w:vAlign w:val="center"/>
            <w:hideMark/>
          </w:tcPr>
          <w:p w14:paraId="3B4763F2"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Ganho na Baixa de Passivo</w:t>
            </w:r>
          </w:p>
        </w:tc>
        <w:tc>
          <w:tcPr>
            <w:tcW w:w="490" w:type="pct"/>
            <w:tcBorders>
              <w:top w:val="nil"/>
              <w:left w:val="nil"/>
              <w:bottom w:val="nil"/>
              <w:right w:val="nil"/>
            </w:tcBorders>
            <w:shd w:val="clear" w:color="auto" w:fill="auto"/>
            <w:noWrap/>
            <w:vAlign w:val="center"/>
            <w:hideMark/>
          </w:tcPr>
          <w:p w14:paraId="3CD20338"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(2.297)</w:t>
            </w:r>
          </w:p>
        </w:tc>
        <w:tc>
          <w:tcPr>
            <w:tcW w:w="490" w:type="pct"/>
            <w:tcBorders>
              <w:top w:val="nil"/>
              <w:left w:val="nil"/>
              <w:bottom w:val="nil"/>
              <w:right w:val="nil"/>
            </w:tcBorders>
            <w:shd w:val="clear" w:color="auto" w:fill="auto"/>
            <w:noWrap/>
            <w:vAlign w:val="center"/>
            <w:hideMark/>
          </w:tcPr>
          <w:p w14:paraId="5FD2600C"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(417)</w:t>
            </w:r>
          </w:p>
        </w:tc>
        <w:tc>
          <w:tcPr>
            <w:tcW w:w="538" w:type="pct"/>
            <w:tcBorders>
              <w:top w:val="nil"/>
              <w:left w:val="nil"/>
              <w:bottom w:val="nil"/>
              <w:right w:val="nil"/>
            </w:tcBorders>
            <w:shd w:val="clear" w:color="auto" w:fill="auto"/>
            <w:noWrap/>
            <w:vAlign w:val="center"/>
            <w:hideMark/>
          </w:tcPr>
          <w:p w14:paraId="24BB8AFF"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(474)</w:t>
            </w:r>
          </w:p>
        </w:tc>
        <w:tc>
          <w:tcPr>
            <w:tcW w:w="449" w:type="pct"/>
            <w:tcBorders>
              <w:top w:val="nil"/>
              <w:left w:val="nil"/>
              <w:bottom w:val="nil"/>
              <w:right w:val="nil"/>
            </w:tcBorders>
            <w:shd w:val="clear" w:color="auto" w:fill="auto"/>
            <w:noWrap/>
            <w:vAlign w:val="center"/>
            <w:hideMark/>
          </w:tcPr>
          <w:p w14:paraId="49D01BEC"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450,8%</w:t>
            </w:r>
          </w:p>
        </w:tc>
        <w:tc>
          <w:tcPr>
            <w:tcW w:w="561" w:type="pct"/>
            <w:tcBorders>
              <w:top w:val="nil"/>
              <w:left w:val="nil"/>
              <w:bottom w:val="nil"/>
              <w:right w:val="nil"/>
            </w:tcBorders>
            <w:shd w:val="clear" w:color="auto" w:fill="auto"/>
            <w:noWrap/>
            <w:vAlign w:val="center"/>
            <w:hideMark/>
          </w:tcPr>
          <w:p w14:paraId="4FCC0AEB"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384,6%</w:t>
            </w:r>
          </w:p>
        </w:tc>
      </w:tr>
      <w:tr w:rsidR="00D65A82" w:rsidRPr="00D65A82" w14:paraId="5E0DFF25" w14:textId="77777777" w:rsidTr="003D7F9A">
        <w:trPr>
          <w:trHeight w:val="238"/>
        </w:trPr>
        <w:tc>
          <w:tcPr>
            <w:tcW w:w="2472" w:type="pct"/>
            <w:tcBorders>
              <w:top w:val="nil"/>
              <w:left w:val="nil"/>
              <w:bottom w:val="nil"/>
              <w:right w:val="nil"/>
            </w:tcBorders>
            <w:shd w:val="clear" w:color="auto" w:fill="auto"/>
            <w:noWrap/>
            <w:vAlign w:val="center"/>
            <w:hideMark/>
          </w:tcPr>
          <w:p w14:paraId="60813AF3"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Baixa de Ativo Imobilizado</w:t>
            </w:r>
          </w:p>
        </w:tc>
        <w:tc>
          <w:tcPr>
            <w:tcW w:w="490" w:type="pct"/>
            <w:tcBorders>
              <w:top w:val="nil"/>
              <w:left w:val="nil"/>
              <w:bottom w:val="nil"/>
              <w:right w:val="nil"/>
            </w:tcBorders>
            <w:shd w:val="clear" w:color="auto" w:fill="auto"/>
            <w:noWrap/>
            <w:vAlign w:val="center"/>
            <w:hideMark/>
          </w:tcPr>
          <w:p w14:paraId="58BF603B"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2.666 </w:t>
            </w:r>
          </w:p>
        </w:tc>
        <w:tc>
          <w:tcPr>
            <w:tcW w:w="490" w:type="pct"/>
            <w:tcBorders>
              <w:top w:val="nil"/>
              <w:left w:val="nil"/>
              <w:bottom w:val="nil"/>
              <w:right w:val="nil"/>
            </w:tcBorders>
            <w:shd w:val="clear" w:color="auto" w:fill="auto"/>
            <w:noWrap/>
            <w:vAlign w:val="center"/>
            <w:hideMark/>
          </w:tcPr>
          <w:p w14:paraId="40DB9D1D"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383 </w:t>
            </w:r>
          </w:p>
        </w:tc>
        <w:tc>
          <w:tcPr>
            <w:tcW w:w="538" w:type="pct"/>
            <w:tcBorders>
              <w:top w:val="nil"/>
              <w:left w:val="nil"/>
              <w:bottom w:val="nil"/>
              <w:right w:val="nil"/>
            </w:tcBorders>
            <w:shd w:val="clear" w:color="auto" w:fill="auto"/>
            <w:noWrap/>
            <w:vAlign w:val="center"/>
            <w:hideMark/>
          </w:tcPr>
          <w:p w14:paraId="442727AB"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16.643 </w:t>
            </w:r>
          </w:p>
        </w:tc>
        <w:tc>
          <w:tcPr>
            <w:tcW w:w="449" w:type="pct"/>
            <w:tcBorders>
              <w:top w:val="nil"/>
              <w:left w:val="nil"/>
              <w:bottom w:val="nil"/>
              <w:right w:val="nil"/>
            </w:tcBorders>
            <w:shd w:val="clear" w:color="auto" w:fill="auto"/>
            <w:noWrap/>
            <w:vAlign w:val="center"/>
            <w:hideMark/>
          </w:tcPr>
          <w:p w14:paraId="2D29A590"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596,1%</w:t>
            </w:r>
          </w:p>
        </w:tc>
        <w:tc>
          <w:tcPr>
            <w:tcW w:w="561" w:type="pct"/>
            <w:tcBorders>
              <w:top w:val="nil"/>
              <w:left w:val="nil"/>
              <w:bottom w:val="nil"/>
              <w:right w:val="nil"/>
            </w:tcBorders>
            <w:shd w:val="clear" w:color="auto" w:fill="auto"/>
            <w:noWrap/>
            <w:vAlign w:val="center"/>
            <w:hideMark/>
          </w:tcPr>
          <w:p w14:paraId="31C14201"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-84,0%</w:t>
            </w:r>
          </w:p>
        </w:tc>
      </w:tr>
      <w:tr w:rsidR="00D65A82" w:rsidRPr="00D65A82" w14:paraId="29565499" w14:textId="77777777" w:rsidTr="003D7F9A">
        <w:trPr>
          <w:trHeight w:val="238"/>
        </w:trPr>
        <w:tc>
          <w:tcPr>
            <w:tcW w:w="2472" w:type="pct"/>
            <w:tcBorders>
              <w:top w:val="nil"/>
              <w:left w:val="nil"/>
              <w:bottom w:val="nil"/>
              <w:right w:val="nil"/>
            </w:tcBorders>
            <w:shd w:val="clear" w:color="auto" w:fill="auto"/>
            <w:noWrap/>
            <w:vAlign w:val="center"/>
            <w:hideMark/>
          </w:tcPr>
          <w:p w14:paraId="5A022607"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xml:space="preserve">(+) Baixa de Ativos - Tributos </w:t>
            </w:r>
          </w:p>
        </w:tc>
        <w:tc>
          <w:tcPr>
            <w:tcW w:w="490" w:type="pct"/>
            <w:tcBorders>
              <w:top w:val="nil"/>
              <w:left w:val="nil"/>
              <w:bottom w:val="nil"/>
              <w:right w:val="nil"/>
            </w:tcBorders>
            <w:shd w:val="clear" w:color="auto" w:fill="auto"/>
            <w:noWrap/>
            <w:vAlign w:val="center"/>
            <w:hideMark/>
          </w:tcPr>
          <w:p w14:paraId="1F79B07D"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2.963 </w:t>
            </w:r>
          </w:p>
        </w:tc>
        <w:tc>
          <w:tcPr>
            <w:tcW w:w="490" w:type="pct"/>
            <w:tcBorders>
              <w:top w:val="nil"/>
              <w:left w:val="nil"/>
              <w:bottom w:val="nil"/>
              <w:right w:val="nil"/>
            </w:tcBorders>
            <w:shd w:val="clear" w:color="auto" w:fill="auto"/>
            <w:noWrap/>
            <w:vAlign w:val="center"/>
            <w:hideMark/>
          </w:tcPr>
          <w:p w14:paraId="1A746C00"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7.183 </w:t>
            </w:r>
          </w:p>
        </w:tc>
        <w:tc>
          <w:tcPr>
            <w:tcW w:w="538" w:type="pct"/>
            <w:tcBorders>
              <w:top w:val="nil"/>
              <w:left w:val="nil"/>
              <w:bottom w:val="nil"/>
              <w:right w:val="nil"/>
            </w:tcBorders>
            <w:shd w:val="clear" w:color="auto" w:fill="auto"/>
            <w:noWrap/>
            <w:vAlign w:val="center"/>
            <w:hideMark/>
          </w:tcPr>
          <w:p w14:paraId="7F600580"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    </w:t>
            </w:r>
          </w:p>
        </w:tc>
        <w:tc>
          <w:tcPr>
            <w:tcW w:w="449" w:type="pct"/>
            <w:tcBorders>
              <w:top w:val="nil"/>
              <w:left w:val="nil"/>
              <w:bottom w:val="nil"/>
              <w:right w:val="nil"/>
            </w:tcBorders>
            <w:shd w:val="clear" w:color="auto" w:fill="auto"/>
            <w:noWrap/>
            <w:vAlign w:val="center"/>
            <w:hideMark/>
          </w:tcPr>
          <w:p w14:paraId="21C006F9"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-58,7%</w:t>
            </w:r>
          </w:p>
        </w:tc>
        <w:tc>
          <w:tcPr>
            <w:tcW w:w="561" w:type="pct"/>
            <w:tcBorders>
              <w:top w:val="nil"/>
              <w:left w:val="nil"/>
              <w:bottom w:val="nil"/>
              <w:right w:val="nil"/>
            </w:tcBorders>
            <w:shd w:val="clear" w:color="auto" w:fill="auto"/>
            <w:noWrap/>
            <w:vAlign w:val="center"/>
            <w:hideMark/>
          </w:tcPr>
          <w:p w14:paraId="5ED84184"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100,0%</w:t>
            </w:r>
          </w:p>
        </w:tc>
      </w:tr>
      <w:tr w:rsidR="00D65A82" w:rsidRPr="00D65A82" w14:paraId="16B589AF" w14:textId="77777777" w:rsidTr="003D7F9A">
        <w:trPr>
          <w:trHeight w:val="238"/>
        </w:trPr>
        <w:tc>
          <w:tcPr>
            <w:tcW w:w="2472" w:type="pct"/>
            <w:tcBorders>
              <w:top w:val="nil"/>
              <w:left w:val="nil"/>
              <w:bottom w:val="nil"/>
              <w:right w:val="nil"/>
            </w:tcBorders>
            <w:shd w:val="clear" w:color="auto" w:fill="auto"/>
            <w:noWrap/>
            <w:vAlign w:val="center"/>
            <w:hideMark/>
          </w:tcPr>
          <w:p w14:paraId="6FF83DC8"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Multas Contratuais - Dataprev</w:t>
            </w:r>
          </w:p>
        </w:tc>
        <w:tc>
          <w:tcPr>
            <w:tcW w:w="490" w:type="pct"/>
            <w:tcBorders>
              <w:top w:val="nil"/>
              <w:left w:val="nil"/>
              <w:bottom w:val="nil"/>
              <w:right w:val="nil"/>
            </w:tcBorders>
            <w:shd w:val="clear" w:color="auto" w:fill="auto"/>
            <w:noWrap/>
            <w:vAlign w:val="center"/>
            <w:hideMark/>
          </w:tcPr>
          <w:p w14:paraId="21671772"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3.568 </w:t>
            </w:r>
          </w:p>
        </w:tc>
        <w:tc>
          <w:tcPr>
            <w:tcW w:w="490" w:type="pct"/>
            <w:tcBorders>
              <w:top w:val="nil"/>
              <w:left w:val="nil"/>
              <w:bottom w:val="nil"/>
              <w:right w:val="nil"/>
            </w:tcBorders>
            <w:shd w:val="clear" w:color="auto" w:fill="auto"/>
            <w:noWrap/>
            <w:vAlign w:val="center"/>
            <w:hideMark/>
          </w:tcPr>
          <w:p w14:paraId="0AFB3893"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39.352 </w:t>
            </w:r>
          </w:p>
        </w:tc>
        <w:tc>
          <w:tcPr>
            <w:tcW w:w="538" w:type="pct"/>
            <w:tcBorders>
              <w:top w:val="nil"/>
              <w:left w:val="nil"/>
              <w:bottom w:val="nil"/>
              <w:right w:val="nil"/>
            </w:tcBorders>
            <w:shd w:val="clear" w:color="auto" w:fill="auto"/>
            <w:noWrap/>
            <w:vAlign w:val="center"/>
            <w:hideMark/>
          </w:tcPr>
          <w:p w14:paraId="62B60FCE"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       </w:t>
            </w:r>
          </w:p>
        </w:tc>
        <w:tc>
          <w:tcPr>
            <w:tcW w:w="449" w:type="pct"/>
            <w:tcBorders>
              <w:top w:val="nil"/>
              <w:left w:val="nil"/>
              <w:bottom w:val="nil"/>
              <w:right w:val="nil"/>
            </w:tcBorders>
            <w:shd w:val="clear" w:color="auto" w:fill="auto"/>
            <w:noWrap/>
            <w:vAlign w:val="center"/>
            <w:hideMark/>
          </w:tcPr>
          <w:p w14:paraId="7D8938B6"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-90,9%</w:t>
            </w:r>
          </w:p>
        </w:tc>
        <w:tc>
          <w:tcPr>
            <w:tcW w:w="561" w:type="pct"/>
            <w:tcBorders>
              <w:top w:val="nil"/>
              <w:left w:val="nil"/>
              <w:bottom w:val="nil"/>
              <w:right w:val="nil"/>
            </w:tcBorders>
            <w:shd w:val="clear" w:color="auto" w:fill="auto"/>
            <w:noWrap/>
            <w:vAlign w:val="center"/>
            <w:hideMark/>
          </w:tcPr>
          <w:p w14:paraId="14518705"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100,0%</w:t>
            </w:r>
          </w:p>
        </w:tc>
      </w:tr>
      <w:tr w:rsidR="00D65A82" w:rsidRPr="00D65A82" w14:paraId="729B5ADE" w14:textId="77777777" w:rsidTr="003D7F9A">
        <w:trPr>
          <w:trHeight w:val="238"/>
        </w:trPr>
        <w:tc>
          <w:tcPr>
            <w:tcW w:w="2472" w:type="pct"/>
            <w:tcBorders>
              <w:top w:val="single" w:sz="8" w:space="0" w:color="9BC2E6"/>
              <w:left w:val="nil"/>
              <w:bottom w:val="single" w:sz="8" w:space="0" w:color="9BC2E6"/>
              <w:right w:val="nil"/>
            </w:tcBorders>
            <w:shd w:val="clear" w:color="auto" w:fill="auto"/>
            <w:noWrap/>
            <w:vAlign w:val="center"/>
            <w:hideMark/>
          </w:tcPr>
          <w:p w14:paraId="4D6FC143"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Prejuízo do Exercício Ajustado</w:t>
            </w:r>
          </w:p>
        </w:tc>
        <w:tc>
          <w:tcPr>
            <w:tcW w:w="490" w:type="pct"/>
            <w:tcBorders>
              <w:top w:val="single" w:sz="8" w:space="0" w:color="9BC2E6"/>
              <w:left w:val="nil"/>
              <w:bottom w:val="single" w:sz="8" w:space="0" w:color="9BC2E6"/>
              <w:right w:val="nil"/>
            </w:tcBorders>
            <w:shd w:val="clear" w:color="auto" w:fill="auto"/>
            <w:noWrap/>
            <w:vAlign w:val="center"/>
            <w:hideMark/>
          </w:tcPr>
          <w:p w14:paraId="5355F424"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(252.096)</w:t>
            </w:r>
          </w:p>
        </w:tc>
        <w:tc>
          <w:tcPr>
            <w:tcW w:w="490" w:type="pct"/>
            <w:tcBorders>
              <w:top w:val="single" w:sz="8" w:space="0" w:color="9BC2E6"/>
              <w:left w:val="nil"/>
              <w:bottom w:val="single" w:sz="8" w:space="0" w:color="9BC2E6"/>
              <w:right w:val="nil"/>
            </w:tcBorders>
            <w:shd w:val="clear" w:color="auto" w:fill="auto"/>
            <w:noWrap/>
            <w:vAlign w:val="center"/>
            <w:hideMark/>
          </w:tcPr>
          <w:p w14:paraId="2383E9E3"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(111.631)</w:t>
            </w:r>
          </w:p>
        </w:tc>
        <w:tc>
          <w:tcPr>
            <w:tcW w:w="538" w:type="pct"/>
            <w:tcBorders>
              <w:top w:val="single" w:sz="8" w:space="0" w:color="9BC2E6"/>
              <w:left w:val="nil"/>
              <w:bottom w:val="single" w:sz="8" w:space="0" w:color="9BC2E6"/>
              <w:right w:val="nil"/>
            </w:tcBorders>
            <w:shd w:val="clear" w:color="auto" w:fill="auto"/>
            <w:noWrap/>
            <w:vAlign w:val="center"/>
            <w:hideMark/>
          </w:tcPr>
          <w:p w14:paraId="16B07705"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(152.290)</w:t>
            </w:r>
          </w:p>
        </w:tc>
        <w:tc>
          <w:tcPr>
            <w:tcW w:w="449" w:type="pct"/>
            <w:tcBorders>
              <w:top w:val="single" w:sz="8" w:space="0" w:color="9BC2E6"/>
              <w:left w:val="nil"/>
              <w:bottom w:val="single" w:sz="8" w:space="0" w:color="9BC2E6"/>
              <w:right w:val="nil"/>
            </w:tcBorders>
            <w:shd w:val="clear" w:color="auto" w:fill="auto"/>
            <w:noWrap/>
            <w:vAlign w:val="center"/>
            <w:hideMark/>
          </w:tcPr>
          <w:p w14:paraId="0AD2AE39"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125,8%</w:t>
            </w:r>
          </w:p>
        </w:tc>
        <w:tc>
          <w:tcPr>
            <w:tcW w:w="561" w:type="pct"/>
            <w:tcBorders>
              <w:top w:val="single" w:sz="8" w:space="0" w:color="9BC2E6"/>
              <w:left w:val="nil"/>
              <w:bottom w:val="single" w:sz="8" w:space="0" w:color="9BC2E6"/>
              <w:right w:val="nil"/>
            </w:tcBorders>
            <w:shd w:val="clear" w:color="auto" w:fill="auto"/>
            <w:noWrap/>
            <w:vAlign w:val="center"/>
            <w:hideMark/>
          </w:tcPr>
          <w:p w14:paraId="4F72650C"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65,5%</w:t>
            </w:r>
          </w:p>
        </w:tc>
      </w:tr>
      <w:tr w:rsidR="00D65A82" w:rsidRPr="00D65A82" w14:paraId="1B7D6DBB" w14:textId="77777777" w:rsidTr="003D7F9A">
        <w:trPr>
          <w:trHeight w:val="238"/>
        </w:trPr>
        <w:tc>
          <w:tcPr>
            <w:tcW w:w="2472" w:type="pct"/>
            <w:tcBorders>
              <w:top w:val="nil"/>
              <w:left w:val="nil"/>
              <w:bottom w:val="single" w:sz="8" w:space="0" w:color="9BC2E6"/>
              <w:right w:val="nil"/>
            </w:tcBorders>
            <w:shd w:val="clear" w:color="auto" w:fill="auto"/>
            <w:noWrap/>
            <w:vAlign w:val="center"/>
            <w:hideMark/>
          </w:tcPr>
          <w:p w14:paraId="4CF9EADD"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Margem Líquida</w:t>
            </w:r>
          </w:p>
        </w:tc>
        <w:tc>
          <w:tcPr>
            <w:tcW w:w="490" w:type="pct"/>
            <w:tcBorders>
              <w:top w:val="nil"/>
              <w:left w:val="nil"/>
              <w:bottom w:val="single" w:sz="8" w:space="0" w:color="9BC2E6"/>
              <w:right w:val="nil"/>
            </w:tcBorders>
            <w:shd w:val="clear" w:color="auto" w:fill="auto"/>
            <w:noWrap/>
            <w:vAlign w:val="center"/>
            <w:hideMark/>
          </w:tcPr>
          <w:p w14:paraId="2AB3EFA3"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-60,80%</w:t>
            </w:r>
          </w:p>
        </w:tc>
        <w:tc>
          <w:tcPr>
            <w:tcW w:w="490" w:type="pct"/>
            <w:tcBorders>
              <w:top w:val="nil"/>
              <w:left w:val="nil"/>
              <w:bottom w:val="single" w:sz="8" w:space="0" w:color="9BC2E6"/>
              <w:right w:val="nil"/>
            </w:tcBorders>
            <w:shd w:val="clear" w:color="auto" w:fill="auto"/>
            <w:noWrap/>
            <w:vAlign w:val="center"/>
            <w:hideMark/>
          </w:tcPr>
          <w:p w14:paraId="53FD0167"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-26,80%</w:t>
            </w:r>
          </w:p>
        </w:tc>
        <w:tc>
          <w:tcPr>
            <w:tcW w:w="538" w:type="pct"/>
            <w:tcBorders>
              <w:top w:val="nil"/>
              <w:left w:val="nil"/>
              <w:bottom w:val="single" w:sz="8" w:space="0" w:color="9BC2E6"/>
              <w:right w:val="nil"/>
            </w:tcBorders>
            <w:shd w:val="clear" w:color="auto" w:fill="auto"/>
            <w:noWrap/>
            <w:vAlign w:val="center"/>
            <w:hideMark/>
          </w:tcPr>
          <w:p w14:paraId="2C2BA74F"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-43,80%</w:t>
            </w:r>
          </w:p>
        </w:tc>
        <w:tc>
          <w:tcPr>
            <w:tcW w:w="449" w:type="pct"/>
            <w:tcBorders>
              <w:top w:val="nil"/>
              <w:left w:val="nil"/>
              <w:bottom w:val="single" w:sz="8" w:space="0" w:color="9BC2E6"/>
              <w:right w:val="nil"/>
            </w:tcBorders>
            <w:shd w:val="clear" w:color="auto" w:fill="auto"/>
            <w:noWrap/>
            <w:vAlign w:val="center"/>
            <w:hideMark/>
          </w:tcPr>
          <w:p w14:paraId="21BE41D7"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126,9%</w:t>
            </w:r>
          </w:p>
        </w:tc>
        <w:tc>
          <w:tcPr>
            <w:tcW w:w="561" w:type="pct"/>
            <w:tcBorders>
              <w:top w:val="nil"/>
              <w:left w:val="nil"/>
              <w:bottom w:val="single" w:sz="8" w:space="0" w:color="9BC2E6"/>
              <w:right w:val="nil"/>
            </w:tcBorders>
            <w:shd w:val="clear" w:color="auto" w:fill="auto"/>
            <w:noWrap/>
            <w:vAlign w:val="center"/>
            <w:hideMark/>
          </w:tcPr>
          <w:p w14:paraId="1AF09B2A"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38,8%</w:t>
            </w:r>
          </w:p>
        </w:tc>
      </w:tr>
      <w:tr w:rsidR="00D65A82" w:rsidRPr="00D65A82" w14:paraId="7359FFFD" w14:textId="77777777" w:rsidTr="003D7F9A">
        <w:trPr>
          <w:trHeight w:val="238"/>
        </w:trPr>
        <w:tc>
          <w:tcPr>
            <w:tcW w:w="2472" w:type="pct"/>
            <w:tcBorders>
              <w:top w:val="nil"/>
              <w:left w:val="nil"/>
              <w:bottom w:val="single" w:sz="8" w:space="0" w:color="9BC2E6"/>
              <w:right w:val="nil"/>
            </w:tcBorders>
            <w:shd w:val="clear" w:color="auto" w:fill="auto"/>
            <w:noWrap/>
            <w:vAlign w:val="center"/>
            <w:hideMark/>
          </w:tcPr>
          <w:p w14:paraId="35E75FBF"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Prejuízo por Ação (R$)</w:t>
            </w:r>
          </w:p>
        </w:tc>
        <w:tc>
          <w:tcPr>
            <w:tcW w:w="490" w:type="pct"/>
            <w:tcBorders>
              <w:top w:val="nil"/>
              <w:left w:val="nil"/>
              <w:bottom w:val="single" w:sz="8" w:space="0" w:color="9BC2E6"/>
              <w:right w:val="nil"/>
            </w:tcBorders>
            <w:shd w:val="clear" w:color="auto" w:fill="auto"/>
            <w:noWrap/>
            <w:vAlign w:val="center"/>
            <w:hideMark/>
          </w:tcPr>
          <w:p w14:paraId="085100CD"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-2,9184</w:t>
            </w:r>
          </w:p>
        </w:tc>
        <w:tc>
          <w:tcPr>
            <w:tcW w:w="490" w:type="pct"/>
            <w:tcBorders>
              <w:top w:val="nil"/>
              <w:left w:val="nil"/>
              <w:bottom w:val="single" w:sz="8" w:space="0" w:color="9BC2E6"/>
              <w:right w:val="nil"/>
            </w:tcBorders>
            <w:shd w:val="clear" w:color="auto" w:fill="auto"/>
            <w:noWrap/>
            <w:vAlign w:val="center"/>
            <w:hideMark/>
          </w:tcPr>
          <w:p w14:paraId="269866DB"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-1,2923</w:t>
            </w:r>
          </w:p>
        </w:tc>
        <w:tc>
          <w:tcPr>
            <w:tcW w:w="538" w:type="pct"/>
            <w:tcBorders>
              <w:top w:val="nil"/>
              <w:left w:val="nil"/>
              <w:bottom w:val="single" w:sz="8" w:space="0" w:color="9BC2E6"/>
              <w:right w:val="nil"/>
            </w:tcBorders>
            <w:shd w:val="clear" w:color="auto" w:fill="auto"/>
            <w:noWrap/>
            <w:vAlign w:val="center"/>
            <w:hideMark/>
          </w:tcPr>
          <w:p w14:paraId="3FAEA3BE"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-1,7629</w:t>
            </w:r>
          </w:p>
        </w:tc>
        <w:tc>
          <w:tcPr>
            <w:tcW w:w="449" w:type="pct"/>
            <w:tcBorders>
              <w:top w:val="nil"/>
              <w:left w:val="nil"/>
              <w:bottom w:val="single" w:sz="8" w:space="0" w:color="9BC2E6"/>
              <w:right w:val="nil"/>
            </w:tcBorders>
            <w:shd w:val="clear" w:color="auto" w:fill="auto"/>
            <w:noWrap/>
            <w:vAlign w:val="center"/>
            <w:hideMark/>
          </w:tcPr>
          <w:p w14:paraId="29CC951A"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125,8%</w:t>
            </w:r>
          </w:p>
        </w:tc>
        <w:tc>
          <w:tcPr>
            <w:tcW w:w="561" w:type="pct"/>
            <w:tcBorders>
              <w:top w:val="nil"/>
              <w:left w:val="nil"/>
              <w:bottom w:val="single" w:sz="8" w:space="0" w:color="9BC2E6"/>
              <w:right w:val="nil"/>
            </w:tcBorders>
            <w:shd w:val="clear" w:color="auto" w:fill="auto"/>
            <w:noWrap/>
            <w:vAlign w:val="center"/>
            <w:hideMark/>
          </w:tcPr>
          <w:p w14:paraId="2880E18F"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65,5%</w:t>
            </w:r>
          </w:p>
        </w:tc>
      </w:tr>
    </w:tbl>
    <w:p w14:paraId="43F62E44" w14:textId="0E07184B" w:rsidR="00D65A82" w:rsidRPr="00D65A82" w:rsidRDefault="00D65A82" w:rsidP="00D65A82">
      <w:pPr>
        <w:spacing w:after="0" w:line="240" w:lineRule="auto"/>
        <w:rPr>
          <w:rFonts w:eastAsia="Arial"/>
          <w:sz w:val="22"/>
        </w:rPr>
      </w:pPr>
      <w:r w:rsidRPr="00D65A82">
        <w:rPr>
          <w:rFonts w:eastAsia="Arial"/>
          <w:sz w:val="22"/>
        </w:rPr>
        <w:t>Em 2024,</w:t>
      </w:r>
      <w:r>
        <w:rPr>
          <w:rFonts w:eastAsia="Arial"/>
          <w:sz w:val="22"/>
        </w:rPr>
        <w:t xml:space="preserve"> </w:t>
      </w:r>
      <w:r w:rsidRPr="00D65A82">
        <w:rPr>
          <w:rFonts w:eastAsia="Arial"/>
          <w:sz w:val="22"/>
        </w:rPr>
        <w:t>a Companhia teve um Prejuízo Líquido Ajustado de R$ 252,1 milhões (R$ 111,6 milhões em 2022 e R$ 152,3 milhões em 2022), aumento de 125,8% e 65,5%, respectivamente. O crescimento do Prejuízo está diretamente relacionado aos seguintes eventos: i) redução dos recebimentos das Subvenções Orçamentárias; ii) aumentos dos Custos e Despesas Operacionais; iii) aumento do Resultado Financeiro negativo, devido principalmente à queda da receita de aplicações financeiras; e iv) aumento da Depreciação e Amortização.</w:t>
      </w:r>
    </w:p>
    <w:p w14:paraId="32A0A6D7" w14:textId="01D45007" w:rsidR="003E0246" w:rsidRPr="00D44CF4" w:rsidRDefault="009323E1" w:rsidP="003E0246">
      <w:pPr>
        <w:spacing w:after="0" w:line="240" w:lineRule="auto"/>
        <w:rPr>
          <w:rFonts w:eastAsia="Arial"/>
          <w:sz w:val="22"/>
        </w:rPr>
      </w:pPr>
      <w:r w:rsidRPr="00D44CF4">
        <w:rPr>
          <w:rFonts w:eastAsia="Arial"/>
          <w:sz w:val="22"/>
        </w:rPr>
        <w:t xml:space="preserve"> </w:t>
      </w:r>
    </w:p>
    <w:p w14:paraId="5F8FFB0B" w14:textId="2765A96F" w:rsidR="003E0246" w:rsidRPr="00D44CF4" w:rsidRDefault="003E0246" w:rsidP="00087F48">
      <w:pPr>
        <w:pStyle w:val="Ttulo3"/>
        <w:ind w:left="709" w:hanging="709"/>
      </w:pPr>
      <w:bookmarkStart w:id="20" w:name="_Toc191641874"/>
      <w:r w:rsidRPr="00D44CF4">
        <w:t>EBITDA/LAJIDA</w:t>
      </w:r>
      <w:bookmarkEnd w:id="20"/>
      <w:r w:rsidRPr="00D44CF4">
        <w:t xml:space="preserve"> </w:t>
      </w:r>
    </w:p>
    <w:tbl>
      <w:tblPr>
        <w:tblW w:w="5000" w:type="pct"/>
        <w:tblCellMar>
          <w:left w:w="70" w:type="dxa"/>
          <w:right w:w="70" w:type="dxa"/>
        </w:tblCellMar>
        <w:tblLook w:val="04A0" w:firstRow="1" w:lastRow="0" w:firstColumn="1" w:lastColumn="0" w:noHBand="0" w:noVBand="1"/>
      </w:tblPr>
      <w:tblGrid>
        <w:gridCol w:w="3909"/>
        <w:gridCol w:w="1093"/>
        <w:gridCol w:w="1093"/>
        <w:gridCol w:w="1092"/>
        <w:gridCol w:w="943"/>
        <w:gridCol w:w="942"/>
      </w:tblGrid>
      <w:tr w:rsidR="00D65A82" w:rsidRPr="00D65A82" w14:paraId="4FC55850" w14:textId="77777777" w:rsidTr="00505643">
        <w:trPr>
          <w:trHeight w:val="238"/>
        </w:trPr>
        <w:tc>
          <w:tcPr>
            <w:tcW w:w="2154" w:type="pct"/>
            <w:tcBorders>
              <w:top w:val="single" w:sz="8" w:space="0" w:color="8EA9DB"/>
              <w:left w:val="nil"/>
              <w:bottom w:val="single" w:sz="8" w:space="0" w:color="8EA9DB"/>
              <w:right w:val="nil"/>
            </w:tcBorders>
            <w:shd w:val="clear" w:color="auto" w:fill="auto"/>
            <w:noWrap/>
            <w:vAlign w:val="center"/>
            <w:hideMark/>
          </w:tcPr>
          <w:p w14:paraId="4E30AC9D" w14:textId="77777777" w:rsidR="00D65A82" w:rsidRPr="00D65A82" w:rsidRDefault="00D65A82" w:rsidP="00D65A82">
            <w:pPr>
              <w:tabs>
                <w:tab w:val="clear" w:pos="851"/>
              </w:tabs>
              <w:spacing w:before="0" w:after="0" w:line="240" w:lineRule="auto"/>
              <w:jc w:val="left"/>
              <w:rPr>
                <w:rFonts w:ascii="Arial" w:hAnsi="Arial" w:cs="Arial"/>
                <w:b/>
                <w:bCs/>
                <w:color w:val="2F75B5"/>
                <w:sz w:val="16"/>
                <w:szCs w:val="16"/>
                <w:lang w:eastAsia="pt-BR"/>
              </w:rPr>
            </w:pPr>
            <w:r w:rsidRPr="00D65A82">
              <w:rPr>
                <w:rFonts w:ascii="Arial" w:hAnsi="Arial" w:cs="Arial"/>
                <w:b/>
                <w:bCs/>
                <w:color w:val="2F75B5"/>
                <w:sz w:val="16"/>
                <w:szCs w:val="16"/>
                <w:lang w:eastAsia="pt-BR"/>
              </w:rPr>
              <w:t>R$ mil</w:t>
            </w:r>
          </w:p>
        </w:tc>
        <w:tc>
          <w:tcPr>
            <w:tcW w:w="602" w:type="pct"/>
            <w:tcBorders>
              <w:top w:val="single" w:sz="8" w:space="0" w:color="8EA9DB"/>
              <w:left w:val="nil"/>
              <w:bottom w:val="single" w:sz="8" w:space="0" w:color="8EA9DB"/>
              <w:right w:val="nil"/>
            </w:tcBorders>
            <w:shd w:val="clear" w:color="000000" w:fill="FFFFFF"/>
            <w:noWrap/>
            <w:vAlign w:val="center"/>
            <w:hideMark/>
          </w:tcPr>
          <w:p w14:paraId="3C5AF35A"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2024</w:t>
            </w:r>
          </w:p>
        </w:tc>
        <w:tc>
          <w:tcPr>
            <w:tcW w:w="602" w:type="pct"/>
            <w:tcBorders>
              <w:top w:val="single" w:sz="8" w:space="0" w:color="8EA9DB"/>
              <w:left w:val="nil"/>
              <w:bottom w:val="single" w:sz="8" w:space="0" w:color="8EA9DB"/>
              <w:right w:val="nil"/>
            </w:tcBorders>
            <w:shd w:val="clear" w:color="000000" w:fill="FFFFFF"/>
            <w:noWrap/>
            <w:vAlign w:val="center"/>
            <w:hideMark/>
          </w:tcPr>
          <w:p w14:paraId="0836A841"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2023</w:t>
            </w:r>
          </w:p>
        </w:tc>
        <w:tc>
          <w:tcPr>
            <w:tcW w:w="602" w:type="pct"/>
            <w:tcBorders>
              <w:top w:val="single" w:sz="8" w:space="0" w:color="8EA9DB"/>
              <w:left w:val="nil"/>
              <w:bottom w:val="single" w:sz="8" w:space="0" w:color="8EA9DB"/>
              <w:right w:val="nil"/>
            </w:tcBorders>
            <w:shd w:val="clear" w:color="000000" w:fill="FFFFFF"/>
            <w:noWrap/>
            <w:vAlign w:val="center"/>
            <w:hideMark/>
          </w:tcPr>
          <w:p w14:paraId="33E16FF3"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2022</w:t>
            </w:r>
          </w:p>
        </w:tc>
        <w:tc>
          <w:tcPr>
            <w:tcW w:w="520" w:type="pct"/>
            <w:tcBorders>
              <w:top w:val="single" w:sz="8" w:space="0" w:color="9BC2E6"/>
              <w:left w:val="nil"/>
              <w:bottom w:val="single" w:sz="8" w:space="0" w:color="9BC2E6"/>
              <w:right w:val="nil"/>
            </w:tcBorders>
            <w:shd w:val="clear" w:color="000000" w:fill="FFFFFF"/>
            <w:vAlign w:val="center"/>
            <w:hideMark/>
          </w:tcPr>
          <w:p w14:paraId="6A9088CE"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Δ 2024 X 2023</w:t>
            </w:r>
          </w:p>
        </w:tc>
        <w:tc>
          <w:tcPr>
            <w:tcW w:w="519" w:type="pct"/>
            <w:tcBorders>
              <w:top w:val="single" w:sz="8" w:space="0" w:color="9BC2E6"/>
              <w:left w:val="nil"/>
              <w:bottom w:val="single" w:sz="8" w:space="0" w:color="9BC2E6"/>
              <w:right w:val="nil"/>
            </w:tcBorders>
            <w:shd w:val="clear" w:color="000000" w:fill="FFFFFF"/>
            <w:vAlign w:val="center"/>
            <w:hideMark/>
          </w:tcPr>
          <w:p w14:paraId="45DD2446" w14:textId="77777777" w:rsidR="00D65A82" w:rsidRPr="00D65A82" w:rsidRDefault="00D65A82" w:rsidP="00D65A82">
            <w:pPr>
              <w:tabs>
                <w:tab w:val="clear" w:pos="851"/>
              </w:tabs>
              <w:spacing w:before="0" w:after="0" w:line="240" w:lineRule="auto"/>
              <w:jc w:val="center"/>
              <w:rPr>
                <w:rFonts w:ascii="Arial" w:hAnsi="Arial" w:cs="Arial"/>
                <w:b/>
                <w:bCs/>
                <w:color w:val="2F75B5"/>
                <w:sz w:val="16"/>
                <w:szCs w:val="16"/>
                <w:lang w:eastAsia="pt-BR"/>
              </w:rPr>
            </w:pPr>
            <w:r w:rsidRPr="00D65A82">
              <w:rPr>
                <w:rFonts w:ascii="Arial" w:hAnsi="Arial" w:cs="Arial"/>
                <w:b/>
                <w:bCs/>
                <w:color w:val="2F75B5"/>
                <w:sz w:val="16"/>
                <w:szCs w:val="16"/>
                <w:lang w:eastAsia="pt-BR"/>
              </w:rPr>
              <w:t>Δ 2024 X 2022</w:t>
            </w:r>
          </w:p>
        </w:tc>
      </w:tr>
      <w:tr w:rsidR="00D65A82" w:rsidRPr="00D65A82" w14:paraId="523E5F85" w14:textId="77777777" w:rsidTr="00505643">
        <w:trPr>
          <w:trHeight w:val="238"/>
        </w:trPr>
        <w:tc>
          <w:tcPr>
            <w:tcW w:w="2154" w:type="pct"/>
            <w:tcBorders>
              <w:top w:val="nil"/>
              <w:left w:val="nil"/>
              <w:bottom w:val="nil"/>
              <w:right w:val="nil"/>
            </w:tcBorders>
            <w:shd w:val="clear" w:color="auto" w:fill="auto"/>
            <w:noWrap/>
            <w:vAlign w:val="center"/>
            <w:hideMark/>
          </w:tcPr>
          <w:p w14:paraId="60D9C875"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Prejuízo Líquido do Exercício</w:t>
            </w:r>
          </w:p>
        </w:tc>
        <w:tc>
          <w:tcPr>
            <w:tcW w:w="602" w:type="pct"/>
            <w:tcBorders>
              <w:top w:val="nil"/>
              <w:left w:val="nil"/>
              <w:bottom w:val="nil"/>
              <w:right w:val="nil"/>
            </w:tcBorders>
            <w:shd w:val="clear" w:color="auto" w:fill="auto"/>
            <w:noWrap/>
            <w:vAlign w:val="center"/>
            <w:hideMark/>
          </w:tcPr>
          <w:p w14:paraId="1DEC10B7"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(66.572)</w:t>
            </w:r>
          </w:p>
        </w:tc>
        <w:tc>
          <w:tcPr>
            <w:tcW w:w="602" w:type="pct"/>
            <w:tcBorders>
              <w:top w:val="nil"/>
              <w:left w:val="nil"/>
              <w:bottom w:val="nil"/>
              <w:right w:val="nil"/>
            </w:tcBorders>
            <w:shd w:val="clear" w:color="auto" w:fill="auto"/>
            <w:noWrap/>
            <w:vAlign w:val="center"/>
            <w:hideMark/>
          </w:tcPr>
          <w:p w14:paraId="0449F8A7"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(127.357)</w:t>
            </w:r>
          </w:p>
        </w:tc>
        <w:tc>
          <w:tcPr>
            <w:tcW w:w="602" w:type="pct"/>
            <w:tcBorders>
              <w:top w:val="nil"/>
              <w:left w:val="nil"/>
              <w:bottom w:val="nil"/>
              <w:right w:val="nil"/>
            </w:tcBorders>
            <w:shd w:val="clear" w:color="auto" w:fill="auto"/>
            <w:noWrap/>
            <w:vAlign w:val="center"/>
            <w:hideMark/>
          </w:tcPr>
          <w:p w14:paraId="24D4CCAD"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(168.459)</w:t>
            </w:r>
          </w:p>
        </w:tc>
        <w:tc>
          <w:tcPr>
            <w:tcW w:w="520" w:type="pct"/>
            <w:tcBorders>
              <w:top w:val="nil"/>
              <w:left w:val="nil"/>
              <w:bottom w:val="nil"/>
              <w:right w:val="nil"/>
            </w:tcBorders>
            <w:shd w:val="clear" w:color="auto" w:fill="auto"/>
            <w:noWrap/>
            <w:vAlign w:val="center"/>
            <w:hideMark/>
          </w:tcPr>
          <w:p w14:paraId="12BCD08F"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-47,7%</w:t>
            </w:r>
          </w:p>
        </w:tc>
        <w:tc>
          <w:tcPr>
            <w:tcW w:w="519" w:type="pct"/>
            <w:tcBorders>
              <w:top w:val="nil"/>
              <w:left w:val="nil"/>
              <w:bottom w:val="nil"/>
              <w:right w:val="nil"/>
            </w:tcBorders>
            <w:shd w:val="clear" w:color="auto" w:fill="auto"/>
            <w:noWrap/>
            <w:vAlign w:val="center"/>
            <w:hideMark/>
          </w:tcPr>
          <w:p w14:paraId="7099AAE7"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-60,5%</w:t>
            </w:r>
          </w:p>
        </w:tc>
      </w:tr>
      <w:tr w:rsidR="00D65A82" w:rsidRPr="00D65A82" w14:paraId="01CEF9B9" w14:textId="77777777" w:rsidTr="00505643">
        <w:trPr>
          <w:trHeight w:val="238"/>
        </w:trPr>
        <w:tc>
          <w:tcPr>
            <w:tcW w:w="2154" w:type="pct"/>
            <w:tcBorders>
              <w:top w:val="nil"/>
              <w:left w:val="nil"/>
              <w:bottom w:val="nil"/>
              <w:right w:val="nil"/>
            </w:tcBorders>
            <w:shd w:val="clear" w:color="auto" w:fill="auto"/>
            <w:noWrap/>
            <w:vAlign w:val="center"/>
            <w:hideMark/>
          </w:tcPr>
          <w:p w14:paraId="3DE3580B"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Resultado Financeiro</w:t>
            </w:r>
          </w:p>
        </w:tc>
        <w:tc>
          <w:tcPr>
            <w:tcW w:w="602" w:type="pct"/>
            <w:tcBorders>
              <w:top w:val="nil"/>
              <w:left w:val="nil"/>
              <w:bottom w:val="nil"/>
              <w:right w:val="nil"/>
            </w:tcBorders>
            <w:shd w:val="clear" w:color="auto" w:fill="auto"/>
            <w:noWrap/>
            <w:vAlign w:val="center"/>
            <w:hideMark/>
          </w:tcPr>
          <w:p w14:paraId="55B578F5"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85.068 </w:t>
            </w:r>
          </w:p>
        </w:tc>
        <w:tc>
          <w:tcPr>
            <w:tcW w:w="602" w:type="pct"/>
            <w:tcBorders>
              <w:top w:val="nil"/>
              <w:left w:val="nil"/>
              <w:bottom w:val="nil"/>
              <w:right w:val="nil"/>
            </w:tcBorders>
            <w:shd w:val="clear" w:color="auto" w:fill="auto"/>
            <w:noWrap/>
            <w:vAlign w:val="center"/>
            <w:hideMark/>
          </w:tcPr>
          <w:p w14:paraId="2DEE3C7A"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59.950 </w:t>
            </w:r>
          </w:p>
        </w:tc>
        <w:tc>
          <w:tcPr>
            <w:tcW w:w="602" w:type="pct"/>
            <w:tcBorders>
              <w:top w:val="nil"/>
              <w:left w:val="nil"/>
              <w:bottom w:val="nil"/>
              <w:right w:val="nil"/>
            </w:tcBorders>
            <w:shd w:val="clear" w:color="auto" w:fill="auto"/>
            <w:noWrap/>
            <w:vAlign w:val="center"/>
            <w:hideMark/>
          </w:tcPr>
          <w:p w14:paraId="2792D642"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100.148 </w:t>
            </w:r>
          </w:p>
        </w:tc>
        <w:tc>
          <w:tcPr>
            <w:tcW w:w="520" w:type="pct"/>
            <w:tcBorders>
              <w:top w:val="nil"/>
              <w:left w:val="nil"/>
              <w:bottom w:val="nil"/>
              <w:right w:val="nil"/>
            </w:tcBorders>
            <w:shd w:val="clear" w:color="auto" w:fill="auto"/>
            <w:noWrap/>
            <w:vAlign w:val="center"/>
            <w:hideMark/>
          </w:tcPr>
          <w:p w14:paraId="473275D2"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41,9%</w:t>
            </w:r>
          </w:p>
        </w:tc>
        <w:tc>
          <w:tcPr>
            <w:tcW w:w="519" w:type="pct"/>
            <w:tcBorders>
              <w:top w:val="nil"/>
              <w:left w:val="nil"/>
              <w:bottom w:val="nil"/>
              <w:right w:val="nil"/>
            </w:tcBorders>
            <w:shd w:val="clear" w:color="auto" w:fill="auto"/>
            <w:noWrap/>
            <w:vAlign w:val="center"/>
            <w:hideMark/>
          </w:tcPr>
          <w:p w14:paraId="75DEDCF1"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-15,1%</w:t>
            </w:r>
          </w:p>
        </w:tc>
      </w:tr>
      <w:tr w:rsidR="00D65A82" w:rsidRPr="00D65A82" w14:paraId="663829B3" w14:textId="77777777" w:rsidTr="00505643">
        <w:trPr>
          <w:trHeight w:val="238"/>
        </w:trPr>
        <w:tc>
          <w:tcPr>
            <w:tcW w:w="2154" w:type="pct"/>
            <w:tcBorders>
              <w:top w:val="nil"/>
              <w:left w:val="nil"/>
              <w:bottom w:val="nil"/>
              <w:right w:val="nil"/>
            </w:tcBorders>
            <w:shd w:val="clear" w:color="auto" w:fill="auto"/>
            <w:noWrap/>
            <w:vAlign w:val="center"/>
            <w:hideMark/>
          </w:tcPr>
          <w:p w14:paraId="7C4EDE88"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Depreciação e Amortização</w:t>
            </w:r>
          </w:p>
        </w:tc>
        <w:tc>
          <w:tcPr>
            <w:tcW w:w="602" w:type="pct"/>
            <w:tcBorders>
              <w:top w:val="nil"/>
              <w:left w:val="nil"/>
              <w:bottom w:val="nil"/>
              <w:right w:val="nil"/>
            </w:tcBorders>
            <w:shd w:val="clear" w:color="auto" w:fill="auto"/>
            <w:noWrap/>
            <w:vAlign w:val="center"/>
            <w:hideMark/>
          </w:tcPr>
          <w:p w14:paraId="78BC0DAD"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270.044 </w:t>
            </w:r>
          </w:p>
        </w:tc>
        <w:tc>
          <w:tcPr>
            <w:tcW w:w="602" w:type="pct"/>
            <w:tcBorders>
              <w:top w:val="nil"/>
              <w:left w:val="nil"/>
              <w:bottom w:val="nil"/>
              <w:right w:val="nil"/>
            </w:tcBorders>
            <w:shd w:val="clear" w:color="auto" w:fill="auto"/>
            <w:noWrap/>
            <w:vAlign w:val="center"/>
            <w:hideMark/>
          </w:tcPr>
          <w:p w14:paraId="6165A9F2"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253.540 </w:t>
            </w:r>
          </w:p>
        </w:tc>
        <w:tc>
          <w:tcPr>
            <w:tcW w:w="602" w:type="pct"/>
            <w:tcBorders>
              <w:top w:val="nil"/>
              <w:left w:val="nil"/>
              <w:bottom w:val="nil"/>
              <w:right w:val="nil"/>
            </w:tcBorders>
            <w:shd w:val="clear" w:color="auto" w:fill="auto"/>
            <w:noWrap/>
            <w:vAlign w:val="center"/>
            <w:hideMark/>
          </w:tcPr>
          <w:p w14:paraId="14358BBF"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242.087 </w:t>
            </w:r>
          </w:p>
        </w:tc>
        <w:tc>
          <w:tcPr>
            <w:tcW w:w="520" w:type="pct"/>
            <w:tcBorders>
              <w:top w:val="nil"/>
              <w:left w:val="nil"/>
              <w:bottom w:val="nil"/>
              <w:right w:val="nil"/>
            </w:tcBorders>
            <w:shd w:val="clear" w:color="auto" w:fill="auto"/>
            <w:noWrap/>
            <w:vAlign w:val="center"/>
            <w:hideMark/>
          </w:tcPr>
          <w:p w14:paraId="653EE844"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6,5%</w:t>
            </w:r>
          </w:p>
        </w:tc>
        <w:tc>
          <w:tcPr>
            <w:tcW w:w="519" w:type="pct"/>
            <w:tcBorders>
              <w:top w:val="nil"/>
              <w:left w:val="nil"/>
              <w:bottom w:val="nil"/>
              <w:right w:val="nil"/>
            </w:tcBorders>
            <w:shd w:val="clear" w:color="auto" w:fill="auto"/>
            <w:noWrap/>
            <w:vAlign w:val="center"/>
            <w:hideMark/>
          </w:tcPr>
          <w:p w14:paraId="3961564A"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11,5%</w:t>
            </w:r>
          </w:p>
        </w:tc>
      </w:tr>
      <w:tr w:rsidR="00D65A82" w:rsidRPr="00D65A82" w14:paraId="6B5FB79A" w14:textId="77777777" w:rsidTr="00505643">
        <w:trPr>
          <w:trHeight w:val="238"/>
        </w:trPr>
        <w:tc>
          <w:tcPr>
            <w:tcW w:w="2154" w:type="pct"/>
            <w:tcBorders>
              <w:top w:val="single" w:sz="8" w:space="0" w:color="9BC2E6"/>
              <w:left w:val="nil"/>
              <w:bottom w:val="single" w:sz="8" w:space="0" w:color="9BC2E6"/>
              <w:right w:val="nil"/>
            </w:tcBorders>
            <w:shd w:val="clear" w:color="auto" w:fill="auto"/>
            <w:noWrap/>
            <w:vAlign w:val="center"/>
            <w:hideMark/>
          </w:tcPr>
          <w:p w14:paraId="13A4A98C"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EBITDA</w:t>
            </w:r>
          </w:p>
        </w:tc>
        <w:tc>
          <w:tcPr>
            <w:tcW w:w="602" w:type="pct"/>
            <w:tcBorders>
              <w:top w:val="single" w:sz="8" w:space="0" w:color="9BC2E6"/>
              <w:left w:val="nil"/>
              <w:bottom w:val="single" w:sz="8" w:space="0" w:color="9BC2E6"/>
              <w:right w:val="nil"/>
            </w:tcBorders>
            <w:shd w:val="clear" w:color="auto" w:fill="auto"/>
            <w:noWrap/>
            <w:vAlign w:val="center"/>
            <w:hideMark/>
          </w:tcPr>
          <w:p w14:paraId="2F091A74"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288.540 </w:t>
            </w:r>
          </w:p>
        </w:tc>
        <w:tc>
          <w:tcPr>
            <w:tcW w:w="602" w:type="pct"/>
            <w:tcBorders>
              <w:top w:val="single" w:sz="8" w:space="0" w:color="9BC2E6"/>
              <w:left w:val="nil"/>
              <w:bottom w:val="single" w:sz="8" w:space="0" w:color="9BC2E6"/>
              <w:right w:val="nil"/>
            </w:tcBorders>
            <w:shd w:val="clear" w:color="auto" w:fill="auto"/>
            <w:noWrap/>
            <w:vAlign w:val="center"/>
            <w:hideMark/>
          </w:tcPr>
          <w:p w14:paraId="0B48AFA2"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186.133 </w:t>
            </w:r>
          </w:p>
        </w:tc>
        <w:tc>
          <w:tcPr>
            <w:tcW w:w="602" w:type="pct"/>
            <w:tcBorders>
              <w:top w:val="single" w:sz="8" w:space="0" w:color="9BC2E6"/>
              <w:left w:val="nil"/>
              <w:bottom w:val="single" w:sz="8" w:space="0" w:color="9BC2E6"/>
              <w:right w:val="nil"/>
            </w:tcBorders>
            <w:shd w:val="clear" w:color="auto" w:fill="auto"/>
            <w:noWrap/>
            <w:vAlign w:val="center"/>
            <w:hideMark/>
          </w:tcPr>
          <w:p w14:paraId="7E868502"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173.776 </w:t>
            </w:r>
          </w:p>
        </w:tc>
        <w:tc>
          <w:tcPr>
            <w:tcW w:w="520" w:type="pct"/>
            <w:tcBorders>
              <w:top w:val="single" w:sz="8" w:space="0" w:color="9BC2E6"/>
              <w:left w:val="nil"/>
              <w:bottom w:val="single" w:sz="8" w:space="0" w:color="9BC2E6"/>
              <w:right w:val="nil"/>
            </w:tcBorders>
            <w:shd w:val="clear" w:color="auto" w:fill="auto"/>
            <w:noWrap/>
            <w:vAlign w:val="center"/>
            <w:hideMark/>
          </w:tcPr>
          <w:p w14:paraId="09A98F8C"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55,0%</w:t>
            </w:r>
          </w:p>
        </w:tc>
        <w:tc>
          <w:tcPr>
            <w:tcW w:w="519" w:type="pct"/>
            <w:tcBorders>
              <w:top w:val="single" w:sz="8" w:space="0" w:color="9BC2E6"/>
              <w:left w:val="nil"/>
              <w:bottom w:val="single" w:sz="8" w:space="0" w:color="9BC2E6"/>
              <w:right w:val="nil"/>
            </w:tcBorders>
            <w:shd w:val="clear" w:color="auto" w:fill="auto"/>
            <w:noWrap/>
            <w:vAlign w:val="center"/>
            <w:hideMark/>
          </w:tcPr>
          <w:p w14:paraId="48F49E0A"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66,0%</w:t>
            </w:r>
          </w:p>
        </w:tc>
      </w:tr>
      <w:tr w:rsidR="00D65A82" w:rsidRPr="00D65A82" w14:paraId="51598F50" w14:textId="77777777" w:rsidTr="00505643">
        <w:trPr>
          <w:trHeight w:val="238"/>
        </w:trPr>
        <w:tc>
          <w:tcPr>
            <w:tcW w:w="2154" w:type="pct"/>
            <w:tcBorders>
              <w:top w:val="nil"/>
              <w:left w:val="nil"/>
              <w:bottom w:val="nil"/>
              <w:right w:val="nil"/>
            </w:tcBorders>
            <w:shd w:val="clear" w:color="auto" w:fill="auto"/>
            <w:noWrap/>
            <w:vAlign w:val="center"/>
            <w:hideMark/>
          </w:tcPr>
          <w:p w14:paraId="52138435"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Ajustes:</w:t>
            </w:r>
          </w:p>
        </w:tc>
        <w:tc>
          <w:tcPr>
            <w:tcW w:w="602" w:type="pct"/>
            <w:tcBorders>
              <w:top w:val="nil"/>
              <w:left w:val="nil"/>
              <w:bottom w:val="nil"/>
              <w:right w:val="nil"/>
            </w:tcBorders>
            <w:shd w:val="clear" w:color="auto" w:fill="auto"/>
            <w:noWrap/>
            <w:vAlign w:val="center"/>
            <w:hideMark/>
          </w:tcPr>
          <w:p w14:paraId="51C3C96F"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p>
        </w:tc>
        <w:tc>
          <w:tcPr>
            <w:tcW w:w="602" w:type="pct"/>
            <w:tcBorders>
              <w:top w:val="nil"/>
              <w:left w:val="nil"/>
              <w:bottom w:val="nil"/>
              <w:right w:val="nil"/>
            </w:tcBorders>
            <w:shd w:val="clear" w:color="auto" w:fill="auto"/>
            <w:noWrap/>
            <w:vAlign w:val="center"/>
            <w:hideMark/>
          </w:tcPr>
          <w:p w14:paraId="5F137B8B" w14:textId="77777777" w:rsidR="00D65A82" w:rsidRPr="00D65A82" w:rsidRDefault="00D65A82" w:rsidP="00D65A82">
            <w:pPr>
              <w:tabs>
                <w:tab w:val="clear" w:pos="851"/>
              </w:tabs>
              <w:spacing w:before="0" w:after="0" w:line="240" w:lineRule="auto"/>
              <w:jc w:val="left"/>
              <w:rPr>
                <w:rFonts w:ascii="Times New Roman" w:hAnsi="Times New Roman"/>
                <w:color w:val="auto"/>
                <w:sz w:val="20"/>
                <w:szCs w:val="20"/>
                <w:lang w:eastAsia="pt-BR"/>
              </w:rPr>
            </w:pPr>
          </w:p>
        </w:tc>
        <w:tc>
          <w:tcPr>
            <w:tcW w:w="602" w:type="pct"/>
            <w:tcBorders>
              <w:top w:val="nil"/>
              <w:left w:val="nil"/>
              <w:bottom w:val="nil"/>
              <w:right w:val="nil"/>
            </w:tcBorders>
            <w:shd w:val="clear" w:color="auto" w:fill="auto"/>
            <w:noWrap/>
            <w:vAlign w:val="center"/>
            <w:hideMark/>
          </w:tcPr>
          <w:p w14:paraId="097763A2" w14:textId="77777777" w:rsidR="00D65A82" w:rsidRPr="00D65A82" w:rsidRDefault="00D65A82" w:rsidP="00D65A82">
            <w:pPr>
              <w:tabs>
                <w:tab w:val="clear" w:pos="851"/>
              </w:tabs>
              <w:spacing w:before="0" w:after="0" w:line="240" w:lineRule="auto"/>
              <w:jc w:val="left"/>
              <w:rPr>
                <w:rFonts w:ascii="Times New Roman" w:hAnsi="Times New Roman"/>
                <w:color w:val="auto"/>
                <w:sz w:val="20"/>
                <w:szCs w:val="20"/>
                <w:lang w:eastAsia="pt-BR"/>
              </w:rPr>
            </w:pPr>
          </w:p>
        </w:tc>
        <w:tc>
          <w:tcPr>
            <w:tcW w:w="520" w:type="pct"/>
            <w:tcBorders>
              <w:top w:val="nil"/>
              <w:left w:val="nil"/>
              <w:bottom w:val="nil"/>
              <w:right w:val="nil"/>
            </w:tcBorders>
            <w:shd w:val="clear" w:color="auto" w:fill="auto"/>
            <w:noWrap/>
            <w:vAlign w:val="center"/>
            <w:hideMark/>
          </w:tcPr>
          <w:p w14:paraId="4435F30D" w14:textId="77777777" w:rsidR="00D65A82" w:rsidRPr="00D65A82" w:rsidRDefault="00D65A82" w:rsidP="00D65A82">
            <w:pPr>
              <w:tabs>
                <w:tab w:val="clear" w:pos="851"/>
              </w:tabs>
              <w:spacing w:before="0" w:after="0" w:line="240" w:lineRule="auto"/>
              <w:jc w:val="left"/>
              <w:rPr>
                <w:rFonts w:ascii="Times New Roman" w:hAnsi="Times New Roman"/>
                <w:color w:val="auto"/>
                <w:sz w:val="20"/>
                <w:szCs w:val="20"/>
                <w:lang w:eastAsia="pt-BR"/>
              </w:rPr>
            </w:pPr>
          </w:p>
        </w:tc>
        <w:tc>
          <w:tcPr>
            <w:tcW w:w="519" w:type="pct"/>
            <w:tcBorders>
              <w:top w:val="nil"/>
              <w:left w:val="nil"/>
              <w:bottom w:val="nil"/>
              <w:right w:val="nil"/>
            </w:tcBorders>
            <w:shd w:val="clear" w:color="auto" w:fill="auto"/>
            <w:noWrap/>
            <w:vAlign w:val="center"/>
            <w:hideMark/>
          </w:tcPr>
          <w:p w14:paraId="64BA1236" w14:textId="77777777" w:rsidR="00D65A82" w:rsidRPr="00D65A82" w:rsidRDefault="00D65A82" w:rsidP="00D65A82">
            <w:pPr>
              <w:tabs>
                <w:tab w:val="clear" w:pos="851"/>
              </w:tabs>
              <w:spacing w:before="0" w:after="0" w:line="240" w:lineRule="auto"/>
              <w:jc w:val="left"/>
              <w:rPr>
                <w:rFonts w:ascii="Times New Roman" w:hAnsi="Times New Roman"/>
                <w:color w:val="auto"/>
                <w:sz w:val="20"/>
                <w:szCs w:val="20"/>
                <w:lang w:eastAsia="pt-BR"/>
              </w:rPr>
            </w:pPr>
          </w:p>
        </w:tc>
      </w:tr>
      <w:tr w:rsidR="00D65A82" w:rsidRPr="00D65A82" w14:paraId="37E8EC25" w14:textId="77777777" w:rsidTr="00505643">
        <w:trPr>
          <w:trHeight w:val="238"/>
        </w:trPr>
        <w:tc>
          <w:tcPr>
            <w:tcW w:w="2154" w:type="pct"/>
            <w:tcBorders>
              <w:top w:val="nil"/>
              <w:left w:val="nil"/>
              <w:bottom w:val="nil"/>
              <w:right w:val="nil"/>
            </w:tcBorders>
            <w:shd w:val="clear" w:color="auto" w:fill="auto"/>
            <w:noWrap/>
            <w:vAlign w:val="center"/>
            <w:hideMark/>
          </w:tcPr>
          <w:p w14:paraId="73DBC6E7"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Superávit de Previdência Privada</w:t>
            </w:r>
          </w:p>
        </w:tc>
        <w:tc>
          <w:tcPr>
            <w:tcW w:w="602" w:type="pct"/>
            <w:tcBorders>
              <w:top w:val="nil"/>
              <w:left w:val="nil"/>
              <w:bottom w:val="nil"/>
              <w:right w:val="nil"/>
            </w:tcBorders>
            <w:shd w:val="clear" w:color="auto" w:fill="auto"/>
            <w:noWrap/>
            <w:vAlign w:val="center"/>
            <w:hideMark/>
          </w:tcPr>
          <w:p w14:paraId="516A79C3"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(212.038)</w:t>
            </w:r>
          </w:p>
        </w:tc>
        <w:tc>
          <w:tcPr>
            <w:tcW w:w="602" w:type="pct"/>
            <w:tcBorders>
              <w:top w:val="nil"/>
              <w:left w:val="nil"/>
              <w:bottom w:val="nil"/>
              <w:right w:val="nil"/>
            </w:tcBorders>
            <w:shd w:val="clear" w:color="auto" w:fill="auto"/>
            <w:noWrap/>
            <w:vAlign w:val="center"/>
            <w:hideMark/>
          </w:tcPr>
          <w:p w14:paraId="7CCE12C4"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(33.912)</w:t>
            </w:r>
          </w:p>
        </w:tc>
        <w:tc>
          <w:tcPr>
            <w:tcW w:w="602" w:type="pct"/>
            <w:tcBorders>
              <w:top w:val="nil"/>
              <w:left w:val="nil"/>
              <w:bottom w:val="nil"/>
              <w:right w:val="nil"/>
            </w:tcBorders>
            <w:shd w:val="clear" w:color="auto" w:fill="auto"/>
            <w:noWrap/>
            <w:vAlign w:val="center"/>
            <w:hideMark/>
          </w:tcPr>
          <w:p w14:paraId="08B2DCBF"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        </w:t>
            </w:r>
          </w:p>
        </w:tc>
        <w:tc>
          <w:tcPr>
            <w:tcW w:w="520" w:type="pct"/>
            <w:tcBorders>
              <w:top w:val="nil"/>
              <w:left w:val="nil"/>
              <w:bottom w:val="nil"/>
              <w:right w:val="nil"/>
            </w:tcBorders>
            <w:shd w:val="clear" w:color="auto" w:fill="auto"/>
            <w:noWrap/>
            <w:vAlign w:val="center"/>
            <w:hideMark/>
          </w:tcPr>
          <w:p w14:paraId="50CB4275"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525,3%</w:t>
            </w:r>
          </w:p>
        </w:tc>
        <w:tc>
          <w:tcPr>
            <w:tcW w:w="519" w:type="pct"/>
            <w:tcBorders>
              <w:top w:val="nil"/>
              <w:left w:val="nil"/>
              <w:bottom w:val="nil"/>
              <w:right w:val="nil"/>
            </w:tcBorders>
            <w:shd w:val="clear" w:color="auto" w:fill="auto"/>
            <w:noWrap/>
            <w:vAlign w:val="center"/>
            <w:hideMark/>
          </w:tcPr>
          <w:p w14:paraId="20C16FC0"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100,0%</w:t>
            </w:r>
          </w:p>
        </w:tc>
      </w:tr>
      <w:tr w:rsidR="00D65A82" w:rsidRPr="00D65A82" w14:paraId="1CC56CC7" w14:textId="77777777" w:rsidTr="00505643">
        <w:trPr>
          <w:trHeight w:val="238"/>
        </w:trPr>
        <w:tc>
          <w:tcPr>
            <w:tcW w:w="2154" w:type="pct"/>
            <w:tcBorders>
              <w:top w:val="nil"/>
              <w:left w:val="nil"/>
              <w:bottom w:val="nil"/>
              <w:right w:val="nil"/>
            </w:tcBorders>
            <w:shd w:val="clear" w:color="auto" w:fill="auto"/>
            <w:noWrap/>
            <w:vAlign w:val="center"/>
            <w:hideMark/>
          </w:tcPr>
          <w:p w14:paraId="7DB827A5"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Ganho na Baixa de Passivos</w:t>
            </w:r>
          </w:p>
        </w:tc>
        <w:tc>
          <w:tcPr>
            <w:tcW w:w="602" w:type="pct"/>
            <w:tcBorders>
              <w:top w:val="nil"/>
              <w:left w:val="nil"/>
              <w:bottom w:val="nil"/>
              <w:right w:val="nil"/>
            </w:tcBorders>
            <w:shd w:val="clear" w:color="auto" w:fill="auto"/>
            <w:noWrap/>
            <w:vAlign w:val="center"/>
            <w:hideMark/>
          </w:tcPr>
          <w:p w14:paraId="1CD5EDD6"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(2.297)</w:t>
            </w:r>
          </w:p>
        </w:tc>
        <w:tc>
          <w:tcPr>
            <w:tcW w:w="602" w:type="pct"/>
            <w:tcBorders>
              <w:top w:val="nil"/>
              <w:left w:val="nil"/>
              <w:bottom w:val="nil"/>
              <w:right w:val="nil"/>
            </w:tcBorders>
            <w:shd w:val="clear" w:color="auto" w:fill="auto"/>
            <w:noWrap/>
            <w:vAlign w:val="center"/>
            <w:hideMark/>
          </w:tcPr>
          <w:p w14:paraId="5611FF2F"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(417)</w:t>
            </w:r>
          </w:p>
        </w:tc>
        <w:tc>
          <w:tcPr>
            <w:tcW w:w="602" w:type="pct"/>
            <w:tcBorders>
              <w:top w:val="nil"/>
              <w:left w:val="nil"/>
              <w:bottom w:val="nil"/>
              <w:right w:val="nil"/>
            </w:tcBorders>
            <w:shd w:val="clear" w:color="auto" w:fill="auto"/>
            <w:noWrap/>
            <w:vAlign w:val="center"/>
            <w:hideMark/>
          </w:tcPr>
          <w:p w14:paraId="0B77A31E"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(474)</w:t>
            </w:r>
          </w:p>
        </w:tc>
        <w:tc>
          <w:tcPr>
            <w:tcW w:w="520" w:type="pct"/>
            <w:tcBorders>
              <w:top w:val="nil"/>
              <w:left w:val="nil"/>
              <w:bottom w:val="nil"/>
              <w:right w:val="nil"/>
            </w:tcBorders>
            <w:shd w:val="clear" w:color="auto" w:fill="auto"/>
            <w:noWrap/>
            <w:vAlign w:val="center"/>
            <w:hideMark/>
          </w:tcPr>
          <w:p w14:paraId="07B95EBD"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450,8%</w:t>
            </w:r>
          </w:p>
        </w:tc>
        <w:tc>
          <w:tcPr>
            <w:tcW w:w="519" w:type="pct"/>
            <w:tcBorders>
              <w:top w:val="nil"/>
              <w:left w:val="nil"/>
              <w:bottom w:val="nil"/>
              <w:right w:val="nil"/>
            </w:tcBorders>
            <w:shd w:val="clear" w:color="auto" w:fill="auto"/>
            <w:noWrap/>
            <w:vAlign w:val="center"/>
            <w:hideMark/>
          </w:tcPr>
          <w:p w14:paraId="6D742BE9"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384,6%</w:t>
            </w:r>
          </w:p>
        </w:tc>
      </w:tr>
      <w:tr w:rsidR="00D65A82" w:rsidRPr="00D65A82" w14:paraId="10811D33" w14:textId="77777777" w:rsidTr="00505643">
        <w:trPr>
          <w:trHeight w:val="238"/>
        </w:trPr>
        <w:tc>
          <w:tcPr>
            <w:tcW w:w="2154" w:type="pct"/>
            <w:tcBorders>
              <w:top w:val="nil"/>
              <w:left w:val="nil"/>
              <w:bottom w:val="nil"/>
              <w:right w:val="nil"/>
            </w:tcBorders>
            <w:shd w:val="clear" w:color="auto" w:fill="auto"/>
            <w:noWrap/>
            <w:vAlign w:val="center"/>
            <w:hideMark/>
          </w:tcPr>
          <w:p w14:paraId="5CEACDC1"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Depreciação - CPC 6(R2) / IFRS 16</w:t>
            </w:r>
          </w:p>
        </w:tc>
        <w:tc>
          <w:tcPr>
            <w:tcW w:w="602" w:type="pct"/>
            <w:tcBorders>
              <w:top w:val="nil"/>
              <w:left w:val="nil"/>
              <w:bottom w:val="nil"/>
              <w:right w:val="nil"/>
            </w:tcBorders>
            <w:shd w:val="clear" w:color="auto" w:fill="auto"/>
            <w:noWrap/>
            <w:vAlign w:val="center"/>
            <w:hideMark/>
          </w:tcPr>
          <w:p w14:paraId="36E45F8C"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(5.219)</w:t>
            </w:r>
          </w:p>
        </w:tc>
        <w:tc>
          <w:tcPr>
            <w:tcW w:w="602" w:type="pct"/>
            <w:tcBorders>
              <w:top w:val="nil"/>
              <w:left w:val="nil"/>
              <w:bottom w:val="nil"/>
              <w:right w:val="nil"/>
            </w:tcBorders>
            <w:shd w:val="clear" w:color="auto" w:fill="auto"/>
            <w:noWrap/>
            <w:vAlign w:val="center"/>
            <w:hideMark/>
          </w:tcPr>
          <w:p w14:paraId="7232500E"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(5.175)</w:t>
            </w:r>
          </w:p>
        </w:tc>
        <w:tc>
          <w:tcPr>
            <w:tcW w:w="602" w:type="pct"/>
            <w:tcBorders>
              <w:top w:val="nil"/>
              <w:left w:val="nil"/>
              <w:bottom w:val="nil"/>
              <w:right w:val="nil"/>
            </w:tcBorders>
            <w:shd w:val="clear" w:color="auto" w:fill="auto"/>
            <w:noWrap/>
            <w:vAlign w:val="center"/>
            <w:hideMark/>
          </w:tcPr>
          <w:p w14:paraId="0F360CE5"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(5.006)</w:t>
            </w:r>
          </w:p>
        </w:tc>
        <w:tc>
          <w:tcPr>
            <w:tcW w:w="520" w:type="pct"/>
            <w:tcBorders>
              <w:top w:val="nil"/>
              <w:left w:val="nil"/>
              <w:bottom w:val="nil"/>
              <w:right w:val="nil"/>
            </w:tcBorders>
            <w:shd w:val="clear" w:color="auto" w:fill="auto"/>
            <w:noWrap/>
            <w:vAlign w:val="center"/>
            <w:hideMark/>
          </w:tcPr>
          <w:p w14:paraId="27995E92"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0,9%</w:t>
            </w:r>
          </w:p>
        </w:tc>
        <w:tc>
          <w:tcPr>
            <w:tcW w:w="519" w:type="pct"/>
            <w:tcBorders>
              <w:top w:val="nil"/>
              <w:left w:val="nil"/>
              <w:bottom w:val="nil"/>
              <w:right w:val="nil"/>
            </w:tcBorders>
            <w:shd w:val="clear" w:color="auto" w:fill="auto"/>
            <w:noWrap/>
            <w:vAlign w:val="center"/>
            <w:hideMark/>
          </w:tcPr>
          <w:p w14:paraId="41CDD56A"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4,3%</w:t>
            </w:r>
          </w:p>
        </w:tc>
      </w:tr>
      <w:tr w:rsidR="00D65A82" w:rsidRPr="00D65A82" w14:paraId="63F6B2EF" w14:textId="77777777" w:rsidTr="00505643">
        <w:trPr>
          <w:trHeight w:val="238"/>
        </w:trPr>
        <w:tc>
          <w:tcPr>
            <w:tcW w:w="2154" w:type="pct"/>
            <w:tcBorders>
              <w:top w:val="nil"/>
              <w:left w:val="nil"/>
              <w:bottom w:val="nil"/>
              <w:right w:val="nil"/>
            </w:tcBorders>
            <w:shd w:val="clear" w:color="auto" w:fill="auto"/>
            <w:noWrap/>
            <w:vAlign w:val="center"/>
            <w:hideMark/>
          </w:tcPr>
          <w:p w14:paraId="4449F143"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Despesas Financeiras - CPC 6(R2) / IFRS 16</w:t>
            </w:r>
          </w:p>
        </w:tc>
        <w:tc>
          <w:tcPr>
            <w:tcW w:w="602" w:type="pct"/>
            <w:tcBorders>
              <w:top w:val="nil"/>
              <w:left w:val="nil"/>
              <w:bottom w:val="nil"/>
              <w:right w:val="nil"/>
            </w:tcBorders>
            <w:shd w:val="clear" w:color="auto" w:fill="auto"/>
            <w:noWrap/>
            <w:vAlign w:val="center"/>
            <w:hideMark/>
          </w:tcPr>
          <w:p w14:paraId="63B978F8"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(741)</w:t>
            </w:r>
          </w:p>
        </w:tc>
        <w:tc>
          <w:tcPr>
            <w:tcW w:w="602" w:type="pct"/>
            <w:tcBorders>
              <w:top w:val="nil"/>
              <w:left w:val="nil"/>
              <w:bottom w:val="nil"/>
              <w:right w:val="nil"/>
            </w:tcBorders>
            <w:shd w:val="clear" w:color="auto" w:fill="auto"/>
            <w:noWrap/>
            <w:vAlign w:val="center"/>
            <w:hideMark/>
          </w:tcPr>
          <w:p w14:paraId="5D62B5EE"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(1.034)</w:t>
            </w:r>
          </w:p>
        </w:tc>
        <w:tc>
          <w:tcPr>
            <w:tcW w:w="602" w:type="pct"/>
            <w:tcBorders>
              <w:top w:val="nil"/>
              <w:left w:val="nil"/>
              <w:bottom w:val="nil"/>
              <w:right w:val="nil"/>
            </w:tcBorders>
            <w:shd w:val="clear" w:color="auto" w:fill="auto"/>
            <w:noWrap/>
            <w:vAlign w:val="center"/>
            <w:hideMark/>
          </w:tcPr>
          <w:p w14:paraId="2EEA649F"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(939)</w:t>
            </w:r>
          </w:p>
        </w:tc>
        <w:tc>
          <w:tcPr>
            <w:tcW w:w="520" w:type="pct"/>
            <w:tcBorders>
              <w:top w:val="nil"/>
              <w:left w:val="nil"/>
              <w:bottom w:val="nil"/>
              <w:right w:val="nil"/>
            </w:tcBorders>
            <w:shd w:val="clear" w:color="auto" w:fill="auto"/>
            <w:noWrap/>
            <w:vAlign w:val="center"/>
            <w:hideMark/>
          </w:tcPr>
          <w:p w14:paraId="7122F695"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-28,3%</w:t>
            </w:r>
          </w:p>
        </w:tc>
        <w:tc>
          <w:tcPr>
            <w:tcW w:w="519" w:type="pct"/>
            <w:tcBorders>
              <w:top w:val="nil"/>
              <w:left w:val="nil"/>
              <w:bottom w:val="nil"/>
              <w:right w:val="nil"/>
            </w:tcBorders>
            <w:shd w:val="clear" w:color="auto" w:fill="auto"/>
            <w:noWrap/>
            <w:vAlign w:val="center"/>
            <w:hideMark/>
          </w:tcPr>
          <w:p w14:paraId="655AB5A0"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-21,1%</w:t>
            </w:r>
          </w:p>
        </w:tc>
      </w:tr>
      <w:tr w:rsidR="00D65A82" w:rsidRPr="00D65A82" w14:paraId="666739CC" w14:textId="77777777" w:rsidTr="00505643">
        <w:trPr>
          <w:trHeight w:val="238"/>
        </w:trPr>
        <w:tc>
          <w:tcPr>
            <w:tcW w:w="2154" w:type="pct"/>
            <w:tcBorders>
              <w:top w:val="nil"/>
              <w:left w:val="nil"/>
              <w:bottom w:val="nil"/>
              <w:right w:val="nil"/>
            </w:tcBorders>
            <w:shd w:val="clear" w:color="auto" w:fill="auto"/>
            <w:noWrap/>
            <w:vAlign w:val="center"/>
            <w:hideMark/>
          </w:tcPr>
          <w:p w14:paraId="0A3B65AD"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Equivalência Patrimonial</w:t>
            </w:r>
          </w:p>
        </w:tc>
        <w:tc>
          <w:tcPr>
            <w:tcW w:w="602" w:type="pct"/>
            <w:tcBorders>
              <w:top w:val="nil"/>
              <w:left w:val="nil"/>
              <w:bottom w:val="nil"/>
              <w:right w:val="nil"/>
            </w:tcBorders>
            <w:shd w:val="clear" w:color="auto" w:fill="auto"/>
            <w:noWrap/>
            <w:vAlign w:val="center"/>
            <w:hideMark/>
          </w:tcPr>
          <w:p w14:paraId="23B85213"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1.013 </w:t>
            </w:r>
          </w:p>
        </w:tc>
        <w:tc>
          <w:tcPr>
            <w:tcW w:w="602" w:type="pct"/>
            <w:tcBorders>
              <w:top w:val="nil"/>
              <w:left w:val="nil"/>
              <w:bottom w:val="nil"/>
              <w:right w:val="nil"/>
            </w:tcBorders>
            <w:shd w:val="clear" w:color="auto" w:fill="auto"/>
            <w:noWrap/>
            <w:vAlign w:val="center"/>
            <w:hideMark/>
          </w:tcPr>
          <w:p w14:paraId="71316D87"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2.254 </w:t>
            </w:r>
          </w:p>
        </w:tc>
        <w:tc>
          <w:tcPr>
            <w:tcW w:w="602" w:type="pct"/>
            <w:tcBorders>
              <w:top w:val="nil"/>
              <w:left w:val="nil"/>
              <w:bottom w:val="nil"/>
              <w:right w:val="nil"/>
            </w:tcBorders>
            <w:shd w:val="clear" w:color="auto" w:fill="auto"/>
            <w:noWrap/>
            <w:vAlign w:val="center"/>
            <w:hideMark/>
          </w:tcPr>
          <w:p w14:paraId="1043D0F4"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6.500 </w:t>
            </w:r>
          </w:p>
        </w:tc>
        <w:tc>
          <w:tcPr>
            <w:tcW w:w="520" w:type="pct"/>
            <w:tcBorders>
              <w:top w:val="nil"/>
              <w:left w:val="nil"/>
              <w:bottom w:val="nil"/>
              <w:right w:val="nil"/>
            </w:tcBorders>
            <w:shd w:val="clear" w:color="auto" w:fill="auto"/>
            <w:noWrap/>
            <w:vAlign w:val="center"/>
            <w:hideMark/>
          </w:tcPr>
          <w:p w14:paraId="14B3CC54"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-55,1%</w:t>
            </w:r>
          </w:p>
        </w:tc>
        <w:tc>
          <w:tcPr>
            <w:tcW w:w="519" w:type="pct"/>
            <w:tcBorders>
              <w:top w:val="nil"/>
              <w:left w:val="nil"/>
              <w:bottom w:val="nil"/>
              <w:right w:val="nil"/>
            </w:tcBorders>
            <w:shd w:val="clear" w:color="auto" w:fill="auto"/>
            <w:noWrap/>
            <w:vAlign w:val="center"/>
            <w:hideMark/>
          </w:tcPr>
          <w:p w14:paraId="50B26205"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-84,4%</w:t>
            </w:r>
          </w:p>
        </w:tc>
      </w:tr>
      <w:tr w:rsidR="00D65A82" w:rsidRPr="00D65A82" w14:paraId="4EA40FC6" w14:textId="77777777" w:rsidTr="00505643">
        <w:trPr>
          <w:trHeight w:val="238"/>
        </w:trPr>
        <w:tc>
          <w:tcPr>
            <w:tcW w:w="2154" w:type="pct"/>
            <w:tcBorders>
              <w:top w:val="nil"/>
              <w:left w:val="nil"/>
              <w:bottom w:val="nil"/>
              <w:right w:val="nil"/>
            </w:tcBorders>
            <w:shd w:val="clear" w:color="auto" w:fill="auto"/>
            <w:noWrap/>
            <w:vAlign w:val="center"/>
            <w:hideMark/>
          </w:tcPr>
          <w:p w14:paraId="21213B1A"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Baixa de Ativo Imobilizado</w:t>
            </w:r>
          </w:p>
        </w:tc>
        <w:tc>
          <w:tcPr>
            <w:tcW w:w="602" w:type="pct"/>
            <w:tcBorders>
              <w:top w:val="nil"/>
              <w:left w:val="nil"/>
              <w:bottom w:val="nil"/>
              <w:right w:val="nil"/>
            </w:tcBorders>
            <w:shd w:val="clear" w:color="auto" w:fill="auto"/>
            <w:noWrap/>
            <w:vAlign w:val="center"/>
            <w:hideMark/>
          </w:tcPr>
          <w:p w14:paraId="12E50ED1"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2.666 </w:t>
            </w:r>
          </w:p>
        </w:tc>
        <w:tc>
          <w:tcPr>
            <w:tcW w:w="602" w:type="pct"/>
            <w:tcBorders>
              <w:top w:val="nil"/>
              <w:left w:val="nil"/>
              <w:bottom w:val="nil"/>
              <w:right w:val="nil"/>
            </w:tcBorders>
            <w:shd w:val="clear" w:color="auto" w:fill="auto"/>
            <w:noWrap/>
            <w:vAlign w:val="center"/>
            <w:hideMark/>
          </w:tcPr>
          <w:p w14:paraId="78762E81"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383 </w:t>
            </w:r>
          </w:p>
        </w:tc>
        <w:tc>
          <w:tcPr>
            <w:tcW w:w="602" w:type="pct"/>
            <w:tcBorders>
              <w:top w:val="nil"/>
              <w:left w:val="nil"/>
              <w:bottom w:val="nil"/>
              <w:right w:val="nil"/>
            </w:tcBorders>
            <w:shd w:val="clear" w:color="auto" w:fill="auto"/>
            <w:noWrap/>
            <w:vAlign w:val="center"/>
            <w:hideMark/>
          </w:tcPr>
          <w:p w14:paraId="68E30F1C"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16.643 </w:t>
            </w:r>
          </w:p>
        </w:tc>
        <w:tc>
          <w:tcPr>
            <w:tcW w:w="520" w:type="pct"/>
            <w:tcBorders>
              <w:top w:val="nil"/>
              <w:left w:val="nil"/>
              <w:bottom w:val="nil"/>
              <w:right w:val="nil"/>
            </w:tcBorders>
            <w:shd w:val="clear" w:color="auto" w:fill="auto"/>
            <w:noWrap/>
            <w:vAlign w:val="center"/>
            <w:hideMark/>
          </w:tcPr>
          <w:p w14:paraId="69C795F0"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596,1%</w:t>
            </w:r>
          </w:p>
        </w:tc>
        <w:tc>
          <w:tcPr>
            <w:tcW w:w="519" w:type="pct"/>
            <w:tcBorders>
              <w:top w:val="nil"/>
              <w:left w:val="nil"/>
              <w:bottom w:val="nil"/>
              <w:right w:val="nil"/>
            </w:tcBorders>
            <w:shd w:val="clear" w:color="auto" w:fill="auto"/>
            <w:noWrap/>
            <w:vAlign w:val="center"/>
            <w:hideMark/>
          </w:tcPr>
          <w:p w14:paraId="28D00031"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-84,0%</w:t>
            </w:r>
          </w:p>
        </w:tc>
      </w:tr>
      <w:tr w:rsidR="00D65A82" w:rsidRPr="00D65A82" w14:paraId="7552F481" w14:textId="77777777" w:rsidTr="00505643">
        <w:trPr>
          <w:trHeight w:val="238"/>
        </w:trPr>
        <w:tc>
          <w:tcPr>
            <w:tcW w:w="2154" w:type="pct"/>
            <w:tcBorders>
              <w:top w:val="nil"/>
              <w:left w:val="nil"/>
              <w:bottom w:val="nil"/>
              <w:right w:val="nil"/>
            </w:tcBorders>
            <w:shd w:val="clear" w:color="auto" w:fill="auto"/>
            <w:noWrap/>
            <w:vAlign w:val="center"/>
            <w:hideMark/>
          </w:tcPr>
          <w:p w14:paraId="06FDECB6"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Baixa de Créditos Tributários</w:t>
            </w:r>
          </w:p>
        </w:tc>
        <w:tc>
          <w:tcPr>
            <w:tcW w:w="602" w:type="pct"/>
            <w:tcBorders>
              <w:top w:val="nil"/>
              <w:left w:val="nil"/>
              <w:bottom w:val="nil"/>
              <w:right w:val="nil"/>
            </w:tcBorders>
            <w:shd w:val="clear" w:color="auto" w:fill="auto"/>
            <w:noWrap/>
            <w:vAlign w:val="center"/>
            <w:hideMark/>
          </w:tcPr>
          <w:p w14:paraId="566EA40F"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2.963 </w:t>
            </w:r>
          </w:p>
        </w:tc>
        <w:tc>
          <w:tcPr>
            <w:tcW w:w="602" w:type="pct"/>
            <w:tcBorders>
              <w:top w:val="nil"/>
              <w:left w:val="nil"/>
              <w:bottom w:val="nil"/>
              <w:right w:val="nil"/>
            </w:tcBorders>
            <w:shd w:val="clear" w:color="auto" w:fill="auto"/>
            <w:noWrap/>
            <w:vAlign w:val="center"/>
            <w:hideMark/>
          </w:tcPr>
          <w:p w14:paraId="6D98B826"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7.183 </w:t>
            </w:r>
          </w:p>
        </w:tc>
        <w:tc>
          <w:tcPr>
            <w:tcW w:w="602" w:type="pct"/>
            <w:tcBorders>
              <w:top w:val="nil"/>
              <w:left w:val="nil"/>
              <w:bottom w:val="nil"/>
              <w:right w:val="nil"/>
            </w:tcBorders>
            <w:shd w:val="clear" w:color="auto" w:fill="auto"/>
            <w:noWrap/>
            <w:vAlign w:val="center"/>
            <w:hideMark/>
          </w:tcPr>
          <w:p w14:paraId="16DD8ECE"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       </w:t>
            </w:r>
          </w:p>
        </w:tc>
        <w:tc>
          <w:tcPr>
            <w:tcW w:w="520" w:type="pct"/>
            <w:tcBorders>
              <w:top w:val="nil"/>
              <w:left w:val="nil"/>
              <w:bottom w:val="nil"/>
              <w:right w:val="nil"/>
            </w:tcBorders>
            <w:shd w:val="clear" w:color="auto" w:fill="auto"/>
            <w:noWrap/>
            <w:vAlign w:val="center"/>
            <w:hideMark/>
          </w:tcPr>
          <w:p w14:paraId="4CBC3832"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-58,7%</w:t>
            </w:r>
          </w:p>
        </w:tc>
        <w:tc>
          <w:tcPr>
            <w:tcW w:w="519" w:type="pct"/>
            <w:tcBorders>
              <w:top w:val="nil"/>
              <w:left w:val="nil"/>
              <w:bottom w:val="nil"/>
              <w:right w:val="nil"/>
            </w:tcBorders>
            <w:shd w:val="clear" w:color="auto" w:fill="auto"/>
            <w:noWrap/>
            <w:vAlign w:val="center"/>
            <w:hideMark/>
          </w:tcPr>
          <w:p w14:paraId="6BC4BB51"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100,0%</w:t>
            </w:r>
          </w:p>
        </w:tc>
      </w:tr>
      <w:tr w:rsidR="00D65A82" w:rsidRPr="00D65A82" w14:paraId="1ADDDB97" w14:textId="77777777" w:rsidTr="00505643">
        <w:trPr>
          <w:trHeight w:val="238"/>
        </w:trPr>
        <w:tc>
          <w:tcPr>
            <w:tcW w:w="2154" w:type="pct"/>
            <w:tcBorders>
              <w:top w:val="nil"/>
              <w:left w:val="nil"/>
              <w:bottom w:val="nil"/>
              <w:right w:val="nil"/>
            </w:tcBorders>
            <w:shd w:val="clear" w:color="auto" w:fill="auto"/>
            <w:noWrap/>
            <w:vAlign w:val="center"/>
            <w:hideMark/>
          </w:tcPr>
          <w:p w14:paraId="0A7AF03A"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Multas Contratuais - Dataprev</w:t>
            </w:r>
          </w:p>
        </w:tc>
        <w:tc>
          <w:tcPr>
            <w:tcW w:w="602" w:type="pct"/>
            <w:tcBorders>
              <w:top w:val="nil"/>
              <w:left w:val="nil"/>
              <w:bottom w:val="nil"/>
              <w:right w:val="nil"/>
            </w:tcBorders>
            <w:shd w:val="clear" w:color="auto" w:fill="auto"/>
            <w:noWrap/>
            <w:vAlign w:val="center"/>
            <w:hideMark/>
          </w:tcPr>
          <w:p w14:paraId="295EA22F"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3.568 </w:t>
            </w:r>
          </w:p>
        </w:tc>
        <w:tc>
          <w:tcPr>
            <w:tcW w:w="602" w:type="pct"/>
            <w:tcBorders>
              <w:top w:val="nil"/>
              <w:left w:val="nil"/>
              <w:bottom w:val="nil"/>
              <w:right w:val="nil"/>
            </w:tcBorders>
            <w:shd w:val="clear" w:color="auto" w:fill="auto"/>
            <w:noWrap/>
            <w:vAlign w:val="center"/>
            <w:hideMark/>
          </w:tcPr>
          <w:p w14:paraId="2E80B8FF"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40.078 </w:t>
            </w:r>
          </w:p>
        </w:tc>
        <w:tc>
          <w:tcPr>
            <w:tcW w:w="602" w:type="pct"/>
            <w:tcBorders>
              <w:top w:val="nil"/>
              <w:left w:val="nil"/>
              <w:bottom w:val="nil"/>
              <w:right w:val="nil"/>
            </w:tcBorders>
            <w:shd w:val="clear" w:color="auto" w:fill="auto"/>
            <w:noWrap/>
            <w:vAlign w:val="center"/>
            <w:hideMark/>
          </w:tcPr>
          <w:p w14:paraId="1B45D2E6"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        </w:t>
            </w:r>
          </w:p>
        </w:tc>
        <w:tc>
          <w:tcPr>
            <w:tcW w:w="520" w:type="pct"/>
            <w:tcBorders>
              <w:top w:val="nil"/>
              <w:left w:val="nil"/>
              <w:bottom w:val="nil"/>
              <w:right w:val="nil"/>
            </w:tcBorders>
            <w:shd w:val="clear" w:color="auto" w:fill="auto"/>
            <w:noWrap/>
            <w:vAlign w:val="center"/>
            <w:hideMark/>
          </w:tcPr>
          <w:p w14:paraId="60B8873D"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-91,1%</w:t>
            </w:r>
          </w:p>
        </w:tc>
        <w:tc>
          <w:tcPr>
            <w:tcW w:w="519" w:type="pct"/>
            <w:tcBorders>
              <w:top w:val="nil"/>
              <w:left w:val="nil"/>
              <w:bottom w:val="nil"/>
              <w:right w:val="nil"/>
            </w:tcBorders>
            <w:shd w:val="clear" w:color="auto" w:fill="auto"/>
            <w:noWrap/>
            <w:vAlign w:val="center"/>
            <w:hideMark/>
          </w:tcPr>
          <w:p w14:paraId="22290627"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100,0%</w:t>
            </w:r>
          </w:p>
        </w:tc>
      </w:tr>
      <w:tr w:rsidR="00D65A82" w:rsidRPr="00D65A82" w14:paraId="0FF3A150" w14:textId="77777777" w:rsidTr="00505643">
        <w:trPr>
          <w:trHeight w:val="238"/>
        </w:trPr>
        <w:tc>
          <w:tcPr>
            <w:tcW w:w="2154" w:type="pct"/>
            <w:tcBorders>
              <w:top w:val="nil"/>
              <w:left w:val="nil"/>
              <w:bottom w:val="nil"/>
              <w:right w:val="nil"/>
            </w:tcBorders>
            <w:shd w:val="clear" w:color="auto" w:fill="auto"/>
            <w:noWrap/>
            <w:vAlign w:val="center"/>
            <w:hideMark/>
          </w:tcPr>
          <w:p w14:paraId="4C3DE607" w14:textId="77777777" w:rsidR="00D65A82" w:rsidRPr="00D65A82" w:rsidRDefault="00D65A82" w:rsidP="00D65A82">
            <w:pPr>
              <w:tabs>
                <w:tab w:val="clear" w:pos="851"/>
              </w:tabs>
              <w:spacing w:before="0" w:after="0" w:line="240" w:lineRule="auto"/>
              <w:jc w:val="left"/>
              <w:rPr>
                <w:rFonts w:ascii="Arial" w:hAnsi="Arial" w:cs="Arial"/>
                <w:color w:val="000000"/>
                <w:sz w:val="16"/>
                <w:szCs w:val="16"/>
                <w:lang w:eastAsia="pt-BR"/>
              </w:rPr>
            </w:pPr>
            <w:r w:rsidRPr="00D65A82">
              <w:rPr>
                <w:rFonts w:ascii="Arial" w:hAnsi="Arial" w:cs="Arial"/>
                <w:color w:val="000000"/>
                <w:sz w:val="16"/>
                <w:szCs w:val="16"/>
                <w:lang w:eastAsia="pt-BR"/>
              </w:rPr>
              <w:t>(+) Tributos sobre Superávit de Previdência Privada</w:t>
            </w:r>
          </w:p>
        </w:tc>
        <w:tc>
          <w:tcPr>
            <w:tcW w:w="602" w:type="pct"/>
            <w:tcBorders>
              <w:top w:val="nil"/>
              <w:left w:val="nil"/>
              <w:bottom w:val="nil"/>
              <w:right w:val="nil"/>
            </w:tcBorders>
            <w:shd w:val="clear" w:color="auto" w:fill="auto"/>
            <w:noWrap/>
            <w:vAlign w:val="center"/>
            <w:hideMark/>
          </w:tcPr>
          <w:p w14:paraId="7DAE80E4"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19.614 </w:t>
            </w:r>
          </w:p>
        </w:tc>
        <w:tc>
          <w:tcPr>
            <w:tcW w:w="602" w:type="pct"/>
            <w:tcBorders>
              <w:top w:val="nil"/>
              <w:left w:val="nil"/>
              <w:bottom w:val="nil"/>
              <w:right w:val="nil"/>
            </w:tcBorders>
            <w:shd w:val="clear" w:color="auto" w:fill="auto"/>
            <w:noWrap/>
            <w:vAlign w:val="center"/>
            <w:hideMark/>
          </w:tcPr>
          <w:p w14:paraId="2A93AFAD"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3.137 </w:t>
            </w:r>
          </w:p>
        </w:tc>
        <w:tc>
          <w:tcPr>
            <w:tcW w:w="602" w:type="pct"/>
            <w:tcBorders>
              <w:top w:val="nil"/>
              <w:left w:val="nil"/>
              <w:bottom w:val="nil"/>
              <w:right w:val="nil"/>
            </w:tcBorders>
            <w:shd w:val="clear" w:color="auto" w:fill="auto"/>
            <w:noWrap/>
            <w:vAlign w:val="center"/>
            <w:hideMark/>
          </w:tcPr>
          <w:p w14:paraId="7EC75BA2"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 xml:space="preserve">            -        </w:t>
            </w:r>
          </w:p>
        </w:tc>
        <w:tc>
          <w:tcPr>
            <w:tcW w:w="520" w:type="pct"/>
            <w:tcBorders>
              <w:top w:val="nil"/>
              <w:left w:val="nil"/>
              <w:bottom w:val="nil"/>
              <w:right w:val="nil"/>
            </w:tcBorders>
            <w:shd w:val="clear" w:color="auto" w:fill="auto"/>
            <w:noWrap/>
            <w:vAlign w:val="center"/>
            <w:hideMark/>
          </w:tcPr>
          <w:p w14:paraId="4113433F"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525,2%</w:t>
            </w:r>
          </w:p>
        </w:tc>
        <w:tc>
          <w:tcPr>
            <w:tcW w:w="519" w:type="pct"/>
            <w:tcBorders>
              <w:top w:val="nil"/>
              <w:left w:val="nil"/>
              <w:bottom w:val="nil"/>
              <w:right w:val="nil"/>
            </w:tcBorders>
            <w:shd w:val="clear" w:color="auto" w:fill="auto"/>
            <w:noWrap/>
            <w:vAlign w:val="center"/>
            <w:hideMark/>
          </w:tcPr>
          <w:p w14:paraId="1B07A939" w14:textId="77777777" w:rsidR="00D65A82" w:rsidRPr="00D65A82" w:rsidRDefault="00D65A82" w:rsidP="00D65A82">
            <w:pPr>
              <w:tabs>
                <w:tab w:val="clear" w:pos="851"/>
              </w:tabs>
              <w:spacing w:before="0" w:after="0" w:line="240" w:lineRule="auto"/>
              <w:jc w:val="right"/>
              <w:rPr>
                <w:rFonts w:ascii="Arial" w:hAnsi="Arial" w:cs="Arial"/>
                <w:color w:val="000000"/>
                <w:sz w:val="16"/>
                <w:szCs w:val="16"/>
                <w:lang w:eastAsia="pt-BR"/>
              </w:rPr>
            </w:pPr>
            <w:r w:rsidRPr="00D65A82">
              <w:rPr>
                <w:rFonts w:ascii="Arial" w:hAnsi="Arial" w:cs="Arial"/>
                <w:color w:val="000000"/>
                <w:sz w:val="16"/>
                <w:szCs w:val="16"/>
                <w:lang w:eastAsia="pt-BR"/>
              </w:rPr>
              <w:t>100,0%</w:t>
            </w:r>
          </w:p>
        </w:tc>
      </w:tr>
      <w:tr w:rsidR="00D65A82" w:rsidRPr="00D65A82" w14:paraId="22430E0E" w14:textId="77777777" w:rsidTr="00505643">
        <w:trPr>
          <w:trHeight w:val="238"/>
        </w:trPr>
        <w:tc>
          <w:tcPr>
            <w:tcW w:w="2154" w:type="pct"/>
            <w:tcBorders>
              <w:top w:val="single" w:sz="8" w:space="0" w:color="9BC2E6"/>
              <w:left w:val="nil"/>
              <w:bottom w:val="single" w:sz="8" w:space="0" w:color="9BC2E6"/>
              <w:right w:val="nil"/>
            </w:tcBorders>
            <w:shd w:val="clear" w:color="auto" w:fill="auto"/>
            <w:noWrap/>
            <w:vAlign w:val="center"/>
            <w:hideMark/>
          </w:tcPr>
          <w:p w14:paraId="108036FC"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EBITDA Ajustado</w:t>
            </w:r>
          </w:p>
        </w:tc>
        <w:tc>
          <w:tcPr>
            <w:tcW w:w="602" w:type="pct"/>
            <w:tcBorders>
              <w:top w:val="single" w:sz="8" w:space="0" w:color="9BC2E6"/>
              <w:left w:val="nil"/>
              <w:bottom w:val="single" w:sz="8" w:space="0" w:color="9BC2E6"/>
              <w:right w:val="nil"/>
            </w:tcBorders>
            <w:shd w:val="clear" w:color="auto" w:fill="auto"/>
            <w:noWrap/>
            <w:vAlign w:val="center"/>
            <w:hideMark/>
          </w:tcPr>
          <w:p w14:paraId="21CA0883"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98.069 </w:t>
            </w:r>
          </w:p>
        </w:tc>
        <w:tc>
          <w:tcPr>
            <w:tcW w:w="602" w:type="pct"/>
            <w:tcBorders>
              <w:top w:val="single" w:sz="8" w:space="0" w:color="9BC2E6"/>
              <w:left w:val="nil"/>
              <w:bottom w:val="single" w:sz="8" w:space="0" w:color="9BC2E6"/>
              <w:right w:val="nil"/>
            </w:tcBorders>
            <w:shd w:val="clear" w:color="auto" w:fill="auto"/>
            <w:noWrap/>
            <w:vAlign w:val="center"/>
            <w:hideMark/>
          </w:tcPr>
          <w:p w14:paraId="5EB54E73"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198.630 </w:t>
            </w:r>
          </w:p>
        </w:tc>
        <w:tc>
          <w:tcPr>
            <w:tcW w:w="602" w:type="pct"/>
            <w:tcBorders>
              <w:top w:val="single" w:sz="8" w:space="0" w:color="9BC2E6"/>
              <w:left w:val="nil"/>
              <w:bottom w:val="single" w:sz="8" w:space="0" w:color="9BC2E6"/>
              <w:right w:val="nil"/>
            </w:tcBorders>
            <w:shd w:val="clear" w:color="auto" w:fill="auto"/>
            <w:noWrap/>
            <w:vAlign w:val="center"/>
            <w:hideMark/>
          </w:tcPr>
          <w:p w14:paraId="6C8F68D7"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      190.500 </w:t>
            </w:r>
          </w:p>
        </w:tc>
        <w:tc>
          <w:tcPr>
            <w:tcW w:w="520" w:type="pct"/>
            <w:tcBorders>
              <w:top w:val="single" w:sz="8" w:space="0" w:color="9BC2E6"/>
              <w:left w:val="nil"/>
              <w:bottom w:val="single" w:sz="8" w:space="0" w:color="9BC2E6"/>
              <w:right w:val="nil"/>
            </w:tcBorders>
            <w:shd w:val="clear" w:color="auto" w:fill="auto"/>
            <w:noWrap/>
            <w:vAlign w:val="center"/>
            <w:hideMark/>
          </w:tcPr>
          <w:p w14:paraId="54B602DB"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-50,6%</w:t>
            </w:r>
          </w:p>
        </w:tc>
        <w:tc>
          <w:tcPr>
            <w:tcW w:w="519" w:type="pct"/>
            <w:tcBorders>
              <w:top w:val="single" w:sz="8" w:space="0" w:color="9BC2E6"/>
              <w:left w:val="nil"/>
              <w:bottom w:val="single" w:sz="8" w:space="0" w:color="9BC2E6"/>
              <w:right w:val="nil"/>
            </w:tcBorders>
            <w:shd w:val="clear" w:color="auto" w:fill="auto"/>
            <w:noWrap/>
            <w:vAlign w:val="center"/>
            <w:hideMark/>
          </w:tcPr>
          <w:p w14:paraId="6598640C"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-48,5%</w:t>
            </w:r>
          </w:p>
        </w:tc>
      </w:tr>
      <w:tr w:rsidR="00D65A82" w:rsidRPr="00D65A82" w14:paraId="7F52C0D8" w14:textId="77777777" w:rsidTr="00505643">
        <w:trPr>
          <w:trHeight w:val="238"/>
        </w:trPr>
        <w:tc>
          <w:tcPr>
            <w:tcW w:w="2154" w:type="pct"/>
            <w:tcBorders>
              <w:top w:val="nil"/>
              <w:left w:val="nil"/>
              <w:bottom w:val="single" w:sz="8" w:space="0" w:color="9BC2E6"/>
              <w:right w:val="nil"/>
            </w:tcBorders>
            <w:shd w:val="clear" w:color="auto" w:fill="auto"/>
            <w:noWrap/>
            <w:vAlign w:val="center"/>
            <w:hideMark/>
          </w:tcPr>
          <w:p w14:paraId="017F05EF"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Margem EBITDA</w:t>
            </w:r>
          </w:p>
        </w:tc>
        <w:tc>
          <w:tcPr>
            <w:tcW w:w="602" w:type="pct"/>
            <w:tcBorders>
              <w:top w:val="nil"/>
              <w:left w:val="nil"/>
              <w:bottom w:val="single" w:sz="8" w:space="0" w:color="9BC2E6"/>
              <w:right w:val="nil"/>
            </w:tcBorders>
            <w:shd w:val="clear" w:color="auto" w:fill="auto"/>
            <w:noWrap/>
            <w:vAlign w:val="center"/>
            <w:hideMark/>
          </w:tcPr>
          <w:p w14:paraId="011342F2"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69,6%</w:t>
            </w:r>
          </w:p>
        </w:tc>
        <w:tc>
          <w:tcPr>
            <w:tcW w:w="602" w:type="pct"/>
            <w:tcBorders>
              <w:top w:val="nil"/>
              <w:left w:val="nil"/>
              <w:bottom w:val="single" w:sz="8" w:space="0" w:color="9BC2E6"/>
              <w:right w:val="nil"/>
            </w:tcBorders>
            <w:shd w:val="clear" w:color="auto" w:fill="auto"/>
            <w:noWrap/>
            <w:vAlign w:val="center"/>
            <w:hideMark/>
          </w:tcPr>
          <w:p w14:paraId="5AFBFC54"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44,7%</w:t>
            </w:r>
          </w:p>
        </w:tc>
        <w:tc>
          <w:tcPr>
            <w:tcW w:w="602" w:type="pct"/>
            <w:tcBorders>
              <w:top w:val="nil"/>
              <w:left w:val="nil"/>
              <w:bottom w:val="single" w:sz="8" w:space="0" w:color="9BC2E6"/>
              <w:right w:val="nil"/>
            </w:tcBorders>
            <w:shd w:val="clear" w:color="auto" w:fill="auto"/>
            <w:noWrap/>
            <w:vAlign w:val="center"/>
            <w:hideMark/>
          </w:tcPr>
          <w:p w14:paraId="100C139F"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50,0%</w:t>
            </w:r>
          </w:p>
        </w:tc>
        <w:tc>
          <w:tcPr>
            <w:tcW w:w="520" w:type="pct"/>
            <w:tcBorders>
              <w:top w:val="nil"/>
              <w:left w:val="nil"/>
              <w:bottom w:val="single" w:sz="8" w:space="0" w:color="9BC2E6"/>
              <w:right w:val="nil"/>
            </w:tcBorders>
            <w:shd w:val="clear" w:color="auto" w:fill="auto"/>
            <w:noWrap/>
            <w:vAlign w:val="center"/>
            <w:hideMark/>
          </w:tcPr>
          <w:p w14:paraId="3A59719C"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55,7%</w:t>
            </w:r>
          </w:p>
        </w:tc>
        <w:tc>
          <w:tcPr>
            <w:tcW w:w="519" w:type="pct"/>
            <w:tcBorders>
              <w:top w:val="nil"/>
              <w:left w:val="nil"/>
              <w:bottom w:val="single" w:sz="8" w:space="0" w:color="9BC2E6"/>
              <w:right w:val="nil"/>
            </w:tcBorders>
            <w:shd w:val="clear" w:color="auto" w:fill="auto"/>
            <w:noWrap/>
            <w:vAlign w:val="center"/>
            <w:hideMark/>
          </w:tcPr>
          <w:p w14:paraId="14684604"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39,2%</w:t>
            </w:r>
          </w:p>
        </w:tc>
      </w:tr>
      <w:tr w:rsidR="00D65A82" w:rsidRPr="00D65A82" w14:paraId="5AAB5480" w14:textId="77777777" w:rsidTr="00505643">
        <w:trPr>
          <w:trHeight w:val="238"/>
        </w:trPr>
        <w:tc>
          <w:tcPr>
            <w:tcW w:w="2154" w:type="pct"/>
            <w:tcBorders>
              <w:top w:val="nil"/>
              <w:left w:val="nil"/>
              <w:bottom w:val="single" w:sz="8" w:space="0" w:color="9BC2E6"/>
              <w:right w:val="nil"/>
            </w:tcBorders>
            <w:shd w:val="clear" w:color="auto" w:fill="auto"/>
            <w:noWrap/>
            <w:vAlign w:val="center"/>
            <w:hideMark/>
          </w:tcPr>
          <w:p w14:paraId="24BD23EB" w14:textId="77777777" w:rsidR="00D65A82" w:rsidRPr="00D65A82" w:rsidRDefault="00D65A82" w:rsidP="00D65A82">
            <w:pPr>
              <w:tabs>
                <w:tab w:val="clear" w:pos="851"/>
              </w:tabs>
              <w:spacing w:before="0" w:after="0" w:line="240" w:lineRule="auto"/>
              <w:jc w:val="left"/>
              <w:rPr>
                <w:rFonts w:ascii="Arial" w:hAnsi="Arial" w:cs="Arial"/>
                <w:b/>
                <w:bCs/>
                <w:color w:val="000000"/>
                <w:sz w:val="16"/>
                <w:szCs w:val="16"/>
                <w:lang w:eastAsia="pt-BR"/>
              </w:rPr>
            </w:pPr>
            <w:r w:rsidRPr="00D65A82">
              <w:rPr>
                <w:rFonts w:ascii="Arial" w:hAnsi="Arial" w:cs="Arial"/>
                <w:b/>
                <w:bCs/>
                <w:color w:val="000000"/>
                <w:sz w:val="16"/>
                <w:szCs w:val="16"/>
                <w:lang w:eastAsia="pt-BR"/>
              </w:rPr>
              <w:t xml:space="preserve">Margem EBITDA Ajustado </w:t>
            </w:r>
          </w:p>
        </w:tc>
        <w:tc>
          <w:tcPr>
            <w:tcW w:w="602" w:type="pct"/>
            <w:tcBorders>
              <w:top w:val="nil"/>
              <w:left w:val="nil"/>
              <w:bottom w:val="single" w:sz="8" w:space="0" w:color="9BC2E6"/>
              <w:right w:val="nil"/>
            </w:tcBorders>
            <w:shd w:val="clear" w:color="auto" w:fill="auto"/>
            <w:noWrap/>
            <w:vAlign w:val="center"/>
            <w:hideMark/>
          </w:tcPr>
          <w:p w14:paraId="0717B52F"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23,7%</w:t>
            </w:r>
          </w:p>
        </w:tc>
        <w:tc>
          <w:tcPr>
            <w:tcW w:w="602" w:type="pct"/>
            <w:tcBorders>
              <w:top w:val="nil"/>
              <w:left w:val="nil"/>
              <w:bottom w:val="single" w:sz="8" w:space="0" w:color="9BC2E6"/>
              <w:right w:val="nil"/>
            </w:tcBorders>
            <w:shd w:val="clear" w:color="auto" w:fill="auto"/>
            <w:noWrap/>
            <w:vAlign w:val="center"/>
            <w:hideMark/>
          </w:tcPr>
          <w:p w14:paraId="338E7224"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47,7%</w:t>
            </w:r>
          </w:p>
        </w:tc>
        <w:tc>
          <w:tcPr>
            <w:tcW w:w="602" w:type="pct"/>
            <w:tcBorders>
              <w:top w:val="nil"/>
              <w:left w:val="nil"/>
              <w:bottom w:val="single" w:sz="8" w:space="0" w:color="9BC2E6"/>
              <w:right w:val="nil"/>
            </w:tcBorders>
            <w:shd w:val="clear" w:color="auto" w:fill="auto"/>
            <w:noWrap/>
            <w:vAlign w:val="center"/>
            <w:hideMark/>
          </w:tcPr>
          <w:p w14:paraId="7ABD8D0A"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54,8%</w:t>
            </w:r>
          </w:p>
        </w:tc>
        <w:tc>
          <w:tcPr>
            <w:tcW w:w="520" w:type="pct"/>
            <w:tcBorders>
              <w:top w:val="nil"/>
              <w:left w:val="nil"/>
              <w:bottom w:val="single" w:sz="8" w:space="0" w:color="9BC2E6"/>
              <w:right w:val="nil"/>
            </w:tcBorders>
            <w:shd w:val="clear" w:color="auto" w:fill="auto"/>
            <w:noWrap/>
            <w:vAlign w:val="center"/>
            <w:hideMark/>
          </w:tcPr>
          <w:p w14:paraId="54D8C127"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-50,3%</w:t>
            </w:r>
          </w:p>
        </w:tc>
        <w:tc>
          <w:tcPr>
            <w:tcW w:w="519" w:type="pct"/>
            <w:tcBorders>
              <w:top w:val="nil"/>
              <w:left w:val="nil"/>
              <w:bottom w:val="single" w:sz="8" w:space="0" w:color="9BC2E6"/>
              <w:right w:val="nil"/>
            </w:tcBorders>
            <w:shd w:val="clear" w:color="auto" w:fill="auto"/>
            <w:noWrap/>
            <w:vAlign w:val="center"/>
            <w:hideMark/>
          </w:tcPr>
          <w:p w14:paraId="1A76CD36" w14:textId="77777777" w:rsidR="00D65A82" w:rsidRPr="00D65A82" w:rsidRDefault="00D65A82" w:rsidP="00D65A82">
            <w:pPr>
              <w:tabs>
                <w:tab w:val="clear" w:pos="851"/>
              </w:tabs>
              <w:spacing w:before="0" w:after="0" w:line="240" w:lineRule="auto"/>
              <w:jc w:val="right"/>
              <w:rPr>
                <w:rFonts w:ascii="Arial" w:hAnsi="Arial" w:cs="Arial"/>
                <w:b/>
                <w:bCs/>
                <w:color w:val="000000"/>
                <w:sz w:val="16"/>
                <w:szCs w:val="16"/>
                <w:lang w:eastAsia="pt-BR"/>
              </w:rPr>
            </w:pPr>
            <w:r w:rsidRPr="00D65A82">
              <w:rPr>
                <w:rFonts w:ascii="Arial" w:hAnsi="Arial" w:cs="Arial"/>
                <w:b/>
                <w:bCs/>
                <w:color w:val="000000"/>
                <w:sz w:val="16"/>
                <w:szCs w:val="16"/>
                <w:lang w:eastAsia="pt-BR"/>
              </w:rPr>
              <w:t>-56,8%</w:t>
            </w:r>
          </w:p>
        </w:tc>
      </w:tr>
    </w:tbl>
    <w:p w14:paraId="67FFFB55" w14:textId="77777777" w:rsidR="00D65A82" w:rsidRDefault="00D65A82" w:rsidP="00D65A82">
      <w:pPr>
        <w:tabs>
          <w:tab w:val="clear" w:pos="851"/>
        </w:tabs>
        <w:spacing w:before="0" w:after="0" w:line="240" w:lineRule="auto"/>
        <w:jc w:val="left"/>
        <w:rPr>
          <w:rFonts w:eastAsia="Calibri"/>
          <w:sz w:val="22"/>
        </w:rPr>
      </w:pPr>
    </w:p>
    <w:p w14:paraId="4AF94D34" w14:textId="3FE5A537" w:rsidR="00D65A82" w:rsidRPr="00D65A82" w:rsidRDefault="00D65A82" w:rsidP="0065694B">
      <w:pPr>
        <w:tabs>
          <w:tab w:val="clear" w:pos="851"/>
        </w:tabs>
        <w:spacing w:before="0" w:after="0" w:line="240" w:lineRule="auto"/>
        <w:rPr>
          <w:rFonts w:eastAsia="Calibri"/>
          <w:sz w:val="22"/>
        </w:rPr>
      </w:pPr>
      <w:r w:rsidRPr="00D65A82">
        <w:rPr>
          <w:rFonts w:eastAsia="Calibri"/>
          <w:sz w:val="22"/>
        </w:rPr>
        <w:t>O EBITDA não é uma medida definida pelas práticas contábeis internacionais (IFRS) e representa o lucro / (prejuízo) antes do pagamento de juros, imposto de renda e contribuição social, depreciação e amortização. A Companhia divulga seu EBITDA Ajustado, conforme Instrução CVM N° 527, de 4 de outubro de 2012, e estes ajustes incluem a adição/exclusão do Resultado de Equivalência Patrimonial, da Depreciação e das Despesas Financeiras originadas  das alterações do CPC 6(R2) / IFRS 16 – Operações de Arrendamento Mercantil e Outros Eventos não Recorrentes que possam vir a ocorrer no curso dos negócios da Companhia, para proporcionar melhores informações sobre sua capacidade de pagamento de dívidas, manutenção de seus investimentos e possibilidade de cobertura de suas necessidades de capital de giro. Ambas as medidas desse agregado (EBITDA e EBITDA Ajustado) não devem ser consideradas como alternativas ao Lucro Operacional e ao Fluxo de Caixa Operacional, quando utilizados como indicador de liquidez. Destaca-se ainda que o EBITDA Ajustado pode não ser comparável com o mesmo indicador divulgado por outras empresas.</w:t>
      </w:r>
    </w:p>
    <w:p w14:paraId="5913A5AC" w14:textId="77777777" w:rsidR="00D65A82" w:rsidRPr="00D65A82" w:rsidRDefault="00D65A82" w:rsidP="0065694B">
      <w:pPr>
        <w:tabs>
          <w:tab w:val="clear" w:pos="851"/>
        </w:tabs>
        <w:spacing w:before="0" w:after="0" w:line="240" w:lineRule="auto"/>
        <w:rPr>
          <w:rFonts w:eastAsia="Calibri"/>
          <w:sz w:val="22"/>
        </w:rPr>
      </w:pPr>
    </w:p>
    <w:p w14:paraId="61C792E5" w14:textId="77777777" w:rsidR="00D65A82" w:rsidRPr="00D65A82" w:rsidRDefault="00D65A82" w:rsidP="0065694B">
      <w:pPr>
        <w:tabs>
          <w:tab w:val="clear" w:pos="851"/>
        </w:tabs>
        <w:spacing w:before="0" w:after="0" w:line="240" w:lineRule="auto"/>
        <w:rPr>
          <w:rFonts w:eastAsia="Calibri"/>
          <w:sz w:val="22"/>
        </w:rPr>
      </w:pPr>
      <w:r w:rsidRPr="00D65A82">
        <w:rPr>
          <w:rFonts w:eastAsia="Calibri"/>
          <w:sz w:val="22"/>
        </w:rPr>
        <w:t xml:space="preserve">No exercício de 2024, o EBITDA Ajustado da Telebras foi positivo no valor de R$ 98,1 milhões (R$ 198,6 milhões em 2023 e R$ 190,5 milhões em 2022), queda de 50,6% e 48,5%, respectivamente, entre os anos comparados. A justificativa para essa diminuição foram os seguintes eventos: i) redução das Subvenções do Orçamentárias para pagamento dos gastos com pessoal, outros custeios em 34,1% e 34,4% em relação aos anos de 2023 e 2022; e ii) aumento dos Custos e Despesas Operacionais em 3,0% e 22,8%, na comparação entre os anos de 2023 e 2022. </w:t>
      </w:r>
    </w:p>
    <w:p w14:paraId="405B4C1C" w14:textId="77777777" w:rsidR="00D65A82" w:rsidRPr="00D65A82" w:rsidRDefault="00D65A82" w:rsidP="00D65A82">
      <w:pPr>
        <w:tabs>
          <w:tab w:val="clear" w:pos="851"/>
        </w:tabs>
        <w:spacing w:before="0" w:after="0" w:line="240" w:lineRule="auto"/>
        <w:jc w:val="left"/>
        <w:rPr>
          <w:rFonts w:eastAsia="Calibri"/>
          <w:sz w:val="22"/>
        </w:rPr>
      </w:pPr>
    </w:p>
    <w:p w14:paraId="09839DC0" w14:textId="77777777" w:rsidR="00D65A82" w:rsidRPr="00D65A82" w:rsidRDefault="00D65A82" w:rsidP="00D65A82">
      <w:pPr>
        <w:tabs>
          <w:tab w:val="clear" w:pos="851"/>
        </w:tabs>
        <w:spacing w:before="0" w:after="0" w:line="240" w:lineRule="auto"/>
        <w:jc w:val="left"/>
        <w:rPr>
          <w:rFonts w:eastAsia="Calibri"/>
          <w:sz w:val="22"/>
        </w:rPr>
      </w:pPr>
      <w:r w:rsidRPr="00D65A82">
        <w:rPr>
          <w:rFonts w:eastAsia="Calibri"/>
          <w:sz w:val="22"/>
        </w:rPr>
        <w:t xml:space="preserve">A Margem EBITDA Ajustada em 2024 foi de 23,7% (47,7% em 2023 e 54,8% em 2022), redução de 50,3% e 56,8%, respectivamente. </w:t>
      </w:r>
    </w:p>
    <w:p w14:paraId="19477E7B" w14:textId="77777777" w:rsidR="00D65A82" w:rsidRPr="00D65A82" w:rsidRDefault="00D65A82" w:rsidP="00D65A82">
      <w:pPr>
        <w:tabs>
          <w:tab w:val="clear" w:pos="851"/>
        </w:tabs>
        <w:spacing w:before="0" w:after="0" w:line="240" w:lineRule="auto"/>
        <w:jc w:val="left"/>
        <w:rPr>
          <w:rFonts w:eastAsia="Calibri"/>
          <w:sz w:val="22"/>
        </w:rPr>
      </w:pPr>
    </w:p>
    <w:p w14:paraId="66CC0335" w14:textId="6A620F1A" w:rsidR="00D65A82" w:rsidRPr="00D65A82" w:rsidRDefault="00D65A82" w:rsidP="00D65A82">
      <w:pPr>
        <w:tabs>
          <w:tab w:val="clear" w:pos="851"/>
        </w:tabs>
        <w:spacing w:before="0" w:after="0" w:line="240" w:lineRule="auto"/>
        <w:jc w:val="left"/>
        <w:rPr>
          <w:rFonts w:eastAsia="Calibri"/>
          <w:sz w:val="22"/>
        </w:rPr>
      </w:pPr>
      <w:r w:rsidRPr="00D65A82">
        <w:rPr>
          <w:rFonts w:eastAsia="Calibri"/>
          <w:sz w:val="22"/>
        </w:rPr>
        <w:t>Desconsiderando o efeito das Subvenções Orçamentárias Rece</w:t>
      </w:r>
      <w:r w:rsidR="002D1CE9">
        <w:rPr>
          <w:rFonts w:eastAsia="Calibri"/>
          <w:sz w:val="22"/>
        </w:rPr>
        <w:t>bidas (R$ 158,4 milhões em 2024</w:t>
      </w:r>
      <w:r w:rsidRPr="00D65A82">
        <w:rPr>
          <w:rFonts w:eastAsia="Calibri"/>
          <w:sz w:val="22"/>
        </w:rPr>
        <w:t xml:space="preserve"> – R$ 240,2 milhões em 2023 e R$ 241,5 milhões em 2022) do cálculo do EBITDA Ajustado, teríamos um EBITDA negativo em 2024 de R$ 60,3 milhões (R$ 41,6 milhões negativo em 2023 e R$ 51,0 milhões em 2022), e uma Margem EBITIDA Ajustada de -14,6%, -10,0% e -14,7%, respectivamente. </w:t>
      </w:r>
    </w:p>
    <w:p w14:paraId="39C0269C" w14:textId="164E5D1F" w:rsidR="003C6A32" w:rsidRPr="00D44CF4" w:rsidRDefault="003C6A32" w:rsidP="000C16E8">
      <w:pPr>
        <w:spacing w:line="240" w:lineRule="auto"/>
        <w:rPr>
          <w:rFonts w:eastAsia="Calibri"/>
          <w:sz w:val="22"/>
        </w:rPr>
      </w:pPr>
    </w:p>
    <w:p w14:paraId="0779A0BF" w14:textId="23BA02B6" w:rsidR="484B8F82" w:rsidRPr="003D7F9A" w:rsidRDefault="484B8F82" w:rsidP="005E0485">
      <w:pPr>
        <w:pStyle w:val="Ttulo2"/>
        <w:spacing w:before="240" w:line="276" w:lineRule="auto"/>
        <w:ind w:left="567" w:hanging="510"/>
      </w:pPr>
      <w:bookmarkStart w:id="21" w:name="_Toc191641875"/>
      <w:r w:rsidRPr="003D7F9A">
        <w:t>Execução Orçamentária</w:t>
      </w:r>
      <w:bookmarkEnd w:id="21"/>
    </w:p>
    <w:p w14:paraId="342FC14E" w14:textId="7A0093FB" w:rsidR="003D7F9A" w:rsidRPr="003D7F9A" w:rsidRDefault="003D7F9A" w:rsidP="003D7F9A">
      <w:pPr>
        <w:spacing w:line="240" w:lineRule="auto"/>
        <w:rPr>
          <w:rFonts w:eastAsia="Calibri"/>
          <w:sz w:val="22"/>
        </w:rPr>
      </w:pPr>
      <w:r w:rsidRPr="003D7F9A">
        <w:rPr>
          <w:rFonts w:eastAsia="Calibri"/>
          <w:sz w:val="22"/>
        </w:rPr>
        <w:t>Em 2024, com a continuidade da Telebras no Orçamento Fiscal e da Seguridade Social da União, as operações foram registradas nos sistemas governamentais SIAFI e SIOP, conforme a Lei nº 14.822/2024. Os dados, compatíveis com o SIAFI, foram extraídos do portal Siga-Brasil.</w:t>
      </w:r>
    </w:p>
    <w:p w14:paraId="7A49B8C9" w14:textId="20A61738" w:rsidR="004C1ABF" w:rsidRPr="003D7F9A" w:rsidRDefault="003D7F9A" w:rsidP="003D7F9A">
      <w:pPr>
        <w:spacing w:line="240" w:lineRule="auto"/>
        <w:rPr>
          <w:rFonts w:eastAsia="Calibri"/>
          <w:sz w:val="22"/>
        </w:rPr>
      </w:pPr>
      <w:r w:rsidRPr="003D7F9A">
        <w:rPr>
          <w:rFonts w:eastAsia="Calibri"/>
          <w:sz w:val="22"/>
        </w:rPr>
        <w:t>A execução orçamentária neste exercício foi viabilizada pelos valores aprovados em 22 de janeiro de 2024 na Lei nº 14.822 (LOA 2024) e suas alterações, e os inscritos em restos a pagar não processados e processados.</w:t>
      </w:r>
    </w:p>
    <w:p w14:paraId="2FD48E86" w14:textId="6F629457" w:rsidR="484B8F82" w:rsidRPr="003D7F9A" w:rsidRDefault="484B8F82" w:rsidP="005E0485">
      <w:pPr>
        <w:pStyle w:val="Ttulo3"/>
        <w:ind w:left="709" w:hanging="709"/>
      </w:pPr>
      <w:bookmarkStart w:id="22" w:name="_Toc191641876"/>
      <w:r w:rsidRPr="003D7F9A">
        <w:t>Execução da Receita Pública por Categoria Econômica</w:t>
      </w:r>
      <w:bookmarkEnd w:id="22"/>
    </w:p>
    <w:p w14:paraId="2634BE33" w14:textId="07A9050B" w:rsidR="003D7F9A" w:rsidRPr="00C00EF0" w:rsidRDefault="003D7F9A" w:rsidP="00C00EF0">
      <w:pPr>
        <w:spacing w:line="240" w:lineRule="auto"/>
        <w:rPr>
          <w:rFonts w:eastAsia="Calibri"/>
          <w:sz w:val="22"/>
        </w:rPr>
      </w:pPr>
      <w:r w:rsidRPr="00E1371C">
        <w:rPr>
          <w:rFonts w:eastAsia="Calibri"/>
          <w:sz w:val="22"/>
        </w:rPr>
        <w:t>A receita líquida arrecadada foi de R$ 469,0 milhões, proveniente principalmente da prestação de serviço ao G</w:t>
      </w:r>
      <w:r w:rsidRPr="00C00EF0">
        <w:rPr>
          <w:rFonts w:eastAsia="Calibri"/>
          <w:sz w:val="22"/>
        </w:rPr>
        <w:t>overno e ao setor privado, além de receitas financeiras do superávit da Fundação Sistel de Seguridade Social (Sistel) que administra os planos de previdência dos colaboradores efetivos da Telebras. Em acordo firmado entre a Telebras e a Sistel, esta realizou os repasses, mensalmente, de valores decorrentes de superávit financeiro dos Planos “PBS-A referente ao ano de 2018 e PBS-Telebras referente aos de 2014 e 2015.</w:t>
      </w:r>
    </w:p>
    <w:p w14:paraId="50716772" w14:textId="77777777" w:rsidR="003D7F9A" w:rsidRPr="00C00EF0" w:rsidRDefault="003D7F9A" w:rsidP="00C00EF0">
      <w:pPr>
        <w:spacing w:line="240" w:lineRule="auto"/>
        <w:rPr>
          <w:rFonts w:eastAsia="Calibri"/>
          <w:sz w:val="22"/>
        </w:rPr>
      </w:pPr>
      <w:r w:rsidRPr="00C00EF0">
        <w:rPr>
          <w:rFonts w:eastAsia="Calibri"/>
          <w:sz w:val="22"/>
        </w:rPr>
        <w:t>A arrecadação foi impactada pela limitação financeira de clientes federais, especialmente o GESAC, não atingindo as expectativas.</w:t>
      </w:r>
    </w:p>
    <w:p w14:paraId="1267FC3F" w14:textId="0F50A167" w:rsidR="00F3700B" w:rsidRPr="00505643" w:rsidRDefault="003D7F9A">
      <w:pPr>
        <w:spacing w:line="276" w:lineRule="auto"/>
        <w:jc w:val="center"/>
        <w:rPr>
          <w:rFonts w:eastAsia="Calibri" w:cs="Arial"/>
          <w:sz w:val="22"/>
        </w:rPr>
      </w:pPr>
      <w:r>
        <w:rPr>
          <w:noProof/>
          <w:lang w:eastAsia="pt-BR"/>
        </w:rPr>
        <w:drawing>
          <wp:inline distT="0" distB="0" distL="0" distR="0" wp14:anchorId="4519BBCD" wp14:editId="07467F5E">
            <wp:extent cx="3187700" cy="1244600"/>
            <wp:effectExtent l="0" t="0" r="0" b="0"/>
            <wp:docPr id="1"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7700" cy="1244600"/>
                    </a:xfrm>
                    <a:prstGeom prst="rect">
                      <a:avLst/>
                    </a:prstGeom>
                    <a:noFill/>
                    <a:ln>
                      <a:noFill/>
                    </a:ln>
                  </pic:spPr>
                </pic:pic>
              </a:graphicData>
            </a:graphic>
          </wp:inline>
        </w:drawing>
      </w:r>
    </w:p>
    <w:p w14:paraId="59525104" w14:textId="1D3BBAA1" w:rsidR="77E856B3" w:rsidRPr="003D7F9A" w:rsidRDefault="00F3700B" w:rsidP="00F3700B">
      <w:pPr>
        <w:pStyle w:val="Legenda"/>
        <w:rPr>
          <w:rFonts w:ascii="Calibri" w:hAnsi="Calibri"/>
        </w:rPr>
      </w:pPr>
      <w:bookmarkStart w:id="23" w:name="_Toc191643415"/>
      <w:r w:rsidRPr="003D7F9A">
        <w:t xml:space="preserve">Tabela </w:t>
      </w:r>
      <w:r w:rsidR="005A4170" w:rsidRPr="00505643">
        <w:fldChar w:fldCharType="begin"/>
      </w:r>
      <w:r w:rsidR="005A4170" w:rsidRPr="003D7F9A">
        <w:instrText xml:space="preserve"> STYLEREF 1 \s </w:instrText>
      </w:r>
      <w:r w:rsidR="005A4170" w:rsidRPr="00505643">
        <w:fldChar w:fldCharType="separate"/>
      </w:r>
      <w:r w:rsidR="009A3F6E">
        <w:rPr>
          <w:noProof/>
        </w:rPr>
        <w:t>3</w:t>
      </w:r>
      <w:r w:rsidR="005A4170" w:rsidRPr="00505643">
        <w:rPr>
          <w:noProof/>
        </w:rPr>
        <w:fldChar w:fldCharType="end"/>
      </w:r>
      <w:r w:rsidR="000E20B4" w:rsidRPr="003D7F9A">
        <w:noBreakHyphen/>
      </w:r>
      <w:r w:rsidR="005A4170" w:rsidRPr="00505643">
        <w:fldChar w:fldCharType="begin"/>
      </w:r>
      <w:r w:rsidR="005A4170" w:rsidRPr="003D7F9A">
        <w:instrText xml:space="preserve"> SEQ Tabela \* ARABIC \s 1 </w:instrText>
      </w:r>
      <w:r w:rsidR="005A4170" w:rsidRPr="00505643">
        <w:fldChar w:fldCharType="separate"/>
      </w:r>
      <w:r w:rsidR="009A3F6E">
        <w:rPr>
          <w:noProof/>
        </w:rPr>
        <w:t>1</w:t>
      </w:r>
      <w:r w:rsidR="005A4170" w:rsidRPr="00505643">
        <w:rPr>
          <w:noProof/>
        </w:rPr>
        <w:fldChar w:fldCharType="end"/>
      </w:r>
      <w:r w:rsidRPr="003D7F9A">
        <w:t xml:space="preserve"> Receita Prevista x Arrecadada</w:t>
      </w:r>
      <w:bookmarkEnd w:id="23"/>
    </w:p>
    <w:p w14:paraId="2C37C058" w14:textId="02F88BE3" w:rsidR="484B8F82" w:rsidRPr="003D7F9A" w:rsidRDefault="484B8F82" w:rsidP="005E0485">
      <w:pPr>
        <w:pStyle w:val="Ttulo3"/>
        <w:ind w:left="709" w:hanging="709"/>
      </w:pPr>
      <w:bookmarkStart w:id="24" w:name="_Toc191641877"/>
      <w:r w:rsidRPr="003D7F9A">
        <w:t>Execução da Despesa Pública por Categoria Econômica</w:t>
      </w:r>
      <w:bookmarkEnd w:id="24"/>
    </w:p>
    <w:p w14:paraId="567257C3" w14:textId="1171221F" w:rsidR="004B0EAB" w:rsidRPr="004B0EAB" w:rsidRDefault="004B0EAB" w:rsidP="004B0EAB">
      <w:pPr>
        <w:spacing w:before="120" w:line="240" w:lineRule="auto"/>
        <w:rPr>
          <w:rFonts w:eastAsia="Calibri"/>
          <w:sz w:val="22"/>
        </w:rPr>
      </w:pPr>
      <w:r w:rsidRPr="004B0EAB">
        <w:rPr>
          <w:rFonts w:eastAsia="Calibri"/>
          <w:sz w:val="22"/>
        </w:rPr>
        <w:t>Primeiramente, faz-se necessário explicar o que é executar o Orçamento Público para as unidades orçamentárias inseridas no Orçamento Fiscal. Executar o orçamento é realizar as despesas públicas nele previstas, seguindo à risca os três estágios da execução das despesas expressos na Lei nº 4.320/64: empenho, liquidação e pagamento. Abaixo estão detalhadas as despesas por categoria econômica:</w:t>
      </w:r>
    </w:p>
    <w:p w14:paraId="27DAC7C9" w14:textId="4E95F5D8" w:rsidR="004C1ABF" w:rsidRPr="003D7F9A" w:rsidRDefault="004C1ABF" w:rsidP="004C1ABF">
      <w:pPr>
        <w:spacing w:before="120" w:line="240" w:lineRule="auto"/>
        <w:rPr>
          <w:rFonts w:eastAsia="Calibri"/>
          <w:sz w:val="22"/>
        </w:rPr>
      </w:pPr>
    </w:p>
    <w:p w14:paraId="035A3863" w14:textId="3CCCDCB6" w:rsidR="004C1ABF" w:rsidRPr="00505643" w:rsidRDefault="004B0EAB" w:rsidP="008A7AF1">
      <w:pPr>
        <w:spacing w:before="120" w:line="240" w:lineRule="auto"/>
        <w:rPr>
          <w:rFonts w:eastAsia="Calibri"/>
          <w:sz w:val="22"/>
        </w:rPr>
      </w:pPr>
      <w:r>
        <w:rPr>
          <w:noProof/>
          <w:lang w:eastAsia="pt-BR"/>
        </w:rPr>
        <w:drawing>
          <wp:inline distT="0" distB="0" distL="0" distR="0" wp14:anchorId="654A26BD" wp14:editId="1210E2F6">
            <wp:extent cx="5760720" cy="1371600"/>
            <wp:effectExtent l="0" t="0" r="0" b="0"/>
            <wp:docPr id="4" name="Imagem 4"/>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rotWithShape="1">
                    <a:blip r:embed="rId16">
                      <a:extLst>
                        <a:ext uri="{28A0092B-C50C-407E-A947-70E740481C1C}">
                          <a14:useLocalDpi xmlns:a14="http://schemas.microsoft.com/office/drawing/2010/main" val="0"/>
                        </a:ext>
                      </a:extLst>
                    </a:blip>
                    <a:srcRect t="3240" b="3456"/>
                    <a:stretch/>
                  </pic:blipFill>
                  <pic:spPr bwMode="auto">
                    <a:xfrm>
                      <a:off x="0" y="0"/>
                      <a:ext cx="576072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157A679B" w14:textId="7AE15DC1" w:rsidR="00397635" w:rsidRPr="003D7F9A" w:rsidRDefault="00531E99" w:rsidP="005371E9">
      <w:pPr>
        <w:pStyle w:val="Legenda"/>
        <w:rPr>
          <w:rFonts w:eastAsia="Calibri"/>
        </w:rPr>
      </w:pPr>
      <w:bookmarkStart w:id="25" w:name="_Toc191643416"/>
      <w:r w:rsidRPr="003D7F9A">
        <w:t xml:space="preserve">Tabela </w:t>
      </w:r>
      <w:r w:rsidR="005A4170" w:rsidRPr="00505643">
        <w:rPr>
          <w:bCs w:val="0"/>
        </w:rPr>
        <w:fldChar w:fldCharType="begin"/>
      </w:r>
      <w:r w:rsidR="005A4170" w:rsidRPr="003D7F9A">
        <w:instrText xml:space="preserve"> STYLEREF 1 \s </w:instrText>
      </w:r>
      <w:r w:rsidR="005A4170" w:rsidRPr="00505643">
        <w:rPr>
          <w:bCs w:val="0"/>
        </w:rPr>
        <w:fldChar w:fldCharType="separate"/>
      </w:r>
      <w:r w:rsidR="009A3F6E">
        <w:rPr>
          <w:noProof/>
        </w:rPr>
        <w:t>3</w:t>
      </w:r>
      <w:r w:rsidR="005A4170" w:rsidRPr="00505643">
        <w:rPr>
          <w:bCs w:val="0"/>
          <w:noProof/>
        </w:rPr>
        <w:fldChar w:fldCharType="end"/>
      </w:r>
      <w:r w:rsidRPr="003D7F9A">
        <w:noBreakHyphen/>
      </w:r>
      <w:r w:rsidR="005A4170" w:rsidRPr="00505643">
        <w:rPr>
          <w:bCs w:val="0"/>
        </w:rPr>
        <w:fldChar w:fldCharType="begin"/>
      </w:r>
      <w:r w:rsidR="005A4170" w:rsidRPr="003D7F9A">
        <w:instrText xml:space="preserve"> SEQ Tabela \* ARABIC \s 1 </w:instrText>
      </w:r>
      <w:r w:rsidR="005A4170" w:rsidRPr="00505643">
        <w:rPr>
          <w:bCs w:val="0"/>
        </w:rPr>
        <w:fldChar w:fldCharType="separate"/>
      </w:r>
      <w:r w:rsidR="009A3F6E">
        <w:rPr>
          <w:noProof/>
        </w:rPr>
        <w:t>2</w:t>
      </w:r>
      <w:r w:rsidR="005A4170" w:rsidRPr="00505643">
        <w:rPr>
          <w:bCs w:val="0"/>
          <w:noProof/>
        </w:rPr>
        <w:fldChar w:fldCharType="end"/>
      </w:r>
      <w:r w:rsidRPr="003D7F9A">
        <w:t xml:space="preserve"> Execução da Despesa por Categoria Econômica</w:t>
      </w:r>
      <w:bookmarkEnd w:id="25"/>
    </w:p>
    <w:p w14:paraId="1A788E77" w14:textId="089CCCAC" w:rsidR="004C1ABF" w:rsidRPr="003D7F9A" w:rsidRDefault="004B0EAB" w:rsidP="004C1ABF">
      <w:pPr>
        <w:spacing w:before="120" w:line="240" w:lineRule="auto"/>
        <w:rPr>
          <w:rFonts w:eastAsia="Calibri" w:cs="Arial"/>
          <w:sz w:val="22"/>
        </w:rPr>
      </w:pPr>
      <w:r w:rsidRPr="004B0EAB">
        <w:rPr>
          <w:rFonts w:eastAsia="Calibri" w:cs="Arial"/>
          <w:sz w:val="22"/>
        </w:rPr>
        <w:t>Para o exercício de 2024, a Telebras foi autorizada a executar R$ 852,34 milhões de recursos orçamentários. No ano, a empresa empenhou R$ 570,69 milhões, que representam 99,56% do orçamento disponível, sem considerar a Reserva de Contingência. O empenho é o primeiro estágio da despesa e pode ser conceituado como sendo o ato emanado de autoridade competente que cria para o Estado a obrigação de pagamento, pendente, ou não, de implemento de condição. Do valor total empenhado, foram pagos R$ 502,26 milhões. Observa-se que uma parcela significativa dos gastos está relacionada às Despesas Correntes que visam a manutenção e o funcionamento dos serviços públicos em geral de atendimento às políticas públicas.</w:t>
      </w:r>
    </w:p>
    <w:p w14:paraId="36E1B8E9" w14:textId="30C9772E" w:rsidR="00924527" w:rsidRPr="003D7F9A" w:rsidRDefault="004B0EAB" w:rsidP="005371E9">
      <w:pPr>
        <w:spacing w:before="120" w:line="240" w:lineRule="auto"/>
        <w:ind w:left="-567"/>
        <w:jc w:val="center"/>
        <w:rPr>
          <w:rFonts w:eastAsia="Calibri" w:cs="Arial"/>
          <w:sz w:val="22"/>
        </w:rPr>
      </w:pPr>
      <w:r>
        <w:rPr>
          <w:noProof/>
          <w:lang w:eastAsia="pt-BR"/>
        </w:rPr>
        <w:drawing>
          <wp:inline distT="0" distB="0" distL="0" distR="0" wp14:anchorId="1E2DBB12" wp14:editId="6428FFEF">
            <wp:extent cx="5760720" cy="5657850"/>
            <wp:effectExtent l="0" t="0" r="0" b="0"/>
            <wp:docPr id="17" name="Imagem 17"/>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657850"/>
                    </a:xfrm>
                    <a:prstGeom prst="rect">
                      <a:avLst/>
                    </a:prstGeom>
                    <a:noFill/>
                    <a:ln>
                      <a:noFill/>
                    </a:ln>
                  </pic:spPr>
                </pic:pic>
              </a:graphicData>
            </a:graphic>
          </wp:inline>
        </w:drawing>
      </w:r>
    </w:p>
    <w:p w14:paraId="5477C352" w14:textId="2D1C5F06" w:rsidR="00552CA8" w:rsidRPr="003D7F9A" w:rsidRDefault="00531E99" w:rsidP="005371E9">
      <w:pPr>
        <w:pStyle w:val="Legenda"/>
        <w:rPr>
          <w:rFonts w:eastAsia="Calibri"/>
        </w:rPr>
      </w:pPr>
      <w:bookmarkStart w:id="26" w:name="_Toc191643417"/>
      <w:r w:rsidRPr="003D7F9A">
        <w:t xml:space="preserve">Tabela </w:t>
      </w:r>
      <w:r w:rsidR="005A4170" w:rsidRPr="00505643">
        <w:rPr>
          <w:bCs w:val="0"/>
        </w:rPr>
        <w:fldChar w:fldCharType="begin"/>
      </w:r>
      <w:r w:rsidR="005A4170" w:rsidRPr="003D7F9A">
        <w:instrText xml:space="preserve"> STYLEREF 1 \s </w:instrText>
      </w:r>
      <w:r w:rsidR="005A4170" w:rsidRPr="00505643">
        <w:rPr>
          <w:bCs w:val="0"/>
        </w:rPr>
        <w:fldChar w:fldCharType="separate"/>
      </w:r>
      <w:r w:rsidR="009A3F6E">
        <w:rPr>
          <w:noProof/>
        </w:rPr>
        <w:t>3</w:t>
      </w:r>
      <w:r w:rsidR="005A4170" w:rsidRPr="00505643">
        <w:rPr>
          <w:bCs w:val="0"/>
          <w:noProof/>
        </w:rPr>
        <w:fldChar w:fldCharType="end"/>
      </w:r>
      <w:r w:rsidRPr="003D7F9A">
        <w:noBreakHyphen/>
      </w:r>
      <w:r w:rsidR="005A4170" w:rsidRPr="00505643">
        <w:rPr>
          <w:bCs w:val="0"/>
        </w:rPr>
        <w:fldChar w:fldCharType="begin"/>
      </w:r>
      <w:r w:rsidR="005A4170" w:rsidRPr="003D7F9A">
        <w:instrText xml:space="preserve"> SEQ Tabela \* ARABIC \s 1 </w:instrText>
      </w:r>
      <w:r w:rsidR="005A4170" w:rsidRPr="00505643">
        <w:rPr>
          <w:bCs w:val="0"/>
        </w:rPr>
        <w:fldChar w:fldCharType="separate"/>
      </w:r>
      <w:r w:rsidR="009A3F6E">
        <w:rPr>
          <w:noProof/>
        </w:rPr>
        <w:t>3</w:t>
      </w:r>
      <w:r w:rsidR="005A4170" w:rsidRPr="00505643">
        <w:rPr>
          <w:bCs w:val="0"/>
          <w:noProof/>
        </w:rPr>
        <w:fldChar w:fldCharType="end"/>
      </w:r>
      <w:r w:rsidRPr="003D7F9A">
        <w:t xml:space="preserve"> Ações Orçamentárias</w:t>
      </w:r>
      <w:r w:rsidR="00BC2D37" w:rsidRPr="003D7F9A">
        <w:t xml:space="preserve"> de 202</w:t>
      </w:r>
      <w:r w:rsidR="004B0EAB">
        <w:t>4</w:t>
      </w:r>
      <w:bookmarkEnd w:id="26"/>
    </w:p>
    <w:p w14:paraId="315A0079" w14:textId="6B4BAD79" w:rsidR="004B0EAB" w:rsidRPr="004B0EAB" w:rsidRDefault="004B0EAB" w:rsidP="004B0EAB">
      <w:pPr>
        <w:spacing w:before="120" w:line="240" w:lineRule="auto"/>
        <w:rPr>
          <w:rFonts w:eastAsia="Calibri" w:cs="Arial"/>
          <w:sz w:val="22"/>
        </w:rPr>
      </w:pPr>
      <w:r w:rsidRPr="004B0EAB">
        <w:rPr>
          <w:rFonts w:eastAsia="Calibri" w:cs="Arial"/>
          <w:sz w:val="22"/>
        </w:rPr>
        <w:t xml:space="preserve">As ações orçamentárias utilizadas em 2024 foram: </w:t>
      </w:r>
    </w:p>
    <w:p w14:paraId="64D0EBC3" w14:textId="77777777" w:rsidR="004B0EAB" w:rsidRPr="004B0EAB" w:rsidRDefault="004B0EAB" w:rsidP="004B0EAB">
      <w:pPr>
        <w:spacing w:before="120" w:line="240" w:lineRule="auto"/>
        <w:rPr>
          <w:rFonts w:eastAsia="Calibri" w:cs="Arial"/>
          <w:sz w:val="22"/>
        </w:rPr>
      </w:pPr>
      <w:r w:rsidRPr="004B0EAB">
        <w:rPr>
          <w:rFonts w:eastAsia="Calibri" w:cs="Arial"/>
          <w:b/>
          <w:sz w:val="22"/>
        </w:rPr>
        <w:t>Ação 20TP - Ativos Civis da União:</w:t>
      </w:r>
      <w:r w:rsidRPr="004B0EAB">
        <w:rPr>
          <w:rFonts w:eastAsia="Calibri" w:cs="Arial"/>
          <w:sz w:val="22"/>
        </w:rPr>
        <w:t xml:space="preserve"> Se refere ao cumprimento dos compromissos com a folha de pagamento dos empregados ativos civis da Telebras. As despesas englobam os vencimentos, contribuições, ressarcimentos, indenizações e outras despesas variáveis. </w:t>
      </w:r>
    </w:p>
    <w:p w14:paraId="3DF17CD8" w14:textId="77777777" w:rsidR="004B0EAB" w:rsidRPr="004B0EAB" w:rsidRDefault="004B0EAB" w:rsidP="004B0EAB">
      <w:pPr>
        <w:spacing w:before="120" w:line="240" w:lineRule="auto"/>
        <w:rPr>
          <w:rFonts w:eastAsia="Calibri" w:cs="Arial"/>
          <w:sz w:val="22"/>
        </w:rPr>
      </w:pPr>
      <w:r w:rsidRPr="004B0EAB">
        <w:rPr>
          <w:rFonts w:eastAsia="Calibri" w:cs="Arial"/>
          <w:b/>
          <w:sz w:val="22"/>
        </w:rPr>
        <w:t>Ação 212B - Benefícios Obrigatórios aos Servidores Civis, Empregados, Militares e seus Dependentes:</w:t>
      </w:r>
      <w:r w:rsidRPr="004B0EAB">
        <w:rPr>
          <w:rFonts w:eastAsia="Calibri" w:cs="Arial"/>
          <w:sz w:val="22"/>
        </w:rPr>
        <w:t xml:space="preserve"> Despesas como auxílio alimentação, auxílio transporte e auxílio creche.</w:t>
      </w:r>
    </w:p>
    <w:p w14:paraId="744F3E9C" w14:textId="77777777" w:rsidR="004B0EAB" w:rsidRPr="004B0EAB" w:rsidRDefault="004B0EAB" w:rsidP="004B0EAB">
      <w:pPr>
        <w:spacing w:before="120" w:line="240" w:lineRule="auto"/>
        <w:rPr>
          <w:rFonts w:eastAsia="Calibri" w:cs="Arial"/>
          <w:sz w:val="22"/>
        </w:rPr>
      </w:pPr>
      <w:r w:rsidRPr="004B0EAB">
        <w:rPr>
          <w:rFonts w:eastAsia="Calibri" w:cs="Arial"/>
          <w:b/>
          <w:sz w:val="22"/>
        </w:rPr>
        <w:t>Ação 2004 - Assistência Médica e Odontológica aos Servidores Civis, Empregados, Militares e seus Dependentes</w:t>
      </w:r>
      <w:r w:rsidRPr="004B0EAB">
        <w:rPr>
          <w:rFonts w:eastAsia="Calibri" w:cs="Arial"/>
          <w:sz w:val="22"/>
        </w:rPr>
        <w:t>: Concessão, em caráter suplementar, do benefício de assistência médico hospitalar e odontológica aos empregados, ativos e inativos, dependentes e pensionistas.</w:t>
      </w:r>
    </w:p>
    <w:p w14:paraId="1F21E634" w14:textId="77777777" w:rsidR="004B0EAB" w:rsidRPr="004B0EAB" w:rsidRDefault="004B0EAB" w:rsidP="004B0EAB">
      <w:pPr>
        <w:spacing w:before="120" w:line="240" w:lineRule="auto"/>
        <w:rPr>
          <w:rFonts w:eastAsia="Calibri" w:cs="Arial"/>
          <w:sz w:val="22"/>
        </w:rPr>
      </w:pPr>
      <w:r w:rsidRPr="004B0EAB">
        <w:rPr>
          <w:rFonts w:eastAsia="Calibri" w:cs="Arial"/>
          <w:b/>
          <w:sz w:val="22"/>
        </w:rPr>
        <w:t>Ação 0022 - Sentenças Judiciais Devidas por Empresas Estatais:</w:t>
      </w:r>
      <w:r w:rsidRPr="004B0EAB">
        <w:rPr>
          <w:rFonts w:eastAsia="Calibri" w:cs="Arial"/>
          <w:sz w:val="22"/>
        </w:rPr>
        <w:t xml:space="preserve"> Refere-se ao pagamento de despesas decorrentes do cumprimento de decisões judiciais, devidas por Empresas Públicas e Sociedades de Economia Mista. </w:t>
      </w:r>
    </w:p>
    <w:p w14:paraId="7289125C" w14:textId="77777777" w:rsidR="004B0EAB" w:rsidRPr="004B0EAB" w:rsidRDefault="004B0EAB" w:rsidP="004B0EAB">
      <w:pPr>
        <w:spacing w:before="120" w:line="240" w:lineRule="auto"/>
        <w:rPr>
          <w:rFonts w:eastAsia="Calibri" w:cs="Arial"/>
          <w:sz w:val="22"/>
        </w:rPr>
      </w:pPr>
      <w:r w:rsidRPr="004B0EAB">
        <w:rPr>
          <w:rFonts w:eastAsia="Calibri" w:cs="Arial"/>
          <w:b/>
          <w:sz w:val="22"/>
        </w:rPr>
        <w:t>Ação 0283 - Amortização e Encargos de Financiamento da Dívida Contratual Interna:</w:t>
      </w:r>
      <w:r w:rsidRPr="004B0EAB">
        <w:rPr>
          <w:rFonts w:eastAsia="Calibri" w:cs="Arial"/>
          <w:sz w:val="22"/>
        </w:rPr>
        <w:t xml:space="preserve"> Visa a amortização e o pagamento de juros do financiamento firmado com a FINEP, Financiadora de Estudos e Projetos, destinado ao Projeto do Satélite Geoestacionário de Defesa e Comunicações, SGDC. </w:t>
      </w:r>
    </w:p>
    <w:p w14:paraId="0F92397A" w14:textId="77777777" w:rsidR="004B0EAB" w:rsidRPr="004B0EAB" w:rsidRDefault="004B0EAB" w:rsidP="004B0EAB">
      <w:pPr>
        <w:spacing w:before="120" w:line="240" w:lineRule="auto"/>
        <w:rPr>
          <w:rFonts w:eastAsia="Calibri" w:cs="Arial"/>
          <w:sz w:val="22"/>
        </w:rPr>
      </w:pPr>
      <w:r w:rsidRPr="004B0EAB">
        <w:rPr>
          <w:rFonts w:eastAsia="Calibri" w:cs="Arial"/>
          <w:b/>
          <w:sz w:val="22"/>
        </w:rPr>
        <w:t>Ação 15UI - Implantação da Infraestrutura para a Prestação de Serviço de Comunicação de Dados para Inclusão Digital:</w:t>
      </w:r>
      <w:r w:rsidRPr="004B0EAB">
        <w:rPr>
          <w:rFonts w:eastAsia="Calibri" w:cs="Arial"/>
          <w:sz w:val="22"/>
        </w:rPr>
        <w:t xml:space="preserve"> Visa proporcionar o acesso à Internet em banda larga aos cidadãos, instituições, Governo, entidades da sociedade civil e empresas. Expandir a cobertura do serviço, elevar a velocidade de transmissão e reduzir o preço final para o consumidor. Para isso, o Governo Federal instituiu o </w:t>
      </w:r>
      <w:r w:rsidRPr="004B0EAB">
        <w:rPr>
          <w:rFonts w:eastAsia="Calibri" w:cs="Arial"/>
          <w:i/>
          <w:sz w:val="22"/>
        </w:rPr>
        <w:t>Programa Conecta Brasil</w:t>
      </w:r>
      <w:r w:rsidRPr="004B0EAB">
        <w:rPr>
          <w:rFonts w:eastAsia="Calibri" w:cs="Arial"/>
          <w:sz w:val="22"/>
        </w:rPr>
        <w:t>, mediante o Decreto nº 9.612, de 17 de dezembro de 2018. O principal objetivo é massificar o acesso à Internet em banda larga para os cidadãos, instituições do Governo, entidades da sociedade civil e empresas.</w:t>
      </w:r>
    </w:p>
    <w:p w14:paraId="77B3C014" w14:textId="77777777" w:rsidR="004B0EAB" w:rsidRPr="004B0EAB" w:rsidRDefault="004B0EAB" w:rsidP="004B0EAB">
      <w:pPr>
        <w:spacing w:before="120" w:line="240" w:lineRule="auto"/>
        <w:rPr>
          <w:rFonts w:eastAsia="Calibri" w:cs="Arial"/>
          <w:sz w:val="22"/>
        </w:rPr>
      </w:pPr>
      <w:r w:rsidRPr="004B0EAB">
        <w:rPr>
          <w:rFonts w:eastAsia="Calibri" w:cs="Arial"/>
          <w:b/>
          <w:sz w:val="22"/>
        </w:rPr>
        <w:t>Ação 21C8 - Operação da Infraestrutura da Rede de Serviço de Comunicação de Dados do Programa Conecta Brasil:</w:t>
      </w:r>
      <w:r w:rsidRPr="004B0EAB">
        <w:rPr>
          <w:rFonts w:eastAsia="Calibri" w:cs="Arial"/>
          <w:sz w:val="22"/>
        </w:rPr>
        <w:t xml:space="preserve"> Visa a disponibilização e fornecimento dos serviços de comunicação multimídia contratados pelos clientes da Telebras, em observância às políticas públicas de telecomunicações e a finalidade e missão institucional da Telebras.</w:t>
      </w:r>
    </w:p>
    <w:p w14:paraId="45DCB966" w14:textId="77777777" w:rsidR="004B0EAB" w:rsidRPr="004B0EAB" w:rsidRDefault="004B0EAB" w:rsidP="004B0EAB">
      <w:pPr>
        <w:spacing w:before="120" w:line="240" w:lineRule="auto"/>
        <w:rPr>
          <w:rFonts w:eastAsia="Calibri" w:cs="Arial"/>
          <w:sz w:val="22"/>
        </w:rPr>
      </w:pPr>
      <w:r w:rsidRPr="004B0EAB">
        <w:rPr>
          <w:rFonts w:eastAsia="Calibri" w:cs="Arial"/>
          <w:b/>
          <w:sz w:val="22"/>
        </w:rPr>
        <w:t>Ação 2000 - Administração da Unidade:</w:t>
      </w:r>
      <w:r w:rsidRPr="004B0EAB">
        <w:rPr>
          <w:rFonts w:eastAsia="Calibri" w:cs="Arial"/>
          <w:sz w:val="22"/>
        </w:rPr>
        <w:t xml:space="preserve"> Visa agregar as despesas que não são passíveis de apropriação em ações finalísticas, com fornecimento de produtos e serviços e demais atividades-meio necessárias à gestão e à administração da unidade. Nesta Ação constam as despesas com obrigações tributárias, tecnologia da informação e comunicação, serviços de terceiros, diárias e passagens, materiais e consultorias.</w:t>
      </w:r>
    </w:p>
    <w:p w14:paraId="3FC15AE4" w14:textId="77777777" w:rsidR="004B0EAB" w:rsidRPr="004B0EAB" w:rsidRDefault="004B0EAB" w:rsidP="004B0EAB">
      <w:pPr>
        <w:spacing w:before="120" w:line="240" w:lineRule="auto"/>
        <w:rPr>
          <w:rFonts w:eastAsia="Calibri" w:cs="Arial"/>
          <w:sz w:val="22"/>
        </w:rPr>
      </w:pPr>
      <w:r w:rsidRPr="004B0EAB">
        <w:rPr>
          <w:rFonts w:eastAsia="Calibri" w:cs="Arial"/>
          <w:b/>
          <w:sz w:val="22"/>
        </w:rPr>
        <w:t>Ação 216H - Ajuda de Custo para Moradia ou Auxílio-Moradia a Agentes Públicos:</w:t>
      </w:r>
      <w:r w:rsidRPr="004B0EAB">
        <w:rPr>
          <w:rFonts w:eastAsia="Calibri" w:cs="Arial"/>
          <w:sz w:val="22"/>
        </w:rPr>
        <w:t xml:space="preserve"> Visa a ajuda de custo para moradia ou auxílio-moradia.</w:t>
      </w:r>
    </w:p>
    <w:p w14:paraId="77C8B8B0" w14:textId="77777777" w:rsidR="004B0EAB" w:rsidRPr="004B0EAB" w:rsidRDefault="004B0EAB" w:rsidP="004B0EAB">
      <w:pPr>
        <w:spacing w:before="120" w:line="240" w:lineRule="auto"/>
        <w:rPr>
          <w:rFonts w:eastAsia="Calibri" w:cs="Arial"/>
          <w:sz w:val="22"/>
        </w:rPr>
      </w:pPr>
      <w:r w:rsidRPr="004B0EAB">
        <w:rPr>
          <w:rFonts w:eastAsia="Calibri" w:cs="Arial"/>
          <w:b/>
          <w:sz w:val="22"/>
        </w:rPr>
        <w:t>Ação 0Z00 - Reserva de Contingência Financeira:</w:t>
      </w:r>
      <w:r w:rsidRPr="004B0EAB">
        <w:rPr>
          <w:rFonts w:eastAsia="Calibri" w:cs="Arial"/>
          <w:sz w:val="22"/>
        </w:rPr>
        <w:t xml:space="preserve"> Conforme Decreto Lei nº 200, de 25/2/1967, a Reserva de Contingência é uma dotação global e pode ser utilizada para abrir créditos adicionais, contudo a Reserva de Contingência conforme art. 5º da LRF – Lei de Responsabilidade Fiscal – destina-se à cobertura de passivos contingentes e outros riscos e eventos fiscais imprevistos.</w:t>
      </w:r>
    </w:p>
    <w:p w14:paraId="6A622C4D" w14:textId="77777777" w:rsidR="004B0EAB" w:rsidRPr="004B0EAB" w:rsidRDefault="004B0EAB" w:rsidP="004B0EAB">
      <w:pPr>
        <w:spacing w:before="120" w:line="240" w:lineRule="auto"/>
        <w:rPr>
          <w:rFonts w:eastAsia="Calibri" w:cs="Arial"/>
          <w:b/>
          <w:sz w:val="22"/>
        </w:rPr>
      </w:pPr>
      <w:r w:rsidRPr="004B0EAB">
        <w:rPr>
          <w:rFonts w:eastAsia="Calibri" w:cs="Arial"/>
          <w:b/>
          <w:sz w:val="22"/>
        </w:rPr>
        <w:t xml:space="preserve">Ação 162Q - Implantação de Infraestrutura de Comunicações: </w:t>
      </w:r>
      <w:r w:rsidRPr="004B0EAB">
        <w:rPr>
          <w:rFonts w:eastAsia="Calibri" w:cs="Arial"/>
          <w:sz w:val="22"/>
        </w:rPr>
        <w:t>Execução de projetos de suporte à implantação e expansão de infraestrutura de comunicações do país, alinhados à política pública de telecomunicações. Os investimentos atendem às diretrizes de uma política pública contínua e efetiva de inclusão digital da população, quesito indispensável e contemporâneo da melhoria da qualidade de vida dos cidadãos.</w:t>
      </w:r>
    </w:p>
    <w:p w14:paraId="534A6342" w14:textId="77777777" w:rsidR="004B0EAB" w:rsidRPr="004B0EAB" w:rsidRDefault="004B0EAB" w:rsidP="004B0EAB">
      <w:pPr>
        <w:spacing w:before="120" w:line="240" w:lineRule="auto"/>
        <w:rPr>
          <w:rFonts w:eastAsia="Calibri" w:cs="Arial"/>
          <w:sz w:val="22"/>
        </w:rPr>
      </w:pPr>
      <w:r w:rsidRPr="004B0EAB">
        <w:rPr>
          <w:rFonts w:eastAsia="Calibri" w:cs="Arial"/>
          <w:b/>
          <w:sz w:val="22"/>
        </w:rPr>
        <w:t>Ação 20V8 - Apoio a Iniciativas e Projetos de Inclusão Digital:</w:t>
      </w:r>
      <w:r w:rsidRPr="004B0EAB">
        <w:rPr>
          <w:rFonts w:eastAsia="Calibri" w:cs="Arial"/>
          <w:sz w:val="22"/>
        </w:rPr>
        <w:t xml:space="preserve"> Fortalecimento do Sistema Nacional a partir de projetos de interiorização de Infovias Digitais no estado do Maranhão com o provimento de conectividade a diversas instituições do setor público no Maranhão através de parceria do Ministério das Comunicações, governo do estado do Maranhão e provedores de internet da região com o estado, através da construção de Redes Metropolitanas e trechos de longa distância (</w:t>
      </w:r>
      <w:r w:rsidRPr="004B0EAB">
        <w:rPr>
          <w:rFonts w:eastAsia="Calibri" w:cs="Arial"/>
          <w:i/>
          <w:sz w:val="22"/>
        </w:rPr>
        <w:t>Backhaul</w:t>
      </w:r>
      <w:r w:rsidRPr="004B0EAB">
        <w:rPr>
          <w:rFonts w:eastAsia="Calibri" w:cs="Arial"/>
          <w:sz w:val="22"/>
        </w:rPr>
        <w:t>) a partir do Backbone Telebras.</w:t>
      </w:r>
    </w:p>
    <w:p w14:paraId="67CEBA49" w14:textId="77777777" w:rsidR="004B0EAB" w:rsidRPr="004B0EAB" w:rsidRDefault="004B0EAB" w:rsidP="004B0EAB">
      <w:pPr>
        <w:spacing w:before="120" w:line="240" w:lineRule="auto"/>
        <w:rPr>
          <w:rFonts w:eastAsia="Calibri" w:cs="Arial"/>
          <w:sz w:val="22"/>
        </w:rPr>
      </w:pPr>
      <w:r w:rsidRPr="004B0EAB">
        <w:rPr>
          <w:rFonts w:eastAsia="Calibri" w:cs="Arial"/>
          <w:sz w:val="22"/>
        </w:rPr>
        <w:t>A Telebras recebeu no exercício de 2024 o TED - Termo de Execução Descentralizada, Ações 162Q e 20V8, que trata do instrumento por meio do qual é ajustada a descentralização de créditos entre órgãos e/ou entidades integrantes dos Orçamentos Fiscal e da Seguridade Social da União, para execução de ações de interesse da unidade orçamentária descentralizadora, nos termos estabelecidos no plano de trabalho.</w:t>
      </w:r>
    </w:p>
    <w:p w14:paraId="00CD5E29" w14:textId="77777777" w:rsidR="004B0EAB" w:rsidRPr="004B0EAB" w:rsidRDefault="004B0EAB" w:rsidP="004B0EAB">
      <w:pPr>
        <w:spacing w:before="120" w:line="240" w:lineRule="auto"/>
        <w:rPr>
          <w:rFonts w:eastAsia="Calibri" w:cs="Arial"/>
          <w:sz w:val="22"/>
        </w:rPr>
      </w:pPr>
      <w:r w:rsidRPr="004B0EAB">
        <w:rPr>
          <w:rFonts w:eastAsia="Calibri" w:cs="Arial"/>
          <w:sz w:val="22"/>
        </w:rPr>
        <w:t>Os TEDs firmados entre a Telebras e o Ministério das Comunicações – MCOM, têm como objetivos o fortalecimento do Sistema Nacional a partir de projetos de interiorização de Infovias Digitais no Estado do Maranhão e a implementação do Projeto de Solução de conectividade via satélite para conexão à Internet Banda Larga.</w:t>
      </w:r>
    </w:p>
    <w:p w14:paraId="2A19AEEB" w14:textId="7CF78B39" w:rsidR="484B8F82" w:rsidRDefault="004B0EAB" w:rsidP="004B0EAB">
      <w:pPr>
        <w:spacing w:before="120" w:line="240" w:lineRule="auto"/>
        <w:rPr>
          <w:rFonts w:eastAsia="Calibri" w:cs="Arial"/>
          <w:sz w:val="22"/>
        </w:rPr>
      </w:pPr>
      <w:r w:rsidRPr="004B0EAB">
        <w:rPr>
          <w:rFonts w:eastAsia="Calibri" w:cs="Arial"/>
          <w:sz w:val="22"/>
        </w:rPr>
        <w:t>Como os destaques dos recursos foram feitos em dezembro de 2024, foi possível firmar os contratos e emitir as notas de empenho. As liquidações e pagamentos deverão ocorrer a partir do exercício de 2025.</w:t>
      </w:r>
    </w:p>
    <w:p w14:paraId="1493F0BB" w14:textId="7E789B92" w:rsidR="00EE0C9C" w:rsidRDefault="00EE0C9C" w:rsidP="002B5AA0">
      <w:pPr>
        <w:spacing w:before="120" w:line="240" w:lineRule="auto"/>
        <w:rPr>
          <w:rFonts w:eastAsia="Calibri" w:cs="Arial"/>
          <w:sz w:val="22"/>
        </w:rPr>
      </w:pPr>
      <w:r w:rsidRPr="00EE0C9C">
        <w:rPr>
          <w:rFonts w:eastAsia="Calibri" w:cs="Arial"/>
          <w:sz w:val="22"/>
        </w:rPr>
        <w:t xml:space="preserve">Além disso, em 2024, a Telebras enfrentou limitações orçamentárias, bem como a redução das subvenções </w:t>
      </w:r>
      <w:r w:rsidR="00AC3993">
        <w:rPr>
          <w:rFonts w:eastAsia="Calibri" w:cs="Arial"/>
          <w:sz w:val="22"/>
        </w:rPr>
        <w:t xml:space="preserve">de custeio e pessoal </w:t>
      </w:r>
      <w:r w:rsidRPr="00EE0C9C">
        <w:rPr>
          <w:rFonts w:eastAsia="Calibri" w:cs="Arial"/>
          <w:sz w:val="22"/>
        </w:rPr>
        <w:t xml:space="preserve">em aproximadamente 34%, passando de </w:t>
      </w:r>
      <w:r>
        <w:rPr>
          <w:rFonts w:eastAsia="Calibri" w:cs="Arial"/>
          <w:sz w:val="22"/>
        </w:rPr>
        <w:t>R$</w:t>
      </w:r>
      <w:r w:rsidRPr="00EE0C9C">
        <w:rPr>
          <w:rFonts w:eastAsia="Calibri" w:cs="Arial"/>
          <w:sz w:val="22"/>
        </w:rPr>
        <w:t>240</w:t>
      </w:r>
      <w:r>
        <w:rPr>
          <w:rFonts w:eastAsia="Calibri" w:cs="Arial"/>
          <w:sz w:val="22"/>
        </w:rPr>
        <w:t>,1MM</w:t>
      </w:r>
      <w:r w:rsidRPr="00EE0C9C">
        <w:rPr>
          <w:rFonts w:eastAsia="Calibri" w:cs="Arial"/>
          <w:sz w:val="22"/>
        </w:rPr>
        <w:t xml:space="preserve"> em 2023 para </w:t>
      </w:r>
      <w:r>
        <w:rPr>
          <w:rFonts w:eastAsia="Calibri" w:cs="Arial"/>
          <w:sz w:val="22"/>
        </w:rPr>
        <w:t>R$</w:t>
      </w:r>
      <w:r w:rsidRPr="00EE0C9C">
        <w:rPr>
          <w:rFonts w:eastAsia="Calibri" w:cs="Arial"/>
          <w:sz w:val="22"/>
        </w:rPr>
        <w:t>158</w:t>
      </w:r>
      <w:r>
        <w:rPr>
          <w:rFonts w:eastAsia="Calibri" w:cs="Arial"/>
          <w:sz w:val="22"/>
        </w:rPr>
        <w:t>,</w:t>
      </w:r>
      <w:r w:rsidRPr="00EE0C9C">
        <w:rPr>
          <w:rFonts w:eastAsia="Calibri" w:cs="Arial"/>
          <w:sz w:val="22"/>
        </w:rPr>
        <w:t>4</w:t>
      </w:r>
      <w:r>
        <w:rPr>
          <w:rFonts w:eastAsia="Calibri" w:cs="Arial"/>
          <w:sz w:val="22"/>
        </w:rPr>
        <w:t>MM</w:t>
      </w:r>
      <w:r w:rsidRPr="00EE0C9C">
        <w:rPr>
          <w:rFonts w:eastAsia="Calibri" w:cs="Arial"/>
          <w:sz w:val="22"/>
        </w:rPr>
        <w:t xml:space="preserve"> em 2024, dificultando o cumprimento integral dos compromissos assumidos com fornecedores e prestadores de serviços, bem como o avanço de projetos estratégicos governamentais e da própria empresa.</w:t>
      </w:r>
    </w:p>
    <w:p w14:paraId="233EEC47" w14:textId="248B71A8" w:rsidR="002B5AA0" w:rsidRPr="002B5AA0" w:rsidRDefault="002B5AA0" w:rsidP="002B5AA0">
      <w:pPr>
        <w:spacing w:before="120" w:line="240" w:lineRule="auto"/>
        <w:rPr>
          <w:rFonts w:eastAsia="Calibri" w:cs="Arial"/>
          <w:sz w:val="22"/>
        </w:rPr>
      </w:pPr>
      <w:r w:rsidRPr="002B5AA0">
        <w:rPr>
          <w:rFonts w:eastAsia="Calibri" w:cs="Arial"/>
          <w:sz w:val="22"/>
        </w:rPr>
        <w:t>Ao longo do ano, a Telebras atuou junto ao Ministério das Comunicações (MCom), à Secretaria de Orçamento Federal (SOF/MPO) e à Junta de Execução Orçamentária (JEO) para obter a suplementação necessária ao equilíbrio das despesas planejadas. No entanto, os pleitos apresentados não foram atendidos. Diante desse cenário, a empresa criou um grupo de trabalho composto por representantes das quatro diretorias (Administrativa e de Relacionamento com Investidores, Técnico-Operacional, Comercial e Governança) para avaliar os impactos das restrições orçamentárias e financeiras, propor medidas para mitigá-los e identificar oportunidades de otimização de fluxos e processos.</w:t>
      </w:r>
    </w:p>
    <w:p w14:paraId="1E66EC82" w14:textId="77777777" w:rsidR="002B5AA0" w:rsidRPr="002B5AA0" w:rsidRDefault="002B5AA0" w:rsidP="002B5AA0">
      <w:pPr>
        <w:spacing w:before="120" w:line="240" w:lineRule="auto"/>
        <w:rPr>
          <w:rFonts w:eastAsia="Calibri" w:cs="Arial"/>
          <w:sz w:val="22"/>
        </w:rPr>
      </w:pPr>
      <w:r w:rsidRPr="002B5AA0">
        <w:rPr>
          <w:rFonts w:eastAsia="Calibri" w:cs="Arial"/>
          <w:sz w:val="22"/>
        </w:rPr>
        <w:t>Diante das limitações impostas, foi necessário redimensionar projetos e reavaliar prioridades, levando a empresa a solicitar o remanejamento orçamentário de despesas, garantindo assim a continuidade das operações e o atendimento aos clientes, buscando a sustentabilidade operacional. Como consequência, investimentos planejados para a ampliação da rede e o aumento da capacidade foram impactados, o que limitou o crescimento da carteira de clientes e o desenvolvimento de novas soluções.</w:t>
      </w:r>
    </w:p>
    <w:p w14:paraId="6ACE3664" w14:textId="2D755905" w:rsidR="002B5AA0" w:rsidRPr="003D7F9A" w:rsidRDefault="002B5AA0" w:rsidP="002B5AA0">
      <w:pPr>
        <w:spacing w:before="120" w:line="240" w:lineRule="auto"/>
        <w:rPr>
          <w:rFonts w:eastAsia="Calibri" w:cs="Arial"/>
          <w:sz w:val="22"/>
        </w:rPr>
      </w:pPr>
      <w:r w:rsidRPr="002B5AA0">
        <w:rPr>
          <w:rFonts w:eastAsia="Calibri" w:cs="Arial"/>
          <w:sz w:val="22"/>
        </w:rPr>
        <w:t>Mesmo com os desafios enfrentados ao longo de 2024, a Telebras manteve seu compromisso com a prestação de serviços de qualidade, garantindo a operação contínua da rede e o atendimento aos contratos firmados. A empresa também implementou medidas de eficiência para mitigar os impactos das restrições, assegurando a sustentabilidade operacional e financeira.</w:t>
      </w:r>
    </w:p>
    <w:p w14:paraId="580C8D66" w14:textId="10C4C0E0" w:rsidR="484B8F82" w:rsidRPr="003D7F9A" w:rsidRDefault="484B8F82" w:rsidP="00257659">
      <w:pPr>
        <w:pStyle w:val="Ttulo3"/>
        <w:spacing w:before="360" w:after="240"/>
        <w:ind w:left="709" w:hanging="709"/>
        <w:rPr>
          <w:rFonts w:eastAsiaTheme="minorEastAsia"/>
        </w:rPr>
      </w:pPr>
      <w:bookmarkStart w:id="27" w:name="_Toc191641878"/>
      <w:r w:rsidRPr="003D7F9A">
        <w:t>Execução dos Restos a Pagar (</w:t>
      </w:r>
      <w:r w:rsidR="007B48F1" w:rsidRPr="003D7F9A">
        <w:t xml:space="preserve">processados </w:t>
      </w:r>
      <w:r w:rsidRPr="003D7F9A">
        <w:t xml:space="preserve">e </w:t>
      </w:r>
      <w:r w:rsidR="007B48F1" w:rsidRPr="003D7F9A">
        <w:t>não processados</w:t>
      </w:r>
      <w:r w:rsidRPr="003D7F9A">
        <w:t>)</w:t>
      </w:r>
      <w:bookmarkEnd w:id="27"/>
    </w:p>
    <w:p w14:paraId="675647E4" w14:textId="3D9B5F01" w:rsidR="004B0EAB" w:rsidRPr="004B0EAB" w:rsidRDefault="004B0EAB" w:rsidP="004B0EAB">
      <w:pPr>
        <w:spacing w:before="120" w:line="240" w:lineRule="auto"/>
        <w:rPr>
          <w:rFonts w:eastAsia="Calibri"/>
          <w:sz w:val="22"/>
        </w:rPr>
      </w:pPr>
      <w:r w:rsidRPr="004B0EAB">
        <w:rPr>
          <w:rFonts w:eastAsia="Calibri"/>
          <w:sz w:val="22"/>
        </w:rPr>
        <w:t xml:space="preserve">A empresa inscreveu em Restos a Pagar (RAP) processados e não processados o montante de R$ 96,46 milhões. Desse total, R$ 12,97 milhões foram cancelados e R$ 75,03 milhões foram pagos em 2024, restando um saldo de RP de R$ 8,46 milhões. </w:t>
      </w:r>
    </w:p>
    <w:p w14:paraId="7410D6A2" w14:textId="77777777" w:rsidR="004B0EAB" w:rsidRPr="004B0EAB" w:rsidRDefault="004B0EAB" w:rsidP="004B0EAB">
      <w:pPr>
        <w:spacing w:before="120" w:line="240" w:lineRule="auto"/>
        <w:rPr>
          <w:rFonts w:eastAsia="Calibri"/>
          <w:sz w:val="22"/>
        </w:rPr>
      </w:pPr>
      <w:r w:rsidRPr="004B0EAB">
        <w:rPr>
          <w:rFonts w:eastAsia="Calibri"/>
          <w:sz w:val="22"/>
        </w:rPr>
        <w:t>As ações com valores pagos foram: 15UI, 15UJ, 21C8, 2000, 20TP, 212B e 2004. As três primeiras estão relacionadas com investimentos, manutenção da rede e do satélite. Já a Ação 2000 está relacionada com a parte administrativa, enquanto que as Ações 20TP, 212B e 2004 se referem à folha de pagamento de pessoal, benefícios obrigatórios e assistência médica e odontológica.</w:t>
      </w:r>
    </w:p>
    <w:p w14:paraId="308E5B60" w14:textId="2C0A7E8A" w:rsidR="00253E3B" w:rsidRPr="003D7F9A" w:rsidRDefault="00253E3B" w:rsidP="004B0EAB">
      <w:pPr>
        <w:spacing w:before="120" w:line="240" w:lineRule="auto"/>
        <w:rPr>
          <w:rFonts w:eastAsia="Calibri"/>
          <w:sz w:val="22"/>
        </w:rPr>
      </w:pPr>
    </w:p>
    <w:p w14:paraId="76478CF4" w14:textId="5A86D6FB" w:rsidR="004C1ABF" w:rsidRPr="00505643" w:rsidRDefault="004B0EAB" w:rsidP="005371E9">
      <w:pPr>
        <w:spacing w:before="120" w:line="240" w:lineRule="auto"/>
        <w:ind w:left="-709"/>
        <w:jc w:val="center"/>
        <w:rPr>
          <w:rFonts w:eastAsia="Calibri"/>
          <w:sz w:val="22"/>
        </w:rPr>
      </w:pPr>
      <w:r>
        <w:rPr>
          <w:noProof/>
          <w:lang w:eastAsia="pt-BR"/>
        </w:rPr>
        <w:drawing>
          <wp:inline distT="0" distB="0" distL="0" distR="0" wp14:anchorId="7057308A" wp14:editId="65A83AD8">
            <wp:extent cx="5760720" cy="4618990"/>
            <wp:effectExtent l="0" t="0" r="0" b="0"/>
            <wp:docPr id="19" name="Imagem 19"/>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618990"/>
                    </a:xfrm>
                    <a:prstGeom prst="rect">
                      <a:avLst/>
                    </a:prstGeom>
                    <a:noFill/>
                    <a:ln>
                      <a:noFill/>
                    </a:ln>
                  </pic:spPr>
                </pic:pic>
              </a:graphicData>
            </a:graphic>
          </wp:inline>
        </w:drawing>
      </w:r>
    </w:p>
    <w:p w14:paraId="796735C5" w14:textId="3E5485C3" w:rsidR="00531E99" w:rsidRPr="003D7F9A" w:rsidRDefault="00531E99" w:rsidP="00531E99">
      <w:pPr>
        <w:pStyle w:val="Legenda"/>
        <w:spacing w:before="120" w:after="0"/>
        <w:rPr>
          <w:rFonts w:ascii="Calibri" w:eastAsia="Calibri" w:hAnsi="Calibri" w:cs="Calibri"/>
          <w:color w:val="44546A"/>
        </w:rPr>
      </w:pPr>
      <w:bookmarkStart w:id="28" w:name="_Toc191643418"/>
      <w:r w:rsidRPr="003D7F9A">
        <w:t xml:space="preserve">Tabela </w:t>
      </w:r>
      <w:r w:rsidR="005A4170" w:rsidRPr="00505643">
        <w:fldChar w:fldCharType="begin"/>
      </w:r>
      <w:r w:rsidR="005A4170" w:rsidRPr="003D7F9A">
        <w:instrText xml:space="preserve"> STYLEREF 1 \s </w:instrText>
      </w:r>
      <w:r w:rsidR="005A4170" w:rsidRPr="00505643">
        <w:fldChar w:fldCharType="separate"/>
      </w:r>
      <w:r w:rsidR="009A3F6E">
        <w:rPr>
          <w:noProof/>
        </w:rPr>
        <w:t>3</w:t>
      </w:r>
      <w:r w:rsidR="005A4170" w:rsidRPr="00505643">
        <w:rPr>
          <w:noProof/>
        </w:rPr>
        <w:fldChar w:fldCharType="end"/>
      </w:r>
      <w:r w:rsidRPr="003D7F9A">
        <w:noBreakHyphen/>
      </w:r>
      <w:r w:rsidR="005A4170" w:rsidRPr="00505643">
        <w:fldChar w:fldCharType="begin"/>
      </w:r>
      <w:r w:rsidR="005A4170" w:rsidRPr="003D7F9A">
        <w:instrText xml:space="preserve"> SEQ Tabela \* ARABIC \s 1 </w:instrText>
      </w:r>
      <w:r w:rsidR="005A4170" w:rsidRPr="00505643">
        <w:fldChar w:fldCharType="separate"/>
      </w:r>
      <w:r w:rsidR="009A3F6E">
        <w:rPr>
          <w:noProof/>
        </w:rPr>
        <w:t>4</w:t>
      </w:r>
      <w:r w:rsidR="005A4170" w:rsidRPr="00505643">
        <w:rPr>
          <w:noProof/>
        </w:rPr>
        <w:fldChar w:fldCharType="end"/>
      </w:r>
      <w:r w:rsidRPr="003D7F9A">
        <w:t xml:space="preserve"> Execução dos Restos a Pagar</w:t>
      </w:r>
      <w:bookmarkEnd w:id="28"/>
      <w:r w:rsidRPr="003D7F9A">
        <w:rPr>
          <w:rFonts w:ascii="Calibri" w:eastAsia="Calibri" w:hAnsi="Calibri" w:cs="Calibri"/>
          <w:color w:val="44546A"/>
        </w:rPr>
        <w:t xml:space="preserve"> </w:t>
      </w:r>
    </w:p>
    <w:p w14:paraId="64D4F4B0" w14:textId="2BBD4957" w:rsidR="00EE2214" w:rsidRPr="003D7F9A" w:rsidRDefault="00EE2214">
      <w:pPr>
        <w:tabs>
          <w:tab w:val="clear" w:pos="851"/>
        </w:tabs>
        <w:spacing w:before="0" w:after="0" w:line="240" w:lineRule="auto"/>
        <w:jc w:val="left"/>
        <w:rPr>
          <w:rFonts w:eastAsia="Calibri"/>
        </w:rPr>
      </w:pPr>
      <w:r w:rsidRPr="003D7F9A">
        <w:rPr>
          <w:rFonts w:eastAsia="Calibri"/>
        </w:rPr>
        <w:br w:type="page"/>
      </w:r>
    </w:p>
    <w:p w14:paraId="3871DD2E" w14:textId="321480CF" w:rsidR="00EE2214" w:rsidRPr="003D7F9A" w:rsidRDefault="00EE2214" w:rsidP="00EE2214">
      <w:pPr>
        <w:pStyle w:val="Ttulo3"/>
        <w:spacing w:before="360" w:after="240"/>
        <w:ind w:left="709" w:hanging="709"/>
        <w:rPr>
          <w:rFonts w:eastAsiaTheme="minorEastAsia"/>
        </w:rPr>
      </w:pPr>
      <w:bookmarkStart w:id="29" w:name="_Toc191641879"/>
      <w:r w:rsidRPr="003D7F9A">
        <w:t>Execução de Pagamentos</w:t>
      </w:r>
      <w:bookmarkEnd w:id="29"/>
      <w:r w:rsidRPr="003D7F9A">
        <w:t xml:space="preserve"> </w:t>
      </w:r>
    </w:p>
    <w:p w14:paraId="662E7BFC" w14:textId="097C4D00" w:rsidR="00EE2214" w:rsidRPr="003D7F9A" w:rsidRDefault="004B0EAB" w:rsidP="00C00EF0">
      <w:pPr>
        <w:spacing w:line="240" w:lineRule="auto"/>
        <w:rPr>
          <w:rFonts w:eastAsia="Calibri"/>
        </w:rPr>
      </w:pPr>
      <w:r w:rsidRPr="00C00EF0">
        <w:rPr>
          <w:rFonts w:eastAsia="Calibri"/>
          <w:sz w:val="22"/>
        </w:rPr>
        <w:t>Em referência aos pagamentos das despesas correntes e de capital de 2024, incluindo Restos a Pagar, distribuídos entre Financeiras, Obrigatórias e Discricionárias, disponibiliza-se na tabela a seguir sua composição total do ano</w:t>
      </w:r>
      <w:r w:rsidR="00EE2214" w:rsidRPr="00505643">
        <w:rPr>
          <w:rFonts w:eastAsia="Calibri"/>
          <w:noProof/>
          <w:lang w:eastAsia="pt-BR"/>
        </w:rPr>
        <w:drawing>
          <wp:anchor distT="0" distB="0" distL="114300" distR="114300" simplePos="0" relativeHeight="251660291" behindDoc="0" locked="0" layoutInCell="1" allowOverlap="1" wp14:anchorId="559DA423" wp14:editId="32608873">
            <wp:simplePos x="0" y="0"/>
            <wp:positionH relativeFrom="margin">
              <wp:align>right</wp:align>
            </wp:positionH>
            <wp:positionV relativeFrom="paragraph">
              <wp:posOffset>865118</wp:posOffset>
            </wp:positionV>
            <wp:extent cx="5760720" cy="3444240"/>
            <wp:effectExtent l="0" t="0" r="0" b="381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444240"/>
                    </a:xfrm>
                    <a:prstGeom prst="rect">
                      <a:avLst/>
                    </a:prstGeom>
                    <a:noFill/>
                    <a:ln>
                      <a:noFill/>
                    </a:ln>
                  </pic:spPr>
                </pic:pic>
              </a:graphicData>
            </a:graphic>
          </wp:anchor>
        </w:drawing>
      </w:r>
      <w:r w:rsidR="00296699">
        <w:rPr>
          <w:rFonts w:eastAsia="Calibri"/>
          <w:sz w:val="22"/>
        </w:rPr>
        <w:t>.</w:t>
      </w:r>
    </w:p>
    <w:p w14:paraId="2F6E948E" w14:textId="794992F9" w:rsidR="00612654" w:rsidRDefault="00247165" w:rsidP="005371E9">
      <w:pPr>
        <w:pStyle w:val="Legenda"/>
      </w:pPr>
      <w:bookmarkStart w:id="30" w:name="_Toc191643419"/>
      <w:r w:rsidRPr="003D7F9A">
        <w:t>Tabela 3-</w:t>
      </w:r>
      <w:r w:rsidR="005A4170" w:rsidRPr="00505643">
        <w:rPr>
          <w:bCs w:val="0"/>
        </w:rPr>
        <w:fldChar w:fldCharType="begin"/>
      </w:r>
      <w:r w:rsidR="005A4170" w:rsidRPr="003D7F9A">
        <w:instrText xml:space="preserve"> SEQ Tabela \* ARABIC </w:instrText>
      </w:r>
      <w:r w:rsidR="005A4170" w:rsidRPr="00505643">
        <w:rPr>
          <w:bCs w:val="0"/>
        </w:rPr>
        <w:fldChar w:fldCharType="separate"/>
      </w:r>
      <w:r w:rsidR="009A3F6E">
        <w:rPr>
          <w:noProof/>
        </w:rPr>
        <w:t>5</w:t>
      </w:r>
      <w:r w:rsidR="005A4170" w:rsidRPr="00505643">
        <w:rPr>
          <w:bCs w:val="0"/>
          <w:noProof/>
        </w:rPr>
        <w:fldChar w:fldCharType="end"/>
      </w:r>
      <w:r w:rsidRPr="003D7F9A">
        <w:t xml:space="preserve"> Execução de Pagamentos</w:t>
      </w:r>
      <w:bookmarkEnd w:id="30"/>
    </w:p>
    <w:p w14:paraId="7EB8D1F7" w14:textId="77777777" w:rsidR="00AE1BFD" w:rsidRPr="00AE1BFD" w:rsidRDefault="00AE1BFD" w:rsidP="00AE1BFD">
      <w:pPr>
        <w:rPr>
          <w:rFonts w:eastAsia="Calibri"/>
          <w:highlight w:val="yellow"/>
        </w:rPr>
      </w:pPr>
    </w:p>
    <w:p w14:paraId="629BA344" w14:textId="392B1A7A" w:rsidR="00BB1440" w:rsidRPr="003D7F9A" w:rsidRDefault="00BB1440" w:rsidP="00E564AA">
      <w:pPr>
        <w:pStyle w:val="Ttulo2"/>
        <w:spacing w:before="240" w:after="240" w:line="276" w:lineRule="auto"/>
        <w:ind w:left="567" w:hanging="567"/>
      </w:pPr>
      <w:bookmarkStart w:id="31" w:name="_Toc191641880"/>
      <w:r w:rsidRPr="003D7F9A">
        <w:t>Investimentos em sociedades coligadas e/ou controladas</w:t>
      </w:r>
      <w:bookmarkEnd w:id="31"/>
    </w:p>
    <w:p w14:paraId="2C63267E" w14:textId="4A8CE354" w:rsidR="00CC4128" w:rsidRPr="003D7F9A" w:rsidRDefault="00CC4128" w:rsidP="00CC4128">
      <w:pPr>
        <w:spacing w:before="120" w:line="240" w:lineRule="auto"/>
        <w:rPr>
          <w:sz w:val="22"/>
        </w:rPr>
      </w:pPr>
      <w:r w:rsidRPr="003D7F9A">
        <w:rPr>
          <w:sz w:val="22"/>
        </w:rPr>
        <w:t>A Telebras possui participação na VISIONA Tecnologia Espacial S.A., uma empresa criada em 14 de junho de 2011, localizada em São José dos Campos, São Paulo. A VISIONA atua em uma ampla gama de atividades aeroespaciais, incluindo pesquisa, desenvolvimento, fabricação e prestação de serviços relacionados a satélites e sistemas aeroespaciais. Seu foco abrange desde a manutenção e modernização até a comercialização e operação de satélites, estações de terra, e outros equipamentos, visando atender às demandas do Governo Federal no âmbito do Programa Nacional de Banda Larga (PNBL) e comunicações estratégicas de defesa e governamentais.</w:t>
      </w:r>
    </w:p>
    <w:p w14:paraId="0D282333" w14:textId="719DDD16" w:rsidR="00BB1440" w:rsidRPr="00505643" w:rsidRDefault="00CC4128" w:rsidP="00CC4128">
      <w:pPr>
        <w:spacing w:before="120" w:line="240" w:lineRule="auto"/>
      </w:pPr>
      <w:r w:rsidRPr="003D7F9A">
        <w:rPr>
          <w:sz w:val="22"/>
        </w:rPr>
        <w:t xml:space="preserve">A VISIONA é uma </w:t>
      </w:r>
      <w:r w:rsidR="00BC2D37" w:rsidRPr="003D7F9A">
        <w:rPr>
          <w:sz w:val="22"/>
        </w:rPr>
        <w:t xml:space="preserve">sociedade empresarial </w:t>
      </w:r>
      <w:r w:rsidRPr="003D7F9A">
        <w:rPr>
          <w:sz w:val="22"/>
        </w:rPr>
        <w:t>entre a Embraer Defesa e Segurança Participações S.A., que possui 51% do capital social, e a Telecomunicações Brasileiras S.A. (Telebras), que detém os restantes 49%. A gestão e o controle da empresa são exercidos pela Embraer Defesa e Segurança Participações S.A., posicionando a VISIONA como um agente fundamental no desenvolvimento da infraestrutura aeroespacial brasileira e na promoção da inovação tecnológica para comunicações estratégicas e de defesa.</w:t>
      </w:r>
    </w:p>
    <w:p w14:paraId="19109B99" w14:textId="04348B68" w:rsidR="00845FA3" w:rsidRPr="00CA749B" w:rsidRDefault="00750A1A" w:rsidP="008A5AAB">
      <w:pPr>
        <w:pStyle w:val="Ttulo1"/>
        <w:spacing w:after="240"/>
        <w:ind w:left="567" w:hanging="567"/>
      </w:pPr>
      <w:bookmarkStart w:id="32" w:name="_Toc191641881"/>
      <w:r w:rsidRPr="00CA749B">
        <w:t xml:space="preserve">Interesse coletivo e execução de </w:t>
      </w:r>
      <w:r w:rsidR="3C5723AB" w:rsidRPr="00CA749B">
        <w:t>Políticas Públicas</w:t>
      </w:r>
      <w:bookmarkEnd w:id="32"/>
    </w:p>
    <w:p w14:paraId="6F4F8749" w14:textId="02529BB2" w:rsidR="00CA749B" w:rsidRPr="00C00EF0" w:rsidRDefault="00CA749B" w:rsidP="00C00EF0">
      <w:pPr>
        <w:spacing w:line="240" w:lineRule="auto"/>
        <w:rPr>
          <w:rFonts w:eastAsia="Calibri"/>
          <w:sz w:val="22"/>
        </w:rPr>
      </w:pPr>
      <w:r w:rsidRPr="00C00EF0">
        <w:rPr>
          <w:rFonts w:eastAsia="Calibri"/>
          <w:sz w:val="22"/>
        </w:rPr>
        <w:t>Em 2024, a Telebras foi protagonista no atendimento à população do Rio Grande do Sul afetada pelas enchentes, com o fornecimento de dezenas de unidades transportáveis T3SAT que garantem a conectividade via satélite para uso em unidades de saúde, segurança e administrativas.</w:t>
      </w:r>
    </w:p>
    <w:p w14:paraId="5905EDEF" w14:textId="77777777" w:rsidR="00CA749B" w:rsidRPr="00C00EF0" w:rsidRDefault="00CA749B" w:rsidP="00C00EF0">
      <w:pPr>
        <w:spacing w:line="240" w:lineRule="auto"/>
        <w:rPr>
          <w:rFonts w:eastAsia="Calibri"/>
          <w:sz w:val="22"/>
        </w:rPr>
      </w:pPr>
      <w:r w:rsidRPr="00C00EF0">
        <w:rPr>
          <w:rFonts w:eastAsia="Calibri"/>
          <w:sz w:val="22"/>
        </w:rPr>
        <w:t>A assinatura do novo contrato do Programa GESAC do Ministério das Comunicações inaugura uma nova etapa na universalização da inclusão digital, sobretudo para as populações que não teriam acesso à conectividade de qualidade sem a solução de conexão satelital provida pela Telebras.</w:t>
      </w:r>
    </w:p>
    <w:p w14:paraId="5385D1C0" w14:textId="77777777" w:rsidR="00CA749B" w:rsidRPr="00C00EF0" w:rsidRDefault="00CA749B" w:rsidP="00C00EF0">
      <w:pPr>
        <w:spacing w:line="240" w:lineRule="auto"/>
        <w:rPr>
          <w:rFonts w:eastAsia="Calibri"/>
          <w:sz w:val="22"/>
        </w:rPr>
      </w:pPr>
      <w:r w:rsidRPr="00C00EF0">
        <w:rPr>
          <w:rFonts w:eastAsia="Calibri"/>
          <w:sz w:val="22"/>
        </w:rPr>
        <w:t>Neste novo contrato, novas velocidades de acesso ampliam a percepção de qualidade dos usuários dos links de internet. A banda total ofertada saltou de 222 Gbps para mais de 360 Gbps levando a Telebras a assumir a posição de integrador de soluções satelitais agregando serviços de outras empresas que operam tanto em órbita geoestacionária quanto em baixa órbita, além do satélite próprio SGDC. A triplicação de pontos atendidos pelo Programa Wi-Fi Brasil também amplia o acesso para um maior número de comunidades em regiões remotas e vulneráveis.</w:t>
      </w:r>
    </w:p>
    <w:p w14:paraId="4FCC8A1E" w14:textId="77777777" w:rsidR="00CA749B" w:rsidRPr="00C00EF0" w:rsidRDefault="00CA749B" w:rsidP="00C00EF0">
      <w:pPr>
        <w:spacing w:line="240" w:lineRule="auto"/>
        <w:rPr>
          <w:rFonts w:eastAsia="Calibri"/>
          <w:sz w:val="22"/>
        </w:rPr>
      </w:pPr>
      <w:r w:rsidRPr="00C00EF0">
        <w:rPr>
          <w:rFonts w:eastAsia="Calibri"/>
          <w:sz w:val="22"/>
        </w:rPr>
        <w:t>As políticas públicas atendidas pelo programa são:</w:t>
      </w:r>
    </w:p>
    <w:p w14:paraId="74DB72CB" w14:textId="77777777" w:rsidR="00CA749B" w:rsidRPr="00CA749B" w:rsidRDefault="00CA749B" w:rsidP="00CA749B">
      <w:pPr>
        <w:spacing w:before="120" w:line="240" w:lineRule="auto"/>
        <w:rPr>
          <w:sz w:val="22"/>
        </w:rPr>
      </w:pPr>
      <w:r w:rsidRPr="00CA749B">
        <w:rPr>
          <w:b/>
          <w:bCs/>
          <w:sz w:val="22"/>
        </w:rPr>
        <w:t>Educação:</w:t>
      </w:r>
      <w:r w:rsidRPr="00CA749B">
        <w:rPr>
          <w:sz w:val="22"/>
        </w:rPr>
        <w:t xml:space="preserve"> Com 11,8 mil pontos em escolas.</w:t>
      </w:r>
    </w:p>
    <w:p w14:paraId="21CFC40B" w14:textId="77777777" w:rsidR="00CA749B" w:rsidRPr="00CA749B" w:rsidRDefault="00CA749B" w:rsidP="00CA749B">
      <w:pPr>
        <w:spacing w:before="120" w:line="240" w:lineRule="auto"/>
        <w:rPr>
          <w:sz w:val="22"/>
        </w:rPr>
      </w:pPr>
      <w:r w:rsidRPr="00CA749B">
        <w:rPr>
          <w:b/>
          <w:bCs/>
          <w:sz w:val="22"/>
        </w:rPr>
        <w:t xml:space="preserve">Saúde: </w:t>
      </w:r>
      <w:r w:rsidRPr="00CA749B">
        <w:rPr>
          <w:bCs/>
          <w:sz w:val="22"/>
        </w:rPr>
        <w:t>Com 451 pontos em UBS, Postos de Saúde e Hospitais.</w:t>
      </w:r>
    </w:p>
    <w:p w14:paraId="3AA09BDC" w14:textId="77777777" w:rsidR="00CA749B" w:rsidRPr="00CA749B" w:rsidRDefault="00CA749B" w:rsidP="00CA749B">
      <w:pPr>
        <w:spacing w:before="120" w:line="240" w:lineRule="auto"/>
        <w:rPr>
          <w:b/>
          <w:bCs/>
          <w:sz w:val="22"/>
        </w:rPr>
      </w:pPr>
      <w:r w:rsidRPr="00CA749B">
        <w:rPr>
          <w:b/>
          <w:bCs/>
          <w:sz w:val="22"/>
        </w:rPr>
        <w:t>Segurança:</w:t>
      </w:r>
      <w:r w:rsidRPr="00CA749B">
        <w:rPr>
          <w:sz w:val="22"/>
        </w:rPr>
        <w:t xml:space="preserve"> A instalação de 152 pontos dedicados à Segurança Pública, incluindo Postos de Fronteira.</w:t>
      </w:r>
    </w:p>
    <w:p w14:paraId="3E8813CC" w14:textId="77777777" w:rsidR="00CA749B" w:rsidRPr="00CA749B" w:rsidRDefault="00CA749B" w:rsidP="00CA749B">
      <w:pPr>
        <w:spacing w:before="120" w:line="240" w:lineRule="auto"/>
        <w:rPr>
          <w:sz w:val="22"/>
        </w:rPr>
      </w:pPr>
      <w:r w:rsidRPr="00CA749B">
        <w:rPr>
          <w:b/>
          <w:bCs/>
          <w:sz w:val="22"/>
        </w:rPr>
        <w:t>Economia:</w:t>
      </w:r>
      <w:r w:rsidRPr="00CA749B">
        <w:rPr>
          <w:sz w:val="22"/>
        </w:rPr>
        <w:t xml:space="preserve"> 933 pontos em locais remotos, fomentado a geração de renda e beneficiando a população dessas regiões.</w:t>
      </w:r>
    </w:p>
    <w:p w14:paraId="056C60E4" w14:textId="77777777" w:rsidR="00CA749B" w:rsidRPr="00CA749B" w:rsidRDefault="00CA749B" w:rsidP="00CA749B">
      <w:pPr>
        <w:spacing w:before="120" w:line="240" w:lineRule="auto"/>
        <w:rPr>
          <w:sz w:val="22"/>
        </w:rPr>
      </w:pPr>
      <w:r w:rsidRPr="00CA749B">
        <w:rPr>
          <w:sz w:val="22"/>
        </w:rPr>
        <w:t>Esses números demonstram que a Telebras continua trabalhando arduamente para garantir que a inclusão digital se torne uma realidade, independentemente de sua localização geográfica e permanece dedicada a atuar na política pública de telecomunicações no Brasil e a contribuir para um país mais conectado e inclusivo.</w:t>
      </w:r>
    </w:p>
    <w:p w14:paraId="4C04499B" w14:textId="4E7014A8" w:rsidR="00B048E0" w:rsidRPr="00CA749B" w:rsidRDefault="00CA749B" w:rsidP="00CA749B">
      <w:pPr>
        <w:spacing w:before="120" w:line="240" w:lineRule="auto"/>
        <w:rPr>
          <w:sz w:val="22"/>
        </w:rPr>
      </w:pPr>
      <w:r w:rsidRPr="00CA749B">
        <w:rPr>
          <w:sz w:val="22"/>
        </w:rPr>
        <w:t>Embora a Telebras opere sob um conjunto de diretrizes voltadas para políticas públicas, distintas das condições de mercado enfrentadas por empresas privadas no setor de telecomunicações, é importante salientar que é sempre mantida a equivalência em aspectos cruciais como preços dos serviços, níveis de Acordos de Nível de Serviço (SLA), condições contratuais, adoção de tecnologias e na qualidade do atendimento ao cliente. Essa equivalência é estratégica, permitindo que a Telebras promova a inclusão digital e o acesso equitativo aos serviços de telecomunicações em todo o território nacional, alinhando-se assim aos objetivos nacionais de desenvolvimento socioeconômico, sem abrir mão da competitividade e das melhores práticas de mercado. Desta forma, mesmo operando em um contexto diferenciado, a Telebras reafirma seu compromisso com a promoção de uma sociedade mais conectada e inclusiva, garantindo condições de serviço comparáveis às melhores disponíveis no setor privado.</w:t>
      </w:r>
    </w:p>
    <w:p w14:paraId="2740A0A7" w14:textId="77777777" w:rsidR="00B048E0" w:rsidRPr="00505643" w:rsidRDefault="00B048E0" w:rsidP="00AE3EC3">
      <w:pPr>
        <w:spacing w:before="120" w:line="240" w:lineRule="auto"/>
        <w:rPr>
          <w:sz w:val="22"/>
          <w:highlight w:val="yellow"/>
        </w:rPr>
      </w:pPr>
    </w:p>
    <w:p w14:paraId="0FC0436B" w14:textId="57775181" w:rsidR="000F63FE" w:rsidRPr="00505643" w:rsidRDefault="000F63FE" w:rsidP="00AC5594">
      <w:pPr>
        <w:spacing w:line="240" w:lineRule="auto"/>
        <w:ind w:left="851"/>
        <w:rPr>
          <w:sz w:val="22"/>
          <w:highlight w:val="yellow"/>
        </w:rPr>
      </w:pPr>
    </w:p>
    <w:p w14:paraId="1AAF786D" w14:textId="7F9E9A8F" w:rsidR="00345BE3" w:rsidRPr="00D44CF4" w:rsidRDefault="00345BE3" w:rsidP="00260DEB">
      <w:pPr>
        <w:spacing w:line="240" w:lineRule="auto"/>
        <w:ind w:left="851"/>
        <w:rPr>
          <w:sz w:val="22"/>
          <w:highlight w:val="yellow"/>
        </w:rPr>
      </w:pPr>
    </w:p>
    <w:p w14:paraId="029C676C" w14:textId="314F2CC4" w:rsidR="00345BE3" w:rsidRPr="005371E9" w:rsidRDefault="00345BE3" w:rsidP="00E564AA">
      <w:pPr>
        <w:pStyle w:val="Ttulo1"/>
        <w:spacing w:after="240"/>
        <w:ind w:left="426" w:hanging="426"/>
      </w:pPr>
      <w:bookmarkStart w:id="33" w:name="_Toc191641882"/>
      <w:r w:rsidRPr="005371E9">
        <w:t>Governança Corporativa, Relações com Investidores e Mercado</w:t>
      </w:r>
      <w:bookmarkEnd w:id="33"/>
    </w:p>
    <w:p w14:paraId="7A752478" w14:textId="32B17971" w:rsidR="007301AD" w:rsidRPr="00414642" w:rsidRDefault="00264592" w:rsidP="007301AD">
      <w:pPr>
        <w:pStyle w:val="Ttulo2"/>
        <w:tabs>
          <w:tab w:val="left" w:pos="1843"/>
        </w:tabs>
        <w:spacing w:before="240" w:after="240" w:line="276" w:lineRule="auto"/>
        <w:ind w:left="567" w:hanging="567"/>
      </w:pPr>
      <w:bookmarkStart w:id="34" w:name="_Toc62463830"/>
      <w:bookmarkStart w:id="35" w:name="_Toc62463897"/>
      <w:bookmarkStart w:id="36" w:name="_Toc62466019"/>
      <w:bookmarkStart w:id="37" w:name="_Toc62466277"/>
      <w:bookmarkStart w:id="38" w:name="_Toc62549324"/>
      <w:bookmarkStart w:id="39" w:name="_Toc62549493"/>
      <w:bookmarkStart w:id="40" w:name="_Toc62551342"/>
      <w:bookmarkStart w:id="41" w:name="_Toc62656186"/>
      <w:bookmarkStart w:id="42" w:name="_Toc62718832"/>
      <w:bookmarkStart w:id="43" w:name="_Toc62718885"/>
      <w:bookmarkStart w:id="44" w:name="_Toc62718987"/>
      <w:bookmarkStart w:id="45" w:name="_Toc62719042"/>
      <w:bookmarkStart w:id="46" w:name="_Toc62719156"/>
      <w:bookmarkStart w:id="47" w:name="_Toc62720466"/>
      <w:bookmarkStart w:id="48" w:name="_Toc62812408"/>
      <w:bookmarkStart w:id="49" w:name="_Toc62828145"/>
      <w:bookmarkStart w:id="50" w:name="_Toc63089460"/>
      <w:bookmarkStart w:id="51" w:name="_Toc63089510"/>
      <w:bookmarkStart w:id="52" w:name="_Toc62463831"/>
      <w:bookmarkStart w:id="53" w:name="_Toc62463898"/>
      <w:bookmarkStart w:id="54" w:name="_Toc62466020"/>
      <w:bookmarkStart w:id="55" w:name="_Toc62466278"/>
      <w:bookmarkStart w:id="56" w:name="_Toc62549325"/>
      <w:bookmarkStart w:id="57" w:name="_Toc62549494"/>
      <w:bookmarkStart w:id="58" w:name="_Toc62551343"/>
      <w:bookmarkStart w:id="59" w:name="_Toc62656187"/>
      <w:bookmarkStart w:id="60" w:name="_Toc62718833"/>
      <w:bookmarkStart w:id="61" w:name="_Toc62718886"/>
      <w:bookmarkStart w:id="62" w:name="_Toc62718988"/>
      <w:bookmarkStart w:id="63" w:name="_Toc62719043"/>
      <w:bookmarkStart w:id="64" w:name="_Toc62719157"/>
      <w:bookmarkStart w:id="65" w:name="_Toc62720467"/>
      <w:bookmarkStart w:id="66" w:name="_Toc62812409"/>
      <w:bookmarkStart w:id="67" w:name="_Toc62828146"/>
      <w:bookmarkStart w:id="68" w:name="_Toc63089461"/>
      <w:bookmarkStart w:id="69" w:name="_Toc63089511"/>
      <w:bookmarkStart w:id="70" w:name="_Toc62463832"/>
      <w:bookmarkStart w:id="71" w:name="_Toc62463899"/>
      <w:bookmarkStart w:id="72" w:name="_Toc62466021"/>
      <w:bookmarkStart w:id="73" w:name="_Toc62466279"/>
      <w:bookmarkStart w:id="74" w:name="_Toc62549326"/>
      <w:bookmarkStart w:id="75" w:name="_Toc62549495"/>
      <w:bookmarkStart w:id="76" w:name="_Toc62551344"/>
      <w:bookmarkStart w:id="77" w:name="_Toc62656188"/>
      <w:bookmarkStart w:id="78" w:name="_Toc62718834"/>
      <w:bookmarkStart w:id="79" w:name="_Toc62718887"/>
      <w:bookmarkStart w:id="80" w:name="_Toc62718989"/>
      <w:bookmarkStart w:id="81" w:name="_Toc62719044"/>
      <w:bookmarkStart w:id="82" w:name="_Toc62719158"/>
      <w:bookmarkStart w:id="83" w:name="_Toc62720468"/>
      <w:bookmarkStart w:id="84" w:name="_Toc62812410"/>
      <w:bookmarkStart w:id="85" w:name="_Toc62828147"/>
      <w:bookmarkStart w:id="86" w:name="_Toc63089462"/>
      <w:bookmarkStart w:id="87" w:name="_Toc63089512"/>
      <w:bookmarkStart w:id="88" w:name="_Toc19164188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414642">
        <w:t>Integridade, Riscos e Conformidade</w:t>
      </w:r>
      <w:bookmarkEnd w:id="88"/>
    </w:p>
    <w:p w14:paraId="6C851A3F" w14:textId="39FA2338" w:rsidR="00414642" w:rsidRPr="00505643" w:rsidRDefault="00414642" w:rsidP="00414642">
      <w:pPr>
        <w:spacing w:before="120" w:line="240" w:lineRule="auto"/>
        <w:rPr>
          <w:rFonts w:eastAsia="Calibri"/>
          <w:sz w:val="22"/>
        </w:rPr>
      </w:pPr>
      <w:r w:rsidRPr="00505643">
        <w:rPr>
          <w:rFonts w:eastAsia="Calibri"/>
          <w:sz w:val="22"/>
        </w:rPr>
        <w:t xml:space="preserve">Em 2024, a Telebras consolidou sua estratégia de Integridade, Riscos e Conformidade, promovendo uma cultura corporativa robusta, ética e transparente. Suas iniciativas foram estruturadas com foco no fortalecimento da governança corporativa. </w:t>
      </w:r>
    </w:p>
    <w:p w14:paraId="494CD274" w14:textId="77777777" w:rsidR="00414642" w:rsidRPr="00505643" w:rsidRDefault="00414642" w:rsidP="00414642">
      <w:pPr>
        <w:spacing w:before="120" w:line="240" w:lineRule="auto"/>
        <w:rPr>
          <w:rFonts w:eastAsia="Calibri"/>
          <w:sz w:val="22"/>
        </w:rPr>
      </w:pPr>
      <w:r w:rsidRPr="00505643">
        <w:rPr>
          <w:rFonts w:eastAsia="Calibri"/>
          <w:sz w:val="22"/>
        </w:rPr>
        <w:t xml:space="preserve">Nesse sentido, a empresa realizou a avaliação anual de desempenho dos administradores e membros dos conselhos e comitês, em conformidade com a Lei 13.303/16 (Lei das Estatais). A avaliação considerou aspectos como formação, experiência, conhecimento em governança, cultura organizacional, estratégia de negócios, riscos corporativos, conformidade e transparência. </w:t>
      </w:r>
    </w:p>
    <w:p w14:paraId="233297D1" w14:textId="77777777" w:rsidR="00414642" w:rsidRPr="00505643" w:rsidRDefault="00414642" w:rsidP="00414642">
      <w:pPr>
        <w:spacing w:before="120" w:line="240" w:lineRule="auto"/>
        <w:rPr>
          <w:rFonts w:eastAsia="Calibri"/>
          <w:sz w:val="22"/>
        </w:rPr>
      </w:pPr>
      <w:r w:rsidRPr="00505643">
        <w:rPr>
          <w:rFonts w:eastAsia="Calibri"/>
          <w:sz w:val="22"/>
        </w:rPr>
        <w:t>Em relação à transparência, a Telebras obteve o nível ouro no Radar da Transparência Pública, alcançando 92,14% de cumprimento dos requisitos, um avanço significativo em relação ao nível prata obtido em 2023 (75,8%). Esse resultado reafirma o compromisso da empresa com a transparência e o acesso à informação.</w:t>
      </w:r>
    </w:p>
    <w:p w14:paraId="66F6E113" w14:textId="77777777" w:rsidR="00414642" w:rsidRPr="00505643" w:rsidRDefault="00414642" w:rsidP="00414642">
      <w:pPr>
        <w:spacing w:before="120" w:line="240" w:lineRule="auto"/>
        <w:rPr>
          <w:rFonts w:eastAsia="Calibri"/>
          <w:sz w:val="22"/>
        </w:rPr>
      </w:pPr>
      <w:r w:rsidRPr="00505643">
        <w:rPr>
          <w:rFonts w:eastAsia="Calibri"/>
          <w:sz w:val="22"/>
        </w:rPr>
        <w:t>No combate à corrupção e promoção da integridade, a Telebras aderiu ao Programa Nacional de Prevenção à Corrupção (PNPC) promovido pelo TCU, com o objetivo de reduzir os riscos de fraude e fortalecer uma cultura ética. Em sua primeira avaliação no programa, a empresa alcançou um nível médio de suscetibilidade, superando 82,4% das organizações avaliadas. Como resposta, comprometeu-se a implementar práticas contínuas de prevenção, detecção, investigação, correção e monitoramento.</w:t>
      </w:r>
    </w:p>
    <w:p w14:paraId="0AFDBE63" w14:textId="77777777" w:rsidR="00414642" w:rsidRPr="00C00EF0" w:rsidRDefault="00414642" w:rsidP="00C00EF0">
      <w:pPr>
        <w:spacing w:before="120" w:line="240" w:lineRule="auto"/>
        <w:rPr>
          <w:rFonts w:eastAsia="Calibri" w:cs="Arial"/>
          <w:sz w:val="22"/>
        </w:rPr>
      </w:pPr>
      <w:r w:rsidRPr="00E1371C">
        <w:rPr>
          <w:rFonts w:eastAsia="Calibri" w:cs="Arial"/>
          <w:sz w:val="22"/>
        </w:rPr>
        <w:t>O Plano de Integridade para o biênio 2023/2024 foi concluído com a realização de 13 iniciativas. Entre os destaques est</w:t>
      </w:r>
      <w:r w:rsidRPr="00C00EF0">
        <w:rPr>
          <w:rFonts w:eastAsia="Calibri" w:cs="Arial"/>
          <w:sz w:val="22"/>
        </w:rPr>
        <w:t>ão a implementação de procedimentos para verificação de riscos de integridade em contratações (Due Diligence</w:t>
      </w:r>
      <w:r w:rsidRPr="00E1371C">
        <w:rPr>
          <w:rFonts w:eastAsia="Calibri" w:cs="Arial"/>
          <w:sz w:val="22"/>
        </w:rPr>
        <w:t>) e a aplicação da Matriz de Segregação de Funções, contribuindo para um ambiente corporativo mais seguro e transparente.</w:t>
      </w:r>
    </w:p>
    <w:p w14:paraId="77ED11FE" w14:textId="77777777" w:rsidR="00414642" w:rsidRPr="00C00EF0" w:rsidRDefault="00414642" w:rsidP="00C00EF0">
      <w:pPr>
        <w:spacing w:before="120" w:line="240" w:lineRule="auto"/>
        <w:rPr>
          <w:rFonts w:eastAsia="Calibri" w:cs="Arial"/>
          <w:sz w:val="22"/>
        </w:rPr>
      </w:pPr>
      <w:r w:rsidRPr="00C00EF0">
        <w:rPr>
          <w:rFonts w:eastAsia="Calibri" w:cs="Arial"/>
          <w:sz w:val="22"/>
        </w:rPr>
        <w:t>A gestão de riscos na Telebras é um processo contínuo que envolve a identificação, análise, avaliação, tratamento, monitoramento e comunicação dos riscos. Esse processo oferece suporte à tomada de decisão em todos os níveis organizacionais.</w:t>
      </w:r>
    </w:p>
    <w:p w14:paraId="5CD825B9" w14:textId="77777777" w:rsidR="00414642" w:rsidRPr="00C00EF0" w:rsidRDefault="00414642" w:rsidP="00C00EF0">
      <w:pPr>
        <w:spacing w:before="120" w:line="240" w:lineRule="auto"/>
        <w:rPr>
          <w:rFonts w:eastAsia="Calibri" w:cs="Arial"/>
          <w:sz w:val="22"/>
        </w:rPr>
      </w:pPr>
      <w:r w:rsidRPr="00C00EF0">
        <w:rPr>
          <w:rFonts w:eastAsia="Calibri" w:cs="Arial"/>
          <w:sz w:val="22"/>
        </w:rPr>
        <w:t>Em 2024, foi realizada a atualização dos riscos estratégicos para o ciclo 2024/2025 por meio de um processo amplo e participativo que envolveu gerentes, coordenadores e colaboradores das diversas unidades da Companhia. Após aprovação pela alta administração, os riscos foram incorporados ao portfólio da Telebras com planos detalhados para seu tratamento. Esses planos descrevem as atividades necessárias para controle e mitigação, além das responsabilidades atribuídas a cada gestor.</w:t>
      </w:r>
    </w:p>
    <w:p w14:paraId="6B2C0C23" w14:textId="77777777" w:rsidR="00414642" w:rsidRPr="00C00EF0" w:rsidRDefault="00414642" w:rsidP="00C00EF0">
      <w:pPr>
        <w:spacing w:before="120" w:line="240" w:lineRule="auto"/>
        <w:rPr>
          <w:rFonts w:eastAsia="Calibri" w:cs="Arial"/>
          <w:sz w:val="22"/>
        </w:rPr>
      </w:pPr>
      <w:r w:rsidRPr="00C00EF0">
        <w:rPr>
          <w:rFonts w:eastAsia="Calibri" w:cs="Arial"/>
          <w:sz w:val="22"/>
        </w:rPr>
        <w:t>Os riscos estratégicos e operacionais são monitorados continuamente em ciclos periódicos conforme estabelecido pela Instrução Normativa Conjunta MP/CGU Nº 01/2016 e pelos instrumentos internos da Companhia. Os controles internos são implementados pelos gestores dos riscos para mitigar a probabilidade ou impacto dos eventos adversos. Em 2024, foi realizado um diagnóstico inicial sobre a integridade desses controles internos e estabelecido um plano para monitoramento contínuo com indicadores-chave de desempenho (KPIs). Por meio dessa abordagem sistemática e integrada, a Telebras aprimora continuamente sua capacidade de identificar, avaliar e mitigar riscos operacionais e estratégicos.</w:t>
      </w:r>
    </w:p>
    <w:p w14:paraId="46372FD2" w14:textId="0C34EBF9" w:rsidR="00D52080" w:rsidRPr="00C00EF0" w:rsidRDefault="00414642" w:rsidP="00C00EF0">
      <w:pPr>
        <w:spacing w:before="120" w:line="240" w:lineRule="auto"/>
        <w:rPr>
          <w:rFonts w:eastAsia="Calibri" w:cs="Arial"/>
          <w:sz w:val="22"/>
        </w:rPr>
      </w:pPr>
      <w:r w:rsidRPr="00C00EF0">
        <w:rPr>
          <w:rFonts w:eastAsia="Calibri" w:cs="Arial"/>
          <w:sz w:val="22"/>
        </w:rPr>
        <w:t>Em síntese, a Telebras avançou significativamente nas áreas de integridade, gestão de riscos e conformidade, reforçando seu compromisso com a ética e a transparência. Os resultados alcançados refletem o esforço contínuo da Empresa em fortalecer sua governança corporativa e aprimorar suas práticas internas. Para os exercícios seguintes, a Companhia seguirá evoluindo suas iniciativas para alcançar níveis ainda mais elevados de excelência e integridade institucional.</w:t>
      </w:r>
    </w:p>
    <w:p w14:paraId="2045CB83" w14:textId="7C549A50" w:rsidR="00F619EF" w:rsidRPr="00414642" w:rsidRDefault="00F619EF" w:rsidP="00E564AA">
      <w:pPr>
        <w:pStyle w:val="Ttulo2"/>
        <w:tabs>
          <w:tab w:val="left" w:pos="1843"/>
        </w:tabs>
        <w:spacing w:before="240" w:after="240" w:line="276" w:lineRule="auto"/>
        <w:ind w:left="567" w:hanging="567"/>
        <w:rPr>
          <w:rFonts w:eastAsia="Calibri"/>
        </w:rPr>
      </w:pPr>
      <w:bookmarkStart w:id="89" w:name="_Toc191641884"/>
      <w:r w:rsidRPr="00414642">
        <w:rPr>
          <w:rFonts w:eastAsia="Calibri"/>
        </w:rPr>
        <w:t>Gestão</w:t>
      </w:r>
      <w:r w:rsidR="00E564AA" w:rsidRPr="00414642">
        <w:rPr>
          <w:rFonts w:eastAsia="Calibri"/>
        </w:rPr>
        <w:t xml:space="preserve"> Ambiental,</w:t>
      </w:r>
      <w:r w:rsidRPr="00414642">
        <w:rPr>
          <w:rFonts w:eastAsia="Calibri"/>
        </w:rPr>
        <w:t xml:space="preserve"> Social e de Governança </w:t>
      </w:r>
      <w:r w:rsidR="007301AD" w:rsidRPr="00414642">
        <w:rPr>
          <w:rFonts w:eastAsia="Calibri"/>
        </w:rPr>
        <w:t>–</w:t>
      </w:r>
      <w:r w:rsidR="00E564AA" w:rsidRPr="00414642">
        <w:rPr>
          <w:rFonts w:eastAsia="Calibri"/>
        </w:rPr>
        <w:t xml:space="preserve"> ESG</w:t>
      </w:r>
      <w:bookmarkEnd w:id="89"/>
    </w:p>
    <w:p w14:paraId="79A83CDF" w14:textId="151064C7" w:rsidR="00414642" w:rsidRPr="00C00EF0" w:rsidRDefault="00414642" w:rsidP="00C00EF0">
      <w:pPr>
        <w:spacing w:before="120" w:line="240" w:lineRule="auto"/>
        <w:rPr>
          <w:rFonts w:eastAsia="Calibri" w:cs="Arial"/>
          <w:sz w:val="22"/>
        </w:rPr>
      </w:pPr>
      <w:r w:rsidRPr="00E1371C">
        <w:rPr>
          <w:rFonts w:eastAsia="Calibri" w:cs="Arial"/>
          <w:sz w:val="22"/>
        </w:rPr>
        <w:t xml:space="preserve">A Telebras reconhece a importância da sustentabilidade e da responsabilidade social, atuando com ética e transparência para promover o </w:t>
      </w:r>
      <w:r w:rsidRPr="00C00EF0">
        <w:rPr>
          <w:rFonts w:eastAsia="Calibri" w:cs="Arial"/>
          <w:sz w:val="22"/>
        </w:rPr>
        <w:t>desenvolvimento sustentável e o bem-estar da sociedade. Em 2024, a empresa intensificou seus investimentos em práticas ambientais, sociais e de governança, focando na redução de impactos ambientais, na promoção da diversidade, equidade e inclusão e na consolidação de uma governança pautada pela ética e pela integridade.</w:t>
      </w:r>
    </w:p>
    <w:p w14:paraId="46343544" w14:textId="77777777" w:rsidR="00414642" w:rsidRPr="00C00EF0" w:rsidRDefault="00414642" w:rsidP="00C00EF0">
      <w:pPr>
        <w:spacing w:before="120" w:line="240" w:lineRule="auto"/>
        <w:rPr>
          <w:rFonts w:eastAsia="Calibri" w:cs="Arial"/>
          <w:sz w:val="22"/>
        </w:rPr>
      </w:pPr>
      <w:r w:rsidRPr="00C00EF0">
        <w:rPr>
          <w:rFonts w:eastAsia="Calibri" w:cs="Arial"/>
          <w:sz w:val="22"/>
        </w:rPr>
        <w:t>Nesse sentido, em 2024 foi estabelecido o Modelo de Gestão Ambiental, que visa implementar e manter um Sistema de Gestão Ambiental eficaz, com foco em ações e iniciativas para preservar o meio ambiente e promover o desenvolvimento sustentável. Ele apresenta uma visão integrada entre as atividades da empresa e o ambiente natural em que está inserida, fornecendo uma estrutura robusta para identificar, entender e mitigar os impactos ambientais decorrentes das operações de telecomunicações. Dentro desse modelo, destaca-se o Plano de Logística Sustentável (PLS), que engloba desde a análise de aspectos e impactos ambientais até a capacitação e conscientização de colaboradores e demais partes interessadas sobre práticas sustentáveis.</w:t>
      </w:r>
    </w:p>
    <w:p w14:paraId="5BEC4E17" w14:textId="77777777" w:rsidR="00414642" w:rsidRPr="00C00EF0" w:rsidRDefault="00414642" w:rsidP="00C00EF0">
      <w:pPr>
        <w:spacing w:before="120" w:line="240" w:lineRule="auto"/>
        <w:rPr>
          <w:rFonts w:eastAsia="Calibri" w:cs="Arial"/>
          <w:sz w:val="22"/>
        </w:rPr>
      </w:pPr>
      <w:r w:rsidRPr="00C00EF0">
        <w:rPr>
          <w:rFonts w:eastAsia="Calibri" w:cs="Arial"/>
          <w:sz w:val="22"/>
        </w:rPr>
        <w:t>Desde a perspectiva da sustentabilidade social, a Telebras demonstrou seu compromisso com a promoção da diversidade, equidade e inclusão por meio da adesão ao Programa Pró-Equidade em Gênero e Raça, 7ª Edição, que tem como objetivo fomentar práticas de equidade nas empresas, com foco nas áreas de gestão e recursos humanos, e da assinatura do Pacto pela Diversidade, Equidade e Inclusão nas Empresas Estatais, de uma iniciativa do Ministério da Gestão e Inovação no Serviço Público – MGI que visa promover a cooperação técnica e operacional entre as partes para o aprimoramento de políticas públicas e implementação de ações efetivas que promovam a diversidade, equidade e inclusão nas empresas estatais.</w:t>
      </w:r>
    </w:p>
    <w:p w14:paraId="137CA0C6" w14:textId="77777777" w:rsidR="00414642" w:rsidRPr="00C00EF0" w:rsidRDefault="00414642" w:rsidP="00C00EF0">
      <w:pPr>
        <w:spacing w:before="120" w:line="240" w:lineRule="auto"/>
        <w:rPr>
          <w:rFonts w:eastAsia="Calibri" w:cs="Arial"/>
          <w:sz w:val="22"/>
        </w:rPr>
      </w:pPr>
      <w:r w:rsidRPr="00C00EF0">
        <w:rPr>
          <w:rFonts w:eastAsia="Calibri" w:cs="Arial"/>
          <w:sz w:val="22"/>
        </w:rPr>
        <w:t>Em 2024, além de aderir a iniciativas estratégicas, a Telebras realizou seu primeiro Diagnóstico de Perfil de Diversidade. A pesquisa, que abrangeu as dimensões de Identidade, Acolhimento e Segurança Psicológica, contou com 214 respondentes, representando 94,79% de confiança em uma amostra de 493 indivíduos, com margem de erro de 5%. Os resultados revelaram que a maioria dos participantes reconhece o compromisso da empresa com a diversidade e a promoção de um ambiente que favorece a segurança psicológica. Contudo, 21% dos respondentes relataram ter vivenciado alguma forma de preconceito ou discriminação no ambiente corporativo. Essas informações serão fundamentais para orientar ações que visem a criação de um espaço de trabalho cada vez mais inclusivo e livre de assédio.</w:t>
      </w:r>
    </w:p>
    <w:p w14:paraId="2B14B9AF" w14:textId="6C26D1AF" w:rsidR="007301AD" w:rsidRPr="00C00EF0" w:rsidRDefault="00414642" w:rsidP="00C00EF0">
      <w:pPr>
        <w:spacing w:before="120" w:line="240" w:lineRule="auto"/>
        <w:rPr>
          <w:rFonts w:eastAsia="Calibri" w:cs="Arial"/>
          <w:sz w:val="22"/>
        </w:rPr>
      </w:pPr>
      <w:r w:rsidRPr="00C00EF0">
        <w:rPr>
          <w:rFonts w:eastAsia="Calibri" w:cs="Arial"/>
          <w:sz w:val="22"/>
        </w:rPr>
        <w:t>No âmbito das iniciativas de governança, destaca-se a aprovação do Modelo de Governança Corporativa Telebras, um instrumento robusto de transparência que esclarece a arquitetura de governança da Companhia. Esse modelo define as diretrizes, valores, processos e estruturas essenciais para que as atividades sejam realizadas com eficiência, eficácia e em conformidade com as leis e regulamentos vigentes. Fundamentado nos princípios da integridade, equidade, participação, foco em resultados, capacidade de resposta, prestação de contas e responsabilidade corporativa, o Modelo reflete as melhores práticas de governança organizacional, reafirmando o compromisso da Telebras com a excelência e a transparência.</w:t>
      </w:r>
    </w:p>
    <w:p w14:paraId="2B8CE65F" w14:textId="29C8C595" w:rsidR="001C734D" w:rsidRPr="0064787A" w:rsidRDefault="00283642" w:rsidP="00C1746A">
      <w:pPr>
        <w:pStyle w:val="Ttulo2"/>
        <w:tabs>
          <w:tab w:val="left" w:pos="1843"/>
        </w:tabs>
        <w:spacing w:before="240" w:after="240" w:line="276" w:lineRule="auto"/>
        <w:ind w:left="567" w:hanging="567"/>
      </w:pPr>
      <w:bookmarkStart w:id="90" w:name="_Toc191641885"/>
      <w:r w:rsidRPr="0064787A">
        <w:t>Relações com Investidores e Mercado</w:t>
      </w:r>
      <w:bookmarkEnd w:id="90"/>
    </w:p>
    <w:p w14:paraId="5E798F51" w14:textId="7247A9E6" w:rsidR="00315B56" w:rsidRPr="0064787A" w:rsidRDefault="00315B56" w:rsidP="007301AD">
      <w:pPr>
        <w:spacing w:before="120" w:line="240" w:lineRule="auto"/>
        <w:rPr>
          <w:rFonts w:ascii="Calibri" w:eastAsia="Calibri" w:hAnsi="Calibri" w:cs="Calibri"/>
          <w:color w:val="082A75"/>
          <w:sz w:val="22"/>
        </w:rPr>
      </w:pPr>
      <w:r w:rsidRPr="0064787A">
        <w:rPr>
          <w:rFonts w:ascii="Calibri" w:eastAsia="Calibri" w:hAnsi="Calibri" w:cs="Calibri"/>
          <w:color w:val="082A75"/>
          <w:sz w:val="22"/>
        </w:rPr>
        <w:t>A Telebras manteve sua estrutura acionária inalterada, com um total de 67.975.599 ações ordinárias (ON) e 18.407.491 ações preferenciais (PN).</w:t>
      </w:r>
      <w:r w:rsidR="007301AD" w:rsidRPr="0064787A">
        <w:rPr>
          <w:rFonts w:ascii="Calibri" w:eastAsia="Calibri" w:hAnsi="Calibri" w:cs="Calibri"/>
          <w:color w:val="082A75"/>
          <w:sz w:val="22"/>
        </w:rPr>
        <w:t xml:space="preserve"> </w:t>
      </w:r>
    </w:p>
    <w:p w14:paraId="2406EBEE" w14:textId="31C936BF" w:rsidR="00315B56" w:rsidRPr="0064787A" w:rsidRDefault="007301AD" w:rsidP="00AE3EC3">
      <w:pPr>
        <w:spacing w:before="120" w:line="240" w:lineRule="auto"/>
      </w:pPr>
      <w:r w:rsidRPr="0064787A">
        <w:rPr>
          <w:rFonts w:ascii="Calibri" w:eastAsia="Calibri" w:hAnsi="Calibri" w:cs="Calibri"/>
          <w:color w:val="082A75"/>
          <w:sz w:val="22"/>
        </w:rPr>
        <w:t xml:space="preserve">O quadro </w:t>
      </w:r>
      <w:r w:rsidR="00315B56" w:rsidRPr="0064787A">
        <w:rPr>
          <w:rFonts w:ascii="Calibri" w:eastAsia="Calibri" w:hAnsi="Calibri" w:cs="Calibri"/>
          <w:color w:val="082A75"/>
          <w:sz w:val="22"/>
        </w:rPr>
        <w:t xml:space="preserve">a seguir detalha </w:t>
      </w:r>
      <w:r w:rsidRPr="0064787A">
        <w:rPr>
          <w:rFonts w:ascii="Calibri" w:eastAsia="Calibri" w:hAnsi="Calibri" w:cs="Calibri"/>
          <w:color w:val="082A75"/>
          <w:sz w:val="22"/>
        </w:rPr>
        <w:t>os principais investidores da Companhia</w:t>
      </w:r>
      <w:r w:rsidR="00315B56" w:rsidRPr="0064787A">
        <w:rPr>
          <w:rFonts w:ascii="Calibri" w:eastAsia="Calibri" w:hAnsi="Calibri" w:cs="Calibri"/>
          <w:color w:val="082A75"/>
          <w:sz w:val="22"/>
        </w:rPr>
        <w:t xml:space="preserve">, enquanto o </w:t>
      </w:r>
      <w:r w:rsidRPr="0064787A">
        <w:rPr>
          <w:rFonts w:ascii="Calibri" w:eastAsia="Calibri" w:hAnsi="Calibri" w:cs="Calibri"/>
          <w:color w:val="082A75"/>
          <w:sz w:val="22"/>
        </w:rPr>
        <w:t>Organograma Societário</w:t>
      </w:r>
      <w:r w:rsidR="00315B56" w:rsidRPr="0064787A">
        <w:rPr>
          <w:rFonts w:ascii="Calibri" w:eastAsia="Calibri" w:hAnsi="Calibri" w:cs="Calibri"/>
          <w:color w:val="082A75"/>
          <w:sz w:val="22"/>
        </w:rPr>
        <w:t xml:space="preserve"> fornece uma visão clara da estrutura organizacional e da distribuição acionária.</w:t>
      </w:r>
    </w:p>
    <w:p w14:paraId="7C29F3B0" w14:textId="602E35C6" w:rsidR="007301AD" w:rsidRPr="00505643" w:rsidRDefault="0064787A" w:rsidP="00AE3EC3">
      <w:pPr>
        <w:spacing w:before="120" w:line="240" w:lineRule="auto"/>
        <w:jc w:val="center"/>
      </w:pPr>
      <w:r>
        <w:rPr>
          <w:noProof/>
          <w:lang w:eastAsia="pt-BR"/>
        </w:rPr>
        <w:drawing>
          <wp:inline distT="0" distB="0" distL="0" distR="0" wp14:anchorId="17270C5B" wp14:editId="3148CED7">
            <wp:extent cx="5760720" cy="1407160"/>
            <wp:effectExtent l="0" t="0" r="0" b="2540"/>
            <wp:docPr id="20" name="Imagem 20"/>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407160"/>
                    </a:xfrm>
                    <a:prstGeom prst="rect">
                      <a:avLst/>
                    </a:prstGeom>
                    <a:noFill/>
                    <a:ln>
                      <a:noFill/>
                    </a:ln>
                  </pic:spPr>
                </pic:pic>
              </a:graphicData>
            </a:graphic>
          </wp:inline>
        </w:drawing>
      </w:r>
    </w:p>
    <w:p w14:paraId="3FE7B3B2" w14:textId="20BE63C8" w:rsidR="00C07CF3" w:rsidRDefault="007301AD" w:rsidP="00826EFF">
      <w:pPr>
        <w:pStyle w:val="Legenda"/>
        <w:spacing w:before="120"/>
      </w:pPr>
      <w:bookmarkStart w:id="91" w:name="_Toc191643420"/>
      <w:r w:rsidRPr="0064787A">
        <w:t xml:space="preserve">Tabela </w:t>
      </w:r>
      <w:r w:rsidR="005A4170" w:rsidRPr="00505643">
        <w:fldChar w:fldCharType="begin"/>
      </w:r>
      <w:r w:rsidR="005A4170" w:rsidRPr="0064787A">
        <w:instrText xml:space="preserve"> STYLEREF 1 \s </w:instrText>
      </w:r>
      <w:r w:rsidR="005A4170" w:rsidRPr="00505643">
        <w:fldChar w:fldCharType="separate"/>
      </w:r>
      <w:r w:rsidR="009A3F6E">
        <w:rPr>
          <w:noProof/>
        </w:rPr>
        <w:t>5</w:t>
      </w:r>
      <w:r w:rsidR="005A4170" w:rsidRPr="00505643">
        <w:rPr>
          <w:noProof/>
        </w:rPr>
        <w:fldChar w:fldCharType="end"/>
      </w:r>
      <w:r w:rsidRPr="0064787A">
        <w:noBreakHyphen/>
      </w:r>
      <w:r w:rsidR="005A4170" w:rsidRPr="00505643">
        <w:fldChar w:fldCharType="begin"/>
      </w:r>
      <w:r w:rsidR="005A4170" w:rsidRPr="0064787A">
        <w:instrText xml:space="preserve"> SEQ Tabela \* ARABIC \s 1 </w:instrText>
      </w:r>
      <w:r w:rsidR="005A4170" w:rsidRPr="00505643">
        <w:fldChar w:fldCharType="separate"/>
      </w:r>
      <w:r w:rsidR="009A3F6E">
        <w:rPr>
          <w:noProof/>
        </w:rPr>
        <w:t>1</w:t>
      </w:r>
      <w:r w:rsidR="005A4170" w:rsidRPr="00505643">
        <w:rPr>
          <w:noProof/>
        </w:rPr>
        <w:fldChar w:fldCharType="end"/>
      </w:r>
      <w:r w:rsidRPr="0064787A">
        <w:t xml:space="preserve"> Principais Investidores</w:t>
      </w:r>
      <w:bookmarkEnd w:id="91"/>
    </w:p>
    <w:p w14:paraId="145FA1A3" w14:textId="485EEEE0" w:rsidR="007301AD" w:rsidRPr="0064787A" w:rsidRDefault="00E1371C" w:rsidP="00826EFF">
      <w:pPr>
        <w:tabs>
          <w:tab w:val="clear" w:pos="851"/>
        </w:tabs>
        <w:spacing w:line="240" w:lineRule="auto"/>
        <w:ind w:left="-426"/>
        <w:jc w:val="center"/>
        <w:rPr>
          <w:sz w:val="22"/>
        </w:rPr>
      </w:pPr>
      <w:r w:rsidRPr="00A27D0B">
        <w:rPr>
          <w:noProof/>
          <w:sz w:val="22"/>
          <w:lang w:eastAsia="pt-BR"/>
        </w:rPr>
        <w:drawing>
          <wp:inline distT="0" distB="0" distL="0" distR="0" wp14:anchorId="44EECBA6" wp14:editId="1C9C76FD">
            <wp:extent cx="5760720" cy="2219960"/>
            <wp:effectExtent l="0" t="0" r="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219960"/>
                    </a:xfrm>
                    <a:prstGeom prst="rect">
                      <a:avLst/>
                    </a:prstGeom>
                  </pic:spPr>
                </pic:pic>
              </a:graphicData>
            </a:graphic>
          </wp:inline>
        </w:drawing>
      </w:r>
    </w:p>
    <w:p w14:paraId="6CCD2708" w14:textId="245F8DCA" w:rsidR="00190B9D" w:rsidRPr="0064787A" w:rsidRDefault="00190B9D" w:rsidP="00190B9D">
      <w:pPr>
        <w:pStyle w:val="Legenda"/>
      </w:pPr>
      <w:bookmarkStart w:id="92" w:name="_Toc191643402"/>
      <w:r w:rsidRPr="0064787A">
        <w:t xml:space="preserve">Figura </w:t>
      </w:r>
      <w:r w:rsidR="005A4170" w:rsidRPr="00505643">
        <w:fldChar w:fldCharType="begin"/>
      </w:r>
      <w:r w:rsidR="005A4170" w:rsidRPr="0064787A">
        <w:instrText xml:space="preserve"> STYLEREF 1 \s </w:instrText>
      </w:r>
      <w:r w:rsidR="005A4170" w:rsidRPr="00505643">
        <w:fldChar w:fldCharType="separate"/>
      </w:r>
      <w:r w:rsidR="009A3F6E">
        <w:rPr>
          <w:noProof/>
        </w:rPr>
        <w:t>5</w:t>
      </w:r>
      <w:r w:rsidR="005A4170" w:rsidRPr="00505643">
        <w:rPr>
          <w:noProof/>
        </w:rPr>
        <w:fldChar w:fldCharType="end"/>
      </w:r>
      <w:r w:rsidRPr="0064787A">
        <w:noBreakHyphen/>
      </w:r>
      <w:r w:rsidR="005A4170" w:rsidRPr="00505643">
        <w:fldChar w:fldCharType="begin"/>
      </w:r>
      <w:r w:rsidR="005A4170" w:rsidRPr="0064787A">
        <w:instrText xml:space="preserve"> SEQ Figura \* ARABIC \s 1 </w:instrText>
      </w:r>
      <w:r w:rsidR="005A4170" w:rsidRPr="00505643">
        <w:fldChar w:fldCharType="separate"/>
      </w:r>
      <w:r w:rsidR="009A3F6E">
        <w:rPr>
          <w:noProof/>
        </w:rPr>
        <w:t>1</w:t>
      </w:r>
      <w:r w:rsidR="005A4170" w:rsidRPr="00505643">
        <w:rPr>
          <w:noProof/>
        </w:rPr>
        <w:fldChar w:fldCharType="end"/>
      </w:r>
      <w:r w:rsidRPr="0064787A">
        <w:t xml:space="preserve"> Organograma Societário</w:t>
      </w:r>
      <w:bookmarkEnd w:id="92"/>
    </w:p>
    <w:p w14:paraId="33C8954D" w14:textId="34BB40C5" w:rsidR="007301AD" w:rsidRPr="00414642" w:rsidRDefault="007301AD" w:rsidP="007301AD">
      <w:pPr>
        <w:spacing w:line="240" w:lineRule="auto"/>
      </w:pPr>
      <w:r w:rsidRPr="0064787A">
        <w:rPr>
          <w:sz w:val="22"/>
        </w:rPr>
        <w:t xml:space="preserve">Os acionistas e investidores </w:t>
      </w:r>
      <w:r w:rsidR="00C07CF3" w:rsidRPr="0064787A">
        <w:rPr>
          <w:sz w:val="22"/>
        </w:rPr>
        <w:t xml:space="preserve">em obter </w:t>
      </w:r>
      <w:r w:rsidRPr="0064787A">
        <w:rPr>
          <w:sz w:val="22"/>
        </w:rPr>
        <w:t xml:space="preserve">mais informações podem </w:t>
      </w:r>
      <w:r w:rsidR="00C07CF3" w:rsidRPr="0064787A">
        <w:rPr>
          <w:sz w:val="22"/>
        </w:rPr>
        <w:t>contatar</w:t>
      </w:r>
      <w:r w:rsidRPr="0064787A">
        <w:rPr>
          <w:sz w:val="22"/>
        </w:rPr>
        <w:t xml:space="preserve"> a Assessoria de Relações com Investidores pelo e-mail investidores@telebras.com.br ou pelo telefone (61) 2027-1210.</w:t>
      </w:r>
    </w:p>
    <w:p w14:paraId="5FCBD5B3" w14:textId="4E63D136" w:rsidR="003E68A6" w:rsidRPr="005371E9" w:rsidRDefault="3408FA68" w:rsidP="00776B29">
      <w:pPr>
        <w:pStyle w:val="Ttulo2"/>
        <w:tabs>
          <w:tab w:val="left" w:pos="1843"/>
        </w:tabs>
        <w:spacing w:before="360" w:after="240" w:line="276" w:lineRule="auto"/>
        <w:ind w:left="567" w:hanging="567"/>
      </w:pPr>
      <w:bookmarkStart w:id="93" w:name="_Toc62463835"/>
      <w:bookmarkStart w:id="94" w:name="_Toc62463902"/>
      <w:bookmarkStart w:id="95" w:name="_Toc62466024"/>
      <w:bookmarkStart w:id="96" w:name="_Toc62466282"/>
      <w:bookmarkStart w:id="97" w:name="_Toc62549329"/>
      <w:bookmarkStart w:id="98" w:name="_Toc62549498"/>
      <w:bookmarkStart w:id="99" w:name="_Toc62551347"/>
      <w:bookmarkStart w:id="100" w:name="_Toc62656191"/>
      <w:bookmarkStart w:id="101" w:name="_Toc62718837"/>
      <w:bookmarkStart w:id="102" w:name="_Toc62718890"/>
      <w:bookmarkStart w:id="103" w:name="_Toc62718992"/>
      <w:bookmarkStart w:id="104" w:name="_Toc62719047"/>
      <w:bookmarkStart w:id="105" w:name="_Toc62719161"/>
      <w:bookmarkStart w:id="106" w:name="_Toc62720471"/>
      <w:bookmarkStart w:id="107" w:name="_Toc62812413"/>
      <w:bookmarkStart w:id="108" w:name="_Toc62828150"/>
      <w:bookmarkStart w:id="109" w:name="_Toc63089465"/>
      <w:bookmarkStart w:id="110" w:name="_Toc63089515"/>
      <w:bookmarkStart w:id="111" w:name="_Toc19164188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5371E9">
        <w:t>Gestão Empresarial</w:t>
      </w:r>
      <w:bookmarkEnd w:id="111"/>
    </w:p>
    <w:p w14:paraId="4DF7070D" w14:textId="043F501D" w:rsidR="006F633F" w:rsidRPr="005371E9" w:rsidRDefault="00B764B4" w:rsidP="00776B29">
      <w:pPr>
        <w:pStyle w:val="Ttulo3"/>
        <w:spacing w:before="240" w:after="120"/>
        <w:ind w:left="709" w:hanging="709"/>
      </w:pPr>
      <w:bookmarkStart w:id="112" w:name="_Toc191641887"/>
      <w:r w:rsidRPr="005371E9">
        <w:t>Desempenho Estratégico</w:t>
      </w:r>
      <w:bookmarkEnd w:id="112"/>
      <w:r w:rsidRPr="005371E9">
        <w:tab/>
      </w:r>
    </w:p>
    <w:p w14:paraId="58CB00F2" w14:textId="296C6B84" w:rsidR="004F542F" w:rsidRPr="005371E9" w:rsidRDefault="004F542F" w:rsidP="004F542F">
      <w:pPr>
        <w:spacing w:before="120" w:line="240" w:lineRule="auto"/>
        <w:rPr>
          <w:rFonts w:eastAsia="Arial"/>
          <w:bCs/>
          <w:sz w:val="22"/>
          <w:lang w:bidi="pt-BR"/>
        </w:rPr>
      </w:pPr>
      <w:r w:rsidRPr="005371E9">
        <w:rPr>
          <w:rFonts w:eastAsia="Arial"/>
          <w:bCs/>
          <w:sz w:val="22"/>
          <w:lang w:bidi="pt-BR"/>
        </w:rPr>
        <w:t>Na 513ª Reunião Ordinária do Conselho de Administração (ROCA), foi aprovada a nova versão do Plano Estratégico Institucional 2025-2030 e do Plano de Negócios 2025 da Telebras. O processo de elaboração do Plano Estratégico contou com aprimoramentos significativos, que reforçaram a participação e o engajamento em todas as etapas:</w:t>
      </w:r>
    </w:p>
    <w:p w14:paraId="7EF02FA8" w14:textId="77777777" w:rsidR="004F542F" w:rsidRPr="005371E9" w:rsidRDefault="004F542F" w:rsidP="004F542F">
      <w:pPr>
        <w:numPr>
          <w:ilvl w:val="0"/>
          <w:numId w:val="73"/>
        </w:numPr>
        <w:spacing w:before="120" w:line="240" w:lineRule="auto"/>
        <w:rPr>
          <w:rFonts w:eastAsia="Arial"/>
          <w:bCs/>
          <w:sz w:val="22"/>
          <w:lang w:bidi="pt-BR"/>
        </w:rPr>
      </w:pPr>
      <w:r w:rsidRPr="005371E9">
        <w:rPr>
          <w:rFonts w:eastAsia="Arial"/>
          <w:b/>
          <w:bCs/>
          <w:sz w:val="22"/>
          <w:lang w:bidi="pt-BR"/>
        </w:rPr>
        <w:t>Direcionadores Estratégicos como Primeira Etapa</w:t>
      </w:r>
      <w:r w:rsidRPr="005371E9">
        <w:rPr>
          <w:rFonts w:eastAsia="Arial"/>
          <w:bCs/>
          <w:sz w:val="22"/>
          <w:lang w:bidi="pt-BR"/>
        </w:rPr>
        <w:t>: Foram realizadas consultas estruturadas ao Conselho de Administração, à Diretoria Executiva e ao Comitê de Auditoria. Essa etapa inicial garantiu que os direcionadores estratégicos estivessem alinhados às expectativas da alta liderança, estabelecendo uma base sólida e coesa para o planejamento.</w:t>
      </w:r>
    </w:p>
    <w:p w14:paraId="5F6147E0" w14:textId="77777777" w:rsidR="004F542F" w:rsidRPr="005371E9" w:rsidRDefault="004F542F" w:rsidP="004F542F">
      <w:pPr>
        <w:numPr>
          <w:ilvl w:val="0"/>
          <w:numId w:val="73"/>
        </w:numPr>
        <w:spacing w:before="120" w:line="240" w:lineRule="auto"/>
        <w:rPr>
          <w:rFonts w:eastAsia="Arial"/>
          <w:bCs/>
          <w:sz w:val="22"/>
          <w:lang w:bidi="pt-BR"/>
        </w:rPr>
      </w:pPr>
      <w:r w:rsidRPr="005371E9">
        <w:rPr>
          <w:rFonts w:eastAsia="Arial"/>
          <w:b/>
          <w:bCs/>
          <w:sz w:val="22"/>
          <w:lang w:bidi="pt-BR"/>
        </w:rPr>
        <w:t>Engajamento da Liderança e Colaboradores</w:t>
      </w:r>
      <w:r w:rsidRPr="005371E9">
        <w:rPr>
          <w:rFonts w:eastAsia="Arial"/>
          <w:bCs/>
          <w:sz w:val="22"/>
          <w:lang w:bidi="pt-BR"/>
        </w:rPr>
        <w:t>: Foram promovidos workshops com Gerentes e Coordenadores, nos quais foram discutidas as estratégias propostas. Além disso, todos os colaboradores da Telebras foram convidados a contribuir por meio de um questionário estruturado, o que fortaleceu a inclusão de perspectivas diversas no processo.</w:t>
      </w:r>
    </w:p>
    <w:p w14:paraId="320F425B" w14:textId="77777777" w:rsidR="004F542F" w:rsidRPr="005371E9" w:rsidRDefault="004F542F" w:rsidP="004F542F">
      <w:pPr>
        <w:spacing w:before="120" w:line="240" w:lineRule="auto"/>
        <w:rPr>
          <w:rFonts w:eastAsia="Arial"/>
          <w:bCs/>
          <w:sz w:val="22"/>
          <w:lang w:bidi="pt-BR"/>
        </w:rPr>
      </w:pPr>
      <w:r w:rsidRPr="005371E9">
        <w:rPr>
          <w:rFonts w:eastAsia="Arial"/>
          <w:bCs/>
          <w:sz w:val="22"/>
          <w:lang w:bidi="pt-BR"/>
        </w:rPr>
        <w:t>Esse modelo de construção colaborativa, somado à elaboração de relatórios e ao monitoramento estratégico, reafirmou o compromisso da Telebras com uma gestão robusta e alinhada aos desafios do cenário atual, garantindo um direcionamento claro para o futuro da organização.</w:t>
      </w:r>
    </w:p>
    <w:p w14:paraId="142BEDC5" w14:textId="797BAFC2" w:rsidR="00271658" w:rsidRPr="005371E9" w:rsidRDefault="00271658" w:rsidP="00271658">
      <w:pPr>
        <w:spacing w:before="120" w:line="240" w:lineRule="auto"/>
        <w:rPr>
          <w:rFonts w:eastAsia="Arial"/>
          <w:bCs/>
          <w:sz w:val="22"/>
          <w:lang w:bidi="pt-BR"/>
        </w:rPr>
      </w:pPr>
      <w:r w:rsidRPr="005371E9">
        <w:rPr>
          <w:rFonts w:eastAsia="Arial"/>
          <w:bCs/>
          <w:sz w:val="22"/>
          <w:lang w:bidi="pt-BR"/>
        </w:rPr>
        <w:t>Os direcionadores estratégicos atualizados, estão descritos a seguir:</w:t>
      </w:r>
    </w:p>
    <w:p w14:paraId="30CBEEAC" w14:textId="7E3F0CA5" w:rsidR="00271658" w:rsidRPr="005371E9" w:rsidRDefault="00271658" w:rsidP="00271658">
      <w:pPr>
        <w:spacing w:before="120" w:line="240" w:lineRule="auto"/>
        <w:rPr>
          <w:rFonts w:eastAsia="Arial" w:cs="Arial"/>
          <w:bCs/>
          <w:sz w:val="22"/>
          <w:lang w:bidi="pt-BR"/>
        </w:rPr>
      </w:pPr>
      <w:r w:rsidRPr="005371E9">
        <w:rPr>
          <w:rFonts w:eastAsia="Arial" w:cs="Arial"/>
          <w:b/>
          <w:bCs/>
          <w:sz w:val="22"/>
          <w:lang w:bidi="pt-BR"/>
        </w:rPr>
        <w:t xml:space="preserve">Missão: </w:t>
      </w:r>
      <w:r w:rsidR="004F542F" w:rsidRPr="005371E9">
        <w:rPr>
          <w:rFonts w:eastAsia="Arial" w:cs="Arial"/>
          <w:bCs/>
          <w:iCs/>
          <w:sz w:val="22"/>
          <w:lang w:bidi="pt-BR"/>
        </w:rPr>
        <w:t>Conectar o Brasil com soluções seguras e inovadoras, promovendo a inclusão digital e as comunicações estratégicas do país</w:t>
      </w:r>
      <w:r w:rsidRPr="005371E9">
        <w:rPr>
          <w:rFonts w:eastAsia="Arial" w:cs="Arial"/>
          <w:bCs/>
          <w:sz w:val="22"/>
          <w:lang w:bidi="pt-BR"/>
        </w:rPr>
        <w:t>.</w:t>
      </w:r>
    </w:p>
    <w:p w14:paraId="06ED5AF7" w14:textId="2DC87D55" w:rsidR="00271658" w:rsidRPr="005371E9" w:rsidRDefault="00271658" w:rsidP="00271658">
      <w:pPr>
        <w:spacing w:before="120" w:line="240" w:lineRule="auto"/>
        <w:rPr>
          <w:rFonts w:eastAsia="Arial" w:cs="Arial"/>
          <w:bCs/>
          <w:sz w:val="22"/>
          <w:lang w:bidi="pt-BR"/>
        </w:rPr>
      </w:pPr>
      <w:r w:rsidRPr="005371E9">
        <w:rPr>
          <w:rFonts w:eastAsia="Arial" w:cs="Arial"/>
          <w:b/>
          <w:bCs/>
          <w:sz w:val="22"/>
          <w:lang w:bidi="pt-BR"/>
        </w:rPr>
        <w:t xml:space="preserve">Visão: </w:t>
      </w:r>
      <w:r w:rsidR="004F542F" w:rsidRPr="005371E9">
        <w:rPr>
          <w:rFonts w:eastAsia="Arial" w:cs="Arial"/>
          <w:bCs/>
          <w:sz w:val="22"/>
          <w:lang w:bidi="pt-BR"/>
        </w:rPr>
        <w:t>Ser referência em soluções de conectividade e tecnologia, tornando-se a principal executora das políticas públicas para a transformação digital do Estado e da sociedade brasileira.</w:t>
      </w:r>
    </w:p>
    <w:p w14:paraId="3E6C403A" w14:textId="77777777" w:rsidR="002A1A3F" w:rsidRPr="005371E9" w:rsidRDefault="002A1A3F" w:rsidP="00776B29">
      <w:pPr>
        <w:spacing w:before="120" w:line="240" w:lineRule="auto"/>
        <w:rPr>
          <w:rFonts w:eastAsia="Arial" w:cs="Arial"/>
          <w:b/>
          <w:bCs/>
          <w:sz w:val="22"/>
          <w:lang w:bidi="pt-BR"/>
        </w:rPr>
      </w:pPr>
      <w:r w:rsidRPr="005371E9">
        <w:rPr>
          <w:rFonts w:eastAsia="Arial" w:cs="Arial"/>
          <w:b/>
          <w:bCs/>
          <w:sz w:val="22"/>
          <w:lang w:bidi="pt-BR"/>
        </w:rPr>
        <w:t>Valores:</w:t>
      </w:r>
    </w:p>
    <w:p w14:paraId="59E8B9C0" w14:textId="4422A5C0" w:rsidR="002A1A3F" w:rsidRPr="005371E9" w:rsidRDefault="002A1A3F" w:rsidP="00FE115B">
      <w:pPr>
        <w:numPr>
          <w:ilvl w:val="0"/>
          <w:numId w:val="18"/>
        </w:numPr>
        <w:spacing w:before="120" w:line="240" w:lineRule="auto"/>
        <w:rPr>
          <w:rFonts w:eastAsia="Arial" w:cs="Arial"/>
          <w:bCs/>
          <w:sz w:val="22"/>
          <w:lang w:bidi="pt-BR"/>
        </w:rPr>
      </w:pPr>
      <w:r w:rsidRPr="005371E9">
        <w:rPr>
          <w:rFonts w:eastAsia="Arial" w:cs="Arial"/>
          <w:b/>
          <w:bCs/>
          <w:sz w:val="22"/>
          <w:lang w:bidi="pt-BR"/>
        </w:rPr>
        <w:t>Foco n</w:t>
      </w:r>
      <w:r w:rsidR="004F542F" w:rsidRPr="005371E9">
        <w:rPr>
          <w:rFonts w:eastAsia="Arial" w:cs="Arial"/>
          <w:b/>
          <w:bCs/>
          <w:sz w:val="22"/>
          <w:lang w:bidi="pt-BR"/>
        </w:rPr>
        <w:t>a</w:t>
      </w:r>
      <w:r w:rsidRPr="005371E9">
        <w:rPr>
          <w:rFonts w:eastAsia="Arial" w:cs="Arial"/>
          <w:b/>
          <w:bCs/>
          <w:sz w:val="22"/>
          <w:lang w:bidi="pt-BR"/>
        </w:rPr>
        <w:t xml:space="preserve"> </w:t>
      </w:r>
      <w:r w:rsidR="004F542F" w:rsidRPr="005371E9">
        <w:rPr>
          <w:rFonts w:eastAsia="Arial" w:cs="Arial"/>
          <w:b/>
          <w:bCs/>
          <w:sz w:val="22"/>
          <w:lang w:bidi="pt-BR"/>
        </w:rPr>
        <w:t>Sociedade</w:t>
      </w:r>
      <w:r w:rsidRPr="005371E9">
        <w:rPr>
          <w:rFonts w:eastAsia="Arial" w:cs="Arial"/>
          <w:bCs/>
          <w:sz w:val="22"/>
          <w:lang w:bidi="pt-BR"/>
        </w:rPr>
        <w:t xml:space="preserve">: </w:t>
      </w:r>
      <w:r w:rsidR="004F542F" w:rsidRPr="005371E9">
        <w:rPr>
          <w:rFonts w:eastAsia="Arial" w:cs="Arial"/>
          <w:bCs/>
          <w:sz w:val="22"/>
          <w:lang w:bidi="pt-BR"/>
        </w:rPr>
        <w:t>Nosso compromisso é reduzir as desigualdades sociais e regionais, contribuindo para a transformação digital do país e a melhoria da qualidade de vida das pessoas</w:t>
      </w:r>
      <w:r w:rsidRPr="005371E9">
        <w:rPr>
          <w:rFonts w:eastAsia="Arial" w:cs="Arial"/>
          <w:bCs/>
          <w:sz w:val="22"/>
          <w:lang w:bidi="pt-BR"/>
        </w:rPr>
        <w:t>.</w:t>
      </w:r>
    </w:p>
    <w:p w14:paraId="502ADBEE" w14:textId="5B603F4F" w:rsidR="002A1A3F" w:rsidRPr="005371E9" w:rsidRDefault="002A1A3F" w:rsidP="00FE115B">
      <w:pPr>
        <w:numPr>
          <w:ilvl w:val="0"/>
          <w:numId w:val="18"/>
        </w:numPr>
        <w:spacing w:before="120" w:line="240" w:lineRule="auto"/>
        <w:rPr>
          <w:rFonts w:eastAsia="Arial" w:cs="Arial"/>
          <w:bCs/>
          <w:sz w:val="22"/>
          <w:lang w:bidi="pt-BR"/>
        </w:rPr>
      </w:pPr>
      <w:r w:rsidRPr="005371E9">
        <w:rPr>
          <w:rFonts w:eastAsia="Arial" w:cs="Arial"/>
          <w:b/>
          <w:bCs/>
          <w:sz w:val="22"/>
          <w:lang w:bidi="pt-BR"/>
        </w:rPr>
        <w:t>Compromisso com Resultados</w:t>
      </w:r>
      <w:r w:rsidR="004F542F" w:rsidRPr="005371E9">
        <w:rPr>
          <w:rFonts w:eastAsia="Arial" w:cs="Arial"/>
          <w:b/>
          <w:bCs/>
          <w:sz w:val="22"/>
          <w:lang w:bidi="pt-BR"/>
        </w:rPr>
        <w:t xml:space="preserve"> Sustentáveis</w:t>
      </w:r>
      <w:r w:rsidRPr="005371E9">
        <w:rPr>
          <w:rFonts w:eastAsia="Arial" w:cs="Arial"/>
          <w:bCs/>
          <w:sz w:val="22"/>
          <w:lang w:bidi="pt-BR"/>
        </w:rPr>
        <w:t xml:space="preserve">: </w:t>
      </w:r>
      <w:r w:rsidR="004F542F" w:rsidRPr="005371E9">
        <w:rPr>
          <w:rFonts w:eastAsia="Arial" w:cs="Arial"/>
          <w:bCs/>
          <w:sz w:val="22"/>
          <w:lang w:bidi="pt-BR"/>
        </w:rPr>
        <w:t>Estamos determinados a alcançar resultados sustentáveis, atendendo tanto às metas quanto aos interesses da sociedade, alinhando o desempenho organizacional aos impactos sociais e ambientais</w:t>
      </w:r>
      <w:r w:rsidRPr="005371E9">
        <w:rPr>
          <w:rFonts w:eastAsia="Arial" w:cs="Arial"/>
          <w:bCs/>
          <w:sz w:val="22"/>
          <w:lang w:bidi="pt-BR"/>
        </w:rPr>
        <w:t>.</w:t>
      </w:r>
    </w:p>
    <w:p w14:paraId="174429DB" w14:textId="6B454731" w:rsidR="002A1A3F" w:rsidRPr="005371E9" w:rsidRDefault="002A1A3F" w:rsidP="00FE115B">
      <w:pPr>
        <w:numPr>
          <w:ilvl w:val="0"/>
          <w:numId w:val="18"/>
        </w:numPr>
        <w:spacing w:before="120" w:line="240" w:lineRule="auto"/>
        <w:rPr>
          <w:rFonts w:eastAsia="Arial" w:cs="Arial"/>
          <w:bCs/>
          <w:sz w:val="22"/>
          <w:lang w:bidi="pt-BR"/>
        </w:rPr>
      </w:pPr>
      <w:r w:rsidRPr="005371E9">
        <w:rPr>
          <w:rFonts w:eastAsia="Arial" w:cs="Arial"/>
          <w:b/>
          <w:bCs/>
          <w:sz w:val="22"/>
          <w:lang w:bidi="pt-BR"/>
        </w:rPr>
        <w:t>Valorização do Capital Humano</w:t>
      </w:r>
      <w:r w:rsidRPr="005371E9">
        <w:rPr>
          <w:rFonts w:eastAsia="Arial" w:cs="Arial"/>
          <w:bCs/>
          <w:sz w:val="22"/>
          <w:lang w:bidi="pt-BR"/>
        </w:rPr>
        <w:t xml:space="preserve">: </w:t>
      </w:r>
      <w:r w:rsidR="004F542F" w:rsidRPr="005371E9">
        <w:rPr>
          <w:rFonts w:eastAsia="Arial" w:cs="Arial"/>
          <w:bCs/>
          <w:sz w:val="22"/>
          <w:lang w:bidi="pt-BR"/>
        </w:rPr>
        <w:t>Nossa equipe é o nosso maior ativo. Promovemos o desenvolvimento contínuo e a valorização das singularidades de cada colaborador, pois juntos transformamos realidades</w:t>
      </w:r>
      <w:r w:rsidRPr="005371E9">
        <w:rPr>
          <w:rFonts w:eastAsia="Arial" w:cs="Arial"/>
          <w:bCs/>
          <w:sz w:val="22"/>
          <w:lang w:bidi="pt-BR"/>
        </w:rPr>
        <w:t>.</w:t>
      </w:r>
    </w:p>
    <w:p w14:paraId="2D067BB8" w14:textId="716A8FF4" w:rsidR="002A1A3F" w:rsidRPr="005371E9" w:rsidRDefault="004F542F" w:rsidP="00FE115B">
      <w:pPr>
        <w:numPr>
          <w:ilvl w:val="0"/>
          <w:numId w:val="18"/>
        </w:numPr>
        <w:spacing w:before="120" w:line="240" w:lineRule="auto"/>
        <w:rPr>
          <w:rFonts w:eastAsia="Arial" w:cs="Arial"/>
          <w:bCs/>
          <w:sz w:val="22"/>
          <w:lang w:bidi="pt-BR"/>
        </w:rPr>
      </w:pPr>
      <w:r w:rsidRPr="005371E9">
        <w:rPr>
          <w:rFonts w:eastAsia="Arial" w:cs="Arial"/>
          <w:b/>
          <w:bCs/>
          <w:sz w:val="22"/>
          <w:lang w:bidi="pt-BR"/>
        </w:rPr>
        <w:t>Ser Inovador</w:t>
      </w:r>
      <w:r w:rsidR="002A1A3F" w:rsidRPr="005371E9">
        <w:rPr>
          <w:rFonts w:eastAsia="Arial" w:cs="Arial"/>
          <w:b/>
          <w:bCs/>
          <w:sz w:val="22"/>
          <w:lang w:bidi="pt-BR"/>
        </w:rPr>
        <w:t>:</w:t>
      </w:r>
      <w:r w:rsidR="002A1A3F" w:rsidRPr="005371E9">
        <w:rPr>
          <w:rFonts w:eastAsia="Arial" w:cs="Arial"/>
          <w:bCs/>
          <w:sz w:val="22"/>
          <w:lang w:bidi="pt-BR"/>
        </w:rPr>
        <w:t xml:space="preserve"> </w:t>
      </w:r>
      <w:r w:rsidRPr="005371E9">
        <w:rPr>
          <w:rFonts w:eastAsia="Arial" w:cs="Arial"/>
          <w:bCs/>
          <w:sz w:val="22"/>
          <w:lang w:bidi="pt-BR"/>
        </w:rPr>
        <w:t>Desenvolvemos soluções tecnológicas inovadoras que impulsionam a conectividade e agregam valor à sociedade, especialmente em áreas desassistidas</w:t>
      </w:r>
      <w:r w:rsidR="00A40219">
        <w:rPr>
          <w:rFonts w:eastAsia="Arial" w:cs="Arial"/>
          <w:bCs/>
          <w:sz w:val="22"/>
          <w:lang w:bidi="pt-BR"/>
        </w:rPr>
        <w:t>.</w:t>
      </w:r>
    </w:p>
    <w:p w14:paraId="5EC71123" w14:textId="3A69AC9A" w:rsidR="002A1A3F" w:rsidRPr="005371E9" w:rsidRDefault="002A1A3F" w:rsidP="00FE115B">
      <w:pPr>
        <w:numPr>
          <w:ilvl w:val="0"/>
          <w:numId w:val="18"/>
        </w:numPr>
        <w:spacing w:before="120" w:line="240" w:lineRule="auto"/>
        <w:rPr>
          <w:rFonts w:eastAsia="Arial" w:cs="Arial"/>
          <w:bCs/>
          <w:sz w:val="22"/>
          <w:lang w:bidi="pt-BR"/>
        </w:rPr>
      </w:pPr>
      <w:r w:rsidRPr="005371E9">
        <w:rPr>
          <w:rFonts w:eastAsia="Arial" w:cs="Arial"/>
          <w:b/>
          <w:bCs/>
          <w:sz w:val="22"/>
          <w:lang w:bidi="pt-BR"/>
        </w:rPr>
        <w:t>Responsabilidade Social</w:t>
      </w:r>
      <w:r w:rsidR="004F542F" w:rsidRPr="005371E9">
        <w:rPr>
          <w:rFonts w:eastAsia="Arial" w:cs="Arial"/>
          <w:b/>
          <w:bCs/>
          <w:sz w:val="22"/>
          <w:lang w:bidi="pt-BR"/>
        </w:rPr>
        <w:t>, Ambiental</w:t>
      </w:r>
      <w:r w:rsidR="00271658" w:rsidRPr="005371E9">
        <w:rPr>
          <w:rFonts w:eastAsia="Arial" w:cs="Arial"/>
          <w:b/>
          <w:bCs/>
          <w:sz w:val="22"/>
          <w:lang w:bidi="pt-BR"/>
        </w:rPr>
        <w:t xml:space="preserve"> e </w:t>
      </w:r>
      <w:r w:rsidR="004F542F" w:rsidRPr="005371E9">
        <w:rPr>
          <w:rFonts w:eastAsia="Arial" w:cs="Arial"/>
          <w:b/>
          <w:bCs/>
          <w:sz w:val="22"/>
          <w:lang w:bidi="pt-BR"/>
        </w:rPr>
        <w:t>Governança Corporativa</w:t>
      </w:r>
      <w:r w:rsidRPr="005371E9">
        <w:rPr>
          <w:rFonts w:eastAsia="Arial" w:cs="Arial"/>
          <w:bCs/>
          <w:sz w:val="22"/>
          <w:lang w:bidi="pt-BR"/>
        </w:rPr>
        <w:t xml:space="preserve">: </w:t>
      </w:r>
      <w:r w:rsidR="004F542F" w:rsidRPr="005371E9">
        <w:rPr>
          <w:rFonts w:eastAsia="Arial" w:cs="Arial"/>
          <w:bCs/>
          <w:sz w:val="22"/>
          <w:lang w:bidi="pt-BR"/>
        </w:rPr>
        <w:t>Trabalhamos para garantir a acessibilidade e inclusão digital em todo o território nacional, mantendo um compromisso com práticas sustentáveis, governança corporativa e respeito ao meio ambiente</w:t>
      </w:r>
      <w:r w:rsidR="00271658" w:rsidRPr="005371E9">
        <w:rPr>
          <w:rFonts w:eastAsia="Arial" w:cs="Arial"/>
          <w:bCs/>
          <w:sz w:val="22"/>
          <w:lang w:bidi="pt-BR"/>
        </w:rPr>
        <w:t>.</w:t>
      </w:r>
    </w:p>
    <w:p w14:paraId="0F1BC644" w14:textId="3BDF166F" w:rsidR="004F542F" w:rsidRPr="005371E9" w:rsidRDefault="004F542F">
      <w:pPr>
        <w:numPr>
          <w:ilvl w:val="0"/>
          <w:numId w:val="18"/>
        </w:numPr>
        <w:spacing w:before="120" w:line="240" w:lineRule="auto"/>
        <w:rPr>
          <w:rFonts w:eastAsia="Arial" w:cs="Arial"/>
          <w:bCs/>
          <w:sz w:val="22"/>
          <w:lang w:bidi="pt-BR"/>
        </w:rPr>
      </w:pPr>
      <w:r w:rsidRPr="005371E9">
        <w:rPr>
          <w:rFonts w:eastAsia="Arial" w:cs="Arial"/>
          <w:b/>
          <w:bCs/>
          <w:sz w:val="22"/>
          <w:lang w:bidi="pt-BR"/>
        </w:rPr>
        <w:t>Integridade e Ética</w:t>
      </w:r>
      <w:r w:rsidRPr="005371E9">
        <w:rPr>
          <w:rFonts w:eastAsia="Arial" w:cs="Arial"/>
          <w:bCs/>
          <w:sz w:val="22"/>
          <w:lang w:bidi="pt-BR"/>
        </w:rPr>
        <w:t>: Fazemos o que é certo e cumprimos o que prometemos, com transparência em todas as nossas ações.</w:t>
      </w:r>
    </w:p>
    <w:p w14:paraId="1052D7A3" w14:textId="135EA895" w:rsidR="00271658" w:rsidRPr="005371E9" w:rsidRDefault="004F542F" w:rsidP="00271658">
      <w:pPr>
        <w:pStyle w:val="PargrafodaLista"/>
        <w:numPr>
          <w:ilvl w:val="0"/>
          <w:numId w:val="18"/>
        </w:numPr>
        <w:spacing w:before="120" w:line="240" w:lineRule="auto"/>
        <w:contextualSpacing w:val="0"/>
        <w:rPr>
          <w:rFonts w:eastAsia="Arial" w:cs="Arial"/>
          <w:sz w:val="22"/>
        </w:rPr>
      </w:pPr>
      <w:r w:rsidRPr="005371E9">
        <w:rPr>
          <w:rFonts w:eastAsia="Arial" w:cs="Arial"/>
          <w:b/>
          <w:bCs/>
          <w:sz w:val="22"/>
          <w:lang w:bidi="pt-BR"/>
        </w:rPr>
        <w:t>Agilidade</w:t>
      </w:r>
      <w:r w:rsidR="00271658" w:rsidRPr="005371E9">
        <w:rPr>
          <w:rFonts w:eastAsia="Arial" w:cs="Arial"/>
          <w:b/>
          <w:bCs/>
          <w:sz w:val="22"/>
          <w:lang w:bidi="pt-BR"/>
        </w:rPr>
        <w:t>:</w:t>
      </w:r>
      <w:r w:rsidR="00271658" w:rsidRPr="005371E9">
        <w:rPr>
          <w:rFonts w:eastAsia="Arial" w:cs="Arial"/>
          <w:bCs/>
          <w:sz w:val="22"/>
          <w:lang w:bidi="pt-BR"/>
        </w:rPr>
        <w:t xml:space="preserve"> </w:t>
      </w:r>
      <w:r w:rsidRPr="005371E9">
        <w:rPr>
          <w:rFonts w:eastAsia="Arial" w:cs="Arial"/>
          <w:bCs/>
          <w:sz w:val="22"/>
          <w:lang w:bidi="pt-BR"/>
        </w:rPr>
        <w:t>Agimos com rapidez e eficiência para atender às demandas de um ambiente em constante transformação, superando desafios e entregando soluções eficazes</w:t>
      </w:r>
      <w:r w:rsidR="00271658" w:rsidRPr="005371E9">
        <w:rPr>
          <w:rFonts w:eastAsia="Arial" w:cs="Arial"/>
          <w:bCs/>
          <w:sz w:val="22"/>
          <w:lang w:bidi="pt-BR"/>
        </w:rPr>
        <w:t>.</w:t>
      </w:r>
    </w:p>
    <w:p w14:paraId="4A047286" w14:textId="3DFE8C65" w:rsidR="004F542F" w:rsidRPr="005371E9" w:rsidRDefault="00FE196B" w:rsidP="004F542F">
      <w:pPr>
        <w:spacing w:line="240" w:lineRule="auto"/>
        <w:rPr>
          <w:bCs/>
          <w:sz w:val="22"/>
          <w:lang w:bidi="pt-BR"/>
        </w:rPr>
      </w:pPr>
      <w:r w:rsidRPr="005371E9">
        <w:rPr>
          <w:b/>
          <w:bCs/>
          <w:sz w:val="22"/>
          <w:lang w:bidi="pt-BR"/>
        </w:rPr>
        <w:t>Mapa Estratégico:</w:t>
      </w:r>
      <w:r w:rsidRPr="005371E9">
        <w:rPr>
          <w:bCs/>
          <w:sz w:val="22"/>
          <w:lang w:bidi="pt-BR"/>
        </w:rPr>
        <w:t xml:space="preserve"> </w:t>
      </w:r>
      <w:r w:rsidR="004F542F" w:rsidRPr="005371E9">
        <w:rPr>
          <w:bCs/>
          <w:sz w:val="22"/>
          <w:lang w:bidi="pt-BR"/>
        </w:rPr>
        <w:t>O Mapa Estratégico da Telebras para o período 2025-2030 é a representação visual que conecta a missão, a visão, os valo</w:t>
      </w:r>
      <w:r w:rsidR="00243314">
        <w:rPr>
          <w:bCs/>
          <w:sz w:val="22"/>
          <w:lang w:bidi="pt-BR"/>
        </w:rPr>
        <w:t>res</w:t>
      </w:r>
      <w:r w:rsidR="004F542F" w:rsidRPr="005371E9">
        <w:rPr>
          <w:bCs/>
          <w:sz w:val="22"/>
          <w:lang w:bidi="pt-BR"/>
        </w:rPr>
        <w:t xml:space="preserve"> e os objetivos estratégicos em uma estrutura integrada. Ele organiza os principais objetivos da empresa em perspectivas que orientam a execução e o monitoramento do plano estratégico, garantindo clareza e alinhamento em todos os níveis organizacionais. </w:t>
      </w:r>
    </w:p>
    <w:p w14:paraId="746317F1" w14:textId="5912F0E8" w:rsidR="00FE196B" w:rsidRPr="005371E9" w:rsidRDefault="004F542F" w:rsidP="00776B29">
      <w:pPr>
        <w:spacing w:line="240" w:lineRule="auto"/>
        <w:rPr>
          <w:bCs/>
          <w:sz w:val="22"/>
          <w:lang w:bidi="pt-BR"/>
        </w:rPr>
      </w:pPr>
      <w:r w:rsidRPr="005371E9">
        <w:rPr>
          <w:bCs/>
          <w:sz w:val="22"/>
          <w:lang w:bidi="pt-BR"/>
        </w:rPr>
        <w:t xml:space="preserve">A Telebras manteve a estrutura baseada no modelo </w:t>
      </w:r>
      <w:r w:rsidRPr="00C00EF0">
        <w:rPr>
          <w:bCs/>
          <w:i/>
          <w:sz w:val="22"/>
          <w:lang w:bidi="pt-BR"/>
        </w:rPr>
        <w:t>Balanced Scorecard</w:t>
      </w:r>
      <w:r w:rsidRPr="005371E9">
        <w:rPr>
          <w:bCs/>
          <w:sz w:val="22"/>
          <w:lang w:bidi="pt-BR"/>
        </w:rPr>
        <w:t xml:space="preserve"> (BSC). As perspectivas tradicionais do BSC foram detalhadas em sete dimensões mais direcionadas às necessidades contemporâneas da organização</w:t>
      </w:r>
      <w:r w:rsidR="00FE196B" w:rsidRPr="005371E9">
        <w:rPr>
          <w:bCs/>
          <w:sz w:val="22"/>
          <w:lang w:bidi="pt-BR"/>
        </w:rPr>
        <w:t xml:space="preserve">. </w:t>
      </w:r>
    </w:p>
    <w:p w14:paraId="527EA794" w14:textId="228C4D9C" w:rsidR="00D15744" w:rsidRPr="00D44CF4" w:rsidRDefault="004F542F" w:rsidP="00A726E7">
      <w:pPr>
        <w:keepNext/>
        <w:spacing w:line="276" w:lineRule="auto"/>
        <w:jc w:val="center"/>
        <w:rPr>
          <w:highlight w:val="yellow"/>
        </w:rPr>
      </w:pPr>
      <w:r w:rsidRPr="00C7735D">
        <w:rPr>
          <w:rFonts w:cstheme="minorHAnsi"/>
          <w:noProof/>
          <w:lang w:eastAsia="pt-BR"/>
        </w:rPr>
        <w:drawing>
          <wp:inline distT="0" distB="0" distL="0" distR="0" wp14:anchorId="6D6C8D3C" wp14:editId="78732444">
            <wp:extent cx="4755560" cy="6432605"/>
            <wp:effectExtent l="0" t="0" r="6985" b="6350"/>
            <wp:docPr id="1238586627" name="Imagem 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86627" name="Imagem 9" descr="Texto&#10;&#10;Descrição gerad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7989" cy="6435891"/>
                    </a:xfrm>
                    <a:prstGeom prst="rect">
                      <a:avLst/>
                    </a:prstGeom>
                    <a:noFill/>
                  </pic:spPr>
                </pic:pic>
              </a:graphicData>
            </a:graphic>
          </wp:inline>
        </w:drawing>
      </w:r>
    </w:p>
    <w:p w14:paraId="121AAC8E" w14:textId="6C003D23" w:rsidR="005371E9" w:rsidRPr="0064787A" w:rsidRDefault="005371E9" w:rsidP="005371E9">
      <w:pPr>
        <w:pStyle w:val="Legenda"/>
      </w:pPr>
      <w:bookmarkStart w:id="113" w:name="_Toc191643403"/>
      <w:r w:rsidRPr="0064787A">
        <w:t xml:space="preserve">Figura </w:t>
      </w:r>
      <w:r w:rsidRPr="00505643">
        <w:fldChar w:fldCharType="begin"/>
      </w:r>
      <w:r w:rsidRPr="0064787A">
        <w:instrText xml:space="preserve"> STYLEREF 1 \s </w:instrText>
      </w:r>
      <w:r w:rsidRPr="00505643">
        <w:fldChar w:fldCharType="separate"/>
      </w:r>
      <w:r w:rsidR="009A3F6E">
        <w:rPr>
          <w:noProof/>
        </w:rPr>
        <w:t>5</w:t>
      </w:r>
      <w:r w:rsidRPr="00505643">
        <w:rPr>
          <w:noProof/>
        </w:rPr>
        <w:fldChar w:fldCharType="end"/>
      </w:r>
      <w:r w:rsidRPr="0064787A">
        <w:noBreakHyphen/>
      </w:r>
      <w:r w:rsidRPr="00505643">
        <w:fldChar w:fldCharType="begin"/>
      </w:r>
      <w:r w:rsidRPr="0064787A">
        <w:instrText xml:space="preserve"> SEQ Figura \* ARABIC \s 1 </w:instrText>
      </w:r>
      <w:r w:rsidRPr="00505643">
        <w:fldChar w:fldCharType="separate"/>
      </w:r>
      <w:r w:rsidR="009A3F6E">
        <w:rPr>
          <w:noProof/>
        </w:rPr>
        <w:t>2</w:t>
      </w:r>
      <w:r w:rsidRPr="00505643">
        <w:rPr>
          <w:noProof/>
        </w:rPr>
        <w:fldChar w:fldCharType="end"/>
      </w:r>
      <w:r w:rsidRPr="0064787A">
        <w:t xml:space="preserve"> </w:t>
      </w:r>
      <w:r>
        <w:t>Mapa Estratégico 2025 a 2030</w:t>
      </w:r>
      <w:bookmarkEnd w:id="113"/>
    </w:p>
    <w:p w14:paraId="112EB13B" w14:textId="06DF3A0A" w:rsidR="00E71CE3" w:rsidRPr="005371E9" w:rsidRDefault="006551B6" w:rsidP="00AE3EC3">
      <w:pPr>
        <w:spacing w:line="240" w:lineRule="auto"/>
        <w:rPr>
          <w:szCs w:val="26"/>
        </w:rPr>
      </w:pPr>
      <w:r w:rsidRPr="005371E9">
        <w:rPr>
          <w:bCs/>
          <w:sz w:val="22"/>
          <w:lang w:bidi="pt-BR"/>
        </w:rPr>
        <w:t xml:space="preserve">O desempenho estratégico é </w:t>
      </w:r>
      <w:r w:rsidR="002E6B58" w:rsidRPr="005371E9">
        <w:rPr>
          <w:bCs/>
          <w:sz w:val="22"/>
          <w:lang w:bidi="pt-BR"/>
        </w:rPr>
        <w:t xml:space="preserve">monitorado por meio da análise dos </w:t>
      </w:r>
      <w:r w:rsidRPr="005371E9">
        <w:rPr>
          <w:bCs/>
          <w:sz w:val="22"/>
          <w:lang w:bidi="pt-BR"/>
        </w:rPr>
        <w:t>resultado</w:t>
      </w:r>
      <w:r w:rsidR="002E6B58" w:rsidRPr="005371E9">
        <w:rPr>
          <w:bCs/>
          <w:sz w:val="22"/>
          <w:lang w:bidi="pt-BR"/>
        </w:rPr>
        <w:t>s</w:t>
      </w:r>
      <w:r w:rsidRPr="005371E9">
        <w:rPr>
          <w:bCs/>
          <w:sz w:val="22"/>
          <w:lang w:bidi="pt-BR"/>
        </w:rPr>
        <w:t xml:space="preserve"> da execução da estratégia</w:t>
      </w:r>
      <w:r w:rsidR="002E6B58" w:rsidRPr="005371E9">
        <w:rPr>
          <w:bCs/>
          <w:sz w:val="22"/>
          <w:lang w:bidi="pt-BR"/>
        </w:rPr>
        <w:t xml:space="preserve">, os quais são refletidos </w:t>
      </w:r>
      <w:r w:rsidRPr="005371E9">
        <w:rPr>
          <w:bCs/>
          <w:sz w:val="22"/>
          <w:lang w:bidi="pt-BR"/>
        </w:rPr>
        <w:t>nos indicadores estratégicos</w:t>
      </w:r>
      <w:r w:rsidR="002E6B58" w:rsidRPr="005371E9">
        <w:rPr>
          <w:bCs/>
          <w:sz w:val="22"/>
          <w:lang w:bidi="pt-BR"/>
        </w:rPr>
        <w:t xml:space="preserve">. Esses indicadores </w:t>
      </w:r>
      <w:r w:rsidRPr="005371E9">
        <w:rPr>
          <w:bCs/>
          <w:sz w:val="22"/>
          <w:lang w:bidi="pt-BR"/>
        </w:rPr>
        <w:t xml:space="preserve">fornecem informações </w:t>
      </w:r>
      <w:r w:rsidR="002E6B58" w:rsidRPr="005371E9">
        <w:rPr>
          <w:bCs/>
          <w:sz w:val="22"/>
          <w:lang w:bidi="pt-BR"/>
        </w:rPr>
        <w:t xml:space="preserve">cruciais para </w:t>
      </w:r>
      <w:r w:rsidRPr="005371E9">
        <w:rPr>
          <w:bCs/>
          <w:sz w:val="22"/>
          <w:lang w:bidi="pt-BR"/>
        </w:rPr>
        <w:t xml:space="preserve">avaliar o </w:t>
      </w:r>
      <w:r w:rsidR="002E6B58" w:rsidRPr="005371E9">
        <w:rPr>
          <w:bCs/>
          <w:sz w:val="22"/>
          <w:lang w:bidi="pt-BR"/>
        </w:rPr>
        <w:t>progresso em direção à</w:t>
      </w:r>
      <w:r w:rsidRPr="005371E9">
        <w:rPr>
          <w:bCs/>
          <w:sz w:val="22"/>
          <w:lang w:bidi="pt-BR"/>
        </w:rPr>
        <w:t xml:space="preserve">s metas </w:t>
      </w:r>
      <w:r w:rsidR="002E6B58" w:rsidRPr="005371E9">
        <w:rPr>
          <w:bCs/>
          <w:sz w:val="22"/>
          <w:lang w:bidi="pt-BR"/>
        </w:rPr>
        <w:t xml:space="preserve">estabelecidas </w:t>
      </w:r>
      <w:r w:rsidRPr="005371E9">
        <w:rPr>
          <w:bCs/>
          <w:sz w:val="22"/>
          <w:lang w:bidi="pt-BR"/>
        </w:rPr>
        <w:t xml:space="preserve">e </w:t>
      </w:r>
      <w:r w:rsidR="002E6B58" w:rsidRPr="005371E9">
        <w:rPr>
          <w:bCs/>
          <w:sz w:val="22"/>
          <w:lang w:bidi="pt-BR"/>
        </w:rPr>
        <w:t xml:space="preserve">identificar </w:t>
      </w:r>
      <w:r w:rsidRPr="005371E9">
        <w:rPr>
          <w:bCs/>
          <w:sz w:val="22"/>
          <w:lang w:bidi="pt-BR"/>
        </w:rPr>
        <w:t xml:space="preserve">a necessidade de </w:t>
      </w:r>
      <w:r w:rsidR="002E6B58" w:rsidRPr="005371E9">
        <w:rPr>
          <w:bCs/>
          <w:sz w:val="22"/>
          <w:lang w:bidi="pt-BR"/>
        </w:rPr>
        <w:t xml:space="preserve">implementar </w:t>
      </w:r>
      <w:r w:rsidRPr="005371E9">
        <w:rPr>
          <w:bCs/>
          <w:sz w:val="22"/>
          <w:lang w:bidi="pt-BR"/>
        </w:rPr>
        <w:t>ações corretivas</w:t>
      </w:r>
      <w:r w:rsidR="002E6B58" w:rsidRPr="005371E9">
        <w:rPr>
          <w:bCs/>
          <w:sz w:val="22"/>
          <w:lang w:bidi="pt-BR"/>
        </w:rPr>
        <w:t xml:space="preserve">, </w:t>
      </w:r>
      <w:r w:rsidR="002E6B58" w:rsidRPr="005371E9">
        <w:rPr>
          <w:bCs/>
          <w:sz w:val="22"/>
          <w:lang w:bidi="pt-BR"/>
        </w:rPr>
        <w:tab/>
      </w:r>
      <w:r w:rsidR="002E6B58" w:rsidRPr="005371E9">
        <w:rPr>
          <w:sz w:val="22"/>
          <w:lang w:bidi="pt-BR"/>
        </w:rPr>
        <w:t>quando</w:t>
      </w:r>
      <w:r w:rsidR="002E6B58" w:rsidRPr="005371E9">
        <w:rPr>
          <w:bCs/>
          <w:sz w:val="22"/>
          <w:lang w:bidi="pt-BR"/>
        </w:rPr>
        <w:t xml:space="preserve"> necessário</w:t>
      </w:r>
      <w:r w:rsidRPr="005371E9">
        <w:rPr>
          <w:bCs/>
          <w:sz w:val="22"/>
          <w:lang w:bidi="pt-BR"/>
        </w:rPr>
        <w:t>.</w:t>
      </w:r>
      <w:bookmarkStart w:id="114" w:name="_Toc95122849"/>
      <w:bookmarkStart w:id="115" w:name="_Toc95154925"/>
      <w:bookmarkStart w:id="116" w:name="_Toc95160598"/>
      <w:bookmarkStart w:id="117" w:name="_Toc95160657"/>
      <w:bookmarkStart w:id="118" w:name="_Toc95160716"/>
      <w:bookmarkStart w:id="119" w:name="_Toc95160775"/>
      <w:bookmarkStart w:id="120" w:name="_Toc95160834"/>
      <w:bookmarkStart w:id="121" w:name="_Toc95161122"/>
      <w:bookmarkStart w:id="122" w:name="_Toc95161341"/>
      <w:bookmarkStart w:id="123" w:name="_Toc95161441"/>
      <w:bookmarkStart w:id="124" w:name="_Toc95205579"/>
      <w:bookmarkStart w:id="125" w:name="_Toc95207172"/>
      <w:bookmarkStart w:id="126" w:name="_Toc95397107"/>
      <w:bookmarkStart w:id="127" w:name="_Toc95922473"/>
      <w:bookmarkStart w:id="128" w:name="_Toc97281012"/>
      <w:bookmarkStart w:id="129" w:name="_Toc97281072"/>
      <w:bookmarkStart w:id="130" w:name="_Toc97647161"/>
      <w:bookmarkStart w:id="131" w:name="_Toc97647221"/>
      <w:bookmarkStart w:id="132" w:name="_Toc97647281"/>
      <w:bookmarkStart w:id="133" w:name="_Toc97647550"/>
      <w:bookmarkStart w:id="134" w:name="_Toc97647610"/>
      <w:bookmarkStart w:id="135" w:name="_Toc97647670"/>
      <w:bookmarkStart w:id="136" w:name="_Toc97647730"/>
      <w:bookmarkStart w:id="137" w:name="_Toc98433173"/>
      <w:bookmarkStart w:id="138" w:name="_Toc98433239"/>
      <w:bookmarkStart w:id="139" w:name="_Toc98433299"/>
      <w:bookmarkStart w:id="140" w:name="_Toc98433359"/>
      <w:bookmarkStart w:id="141" w:name="_Toc126941669"/>
      <w:bookmarkStart w:id="142" w:name="_Toc126942734"/>
      <w:bookmarkStart w:id="143" w:name="_Toc126943960"/>
      <w:bookmarkStart w:id="144" w:name="_Toc126945802"/>
      <w:bookmarkStart w:id="145" w:name="_Toc127550249"/>
      <w:bookmarkStart w:id="146" w:name="_Toc128043946"/>
      <w:bookmarkStart w:id="147" w:name="_Toc129609294"/>
      <w:bookmarkStart w:id="148" w:name="_Toc129609357"/>
      <w:bookmarkStart w:id="149" w:name="_Toc129609422"/>
      <w:bookmarkStart w:id="150" w:name="_Toc95122850"/>
      <w:bookmarkStart w:id="151" w:name="_Toc95154926"/>
      <w:bookmarkStart w:id="152" w:name="_Toc95160599"/>
      <w:bookmarkStart w:id="153" w:name="_Toc95160658"/>
      <w:bookmarkStart w:id="154" w:name="_Toc95160717"/>
      <w:bookmarkStart w:id="155" w:name="_Toc95160776"/>
      <w:bookmarkStart w:id="156" w:name="_Toc95160835"/>
      <w:bookmarkStart w:id="157" w:name="_Toc95161123"/>
      <w:bookmarkStart w:id="158" w:name="_Toc95161342"/>
      <w:bookmarkStart w:id="159" w:name="_Toc95161442"/>
      <w:bookmarkStart w:id="160" w:name="_Toc95205580"/>
      <w:bookmarkStart w:id="161" w:name="_Toc95207173"/>
      <w:bookmarkStart w:id="162" w:name="_Toc95397108"/>
      <w:bookmarkStart w:id="163" w:name="_Toc95922474"/>
      <w:bookmarkStart w:id="164" w:name="_Toc97281013"/>
      <w:bookmarkStart w:id="165" w:name="_Toc97281073"/>
      <w:bookmarkStart w:id="166" w:name="_Toc97647162"/>
      <w:bookmarkStart w:id="167" w:name="_Toc97647222"/>
      <w:bookmarkStart w:id="168" w:name="_Toc97647282"/>
      <w:bookmarkStart w:id="169" w:name="_Toc97647551"/>
      <w:bookmarkStart w:id="170" w:name="_Toc97647611"/>
      <w:bookmarkStart w:id="171" w:name="_Toc97647671"/>
      <w:bookmarkStart w:id="172" w:name="_Toc97647731"/>
      <w:bookmarkStart w:id="173" w:name="_Toc98433174"/>
      <w:bookmarkStart w:id="174" w:name="_Toc98433240"/>
      <w:bookmarkStart w:id="175" w:name="_Toc98433300"/>
      <w:bookmarkStart w:id="176" w:name="_Toc98433360"/>
      <w:bookmarkStart w:id="177" w:name="_Toc126941670"/>
      <w:bookmarkStart w:id="178" w:name="_Toc126942735"/>
      <w:bookmarkStart w:id="179" w:name="_Toc126943961"/>
      <w:bookmarkStart w:id="180" w:name="_Toc126945803"/>
      <w:bookmarkStart w:id="181" w:name="_Toc127550250"/>
      <w:bookmarkStart w:id="182" w:name="_Toc128043947"/>
      <w:bookmarkStart w:id="183" w:name="_Toc129609295"/>
      <w:bookmarkStart w:id="184" w:name="_Toc129609358"/>
      <w:bookmarkStart w:id="185" w:name="_Toc129609423"/>
      <w:bookmarkStart w:id="186" w:name="_Toc95122851"/>
      <w:bookmarkStart w:id="187" w:name="_Toc95154927"/>
      <w:bookmarkStart w:id="188" w:name="_Toc95160600"/>
      <w:bookmarkStart w:id="189" w:name="_Toc95160659"/>
      <w:bookmarkStart w:id="190" w:name="_Toc95160718"/>
      <w:bookmarkStart w:id="191" w:name="_Toc95160777"/>
      <w:bookmarkStart w:id="192" w:name="_Toc95160836"/>
      <w:bookmarkStart w:id="193" w:name="_Toc95161124"/>
      <w:bookmarkStart w:id="194" w:name="_Toc95161343"/>
      <w:bookmarkStart w:id="195" w:name="_Toc95161443"/>
      <w:bookmarkStart w:id="196" w:name="_Toc95205581"/>
      <w:bookmarkStart w:id="197" w:name="_Toc95207174"/>
      <w:bookmarkStart w:id="198" w:name="_Toc95397109"/>
      <w:bookmarkStart w:id="199" w:name="_Toc95922475"/>
      <w:bookmarkStart w:id="200" w:name="_Toc97281014"/>
      <w:bookmarkStart w:id="201" w:name="_Toc97281074"/>
      <w:bookmarkStart w:id="202" w:name="_Toc97647163"/>
      <w:bookmarkStart w:id="203" w:name="_Toc97647223"/>
      <w:bookmarkStart w:id="204" w:name="_Toc97647283"/>
      <w:bookmarkStart w:id="205" w:name="_Toc97647552"/>
      <w:bookmarkStart w:id="206" w:name="_Toc97647612"/>
      <w:bookmarkStart w:id="207" w:name="_Toc97647672"/>
      <w:bookmarkStart w:id="208" w:name="_Toc97647732"/>
      <w:bookmarkStart w:id="209" w:name="_Toc98433175"/>
      <w:bookmarkStart w:id="210" w:name="_Toc98433241"/>
      <w:bookmarkStart w:id="211" w:name="_Toc98433301"/>
      <w:bookmarkStart w:id="212" w:name="_Toc98433361"/>
      <w:bookmarkStart w:id="213" w:name="_Toc126941671"/>
      <w:bookmarkStart w:id="214" w:name="_Toc126942736"/>
      <w:bookmarkStart w:id="215" w:name="_Toc126943962"/>
      <w:bookmarkStart w:id="216" w:name="_Toc126945804"/>
      <w:bookmarkStart w:id="217" w:name="_Toc127550251"/>
      <w:bookmarkStart w:id="218" w:name="_Toc128043948"/>
      <w:bookmarkStart w:id="219" w:name="_Toc129609296"/>
      <w:bookmarkStart w:id="220" w:name="_Toc129609359"/>
      <w:bookmarkStart w:id="221" w:name="_Toc129609424"/>
      <w:bookmarkStart w:id="222" w:name="_Toc95122852"/>
      <w:bookmarkStart w:id="223" w:name="_Toc95154928"/>
      <w:bookmarkStart w:id="224" w:name="_Toc95160601"/>
      <w:bookmarkStart w:id="225" w:name="_Toc95160660"/>
      <w:bookmarkStart w:id="226" w:name="_Toc95160719"/>
      <w:bookmarkStart w:id="227" w:name="_Toc95160778"/>
      <w:bookmarkStart w:id="228" w:name="_Toc95160837"/>
      <w:bookmarkStart w:id="229" w:name="_Toc95161125"/>
      <w:bookmarkStart w:id="230" w:name="_Toc95161344"/>
      <w:bookmarkStart w:id="231" w:name="_Toc95161444"/>
      <w:bookmarkStart w:id="232" w:name="_Toc95205582"/>
      <w:bookmarkStart w:id="233" w:name="_Toc95207175"/>
      <w:bookmarkStart w:id="234" w:name="_Toc95397110"/>
      <w:bookmarkStart w:id="235" w:name="_Toc95922476"/>
      <w:bookmarkStart w:id="236" w:name="_Toc97281015"/>
      <w:bookmarkStart w:id="237" w:name="_Toc97281075"/>
      <w:bookmarkStart w:id="238" w:name="_Toc97647164"/>
      <w:bookmarkStart w:id="239" w:name="_Toc97647224"/>
      <w:bookmarkStart w:id="240" w:name="_Toc97647284"/>
      <w:bookmarkStart w:id="241" w:name="_Toc97647553"/>
      <w:bookmarkStart w:id="242" w:name="_Toc97647613"/>
      <w:bookmarkStart w:id="243" w:name="_Toc97647673"/>
      <w:bookmarkStart w:id="244" w:name="_Toc97647733"/>
      <w:bookmarkStart w:id="245" w:name="_Toc98433176"/>
      <w:bookmarkStart w:id="246" w:name="_Toc98433242"/>
      <w:bookmarkStart w:id="247" w:name="_Toc98433302"/>
      <w:bookmarkStart w:id="248" w:name="_Toc98433362"/>
      <w:bookmarkStart w:id="249" w:name="_Toc126941672"/>
      <w:bookmarkStart w:id="250" w:name="_Toc126942737"/>
      <w:bookmarkStart w:id="251" w:name="_Toc126943963"/>
      <w:bookmarkStart w:id="252" w:name="_Toc126945805"/>
      <w:bookmarkStart w:id="253" w:name="_Toc127550252"/>
      <w:bookmarkStart w:id="254" w:name="_Toc128043949"/>
      <w:bookmarkStart w:id="255" w:name="_Toc129609297"/>
      <w:bookmarkStart w:id="256" w:name="_Toc129609360"/>
      <w:bookmarkStart w:id="257" w:name="_Toc129609425"/>
      <w:bookmarkStart w:id="258" w:name="_Toc95122853"/>
      <w:bookmarkStart w:id="259" w:name="_Toc95154929"/>
      <w:bookmarkStart w:id="260" w:name="_Toc95160602"/>
      <w:bookmarkStart w:id="261" w:name="_Toc95160661"/>
      <w:bookmarkStart w:id="262" w:name="_Toc95160720"/>
      <w:bookmarkStart w:id="263" w:name="_Toc95160779"/>
      <w:bookmarkStart w:id="264" w:name="_Toc95160838"/>
      <w:bookmarkStart w:id="265" w:name="_Toc95161126"/>
      <w:bookmarkStart w:id="266" w:name="_Toc95161345"/>
      <w:bookmarkStart w:id="267" w:name="_Toc95161445"/>
      <w:bookmarkStart w:id="268" w:name="_Toc95205583"/>
      <w:bookmarkStart w:id="269" w:name="_Toc95207176"/>
      <w:bookmarkStart w:id="270" w:name="_Toc95397111"/>
      <w:bookmarkStart w:id="271" w:name="_Toc95922477"/>
      <w:bookmarkStart w:id="272" w:name="_Toc97281016"/>
      <w:bookmarkStart w:id="273" w:name="_Toc97281076"/>
      <w:bookmarkStart w:id="274" w:name="_Toc97647165"/>
      <w:bookmarkStart w:id="275" w:name="_Toc97647225"/>
      <w:bookmarkStart w:id="276" w:name="_Toc97647285"/>
      <w:bookmarkStart w:id="277" w:name="_Toc97647554"/>
      <w:bookmarkStart w:id="278" w:name="_Toc97647614"/>
      <w:bookmarkStart w:id="279" w:name="_Toc97647674"/>
      <w:bookmarkStart w:id="280" w:name="_Toc97647734"/>
      <w:bookmarkStart w:id="281" w:name="_Toc98433177"/>
      <w:bookmarkStart w:id="282" w:name="_Toc98433243"/>
      <w:bookmarkStart w:id="283" w:name="_Toc98433303"/>
      <w:bookmarkStart w:id="284" w:name="_Toc98433363"/>
      <w:bookmarkStart w:id="285" w:name="_Toc126941673"/>
      <w:bookmarkStart w:id="286" w:name="_Toc126942738"/>
      <w:bookmarkStart w:id="287" w:name="_Toc126943964"/>
      <w:bookmarkStart w:id="288" w:name="_Toc126945806"/>
      <w:bookmarkStart w:id="289" w:name="_Toc127550253"/>
      <w:bookmarkStart w:id="290" w:name="_Toc128043950"/>
      <w:bookmarkStart w:id="291" w:name="_Toc129609298"/>
      <w:bookmarkStart w:id="292" w:name="_Toc129609361"/>
      <w:bookmarkStart w:id="293" w:name="_Toc129609426"/>
      <w:bookmarkStart w:id="294" w:name="_Toc95122854"/>
      <w:bookmarkStart w:id="295" w:name="_Toc95154930"/>
      <w:bookmarkStart w:id="296" w:name="_Toc95160603"/>
      <w:bookmarkStart w:id="297" w:name="_Toc95160662"/>
      <w:bookmarkStart w:id="298" w:name="_Toc95160721"/>
      <w:bookmarkStart w:id="299" w:name="_Toc95160780"/>
      <w:bookmarkStart w:id="300" w:name="_Toc95160839"/>
      <w:bookmarkStart w:id="301" w:name="_Toc95161127"/>
      <w:bookmarkStart w:id="302" w:name="_Toc95161346"/>
      <w:bookmarkStart w:id="303" w:name="_Toc95161446"/>
      <w:bookmarkStart w:id="304" w:name="_Toc95205584"/>
      <w:bookmarkStart w:id="305" w:name="_Toc95207177"/>
      <w:bookmarkStart w:id="306" w:name="_Toc95397112"/>
      <w:bookmarkStart w:id="307" w:name="_Toc95922478"/>
      <w:bookmarkStart w:id="308" w:name="_Toc97281017"/>
      <w:bookmarkStart w:id="309" w:name="_Toc97281077"/>
      <w:bookmarkStart w:id="310" w:name="_Toc97647166"/>
      <w:bookmarkStart w:id="311" w:name="_Toc97647226"/>
      <w:bookmarkStart w:id="312" w:name="_Toc97647286"/>
      <w:bookmarkStart w:id="313" w:name="_Toc97647555"/>
      <w:bookmarkStart w:id="314" w:name="_Toc97647615"/>
      <w:bookmarkStart w:id="315" w:name="_Toc97647675"/>
      <w:bookmarkStart w:id="316" w:name="_Toc97647735"/>
      <w:bookmarkStart w:id="317" w:name="_Toc98433178"/>
      <w:bookmarkStart w:id="318" w:name="_Toc98433244"/>
      <w:bookmarkStart w:id="319" w:name="_Toc98433304"/>
      <w:bookmarkStart w:id="320" w:name="_Toc98433364"/>
      <w:bookmarkStart w:id="321" w:name="_Toc126941674"/>
      <w:bookmarkStart w:id="322" w:name="_Toc126942739"/>
      <w:bookmarkStart w:id="323" w:name="_Toc126943965"/>
      <w:bookmarkStart w:id="324" w:name="_Toc126945807"/>
      <w:bookmarkStart w:id="325" w:name="_Toc127550254"/>
      <w:bookmarkStart w:id="326" w:name="_Toc128043951"/>
      <w:bookmarkStart w:id="327" w:name="_Toc129609299"/>
      <w:bookmarkStart w:id="328" w:name="_Toc129609362"/>
      <w:bookmarkStart w:id="329" w:name="_Toc129609427"/>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38D982A4" w14:textId="2F2DB0D5" w:rsidR="004E7139" w:rsidRPr="005371E9" w:rsidRDefault="00FF6861" w:rsidP="00AE3EC3">
      <w:pPr>
        <w:pStyle w:val="Ttulo3"/>
        <w:spacing w:after="120"/>
        <w:ind w:left="709" w:hanging="709"/>
      </w:pPr>
      <w:bookmarkStart w:id="330" w:name="_Toc191641888"/>
      <w:r w:rsidRPr="005371E9">
        <w:t>Gestão de Processos</w:t>
      </w:r>
      <w:bookmarkEnd w:id="330"/>
    </w:p>
    <w:p w14:paraId="6A881B54" w14:textId="7C9DD998" w:rsidR="00F71F79" w:rsidRPr="005371E9" w:rsidRDefault="00866C85" w:rsidP="00F71F79">
      <w:pPr>
        <w:widowControl w:val="0"/>
        <w:suppressAutoHyphens/>
        <w:spacing w:before="120" w:line="240" w:lineRule="auto"/>
        <w:rPr>
          <w:bCs/>
          <w:sz w:val="22"/>
          <w:lang w:bidi="pt-BR"/>
        </w:rPr>
      </w:pPr>
      <w:r w:rsidRPr="005371E9">
        <w:rPr>
          <w:bCs/>
          <w:sz w:val="22"/>
          <w:lang w:bidi="pt-BR"/>
        </w:rPr>
        <w:t>Em 202</w:t>
      </w:r>
      <w:r w:rsidR="00F71F79" w:rsidRPr="005371E9">
        <w:rPr>
          <w:bCs/>
          <w:sz w:val="22"/>
          <w:lang w:bidi="pt-BR"/>
        </w:rPr>
        <w:t>4</w:t>
      </w:r>
      <w:r w:rsidR="00303685" w:rsidRPr="005371E9">
        <w:rPr>
          <w:bCs/>
          <w:sz w:val="22"/>
          <w:lang w:bidi="pt-BR"/>
        </w:rPr>
        <w:t xml:space="preserve">, </w:t>
      </w:r>
      <w:r w:rsidRPr="005371E9">
        <w:rPr>
          <w:bCs/>
          <w:sz w:val="22"/>
          <w:lang w:bidi="pt-BR"/>
        </w:rPr>
        <w:t xml:space="preserve">a Telebras </w:t>
      </w:r>
      <w:r w:rsidR="00F71F79" w:rsidRPr="005371E9">
        <w:rPr>
          <w:bCs/>
          <w:sz w:val="22"/>
          <w:lang w:bidi="pt-BR"/>
        </w:rPr>
        <w:t xml:space="preserve">seguiu </w:t>
      </w:r>
      <w:r w:rsidRPr="005371E9">
        <w:rPr>
          <w:bCs/>
          <w:sz w:val="22"/>
          <w:lang w:bidi="pt-BR"/>
        </w:rPr>
        <w:t>busca</w:t>
      </w:r>
      <w:r w:rsidR="00F71F79" w:rsidRPr="005371E9">
        <w:rPr>
          <w:bCs/>
          <w:sz w:val="22"/>
          <w:lang w:bidi="pt-BR"/>
        </w:rPr>
        <w:t>n</w:t>
      </w:r>
      <w:r w:rsidRPr="005371E9">
        <w:rPr>
          <w:bCs/>
          <w:sz w:val="22"/>
          <w:lang w:bidi="pt-BR"/>
        </w:rPr>
        <w:t>do meios para tornar mais efetivo o trabalho relacionado ao mapeamento e aperfeiçoamento de processos</w:t>
      </w:r>
      <w:r w:rsidR="00F71F79" w:rsidRPr="005371E9">
        <w:rPr>
          <w:bCs/>
          <w:sz w:val="22"/>
          <w:lang w:bidi="pt-BR"/>
        </w:rPr>
        <w:t xml:space="preserve">. Foi finalizado o planejamento de priorização de mapeamento dos processos para 2025 que será apresentado em REDIR para aprovação. Neste planejamento consta a revisão de todos os processos publicados e também o mapeamento de novos processos. </w:t>
      </w:r>
    </w:p>
    <w:p w14:paraId="028D5550" w14:textId="18E08E7D" w:rsidR="00F71F79" w:rsidRPr="005371E9" w:rsidRDefault="00F71F79" w:rsidP="00F71F79">
      <w:pPr>
        <w:widowControl w:val="0"/>
        <w:suppressAutoHyphens/>
        <w:spacing w:before="120" w:line="240" w:lineRule="auto"/>
        <w:rPr>
          <w:bCs/>
          <w:sz w:val="22"/>
          <w:lang w:bidi="pt-BR"/>
        </w:rPr>
      </w:pPr>
      <w:r w:rsidRPr="005371E9">
        <w:rPr>
          <w:bCs/>
          <w:sz w:val="22"/>
          <w:lang w:bidi="pt-BR"/>
        </w:rPr>
        <w:t xml:space="preserve">O Escritório de Processos (E-PROC) também </w:t>
      </w:r>
      <w:r w:rsidR="00296699">
        <w:rPr>
          <w:bCs/>
          <w:sz w:val="22"/>
          <w:lang w:bidi="pt-BR"/>
        </w:rPr>
        <w:t xml:space="preserve">melhorou o </w:t>
      </w:r>
      <w:r w:rsidRPr="005371E9">
        <w:rPr>
          <w:bCs/>
          <w:sz w:val="22"/>
          <w:lang w:bidi="pt-BR"/>
        </w:rPr>
        <w:t xml:space="preserve">acesso aos processos </w:t>
      </w:r>
      <w:r w:rsidR="00296699">
        <w:rPr>
          <w:bCs/>
          <w:sz w:val="22"/>
          <w:lang w:bidi="pt-BR"/>
        </w:rPr>
        <w:t xml:space="preserve">em sua </w:t>
      </w:r>
      <w:r w:rsidRPr="005371E9">
        <w:rPr>
          <w:bCs/>
          <w:sz w:val="22"/>
          <w:lang w:bidi="pt-BR"/>
        </w:rPr>
        <w:t xml:space="preserve">intranet. </w:t>
      </w:r>
      <w:r w:rsidR="00296699">
        <w:rPr>
          <w:bCs/>
          <w:sz w:val="22"/>
          <w:lang w:bidi="pt-BR"/>
        </w:rPr>
        <w:t>A</w:t>
      </w:r>
      <w:r w:rsidRPr="005371E9">
        <w:rPr>
          <w:bCs/>
          <w:sz w:val="22"/>
          <w:lang w:bidi="pt-BR"/>
        </w:rPr>
        <w:t xml:space="preserve"> consulta aos processos de negócio est</w:t>
      </w:r>
      <w:r w:rsidR="00296699">
        <w:rPr>
          <w:bCs/>
          <w:sz w:val="22"/>
          <w:lang w:bidi="pt-BR"/>
        </w:rPr>
        <w:t>á</w:t>
      </w:r>
      <w:r w:rsidRPr="005371E9">
        <w:rPr>
          <w:bCs/>
          <w:sz w:val="22"/>
          <w:lang w:bidi="pt-BR"/>
        </w:rPr>
        <w:t xml:space="preserve"> organizad</w:t>
      </w:r>
      <w:r w:rsidR="00296699">
        <w:rPr>
          <w:bCs/>
          <w:sz w:val="22"/>
          <w:lang w:bidi="pt-BR"/>
        </w:rPr>
        <w:t xml:space="preserve">a </w:t>
      </w:r>
      <w:r w:rsidRPr="005371E9">
        <w:rPr>
          <w:bCs/>
          <w:sz w:val="22"/>
          <w:lang w:bidi="pt-BR"/>
        </w:rPr>
        <w:t>por meio de links associados ao desdobramento da nossa Cadeia de Valor. Essa melhoria no acesso possibilita localizar informações de forma ágil e eficiente, contribuindo para otimizar os fluxos de trabalho e garantir maior clareza na comunicação dos processos.</w:t>
      </w:r>
    </w:p>
    <w:p w14:paraId="7AACA341" w14:textId="54CE230C" w:rsidR="00866C85" w:rsidRPr="005371E9" w:rsidRDefault="00296699" w:rsidP="00134802">
      <w:pPr>
        <w:pStyle w:val="Ttulo3"/>
        <w:spacing w:after="120"/>
        <w:ind w:left="709" w:hanging="709"/>
      </w:pPr>
      <w:r w:rsidRPr="00A40219">
        <w:t>G</w:t>
      </w:r>
      <w:bookmarkStart w:id="331" w:name="_Toc191641889"/>
      <w:r w:rsidR="00AA1B34" w:rsidRPr="005371E9">
        <w:t>estão de Projetos</w:t>
      </w:r>
      <w:bookmarkEnd w:id="331"/>
    </w:p>
    <w:p w14:paraId="03B4FD45" w14:textId="57A216B0" w:rsidR="00E7441D" w:rsidRPr="00505643" w:rsidRDefault="003C6134" w:rsidP="00134802">
      <w:pPr>
        <w:spacing w:line="240" w:lineRule="auto"/>
        <w:rPr>
          <w:highlight w:val="yellow"/>
        </w:rPr>
      </w:pPr>
      <w:r w:rsidRPr="005371E9">
        <w:rPr>
          <w:sz w:val="22"/>
          <w:lang w:eastAsia="pt-BR"/>
        </w:rPr>
        <w:t>Em 202</w:t>
      </w:r>
      <w:r w:rsidR="00F71F79" w:rsidRPr="005371E9">
        <w:rPr>
          <w:sz w:val="22"/>
          <w:lang w:eastAsia="pt-BR"/>
        </w:rPr>
        <w:t>4</w:t>
      </w:r>
      <w:r w:rsidRPr="005371E9">
        <w:rPr>
          <w:sz w:val="22"/>
          <w:lang w:eastAsia="pt-BR"/>
        </w:rPr>
        <w:t xml:space="preserve">, </w:t>
      </w:r>
      <w:r w:rsidR="00EF64DB" w:rsidRPr="005371E9">
        <w:rPr>
          <w:sz w:val="22"/>
          <w:lang w:eastAsia="pt-BR"/>
        </w:rPr>
        <w:t xml:space="preserve">a gestão de projetos contabilizou a atuação em </w:t>
      </w:r>
      <w:r w:rsidR="00F71F79" w:rsidRPr="005371E9">
        <w:rPr>
          <w:sz w:val="22"/>
          <w:lang w:eastAsia="pt-BR"/>
        </w:rPr>
        <w:t>6</w:t>
      </w:r>
      <w:r w:rsidR="00EF64DB" w:rsidRPr="005371E9">
        <w:rPr>
          <w:sz w:val="22"/>
          <w:lang w:eastAsia="pt-BR"/>
        </w:rPr>
        <w:t>7 frentes de projetos, dos quais 3</w:t>
      </w:r>
      <w:r w:rsidR="00F71F79" w:rsidRPr="005371E9">
        <w:rPr>
          <w:sz w:val="22"/>
          <w:lang w:eastAsia="pt-BR"/>
        </w:rPr>
        <w:t>4</w:t>
      </w:r>
      <w:r w:rsidR="00EF64DB" w:rsidRPr="005371E9">
        <w:rPr>
          <w:sz w:val="22"/>
          <w:lang w:eastAsia="pt-BR"/>
        </w:rPr>
        <w:t xml:space="preserve"> foram </w:t>
      </w:r>
      <w:r w:rsidR="00F71F79" w:rsidRPr="005371E9">
        <w:rPr>
          <w:sz w:val="22"/>
          <w:lang w:eastAsia="pt-BR"/>
        </w:rPr>
        <w:t>finalizados e 33 estão em andamento</w:t>
      </w:r>
      <w:r w:rsidR="00EF64DB" w:rsidRPr="005371E9">
        <w:rPr>
          <w:sz w:val="22"/>
          <w:lang w:eastAsia="pt-BR"/>
        </w:rPr>
        <w:t xml:space="preserve">. </w:t>
      </w:r>
      <w:r w:rsidR="00E7014B" w:rsidRPr="005371E9">
        <w:rPr>
          <w:sz w:val="22"/>
          <w:lang w:eastAsia="pt-BR"/>
        </w:rPr>
        <w:t>Dentre os principais projetos estão aqueles relacionados à</w:t>
      </w:r>
      <w:r w:rsidR="00FE2705" w:rsidRPr="005371E9">
        <w:rPr>
          <w:sz w:val="22"/>
          <w:lang w:eastAsia="pt-BR"/>
        </w:rPr>
        <w:t>s</w:t>
      </w:r>
      <w:r w:rsidR="00E7014B" w:rsidRPr="005371E9">
        <w:rPr>
          <w:sz w:val="22"/>
          <w:lang w:eastAsia="pt-BR"/>
        </w:rPr>
        <w:t xml:space="preserve"> </w:t>
      </w:r>
      <w:r w:rsidR="00FE2705" w:rsidRPr="005371E9">
        <w:rPr>
          <w:sz w:val="22"/>
          <w:lang w:eastAsia="pt-BR"/>
        </w:rPr>
        <w:t xml:space="preserve">Redes Privativas, </w:t>
      </w:r>
      <w:r w:rsidR="00E7014B" w:rsidRPr="005371E9">
        <w:rPr>
          <w:sz w:val="22"/>
          <w:lang w:eastAsia="pt-BR"/>
        </w:rPr>
        <w:t xml:space="preserve">modernização do CORE IP, ampliação da rede DWDM, Programa Amazônia Conectada (PAC), lançamento de produtos, mapeamento de processos, vendas com equipagem e outros projetos das diretorias da Telebras. </w:t>
      </w:r>
      <w:r w:rsidR="00EF64DB" w:rsidRPr="005371E9">
        <w:rPr>
          <w:sz w:val="22"/>
          <w:lang w:eastAsia="pt-BR"/>
        </w:rPr>
        <w:t>Esses projetos possuem</w:t>
      </w:r>
      <w:r w:rsidR="00A50C02" w:rsidRPr="005371E9">
        <w:rPr>
          <w:sz w:val="22"/>
          <w:lang w:eastAsia="pt-BR"/>
        </w:rPr>
        <w:t xml:space="preserve"> impacto direto </w:t>
      </w:r>
      <w:r w:rsidR="006A536F" w:rsidRPr="005371E9">
        <w:rPr>
          <w:sz w:val="22"/>
          <w:lang w:eastAsia="pt-BR"/>
        </w:rPr>
        <w:t>nos resultados econômico-financeiros,</w:t>
      </w:r>
      <w:r w:rsidR="0092465F" w:rsidRPr="005371E9">
        <w:rPr>
          <w:sz w:val="22"/>
          <w:lang w:eastAsia="pt-BR"/>
        </w:rPr>
        <w:t xml:space="preserve"> </w:t>
      </w:r>
      <w:r w:rsidR="007E21FF" w:rsidRPr="005371E9">
        <w:rPr>
          <w:sz w:val="22"/>
          <w:lang w:eastAsia="pt-BR"/>
        </w:rPr>
        <w:t>c</w:t>
      </w:r>
      <w:r w:rsidR="00F7182C" w:rsidRPr="005371E9">
        <w:rPr>
          <w:sz w:val="22"/>
          <w:lang w:eastAsia="pt-BR"/>
        </w:rPr>
        <w:t>ompetência</w:t>
      </w:r>
      <w:r w:rsidR="00A50C02" w:rsidRPr="005371E9">
        <w:rPr>
          <w:sz w:val="22"/>
          <w:lang w:eastAsia="pt-BR"/>
        </w:rPr>
        <w:t>s organizacionais</w:t>
      </w:r>
      <w:r w:rsidR="004A19DB" w:rsidRPr="005371E9">
        <w:rPr>
          <w:sz w:val="22"/>
          <w:lang w:eastAsia="pt-BR"/>
        </w:rPr>
        <w:t xml:space="preserve">, </w:t>
      </w:r>
      <w:r w:rsidR="007E21FF" w:rsidRPr="005371E9">
        <w:rPr>
          <w:sz w:val="22"/>
          <w:lang w:eastAsia="pt-BR"/>
        </w:rPr>
        <w:t>c</w:t>
      </w:r>
      <w:r w:rsidR="00CD5413" w:rsidRPr="005371E9">
        <w:rPr>
          <w:sz w:val="22"/>
          <w:lang w:eastAsia="pt-BR"/>
        </w:rPr>
        <w:t>ultura</w:t>
      </w:r>
      <w:r w:rsidR="00127707" w:rsidRPr="005371E9">
        <w:rPr>
          <w:sz w:val="22"/>
          <w:lang w:eastAsia="pt-BR"/>
        </w:rPr>
        <w:t>,</w:t>
      </w:r>
      <w:r w:rsidR="004A19DB" w:rsidRPr="005371E9">
        <w:rPr>
          <w:sz w:val="22"/>
          <w:lang w:eastAsia="pt-BR"/>
        </w:rPr>
        <w:t xml:space="preserve"> </w:t>
      </w:r>
      <w:r w:rsidR="007E21FF" w:rsidRPr="005371E9">
        <w:rPr>
          <w:sz w:val="22"/>
          <w:lang w:eastAsia="pt-BR"/>
        </w:rPr>
        <w:t>g</w:t>
      </w:r>
      <w:r w:rsidR="00C8693F" w:rsidRPr="005371E9">
        <w:rPr>
          <w:sz w:val="22"/>
          <w:lang w:eastAsia="pt-BR"/>
        </w:rPr>
        <w:t xml:space="preserve">estão da </w:t>
      </w:r>
      <w:r w:rsidR="007E21FF" w:rsidRPr="005371E9">
        <w:rPr>
          <w:sz w:val="22"/>
          <w:lang w:eastAsia="pt-BR"/>
        </w:rPr>
        <w:t>i</w:t>
      </w:r>
      <w:r w:rsidR="00C8693F" w:rsidRPr="005371E9">
        <w:rPr>
          <w:sz w:val="22"/>
          <w:lang w:eastAsia="pt-BR"/>
        </w:rPr>
        <w:t xml:space="preserve">nformação e do </w:t>
      </w:r>
      <w:r w:rsidR="007E21FF" w:rsidRPr="005371E9">
        <w:rPr>
          <w:sz w:val="22"/>
          <w:lang w:eastAsia="pt-BR"/>
        </w:rPr>
        <w:t>c</w:t>
      </w:r>
      <w:r w:rsidR="00C8693F" w:rsidRPr="005371E9">
        <w:rPr>
          <w:sz w:val="22"/>
          <w:lang w:eastAsia="pt-BR"/>
        </w:rPr>
        <w:t>onhecimento</w:t>
      </w:r>
      <w:r w:rsidR="004A19DB" w:rsidRPr="005371E9">
        <w:rPr>
          <w:sz w:val="22"/>
          <w:lang w:eastAsia="pt-BR"/>
        </w:rPr>
        <w:t xml:space="preserve">, </w:t>
      </w:r>
      <w:r w:rsidR="007E21FF" w:rsidRPr="005371E9">
        <w:rPr>
          <w:sz w:val="22"/>
          <w:lang w:eastAsia="pt-BR"/>
        </w:rPr>
        <w:t>p</w:t>
      </w:r>
      <w:r w:rsidR="004A19DB" w:rsidRPr="005371E9">
        <w:rPr>
          <w:sz w:val="22"/>
          <w:lang w:eastAsia="pt-BR"/>
        </w:rPr>
        <w:t xml:space="preserve">rocessos, </w:t>
      </w:r>
      <w:r w:rsidR="007E21FF" w:rsidRPr="005371E9">
        <w:rPr>
          <w:sz w:val="22"/>
          <w:lang w:eastAsia="pt-BR"/>
        </w:rPr>
        <w:t>d</w:t>
      </w:r>
      <w:r w:rsidR="009A4908" w:rsidRPr="005371E9">
        <w:rPr>
          <w:sz w:val="22"/>
          <w:lang w:eastAsia="pt-BR"/>
        </w:rPr>
        <w:t xml:space="preserve">esenvolvimento de </w:t>
      </w:r>
      <w:r w:rsidR="007E21FF" w:rsidRPr="005371E9">
        <w:rPr>
          <w:sz w:val="22"/>
          <w:lang w:eastAsia="pt-BR"/>
        </w:rPr>
        <w:t>s</w:t>
      </w:r>
      <w:r w:rsidR="009A4908" w:rsidRPr="005371E9">
        <w:rPr>
          <w:sz w:val="22"/>
          <w:lang w:eastAsia="pt-BR"/>
        </w:rPr>
        <w:t>erviços</w:t>
      </w:r>
      <w:r w:rsidR="00844FC7" w:rsidRPr="005371E9">
        <w:rPr>
          <w:sz w:val="22"/>
          <w:lang w:eastAsia="pt-BR"/>
        </w:rPr>
        <w:t xml:space="preserve"> e</w:t>
      </w:r>
      <w:r w:rsidR="009D1AD5" w:rsidRPr="005371E9">
        <w:rPr>
          <w:sz w:val="22"/>
          <w:lang w:eastAsia="pt-BR"/>
        </w:rPr>
        <w:t xml:space="preserve"> </w:t>
      </w:r>
      <w:r w:rsidR="007E21FF" w:rsidRPr="005371E9">
        <w:rPr>
          <w:sz w:val="22"/>
          <w:lang w:eastAsia="pt-BR"/>
        </w:rPr>
        <w:t>i</w:t>
      </w:r>
      <w:r w:rsidR="00844FC7" w:rsidRPr="005371E9">
        <w:rPr>
          <w:sz w:val="22"/>
          <w:lang w:eastAsia="pt-BR"/>
        </w:rPr>
        <w:t xml:space="preserve">nfraestrutura, </w:t>
      </w:r>
      <w:r w:rsidR="007E21FF" w:rsidRPr="005371E9">
        <w:rPr>
          <w:sz w:val="22"/>
          <w:lang w:eastAsia="pt-BR"/>
        </w:rPr>
        <w:t>s</w:t>
      </w:r>
      <w:r w:rsidR="00AD6525" w:rsidRPr="005371E9">
        <w:rPr>
          <w:sz w:val="22"/>
          <w:lang w:eastAsia="pt-BR"/>
        </w:rPr>
        <w:t xml:space="preserve">atisfação dos </w:t>
      </w:r>
      <w:r w:rsidR="007E21FF" w:rsidRPr="005371E9">
        <w:rPr>
          <w:sz w:val="22"/>
          <w:lang w:eastAsia="pt-BR"/>
        </w:rPr>
        <w:t>c</w:t>
      </w:r>
      <w:r w:rsidR="00AD6525" w:rsidRPr="005371E9">
        <w:rPr>
          <w:sz w:val="22"/>
          <w:lang w:eastAsia="pt-BR"/>
        </w:rPr>
        <w:t xml:space="preserve">lientes, </w:t>
      </w:r>
      <w:r w:rsidR="007E21FF" w:rsidRPr="005371E9">
        <w:rPr>
          <w:sz w:val="22"/>
          <w:lang w:eastAsia="pt-BR"/>
        </w:rPr>
        <w:t>p</w:t>
      </w:r>
      <w:r w:rsidR="001D046F" w:rsidRPr="005371E9">
        <w:rPr>
          <w:sz w:val="22"/>
          <w:lang w:eastAsia="pt-BR"/>
        </w:rPr>
        <w:t xml:space="preserve">olíticas </w:t>
      </w:r>
      <w:r w:rsidR="007E21FF" w:rsidRPr="005371E9">
        <w:rPr>
          <w:sz w:val="22"/>
          <w:lang w:eastAsia="pt-BR"/>
        </w:rPr>
        <w:t>p</w:t>
      </w:r>
      <w:r w:rsidR="001D046F" w:rsidRPr="005371E9">
        <w:rPr>
          <w:sz w:val="22"/>
          <w:lang w:eastAsia="pt-BR"/>
        </w:rPr>
        <w:t>úblicas</w:t>
      </w:r>
      <w:r w:rsidR="000651B2" w:rsidRPr="005371E9">
        <w:rPr>
          <w:sz w:val="22"/>
          <w:lang w:eastAsia="pt-BR"/>
        </w:rPr>
        <w:t xml:space="preserve"> e</w:t>
      </w:r>
      <w:r w:rsidR="001D046F" w:rsidRPr="005371E9">
        <w:rPr>
          <w:sz w:val="22"/>
          <w:lang w:eastAsia="pt-BR"/>
        </w:rPr>
        <w:t xml:space="preserve"> </w:t>
      </w:r>
      <w:r w:rsidR="007E21FF" w:rsidRPr="005371E9">
        <w:rPr>
          <w:sz w:val="22"/>
          <w:lang w:eastAsia="pt-BR"/>
        </w:rPr>
        <w:t>s</w:t>
      </w:r>
      <w:r w:rsidR="000651B2" w:rsidRPr="005371E9">
        <w:rPr>
          <w:sz w:val="22"/>
          <w:lang w:eastAsia="pt-BR"/>
        </w:rPr>
        <w:t>egurança</w:t>
      </w:r>
      <w:r w:rsidR="00EF64DB" w:rsidRPr="005371E9">
        <w:rPr>
          <w:sz w:val="22"/>
          <w:lang w:eastAsia="pt-BR"/>
        </w:rPr>
        <w:t>, com foco no</w:t>
      </w:r>
      <w:r w:rsidR="00127707" w:rsidRPr="005371E9">
        <w:rPr>
          <w:sz w:val="22"/>
          <w:lang w:eastAsia="pt-BR"/>
        </w:rPr>
        <w:t xml:space="preserve"> </w:t>
      </w:r>
      <w:r w:rsidR="000B1CB0" w:rsidRPr="005371E9">
        <w:rPr>
          <w:sz w:val="22"/>
          <w:lang w:eastAsia="pt-BR"/>
        </w:rPr>
        <w:t>atingimento</w:t>
      </w:r>
      <w:r w:rsidR="009426DB" w:rsidRPr="005371E9">
        <w:rPr>
          <w:sz w:val="22"/>
          <w:lang w:eastAsia="pt-BR"/>
        </w:rPr>
        <w:t xml:space="preserve"> dos </w:t>
      </w:r>
      <w:r w:rsidR="00127707" w:rsidRPr="005371E9">
        <w:rPr>
          <w:sz w:val="22"/>
          <w:lang w:eastAsia="pt-BR"/>
        </w:rPr>
        <w:t>Objetivos Estratégicos</w:t>
      </w:r>
      <w:r w:rsidR="00E72836" w:rsidRPr="005371E9">
        <w:rPr>
          <w:sz w:val="22"/>
          <w:lang w:eastAsia="pt-BR"/>
        </w:rPr>
        <w:t xml:space="preserve"> da </w:t>
      </w:r>
      <w:r w:rsidR="00F50118" w:rsidRPr="005371E9">
        <w:rPr>
          <w:sz w:val="22"/>
          <w:lang w:eastAsia="pt-BR"/>
        </w:rPr>
        <w:t>Companhia</w:t>
      </w:r>
      <w:r w:rsidR="00E72836" w:rsidRPr="005371E9">
        <w:rPr>
          <w:sz w:val="22"/>
          <w:lang w:eastAsia="pt-BR"/>
        </w:rPr>
        <w:t>.</w:t>
      </w:r>
      <w:r w:rsidR="00DB6BD3" w:rsidRPr="005371E9">
        <w:rPr>
          <w:sz w:val="22"/>
          <w:lang w:eastAsia="pt-BR"/>
        </w:rPr>
        <w:t xml:space="preserve"> </w:t>
      </w:r>
    </w:p>
    <w:p w14:paraId="6D7E320D" w14:textId="13EE1C25" w:rsidR="008A34BD" w:rsidRPr="00CA749B" w:rsidRDefault="509DC2DD" w:rsidP="00E53C4F">
      <w:pPr>
        <w:pStyle w:val="Ttulo1"/>
        <w:spacing w:after="240" w:line="276" w:lineRule="auto"/>
        <w:ind w:left="425" w:hanging="425"/>
        <w:rPr>
          <w:sz w:val="24"/>
          <w:szCs w:val="28"/>
        </w:rPr>
      </w:pPr>
      <w:bookmarkStart w:id="332" w:name="_Toc191641890"/>
      <w:bookmarkStart w:id="333" w:name="_Toc191641891"/>
      <w:bookmarkStart w:id="334" w:name="_Toc154569928"/>
      <w:bookmarkEnd w:id="332"/>
      <w:r w:rsidRPr="00CA749B">
        <w:rPr>
          <w:sz w:val="24"/>
          <w:szCs w:val="28"/>
        </w:rPr>
        <w:t>Os Negócios da Telebras</w:t>
      </w:r>
      <w:bookmarkStart w:id="335" w:name="_Toc9860145"/>
      <w:bookmarkEnd w:id="333"/>
    </w:p>
    <w:p w14:paraId="5EE8C9EB" w14:textId="1850839C" w:rsidR="008A34BD" w:rsidRPr="00CA749B" w:rsidRDefault="00C47F8C" w:rsidP="009348CE">
      <w:pPr>
        <w:pStyle w:val="Ttulo2"/>
        <w:spacing w:before="240" w:after="240" w:line="276" w:lineRule="auto"/>
        <w:ind w:left="567" w:hanging="567"/>
      </w:pPr>
      <w:bookmarkStart w:id="336" w:name="_Toc966433"/>
      <w:bookmarkStart w:id="337" w:name="_Toc966434"/>
      <w:bookmarkStart w:id="338" w:name="_Toc966435"/>
      <w:bookmarkStart w:id="339" w:name="_Toc966436"/>
      <w:bookmarkStart w:id="340" w:name="_Toc966437"/>
      <w:bookmarkStart w:id="341" w:name="_Toc966438"/>
      <w:bookmarkStart w:id="342" w:name="_Toc966439"/>
      <w:bookmarkStart w:id="343" w:name="_Toc966440"/>
      <w:bookmarkStart w:id="344" w:name="_Toc966441"/>
      <w:bookmarkStart w:id="345" w:name="_Toc966442"/>
      <w:bookmarkStart w:id="346" w:name="_Toc966443"/>
      <w:bookmarkStart w:id="347" w:name="_Toc966444"/>
      <w:bookmarkStart w:id="348" w:name="_Toc95121277"/>
      <w:bookmarkStart w:id="349" w:name="_Toc95122858"/>
      <w:bookmarkStart w:id="350" w:name="_Toc95154934"/>
      <w:bookmarkStart w:id="351" w:name="_Toc95160607"/>
      <w:bookmarkStart w:id="352" w:name="_Toc95160666"/>
      <w:bookmarkStart w:id="353" w:name="_Toc95160725"/>
      <w:bookmarkStart w:id="354" w:name="_Toc95160784"/>
      <w:bookmarkStart w:id="355" w:name="_Toc95160843"/>
      <w:bookmarkStart w:id="356" w:name="_Toc95161131"/>
      <w:bookmarkStart w:id="357" w:name="_Toc95161350"/>
      <w:bookmarkStart w:id="358" w:name="_Toc95161450"/>
      <w:bookmarkStart w:id="359" w:name="_Toc95205588"/>
      <w:bookmarkStart w:id="360" w:name="_Toc95207181"/>
      <w:bookmarkStart w:id="361" w:name="_Toc95397116"/>
      <w:bookmarkStart w:id="362" w:name="_Toc95922482"/>
      <w:bookmarkStart w:id="363" w:name="_Toc97281021"/>
      <w:bookmarkStart w:id="364" w:name="_Toc97281081"/>
      <w:bookmarkStart w:id="365" w:name="_Toc97647170"/>
      <w:bookmarkStart w:id="366" w:name="_Toc97647230"/>
      <w:bookmarkStart w:id="367" w:name="_Toc97647290"/>
      <w:bookmarkStart w:id="368" w:name="_Toc97647559"/>
      <w:bookmarkStart w:id="369" w:name="_Toc97647619"/>
      <w:bookmarkStart w:id="370" w:name="_Toc97647679"/>
      <w:bookmarkStart w:id="371" w:name="_Toc97647739"/>
      <w:bookmarkStart w:id="372" w:name="_Toc98433182"/>
      <w:bookmarkStart w:id="373" w:name="_Toc98433248"/>
      <w:bookmarkStart w:id="374" w:name="_Toc98433308"/>
      <w:bookmarkStart w:id="375" w:name="_Toc98433368"/>
      <w:bookmarkStart w:id="376" w:name="_Toc126941678"/>
      <w:bookmarkStart w:id="377" w:name="_Toc126942743"/>
      <w:bookmarkStart w:id="378" w:name="_Toc126943969"/>
      <w:bookmarkStart w:id="379" w:name="_Toc126945811"/>
      <w:bookmarkStart w:id="380" w:name="_Toc127550258"/>
      <w:bookmarkStart w:id="381" w:name="_Toc128043955"/>
      <w:bookmarkStart w:id="382" w:name="_Toc129609303"/>
      <w:bookmarkStart w:id="383" w:name="_Toc129609366"/>
      <w:bookmarkStart w:id="384" w:name="_Toc129609431"/>
      <w:bookmarkStart w:id="385" w:name="_Toc95122859"/>
      <w:bookmarkStart w:id="386" w:name="_Toc95154935"/>
      <w:bookmarkStart w:id="387" w:name="_Toc95160608"/>
      <w:bookmarkStart w:id="388" w:name="_Toc95160667"/>
      <w:bookmarkStart w:id="389" w:name="_Toc95160726"/>
      <w:bookmarkStart w:id="390" w:name="_Toc95160785"/>
      <w:bookmarkStart w:id="391" w:name="_Toc95160844"/>
      <w:bookmarkStart w:id="392" w:name="_Toc95161132"/>
      <w:bookmarkStart w:id="393" w:name="_Toc95161351"/>
      <w:bookmarkStart w:id="394" w:name="_Toc95161451"/>
      <w:bookmarkStart w:id="395" w:name="_Toc95205589"/>
      <w:bookmarkStart w:id="396" w:name="_Toc95207182"/>
      <w:bookmarkStart w:id="397" w:name="_Toc95397117"/>
      <w:bookmarkStart w:id="398" w:name="_Toc95922483"/>
      <w:bookmarkStart w:id="399" w:name="_Toc97281022"/>
      <w:bookmarkStart w:id="400" w:name="_Toc97281082"/>
      <w:bookmarkStart w:id="401" w:name="_Toc97647171"/>
      <w:bookmarkStart w:id="402" w:name="_Toc97647231"/>
      <w:bookmarkStart w:id="403" w:name="_Toc97647291"/>
      <w:bookmarkStart w:id="404" w:name="_Toc97647560"/>
      <w:bookmarkStart w:id="405" w:name="_Toc97647620"/>
      <w:bookmarkStart w:id="406" w:name="_Toc97647680"/>
      <w:bookmarkStart w:id="407" w:name="_Toc97647740"/>
      <w:bookmarkStart w:id="408" w:name="_Toc98433183"/>
      <w:bookmarkStart w:id="409" w:name="_Toc98433249"/>
      <w:bookmarkStart w:id="410" w:name="_Toc98433309"/>
      <w:bookmarkStart w:id="411" w:name="_Toc98433369"/>
      <w:bookmarkStart w:id="412" w:name="_Toc126941679"/>
      <w:bookmarkStart w:id="413" w:name="_Toc126942744"/>
      <w:bookmarkStart w:id="414" w:name="_Toc126943970"/>
      <w:bookmarkStart w:id="415" w:name="_Toc126945812"/>
      <w:bookmarkStart w:id="416" w:name="_Toc127550259"/>
      <w:bookmarkStart w:id="417" w:name="_Toc128043956"/>
      <w:bookmarkStart w:id="418" w:name="_Toc129609304"/>
      <w:bookmarkStart w:id="419" w:name="_Toc129609367"/>
      <w:bookmarkStart w:id="420" w:name="_Toc129609432"/>
      <w:bookmarkStart w:id="421" w:name="_Toc191641892"/>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CA749B">
        <w:t>C</w:t>
      </w:r>
      <w:r w:rsidR="000B2295" w:rsidRPr="00CA749B">
        <w:t>onjuntura Econômica Setorial</w:t>
      </w:r>
      <w:bookmarkEnd w:id="421"/>
    </w:p>
    <w:p w14:paraId="2C3FF366" w14:textId="4F99C371" w:rsidR="00CA749B" w:rsidRPr="00CA749B" w:rsidRDefault="00CA749B" w:rsidP="00CA749B">
      <w:pPr>
        <w:spacing w:before="120" w:after="0" w:line="240" w:lineRule="auto"/>
        <w:rPr>
          <w:rFonts w:eastAsia="Arial" w:cs="Arial"/>
          <w:sz w:val="22"/>
        </w:rPr>
      </w:pPr>
      <w:r w:rsidRPr="00CA749B">
        <w:rPr>
          <w:rFonts w:eastAsia="Arial" w:cs="Arial"/>
          <w:sz w:val="22"/>
        </w:rPr>
        <w:t xml:space="preserve">O ano de 2024 trouxe avanços e desafios para o setor de telecomunicações no Brasil. A receita bruta do setor alcançou R$ 73,2 bilhões no terceiro trimestre, representando um aumento de 4,5% em relação ao mesmo período de 2023, que registrou R$ 70 bilhões. </w:t>
      </w:r>
    </w:p>
    <w:p w14:paraId="2C696912" w14:textId="77777777" w:rsidR="00CA749B" w:rsidRPr="00CA749B" w:rsidRDefault="00CA749B" w:rsidP="00CA749B">
      <w:pPr>
        <w:spacing w:before="120" w:after="0" w:line="240" w:lineRule="auto"/>
        <w:rPr>
          <w:rFonts w:eastAsia="Arial" w:cs="Arial"/>
          <w:sz w:val="22"/>
        </w:rPr>
      </w:pPr>
      <w:r w:rsidRPr="00CA749B">
        <w:rPr>
          <w:rFonts w:eastAsia="Arial" w:cs="Arial"/>
          <w:sz w:val="22"/>
        </w:rPr>
        <w:t xml:space="preserve">Os investimentos das operadoras totalizaram R$ 24,5 bilhões até setembro de 2024, com a expectativa de encerrar o ano com R$ 35 bilhões investidos. Esses recursos foram direcionados principalmente para a expansão das redes de fibra óptica e o fortalecimento da infraestrutura móvel, especialmente com a implementação do 5G. </w:t>
      </w:r>
    </w:p>
    <w:p w14:paraId="1EF487FA" w14:textId="68A7605B" w:rsidR="000971F0" w:rsidRPr="00C00EF0" w:rsidRDefault="00243314" w:rsidP="00C00EF0">
      <w:pPr>
        <w:spacing w:before="120" w:after="0" w:line="240" w:lineRule="auto"/>
        <w:rPr>
          <w:rFonts w:eastAsia="Arial" w:cs="Arial"/>
          <w:sz w:val="22"/>
        </w:rPr>
      </w:pPr>
      <w:r>
        <w:rPr>
          <w:rFonts w:eastAsia="Arial" w:cs="Arial"/>
          <w:sz w:val="22"/>
        </w:rPr>
        <w:t>Como empresa integrante do Orçamento Fiscal e de Seguridade Social, a Telebras se submete às regras do Orçamento Público e, por isso, tem limitações na realização</w:t>
      </w:r>
      <w:r w:rsidR="00296699">
        <w:rPr>
          <w:rFonts w:eastAsia="Arial" w:cs="Arial"/>
          <w:sz w:val="22"/>
        </w:rPr>
        <w:t xml:space="preserve"> dos dispêndios</w:t>
      </w:r>
      <w:r>
        <w:rPr>
          <w:rFonts w:eastAsia="Arial" w:cs="Arial"/>
          <w:sz w:val="22"/>
        </w:rPr>
        <w:t xml:space="preserve">. Ao longo de 2024, a administração da Companhia </w:t>
      </w:r>
      <w:r w:rsidR="00296699">
        <w:rPr>
          <w:rFonts w:eastAsia="Arial" w:cs="Arial"/>
          <w:sz w:val="22"/>
        </w:rPr>
        <w:t xml:space="preserve">atuou </w:t>
      </w:r>
      <w:r>
        <w:rPr>
          <w:rFonts w:eastAsia="Arial" w:cs="Arial"/>
          <w:sz w:val="22"/>
        </w:rPr>
        <w:t xml:space="preserve">junto às instâncias do Governo Federal para resolver essa situação. Até o presente momento, temos a publicação da Lei de Diretrizes Orçamentárias </w:t>
      </w:r>
      <w:r w:rsidR="000056B7">
        <w:rPr>
          <w:rFonts w:eastAsia="Arial" w:cs="Arial"/>
          <w:sz w:val="22"/>
        </w:rPr>
        <w:t>(L</w:t>
      </w:r>
      <w:r>
        <w:rPr>
          <w:rFonts w:eastAsia="Arial" w:cs="Arial"/>
          <w:sz w:val="22"/>
        </w:rPr>
        <w:t>ei nº</w:t>
      </w:r>
      <w:r w:rsidR="000056B7">
        <w:rPr>
          <w:rFonts w:eastAsia="Arial" w:cs="Arial"/>
          <w:sz w:val="22"/>
        </w:rPr>
        <w:t xml:space="preserve"> 15.080, de 2024) que possibilita a transição da Telebras do Orçamento Fiscal e de Seguridade Social para o Orçamento de Investimento.</w:t>
      </w:r>
    </w:p>
    <w:p w14:paraId="51E1A7AE" w14:textId="105CE7C8" w:rsidR="008B63C5" w:rsidRPr="00CA749B" w:rsidRDefault="00416894" w:rsidP="004E4BD9">
      <w:pPr>
        <w:pStyle w:val="Ttulo2"/>
        <w:spacing w:before="360" w:after="240" w:line="276" w:lineRule="auto"/>
        <w:ind w:left="567" w:hanging="567"/>
      </w:pPr>
      <w:bookmarkStart w:id="422" w:name="_Toc191641893"/>
      <w:r w:rsidRPr="00CA749B">
        <w:t>Vendas</w:t>
      </w:r>
      <w:bookmarkEnd w:id="422"/>
      <w:r w:rsidRPr="00CA749B">
        <w:t xml:space="preserve"> </w:t>
      </w:r>
    </w:p>
    <w:p w14:paraId="3B1B6AE0" w14:textId="1868C682" w:rsidR="002B23FC" w:rsidRPr="00505643" w:rsidRDefault="00250235" w:rsidP="002B23FC">
      <w:pPr>
        <w:spacing w:before="120" w:after="0" w:line="240" w:lineRule="auto"/>
        <w:rPr>
          <w:rFonts w:cs="Arial"/>
          <w:sz w:val="22"/>
          <w:szCs w:val="22"/>
        </w:rPr>
      </w:pPr>
      <w:r w:rsidRPr="00CA749B">
        <w:rPr>
          <w:rFonts w:cs="Arial"/>
          <w:sz w:val="22"/>
          <w:szCs w:val="22"/>
        </w:rPr>
        <w:t>C</w:t>
      </w:r>
      <w:r w:rsidR="002B23FC" w:rsidRPr="002B23FC">
        <w:rPr>
          <w:rFonts w:cs="Arial"/>
          <w:sz w:val="22"/>
          <w:szCs w:val="22"/>
        </w:rPr>
        <w:t xml:space="preserve">om o objetivo de se tornar novamente uma sociedade de economia mista </w:t>
      </w:r>
      <w:r w:rsidR="000056B7">
        <w:rPr>
          <w:rFonts w:cs="Arial"/>
          <w:sz w:val="22"/>
          <w:szCs w:val="22"/>
        </w:rPr>
        <w:t>não dependente do orçamento fiscal e de seguridade social</w:t>
      </w:r>
      <w:r w:rsidR="002B23FC" w:rsidRPr="002B23FC">
        <w:rPr>
          <w:rFonts w:cs="Arial"/>
          <w:sz w:val="22"/>
          <w:szCs w:val="22"/>
        </w:rPr>
        <w:t xml:space="preserve">, a Telebras focou esforços na garantia de sua sustentabilidade financeira. A Diretoria Comercial, alinhada a este objetivo, </w:t>
      </w:r>
      <w:r w:rsidR="002B23FC" w:rsidRPr="00505643">
        <w:rPr>
          <w:rFonts w:cs="Arial"/>
          <w:sz w:val="22"/>
          <w:szCs w:val="22"/>
        </w:rPr>
        <w:t>posicionou sua atuação na manutenção e execução de seus contratos comerciais, tanto aqueles assinados com órgãos e empresas estatais como com o segmento privado representado por provedores de Internet. Destacam-se o novo contrato GESAC, com o Ministério das Comunicações, o contrato da rede SD-WAN, com o INSS e os contratos mantidos com vários órgãos das Forças Armadas Brasileiras, sem esquecer o uso e operação compartilhada com o Ministério da Defesa do Satélite Geoestacionário de Defesa e Comunicações Estratégicas (SGDC).</w:t>
      </w:r>
    </w:p>
    <w:p w14:paraId="25DFD610" w14:textId="77777777" w:rsidR="002B23FC" w:rsidRPr="00505643" w:rsidRDefault="002B23FC" w:rsidP="002B23FC">
      <w:pPr>
        <w:spacing w:before="120" w:after="0" w:line="240" w:lineRule="auto"/>
        <w:rPr>
          <w:rFonts w:cs="Arial"/>
          <w:sz w:val="22"/>
          <w:szCs w:val="22"/>
        </w:rPr>
      </w:pPr>
      <w:r w:rsidRPr="00505643">
        <w:rPr>
          <w:rFonts w:cs="Arial"/>
          <w:sz w:val="22"/>
          <w:szCs w:val="22"/>
        </w:rPr>
        <w:t xml:space="preserve">O modelo de redes SD-WAN também tem sido aplicado com sucesso em outros clientes governamentais como o Departamento Nacional de Infraestrutura de Transportes (DNIT) e o Ministério da Integração e do Desenvolvimento Regional (MIDR). </w:t>
      </w:r>
    </w:p>
    <w:p w14:paraId="1723F09E" w14:textId="77777777" w:rsidR="002B23FC" w:rsidRPr="00505643" w:rsidRDefault="002B23FC" w:rsidP="002B23FC">
      <w:pPr>
        <w:spacing w:before="120" w:after="0" w:line="240" w:lineRule="auto"/>
        <w:rPr>
          <w:rFonts w:cs="Arial"/>
          <w:sz w:val="22"/>
          <w:szCs w:val="22"/>
        </w:rPr>
      </w:pPr>
      <w:r w:rsidRPr="00505643">
        <w:rPr>
          <w:rFonts w:cs="Arial"/>
          <w:sz w:val="22"/>
          <w:szCs w:val="22"/>
        </w:rPr>
        <w:t xml:space="preserve">Merece destaque a assinatura de novo contrato com o Ministério do Trabalho e Emprego (MTE) substituindo a atual rede MPLS para o modelo de rede SD-WAN, proporcionando um salto em qualidade de conexão além de grande flexibilidade para configurações remotas. </w:t>
      </w:r>
    </w:p>
    <w:p w14:paraId="58D297D7" w14:textId="77777777" w:rsidR="002B23FC" w:rsidRPr="00505643" w:rsidRDefault="002B23FC" w:rsidP="002B23FC">
      <w:pPr>
        <w:spacing w:before="120" w:after="0" w:line="240" w:lineRule="auto"/>
        <w:rPr>
          <w:rFonts w:cs="Arial"/>
          <w:sz w:val="22"/>
          <w:szCs w:val="22"/>
        </w:rPr>
      </w:pPr>
      <w:r w:rsidRPr="00505643">
        <w:rPr>
          <w:rFonts w:cs="Arial"/>
          <w:sz w:val="22"/>
          <w:szCs w:val="22"/>
        </w:rPr>
        <w:t>Várias outras oportunidades de negócio em redes SD-WAN têm sido exploradas com grandes possibilidades de conclusão pela área comercial da empresa.</w:t>
      </w:r>
    </w:p>
    <w:p w14:paraId="22180706" w14:textId="77777777" w:rsidR="002B23FC" w:rsidRPr="00505643" w:rsidRDefault="002B23FC" w:rsidP="002B23FC">
      <w:pPr>
        <w:spacing w:before="120" w:after="0" w:line="240" w:lineRule="auto"/>
        <w:rPr>
          <w:rFonts w:cs="Arial"/>
          <w:sz w:val="22"/>
          <w:szCs w:val="22"/>
        </w:rPr>
      </w:pPr>
      <w:r w:rsidRPr="00505643">
        <w:rPr>
          <w:rFonts w:cs="Arial"/>
          <w:sz w:val="22"/>
          <w:szCs w:val="22"/>
        </w:rPr>
        <w:t>A Diretoria Comercial também trabalha pela rentabilização do BackBone da Telebras, tanto com o fornecimento de links DWDM para os provedores de Internet, como em operações de SWAP com as operadoras aprimorando sua capacidade de acesso em todo o território nacional.</w:t>
      </w:r>
    </w:p>
    <w:p w14:paraId="4B41BD73" w14:textId="03F97A57" w:rsidR="00250235" w:rsidRPr="00505643" w:rsidRDefault="002B23FC" w:rsidP="006F4A93">
      <w:pPr>
        <w:spacing w:before="120" w:after="0" w:line="240" w:lineRule="auto"/>
        <w:rPr>
          <w:rFonts w:eastAsia="Arial" w:cs="Arial"/>
          <w:sz w:val="22"/>
        </w:rPr>
      </w:pPr>
      <w:r w:rsidRPr="00505643">
        <w:rPr>
          <w:rFonts w:cs="Arial"/>
          <w:sz w:val="22"/>
          <w:szCs w:val="22"/>
        </w:rPr>
        <w:t>Durante o ano de 2024, os escritórios regionais venderam mais de 600Gbps de banda em circuitos Ponto a Ponto. Além disso cada escritório tem trabalhado em oportunidades tanto de clientes privados como órgãos de governo e empresas estatais dentro de suas abrangências, oferecendo não só soluções de links terrestres, mas também opções de conectividade satelital bem como soluções de tecnologia BaaS, IaaS, Edge Computing por meio da integração do Data Center Tier IV da Telebras.</w:t>
      </w:r>
    </w:p>
    <w:p w14:paraId="37C081C9" w14:textId="18FEAADD" w:rsidR="007D1C9C" w:rsidRPr="00505643" w:rsidRDefault="002C2CC4" w:rsidP="00505643">
      <w:pPr>
        <w:pStyle w:val="Ttulo2"/>
        <w:spacing w:before="360" w:after="240" w:line="276" w:lineRule="auto"/>
        <w:ind w:left="567" w:hanging="567"/>
      </w:pPr>
      <w:bookmarkStart w:id="423" w:name="_Toc191641894"/>
      <w:r w:rsidRPr="00505643">
        <w:t>Inovação e Desenvolvimento de Produtos e Serviços</w:t>
      </w:r>
      <w:bookmarkEnd w:id="423"/>
    </w:p>
    <w:p w14:paraId="27200325" w14:textId="6CD03104" w:rsidR="00E935B9" w:rsidRPr="000056B7" w:rsidRDefault="00E935B9" w:rsidP="00E935B9">
      <w:pPr>
        <w:spacing w:before="120" w:after="0" w:line="240" w:lineRule="auto"/>
        <w:rPr>
          <w:rFonts w:eastAsia="Arial" w:cs="Arial"/>
          <w:sz w:val="22"/>
        </w:rPr>
      </w:pPr>
      <w:r w:rsidRPr="000056B7">
        <w:rPr>
          <w:rFonts w:eastAsia="Arial" w:cs="Arial"/>
          <w:sz w:val="22"/>
        </w:rPr>
        <w:t xml:space="preserve">Em 2024, a Telebras reafirmou seu compromisso com a inovação e o desenvolvimento tecnológico, conforme estabelecido em seu Estatuto Social e no Plano Diretor Técnico-Operacional 2020-2024. Entre as iniciativas de destaque, está a renomeação da </w:t>
      </w:r>
      <w:r w:rsidRPr="00C00EF0">
        <w:rPr>
          <w:rFonts w:eastAsia="Arial" w:cs="Arial"/>
          <w:bCs/>
          <w:sz w:val="22"/>
        </w:rPr>
        <w:t>Gerência de Inovação (GI)</w:t>
      </w:r>
      <w:r w:rsidRPr="000056B7">
        <w:rPr>
          <w:rFonts w:eastAsia="Arial" w:cs="Arial"/>
          <w:sz w:val="22"/>
        </w:rPr>
        <w:t xml:space="preserve"> para </w:t>
      </w:r>
      <w:r w:rsidRPr="00C00EF0">
        <w:rPr>
          <w:rFonts w:eastAsia="Arial" w:cs="Arial"/>
          <w:bCs/>
          <w:sz w:val="22"/>
        </w:rPr>
        <w:t>Gerência de Projetos Especiais e Inovação (GPEI)</w:t>
      </w:r>
      <w:r w:rsidRPr="000056B7">
        <w:rPr>
          <w:rFonts w:eastAsia="Arial" w:cs="Arial"/>
          <w:sz w:val="22"/>
        </w:rPr>
        <w:t xml:space="preserve">, vinculada à </w:t>
      </w:r>
      <w:r w:rsidRPr="00C00EF0">
        <w:rPr>
          <w:rFonts w:eastAsia="Arial" w:cs="Arial"/>
          <w:bCs/>
          <w:sz w:val="22"/>
        </w:rPr>
        <w:t>Diretoria Técnico-Operacional (DTO)</w:t>
      </w:r>
      <w:r w:rsidRPr="000056B7">
        <w:rPr>
          <w:rFonts w:eastAsia="Arial" w:cs="Arial"/>
          <w:sz w:val="22"/>
        </w:rPr>
        <w:t xml:space="preserve">. Essa mudança reforça a premissa de promover um ambiente de </w:t>
      </w:r>
      <w:r w:rsidRPr="00C00EF0">
        <w:rPr>
          <w:rFonts w:eastAsia="Arial" w:cs="Arial"/>
          <w:bCs/>
          <w:sz w:val="22"/>
        </w:rPr>
        <w:t>Inovação Aberta</w:t>
      </w:r>
      <w:r w:rsidRPr="000056B7">
        <w:rPr>
          <w:rFonts w:eastAsia="Arial" w:cs="Arial"/>
          <w:sz w:val="22"/>
        </w:rPr>
        <w:t xml:space="preserve">, sistematizar o avanço tecnológico e, agora, também abrange a responsabilidade pelo desenvolvimento de projetos estratégicos e de alta complexidade, com destaque para a </w:t>
      </w:r>
      <w:r w:rsidRPr="00C00EF0">
        <w:rPr>
          <w:rFonts w:eastAsia="Arial" w:cs="Arial"/>
          <w:bCs/>
          <w:sz w:val="22"/>
        </w:rPr>
        <w:t>Rede Privativa</w:t>
      </w:r>
      <w:r w:rsidRPr="000056B7">
        <w:rPr>
          <w:rFonts w:eastAsia="Arial" w:cs="Arial"/>
          <w:sz w:val="22"/>
        </w:rPr>
        <w:t>.</w:t>
      </w:r>
    </w:p>
    <w:p w14:paraId="21E6CBAE" w14:textId="7EDBB8C9" w:rsidR="00E935B9" w:rsidRPr="00505643" w:rsidRDefault="00E935B9" w:rsidP="00505643">
      <w:pPr>
        <w:pStyle w:val="Ttulo3"/>
        <w:spacing w:before="240" w:after="120"/>
        <w:ind w:left="709" w:hanging="709"/>
      </w:pPr>
      <w:bookmarkStart w:id="424" w:name="_Toc191641895"/>
      <w:r w:rsidRPr="00505643">
        <w:t>Rede Privativa de Comunicação da Administração Pública Federal</w:t>
      </w:r>
      <w:bookmarkEnd w:id="424"/>
    </w:p>
    <w:p w14:paraId="4235C9DE" w14:textId="31505FB2" w:rsidR="00E935B9" w:rsidRPr="000056B7" w:rsidRDefault="00E935B9" w:rsidP="00E935B9">
      <w:pPr>
        <w:spacing w:before="120" w:after="0" w:line="240" w:lineRule="auto"/>
        <w:rPr>
          <w:rFonts w:eastAsia="Arial" w:cs="Arial"/>
          <w:sz w:val="22"/>
        </w:rPr>
      </w:pPr>
      <w:r w:rsidRPr="000056B7">
        <w:rPr>
          <w:rFonts w:eastAsia="Arial" w:cs="Arial"/>
          <w:sz w:val="22"/>
        </w:rPr>
        <w:t xml:space="preserve">O </w:t>
      </w:r>
      <w:r w:rsidRPr="00C00EF0">
        <w:rPr>
          <w:rFonts w:eastAsia="Arial" w:cs="Arial"/>
          <w:bCs/>
          <w:sz w:val="22"/>
        </w:rPr>
        <w:t>Projeto da Rede Privativa de Comunicação da Administração Pública Federal (RPC-APF)</w:t>
      </w:r>
      <w:r w:rsidRPr="000056B7">
        <w:rPr>
          <w:rFonts w:eastAsia="Arial" w:cs="Arial"/>
          <w:sz w:val="22"/>
        </w:rPr>
        <w:t xml:space="preserve">, conforme estabelecido na </w:t>
      </w:r>
      <w:r w:rsidRPr="00C00EF0">
        <w:rPr>
          <w:rFonts w:eastAsia="Arial" w:cs="Arial"/>
          <w:bCs/>
          <w:sz w:val="22"/>
        </w:rPr>
        <w:t>Portaria nº 1.924 - MCOM/2021</w:t>
      </w:r>
      <w:r w:rsidRPr="000056B7">
        <w:rPr>
          <w:rFonts w:eastAsia="Arial" w:cs="Arial"/>
          <w:sz w:val="22"/>
        </w:rPr>
        <w:t xml:space="preserve">, de </w:t>
      </w:r>
      <w:r w:rsidRPr="00C00EF0">
        <w:rPr>
          <w:rFonts w:eastAsia="Arial" w:cs="Arial"/>
          <w:bCs/>
          <w:sz w:val="22"/>
        </w:rPr>
        <w:t>29 de janeiro de 2021</w:t>
      </w:r>
      <w:r w:rsidRPr="000056B7">
        <w:rPr>
          <w:rFonts w:eastAsia="Arial" w:cs="Arial"/>
          <w:sz w:val="22"/>
        </w:rPr>
        <w:t xml:space="preserve">, do </w:t>
      </w:r>
      <w:r w:rsidRPr="00C00EF0">
        <w:rPr>
          <w:rFonts w:eastAsia="Arial" w:cs="Arial"/>
          <w:bCs/>
          <w:sz w:val="22"/>
        </w:rPr>
        <w:t>Ministério das Comunicações</w:t>
      </w:r>
      <w:r w:rsidRPr="000056B7">
        <w:rPr>
          <w:rFonts w:eastAsia="Arial" w:cs="Arial"/>
          <w:sz w:val="22"/>
        </w:rPr>
        <w:t xml:space="preserve">, teve sua implantação determinada pela </w:t>
      </w:r>
      <w:r w:rsidRPr="00C00EF0">
        <w:rPr>
          <w:rFonts w:eastAsia="Arial" w:cs="Arial"/>
          <w:bCs/>
          <w:sz w:val="22"/>
        </w:rPr>
        <w:t>Agência Nacional de Telecomunicações (ANATEL)</w:t>
      </w:r>
      <w:r w:rsidRPr="000056B7">
        <w:rPr>
          <w:rFonts w:eastAsia="Arial" w:cs="Arial"/>
          <w:sz w:val="22"/>
        </w:rPr>
        <w:t xml:space="preserve">, por meio do </w:t>
      </w:r>
      <w:r w:rsidRPr="00C00EF0">
        <w:rPr>
          <w:rFonts w:eastAsia="Arial" w:cs="Arial"/>
          <w:bCs/>
          <w:sz w:val="22"/>
        </w:rPr>
        <w:t>Edital de Licitação nº 1/2021-SOR/SPR/CD-ANATEL</w:t>
      </w:r>
      <w:r w:rsidRPr="000056B7">
        <w:rPr>
          <w:rFonts w:eastAsia="Arial" w:cs="Arial"/>
          <w:sz w:val="22"/>
        </w:rPr>
        <w:t xml:space="preserve"> (Edital do 5G). A rede será </w:t>
      </w:r>
      <w:r w:rsidRPr="00C00EF0">
        <w:rPr>
          <w:rFonts w:eastAsia="Arial" w:cs="Arial"/>
          <w:bCs/>
          <w:sz w:val="22"/>
        </w:rPr>
        <w:t>de propriedade da União</w:t>
      </w:r>
      <w:r w:rsidRPr="000056B7">
        <w:rPr>
          <w:rFonts w:eastAsia="Arial" w:cs="Arial"/>
          <w:sz w:val="22"/>
        </w:rPr>
        <w:t xml:space="preserve"> e será composta por:</w:t>
      </w:r>
    </w:p>
    <w:p w14:paraId="248E2716" w14:textId="77777777" w:rsidR="00E935B9" w:rsidRPr="00505643" w:rsidRDefault="00E935B9" w:rsidP="00E935B9">
      <w:pPr>
        <w:numPr>
          <w:ilvl w:val="0"/>
          <w:numId w:val="55"/>
        </w:numPr>
        <w:spacing w:before="120" w:after="0" w:line="240" w:lineRule="auto"/>
        <w:rPr>
          <w:rFonts w:eastAsia="Arial" w:cs="Arial"/>
          <w:sz w:val="22"/>
        </w:rPr>
      </w:pPr>
      <w:r w:rsidRPr="00505643">
        <w:rPr>
          <w:rFonts w:eastAsia="Arial" w:cs="Arial"/>
          <w:b/>
          <w:sz w:val="22"/>
        </w:rPr>
        <w:t>Rede Fixa</w:t>
      </w:r>
      <w:r w:rsidRPr="00505643">
        <w:rPr>
          <w:rFonts w:eastAsia="Arial" w:cs="Arial"/>
          <w:sz w:val="22"/>
        </w:rPr>
        <w:t>, destinada ao atendimento dos órgãos públicos federais nos municípios das capitais estaduais e no Distrito Federal. Consiste na implantação de redes terrestres ópticas complementares à rede de governo já existente, abrangendo redes metropolitanas, redes de acesso, pontos de presença e equipamentos terminais, com capacidade para atender 6.500 pontos de governo.</w:t>
      </w:r>
    </w:p>
    <w:p w14:paraId="7C7E3DDF" w14:textId="77777777" w:rsidR="00E935B9" w:rsidRPr="00505643" w:rsidRDefault="00E935B9" w:rsidP="00E935B9">
      <w:pPr>
        <w:numPr>
          <w:ilvl w:val="0"/>
          <w:numId w:val="55"/>
        </w:numPr>
        <w:spacing w:before="120" w:after="0" w:line="240" w:lineRule="auto"/>
        <w:rPr>
          <w:rFonts w:eastAsia="Arial" w:cs="Arial"/>
          <w:sz w:val="22"/>
        </w:rPr>
      </w:pPr>
      <w:r w:rsidRPr="00505643">
        <w:rPr>
          <w:rFonts w:eastAsia="Arial" w:cs="Arial"/>
          <w:b/>
          <w:sz w:val="22"/>
        </w:rPr>
        <w:t>Rede Móvel</w:t>
      </w:r>
      <w:r w:rsidRPr="00505643">
        <w:rPr>
          <w:rFonts w:eastAsia="Arial" w:cs="Arial"/>
          <w:sz w:val="22"/>
        </w:rPr>
        <w:t>, limitada ao território do Distrito Federal, voltada ao suporte de atividades essenciais, como segurança pública, defesa, serviços de socorro e emergência, resposta a desastres e outras atribuições críticas de Estado, incluindo aquelas desempenhadas por entes federados, além do atendimento aos órgãos públicos federais.</w:t>
      </w:r>
    </w:p>
    <w:p w14:paraId="3394144F" w14:textId="504F00A5" w:rsidR="00E935B9" w:rsidRPr="00505643" w:rsidRDefault="00E935B9" w:rsidP="00505643">
      <w:pPr>
        <w:numPr>
          <w:ilvl w:val="0"/>
          <w:numId w:val="55"/>
        </w:numPr>
        <w:spacing w:before="120" w:after="0" w:line="240" w:lineRule="auto"/>
        <w:rPr>
          <w:rFonts w:eastAsia="Arial" w:cs="Arial"/>
          <w:sz w:val="22"/>
        </w:rPr>
      </w:pPr>
      <w:r w:rsidRPr="00505643">
        <w:rPr>
          <w:rFonts w:eastAsia="Arial" w:cs="Arial"/>
          <w:b/>
          <w:sz w:val="22"/>
        </w:rPr>
        <w:t>Funcionalidade de Criptografia</w:t>
      </w:r>
      <w:r w:rsidRPr="00505643">
        <w:rPr>
          <w:rFonts w:eastAsia="Arial" w:cs="Arial"/>
          <w:sz w:val="22"/>
        </w:rPr>
        <w:t>, que visa garantir a segurança dos enlaces da RPC-APF, adaptando-se tanto ao uso de redes próprias (rede fixa) quanto ao uso de redes de terceiros (rede móvel).</w:t>
      </w:r>
    </w:p>
    <w:p w14:paraId="02D0E451" w14:textId="5A49D6BC" w:rsidR="00E935B9" w:rsidRPr="000056B7" w:rsidRDefault="00E935B9" w:rsidP="00E935B9">
      <w:pPr>
        <w:spacing w:before="120" w:after="0" w:line="240" w:lineRule="auto"/>
        <w:rPr>
          <w:rFonts w:eastAsia="Arial" w:cs="Arial"/>
          <w:sz w:val="22"/>
        </w:rPr>
      </w:pPr>
      <w:r w:rsidRPr="00505643">
        <w:rPr>
          <w:rFonts w:eastAsia="Arial" w:cs="Arial"/>
          <w:b/>
          <w:sz w:val="22"/>
        </w:rPr>
        <w:t>Rede Fixa:</w:t>
      </w:r>
      <w:r w:rsidRPr="00505643">
        <w:rPr>
          <w:rFonts w:eastAsia="Arial" w:cs="Arial"/>
          <w:sz w:val="22"/>
        </w:rPr>
        <w:t xml:space="preserve"> </w:t>
      </w:r>
      <w:r w:rsidRPr="000056B7">
        <w:rPr>
          <w:rFonts w:eastAsia="Arial" w:cs="Arial"/>
          <w:sz w:val="22"/>
        </w:rPr>
        <w:t xml:space="preserve">A </w:t>
      </w:r>
      <w:r w:rsidRPr="00C00EF0">
        <w:rPr>
          <w:rFonts w:eastAsia="Arial" w:cs="Arial"/>
          <w:bCs/>
          <w:sz w:val="22"/>
        </w:rPr>
        <w:t>Telebras</w:t>
      </w:r>
      <w:r w:rsidRPr="000056B7">
        <w:rPr>
          <w:rFonts w:eastAsia="Arial" w:cs="Arial"/>
          <w:sz w:val="22"/>
        </w:rPr>
        <w:t xml:space="preserve">, em alinhamento com as definições do </w:t>
      </w:r>
      <w:r w:rsidRPr="00C00EF0">
        <w:rPr>
          <w:rFonts w:eastAsia="Arial" w:cs="Arial"/>
          <w:bCs/>
          <w:sz w:val="22"/>
        </w:rPr>
        <w:t>GT-REDE</w:t>
      </w:r>
      <w:r w:rsidRPr="000056B7">
        <w:rPr>
          <w:rFonts w:eastAsia="Arial" w:cs="Arial"/>
          <w:sz w:val="22"/>
        </w:rPr>
        <w:t xml:space="preserve">, trabalhou no refinamento da listagem de pontos oficiais para atendimento à </w:t>
      </w:r>
      <w:r w:rsidRPr="00C00EF0">
        <w:rPr>
          <w:rFonts w:eastAsia="Arial" w:cs="Arial"/>
          <w:bCs/>
          <w:sz w:val="22"/>
        </w:rPr>
        <w:t>Administração Pública Federal</w:t>
      </w:r>
      <w:r w:rsidRPr="000056B7">
        <w:rPr>
          <w:rFonts w:eastAsia="Arial" w:cs="Arial"/>
          <w:sz w:val="22"/>
        </w:rPr>
        <w:t xml:space="preserve">, totalizando </w:t>
      </w:r>
      <w:r w:rsidRPr="00C00EF0">
        <w:rPr>
          <w:rFonts w:eastAsia="Arial" w:cs="Arial"/>
          <w:bCs/>
          <w:sz w:val="22"/>
        </w:rPr>
        <w:t>6.500 pontos</w:t>
      </w:r>
      <w:r w:rsidRPr="000056B7">
        <w:rPr>
          <w:rFonts w:eastAsia="Arial" w:cs="Arial"/>
          <w:sz w:val="22"/>
        </w:rPr>
        <w:t>, distribuídos da seguinte forma:</w:t>
      </w:r>
    </w:p>
    <w:p w14:paraId="22D3A06A" w14:textId="77777777" w:rsidR="00E935B9" w:rsidRPr="00505643" w:rsidRDefault="00E935B9" w:rsidP="00E935B9">
      <w:pPr>
        <w:numPr>
          <w:ilvl w:val="0"/>
          <w:numId w:val="55"/>
        </w:numPr>
        <w:spacing w:before="120" w:after="0" w:line="240" w:lineRule="auto"/>
        <w:rPr>
          <w:rFonts w:eastAsia="Arial" w:cs="Arial"/>
          <w:sz w:val="22"/>
        </w:rPr>
      </w:pPr>
      <w:r w:rsidRPr="00505643">
        <w:rPr>
          <w:rFonts w:eastAsia="Arial" w:cs="Arial"/>
          <w:b/>
          <w:sz w:val="22"/>
        </w:rPr>
        <w:t>Fase 0</w:t>
      </w:r>
      <w:r w:rsidRPr="00505643">
        <w:rPr>
          <w:rFonts w:eastAsia="Arial" w:cs="Arial"/>
          <w:sz w:val="22"/>
        </w:rPr>
        <w:t xml:space="preserve">: </w:t>
      </w:r>
      <w:r w:rsidRPr="00C00EF0">
        <w:rPr>
          <w:rFonts w:eastAsia="Arial" w:cs="Arial"/>
          <w:sz w:val="22"/>
        </w:rPr>
        <w:t>339 pontos</w:t>
      </w:r>
      <w:r w:rsidRPr="00505643">
        <w:rPr>
          <w:rFonts w:eastAsia="Arial" w:cs="Arial"/>
          <w:sz w:val="22"/>
        </w:rPr>
        <w:t>, destinados à construção imediata. Essa fase contempla, principalmente, clientes já atendidos pela Telebras, que serão migrados para a Rede Privativa.</w:t>
      </w:r>
    </w:p>
    <w:p w14:paraId="2BBDC3B3" w14:textId="77777777" w:rsidR="00E935B9" w:rsidRPr="00505643" w:rsidRDefault="00E935B9" w:rsidP="00E935B9">
      <w:pPr>
        <w:numPr>
          <w:ilvl w:val="0"/>
          <w:numId w:val="55"/>
        </w:numPr>
        <w:spacing w:before="120" w:after="0" w:line="240" w:lineRule="auto"/>
        <w:rPr>
          <w:rFonts w:eastAsia="Arial" w:cs="Arial"/>
          <w:sz w:val="22"/>
        </w:rPr>
      </w:pPr>
      <w:r w:rsidRPr="00505643">
        <w:rPr>
          <w:rFonts w:eastAsia="Arial" w:cs="Arial"/>
          <w:b/>
          <w:sz w:val="22"/>
        </w:rPr>
        <w:t>Fase 1</w:t>
      </w:r>
      <w:r w:rsidRPr="00505643">
        <w:rPr>
          <w:rFonts w:eastAsia="Arial" w:cs="Arial"/>
          <w:sz w:val="22"/>
        </w:rPr>
        <w:t xml:space="preserve">: </w:t>
      </w:r>
      <w:r w:rsidRPr="00C00EF0">
        <w:rPr>
          <w:rFonts w:eastAsia="Arial" w:cs="Arial"/>
          <w:sz w:val="22"/>
        </w:rPr>
        <w:t>2.997 pontos</w:t>
      </w:r>
      <w:r w:rsidRPr="000056B7">
        <w:rPr>
          <w:rFonts w:eastAsia="Arial" w:cs="Arial"/>
          <w:sz w:val="22"/>
        </w:rPr>
        <w:t>,</w:t>
      </w:r>
      <w:r w:rsidRPr="00505643">
        <w:rPr>
          <w:rFonts w:eastAsia="Arial" w:cs="Arial"/>
          <w:sz w:val="22"/>
        </w:rPr>
        <w:t xml:space="preserve"> abrangendo clientes em negociação com a Telebras, órgãos que manifestaram interesse na Rede Privativa durante o workshop realizado em dezembro de 2023, a lista de órgãos apresentada pelo MCOM e órgãos que já foram clientes da Telebras.</w:t>
      </w:r>
    </w:p>
    <w:p w14:paraId="2A09758F" w14:textId="77777777" w:rsidR="00E935B9" w:rsidRPr="00505643" w:rsidRDefault="00E935B9" w:rsidP="00E935B9">
      <w:pPr>
        <w:numPr>
          <w:ilvl w:val="0"/>
          <w:numId w:val="55"/>
        </w:numPr>
        <w:spacing w:before="120" w:after="0" w:line="240" w:lineRule="auto"/>
        <w:rPr>
          <w:rFonts w:eastAsia="Arial" w:cs="Arial"/>
          <w:sz w:val="22"/>
        </w:rPr>
      </w:pPr>
      <w:r w:rsidRPr="00505643">
        <w:rPr>
          <w:rFonts w:eastAsia="Arial" w:cs="Arial"/>
          <w:b/>
          <w:sz w:val="22"/>
        </w:rPr>
        <w:t>Fase 2</w:t>
      </w:r>
      <w:r w:rsidRPr="00505643">
        <w:rPr>
          <w:rFonts w:eastAsia="Arial" w:cs="Arial"/>
          <w:sz w:val="22"/>
        </w:rPr>
        <w:t xml:space="preserve">: </w:t>
      </w:r>
      <w:r w:rsidRPr="00505643">
        <w:rPr>
          <w:rFonts w:eastAsia="Arial" w:cs="Arial"/>
          <w:b/>
          <w:sz w:val="22"/>
        </w:rPr>
        <w:t>3164 pontos</w:t>
      </w:r>
      <w:r w:rsidRPr="00505643">
        <w:rPr>
          <w:rFonts w:eastAsia="Arial" w:cs="Arial"/>
          <w:sz w:val="22"/>
        </w:rPr>
        <w:t>, que são os demais órgãos da lista inicial e clientes que a Telebras ainda irá prospectar.</w:t>
      </w:r>
    </w:p>
    <w:p w14:paraId="47EFA605" w14:textId="77777777" w:rsidR="00E935B9" w:rsidRPr="00505643" w:rsidRDefault="00E935B9" w:rsidP="00E935B9">
      <w:pPr>
        <w:spacing w:before="120" w:after="0" w:line="240" w:lineRule="auto"/>
        <w:rPr>
          <w:rFonts w:eastAsia="Arial" w:cs="Arial"/>
          <w:sz w:val="22"/>
        </w:rPr>
      </w:pPr>
      <w:r w:rsidRPr="00505643">
        <w:rPr>
          <w:rFonts w:eastAsia="Arial" w:cs="Arial"/>
          <w:sz w:val="22"/>
        </w:rPr>
        <w:t>A Telebras atuou junto à EAF na avaliação e definição dos projetos das redes de fibra óptica das 27 capitais, garantindo a interoperabilidade da nova Rede Privativa com a rede Telebras.</w:t>
      </w:r>
    </w:p>
    <w:p w14:paraId="4FC0FB10" w14:textId="77777777" w:rsidR="00E935B9" w:rsidRPr="00505643" w:rsidRDefault="00E935B9" w:rsidP="00E935B9">
      <w:pPr>
        <w:spacing w:before="120" w:after="0" w:line="240" w:lineRule="auto"/>
        <w:rPr>
          <w:rFonts w:eastAsia="Arial" w:cs="Arial"/>
          <w:sz w:val="22"/>
        </w:rPr>
      </w:pPr>
      <w:r w:rsidRPr="00505643">
        <w:rPr>
          <w:rFonts w:eastAsia="Arial" w:cs="Arial"/>
          <w:sz w:val="22"/>
        </w:rPr>
        <w:t>Em parceria com a EAF, foi definida a configuração dos equipamentos a serem implementados como pontos de agregação de tráfego. Além disso, junto ao time de Marketing, foram estabelecidas as capacidades e demandas de cada ponto, bem como identificadas as localidades que necessitam de dupla abordagem.</w:t>
      </w:r>
    </w:p>
    <w:p w14:paraId="396C6835" w14:textId="77777777" w:rsidR="00E935B9" w:rsidRPr="00505643" w:rsidRDefault="00E935B9" w:rsidP="00E935B9">
      <w:pPr>
        <w:spacing w:before="120" w:after="0" w:line="240" w:lineRule="auto"/>
        <w:rPr>
          <w:rFonts w:eastAsia="Arial" w:cs="Arial"/>
          <w:sz w:val="22"/>
        </w:rPr>
      </w:pPr>
      <w:r w:rsidRPr="00505643">
        <w:rPr>
          <w:rFonts w:eastAsia="Arial" w:cs="Arial"/>
          <w:sz w:val="22"/>
        </w:rPr>
        <w:t>O processo de definição da configuração dos equipamentos para os pontos de agregação de tráfego já foi iniciado junto à EAF, assegurando alinhamento com os requisitos técnicos da Rede Privativa.</w:t>
      </w:r>
    </w:p>
    <w:p w14:paraId="419C7191" w14:textId="11E8B798" w:rsidR="00E935B9" w:rsidRPr="00505643" w:rsidRDefault="00E935B9" w:rsidP="00E935B9">
      <w:pPr>
        <w:spacing w:before="120" w:after="0" w:line="240" w:lineRule="auto"/>
        <w:rPr>
          <w:rFonts w:eastAsia="Arial" w:cs="Arial"/>
          <w:sz w:val="22"/>
        </w:rPr>
      </w:pPr>
      <w:r w:rsidRPr="00505643">
        <w:rPr>
          <w:rFonts w:eastAsia="Arial" w:cs="Arial"/>
          <w:b/>
          <w:sz w:val="22"/>
        </w:rPr>
        <w:t>Rede Móvel:</w:t>
      </w:r>
      <w:r w:rsidRPr="00505643">
        <w:rPr>
          <w:rFonts w:eastAsia="Arial" w:cs="Arial"/>
          <w:sz w:val="22"/>
        </w:rPr>
        <w:t xml:space="preserve"> A rede móvel foi concebida para atender atividades essenciais, como segurança pública, defesa, serviços de socorro e emergência, resposta a desastres e outras atribuições críticas de Estado, incluindo aquelas realizadas por entes federados. Trata-se de uma rede de missão crítica, integrada às redes legadas de Rádio Móvel Terrestre (LMR).</w:t>
      </w:r>
    </w:p>
    <w:p w14:paraId="29BD8DF6" w14:textId="77777777" w:rsidR="00E935B9" w:rsidRPr="00505643" w:rsidRDefault="00E935B9" w:rsidP="00E935B9">
      <w:pPr>
        <w:spacing w:before="120" w:after="0" w:line="240" w:lineRule="auto"/>
        <w:rPr>
          <w:rFonts w:eastAsia="Arial" w:cs="Arial"/>
          <w:sz w:val="22"/>
        </w:rPr>
      </w:pPr>
      <w:r w:rsidRPr="00505643">
        <w:rPr>
          <w:rFonts w:eastAsia="Arial" w:cs="Arial"/>
          <w:sz w:val="22"/>
        </w:rPr>
        <w:t>Conforme descrito na Nota Técnica nº 10.131/2024/SEI-MCOM, do Ministério das Comunicações, essa rede terá sua infraestrutura compartilhada com as redes móveis comerciais existentes. Será composta por um núcleo próprio, aplicativos especializados e utilizará o acesso por rádio de uma rede móvel comercial adaptada aos requisitos específicos de missão crítica.</w:t>
      </w:r>
    </w:p>
    <w:p w14:paraId="67FBD860" w14:textId="77777777" w:rsidR="00E935B9" w:rsidRPr="00505643" w:rsidRDefault="00E935B9" w:rsidP="00E935B9">
      <w:pPr>
        <w:spacing w:before="120" w:after="0" w:line="240" w:lineRule="auto"/>
        <w:rPr>
          <w:rFonts w:eastAsia="Arial" w:cs="Arial"/>
          <w:sz w:val="22"/>
        </w:rPr>
      </w:pPr>
      <w:r w:rsidRPr="00505643">
        <w:rPr>
          <w:rFonts w:eastAsia="Arial" w:cs="Arial"/>
          <w:sz w:val="22"/>
        </w:rPr>
        <w:t>Ficou definido que a implantação ocorrerá em duas fases:</w:t>
      </w:r>
    </w:p>
    <w:p w14:paraId="43A8DC0D" w14:textId="77777777" w:rsidR="00E935B9" w:rsidRPr="00505643" w:rsidRDefault="00E935B9" w:rsidP="00E935B9">
      <w:pPr>
        <w:spacing w:before="120" w:after="0" w:line="240" w:lineRule="auto"/>
        <w:rPr>
          <w:rFonts w:eastAsia="Arial" w:cs="Arial"/>
          <w:b/>
          <w:sz w:val="22"/>
        </w:rPr>
      </w:pPr>
      <w:r w:rsidRPr="00505643">
        <w:rPr>
          <w:rFonts w:eastAsia="Arial" w:cs="Arial"/>
          <w:b/>
          <w:sz w:val="22"/>
        </w:rPr>
        <w:t>Fase 1</w:t>
      </w:r>
    </w:p>
    <w:p w14:paraId="400EBE42" w14:textId="77777777" w:rsidR="00E935B9" w:rsidRPr="00505643" w:rsidRDefault="00E935B9" w:rsidP="00E935B9">
      <w:pPr>
        <w:numPr>
          <w:ilvl w:val="0"/>
          <w:numId w:val="58"/>
        </w:numPr>
        <w:spacing w:before="120" w:after="0" w:line="240" w:lineRule="auto"/>
        <w:rPr>
          <w:rFonts w:eastAsia="Arial" w:cs="Arial"/>
          <w:sz w:val="22"/>
        </w:rPr>
      </w:pPr>
      <w:r w:rsidRPr="00505643">
        <w:rPr>
          <w:rFonts w:eastAsia="Arial" w:cs="Arial"/>
          <w:sz w:val="22"/>
        </w:rPr>
        <w:t>Interoperabilidade entre os equipamentos LMR existentes no DF e um núcleo LTE com funcionalidades mínimas de Missão crítica, permitindo aos potenciais usuários testar a rede com vistas a decidir sobre sua adoção e o modelo de negócio a utilizar; e</w:t>
      </w:r>
    </w:p>
    <w:p w14:paraId="10A5B429" w14:textId="77777777" w:rsidR="00E935B9" w:rsidRPr="00505643" w:rsidRDefault="00E935B9" w:rsidP="00E935B9">
      <w:pPr>
        <w:numPr>
          <w:ilvl w:val="0"/>
          <w:numId w:val="58"/>
        </w:numPr>
        <w:spacing w:before="120" w:after="0" w:line="240" w:lineRule="auto"/>
        <w:rPr>
          <w:rFonts w:eastAsia="Arial" w:cs="Arial"/>
          <w:sz w:val="22"/>
        </w:rPr>
      </w:pPr>
      <w:r w:rsidRPr="00505643">
        <w:rPr>
          <w:rFonts w:eastAsia="Arial" w:cs="Arial"/>
          <w:sz w:val="22"/>
        </w:rPr>
        <w:t>Prova de conceito (PoC), com serviço de dados para até 5.000 usuários, com funcionalidades básicas de comunicação crítica (voz, vídeo e dados), incluindo a intercomunicação com as redes LMRs.</w:t>
      </w:r>
    </w:p>
    <w:p w14:paraId="3FFD35A1" w14:textId="77777777" w:rsidR="00E935B9" w:rsidRPr="00505643" w:rsidRDefault="00E935B9" w:rsidP="00E935B9">
      <w:pPr>
        <w:spacing w:before="120" w:after="0" w:line="240" w:lineRule="auto"/>
        <w:rPr>
          <w:rFonts w:eastAsia="Arial" w:cs="Arial"/>
          <w:b/>
          <w:sz w:val="22"/>
        </w:rPr>
      </w:pPr>
      <w:r w:rsidRPr="00505643">
        <w:rPr>
          <w:rFonts w:eastAsia="Arial" w:cs="Arial"/>
          <w:b/>
          <w:sz w:val="22"/>
        </w:rPr>
        <w:t>Fase 2</w:t>
      </w:r>
    </w:p>
    <w:p w14:paraId="6FFF25D2" w14:textId="18E53D33" w:rsidR="00E935B9" w:rsidRPr="00505643" w:rsidRDefault="00E935B9" w:rsidP="00E935B9">
      <w:pPr>
        <w:numPr>
          <w:ilvl w:val="0"/>
          <w:numId w:val="57"/>
        </w:numPr>
        <w:spacing w:before="120" w:after="0" w:line="240" w:lineRule="auto"/>
        <w:rPr>
          <w:rFonts w:eastAsia="Arial" w:cs="Arial"/>
          <w:sz w:val="22"/>
        </w:rPr>
      </w:pPr>
      <w:r w:rsidRPr="00505643">
        <w:rPr>
          <w:rFonts w:eastAsia="Arial" w:cs="Arial"/>
          <w:sz w:val="22"/>
        </w:rPr>
        <w:t>Extensão dos produtos desenvolvidos na Fase 1 para o pleno atendimento ao Edital do 5G, com todas capacidades e funcionalidades previstas.</w:t>
      </w:r>
    </w:p>
    <w:p w14:paraId="344BD2C9" w14:textId="588B469C" w:rsidR="00505643" w:rsidRPr="00505643" w:rsidRDefault="00505643" w:rsidP="00505643">
      <w:pPr>
        <w:spacing w:before="120" w:after="0" w:line="240" w:lineRule="auto"/>
        <w:rPr>
          <w:rFonts w:eastAsia="Arial" w:cs="Arial"/>
          <w:sz w:val="22"/>
        </w:rPr>
      </w:pPr>
      <w:r w:rsidRPr="00505643">
        <w:rPr>
          <w:rFonts w:eastAsia="Arial" w:cs="Arial"/>
          <w:b/>
          <w:sz w:val="22"/>
        </w:rPr>
        <w:t>Rede Criptografia:</w:t>
      </w:r>
      <w:r w:rsidRPr="00505643">
        <w:rPr>
          <w:rFonts w:eastAsia="Arial" w:cs="Arial"/>
          <w:sz w:val="22"/>
        </w:rPr>
        <w:t xml:space="preserve"> Em linhas gerais este projeto tem a expectativa de complementar as redes fixas e móveis, conforme detalhamento abaixo:</w:t>
      </w:r>
    </w:p>
    <w:p w14:paraId="5BE2385E" w14:textId="069424CC" w:rsidR="00505643" w:rsidRPr="00505643" w:rsidRDefault="00505643" w:rsidP="00505643">
      <w:pPr>
        <w:numPr>
          <w:ilvl w:val="0"/>
          <w:numId w:val="59"/>
        </w:numPr>
        <w:spacing w:before="120" w:after="0" w:line="240" w:lineRule="auto"/>
        <w:rPr>
          <w:rFonts w:eastAsia="Arial" w:cs="Arial"/>
          <w:sz w:val="22"/>
        </w:rPr>
      </w:pPr>
      <w:r w:rsidRPr="00505643">
        <w:rPr>
          <w:rFonts w:eastAsia="Arial" w:cs="Arial"/>
          <w:sz w:val="22"/>
        </w:rPr>
        <w:t xml:space="preserve">Rede Fixa com criptografia de </w:t>
      </w:r>
      <w:r w:rsidR="00EE4219">
        <w:rPr>
          <w:rFonts w:eastAsia="Arial" w:cs="Arial"/>
          <w:sz w:val="22"/>
        </w:rPr>
        <w:t>E</w:t>
      </w:r>
      <w:r w:rsidRPr="00505643">
        <w:rPr>
          <w:rFonts w:eastAsia="Arial" w:cs="Arial"/>
          <w:sz w:val="22"/>
        </w:rPr>
        <w:t>stado fornecida pela ABIN:</w:t>
      </w:r>
    </w:p>
    <w:p w14:paraId="109955B4" w14:textId="77777777" w:rsidR="00505643" w:rsidRPr="00505643" w:rsidRDefault="00505643" w:rsidP="00505643">
      <w:pPr>
        <w:numPr>
          <w:ilvl w:val="0"/>
          <w:numId w:val="60"/>
        </w:numPr>
        <w:spacing w:before="120" w:after="0" w:line="240" w:lineRule="auto"/>
        <w:rPr>
          <w:rFonts w:eastAsia="Arial" w:cs="Arial"/>
          <w:sz w:val="22"/>
        </w:rPr>
      </w:pPr>
      <w:r w:rsidRPr="00505643">
        <w:rPr>
          <w:rFonts w:eastAsia="Arial" w:cs="Arial"/>
          <w:sz w:val="22"/>
        </w:rPr>
        <w:t>A Telebras em conjunto com a EAF realizou uma prova de conceito para testar a interoperabilidade da solução de criptografia com o produto SD-WAN. O objetivo desse teste foi subsidiar os estudos necessários para que o produto desenvolvido esteja adequado as boas práticas da Telebras e garantir que o produto especificado possa ser incorporado na nossa rede sem impacto no backbone Telebras.</w:t>
      </w:r>
    </w:p>
    <w:p w14:paraId="65798EEA" w14:textId="77777777" w:rsidR="00505643" w:rsidRPr="00505643" w:rsidRDefault="00505643" w:rsidP="00505643">
      <w:pPr>
        <w:numPr>
          <w:ilvl w:val="0"/>
          <w:numId w:val="59"/>
        </w:numPr>
        <w:spacing w:before="120" w:after="0" w:line="240" w:lineRule="auto"/>
        <w:rPr>
          <w:rFonts w:eastAsia="Arial" w:cs="Arial"/>
          <w:sz w:val="22"/>
        </w:rPr>
      </w:pPr>
      <w:r w:rsidRPr="00505643">
        <w:rPr>
          <w:rFonts w:eastAsia="Arial" w:cs="Arial"/>
          <w:sz w:val="22"/>
        </w:rPr>
        <w:t>Rede Móvel com criptografia de estado fornecida pela ABIN:</w:t>
      </w:r>
    </w:p>
    <w:p w14:paraId="036C8D84" w14:textId="77777777" w:rsidR="00505643" w:rsidRPr="00505643" w:rsidRDefault="00505643" w:rsidP="00505643">
      <w:pPr>
        <w:numPr>
          <w:ilvl w:val="0"/>
          <w:numId w:val="60"/>
        </w:numPr>
        <w:spacing w:before="120" w:after="0" w:line="240" w:lineRule="auto"/>
        <w:rPr>
          <w:rFonts w:eastAsia="Arial" w:cs="Arial"/>
          <w:sz w:val="22"/>
        </w:rPr>
      </w:pPr>
      <w:r w:rsidRPr="00505643">
        <w:rPr>
          <w:rFonts w:eastAsia="Arial" w:cs="Arial"/>
          <w:sz w:val="22"/>
        </w:rPr>
        <w:t>O MCOM em sua nota técnica (Nº 10131/2024/SEI-MCOM) separou as redes móveis em dois produtos, o primeiro de missão crítica (tratado no tópico: Rede Móvel) e outro que é uma rede móvel com criptografia, neste produto ficou definido no GT-Rede que serão utilizadas Prestadoras de Mercado com o sistema de mensageria da ABIN (IRIS).</w:t>
      </w:r>
    </w:p>
    <w:p w14:paraId="2D698700" w14:textId="3FA91B12" w:rsidR="00505643" w:rsidRPr="00505643" w:rsidRDefault="00505643" w:rsidP="00505643">
      <w:pPr>
        <w:pStyle w:val="Ttulo3"/>
        <w:spacing w:before="240" w:after="120"/>
        <w:ind w:left="709" w:hanging="709"/>
      </w:pPr>
      <w:bookmarkStart w:id="425" w:name="_Toc191641896"/>
      <w:r w:rsidRPr="00505643">
        <w:t>Comunidades Conectadas</w:t>
      </w:r>
      <w:bookmarkEnd w:id="425"/>
    </w:p>
    <w:p w14:paraId="77C7549C" w14:textId="4B7763F5" w:rsidR="00505643" w:rsidRPr="000056B7" w:rsidRDefault="00505643" w:rsidP="00505643">
      <w:pPr>
        <w:spacing w:before="120" w:after="0" w:line="240" w:lineRule="auto"/>
        <w:rPr>
          <w:rFonts w:eastAsia="Arial" w:cs="Arial"/>
          <w:sz w:val="22"/>
        </w:rPr>
      </w:pPr>
      <w:r w:rsidRPr="00505643">
        <w:rPr>
          <w:rFonts w:eastAsia="Arial" w:cs="Arial"/>
          <w:sz w:val="22"/>
        </w:rPr>
        <w:t>O Ministério das Comunicações</w:t>
      </w:r>
      <w:r w:rsidRPr="000056B7">
        <w:rPr>
          <w:rFonts w:eastAsia="Arial" w:cs="Arial"/>
          <w:sz w:val="22"/>
        </w:rPr>
        <w:t xml:space="preserve"> celebrou com a Telebras um </w:t>
      </w:r>
      <w:r w:rsidRPr="00C00EF0">
        <w:rPr>
          <w:rFonts w:eastAsia="Arial" w:cs="Arial"/>
          <w:sz w:val="22"/>
        </w:rPr>
        <w:t>Termo de Execução Descentralizada</w:t>
      </w:r>
      <w:r w:rsidRPr="000056B7">
        <w:rPr>
          <w:rFonts w:eastAsia="Arial" w:cs="Arial"/>
          <w:sz w:val="22"/>
        </w:rPr>
        <w:t xml:space="preserve"> (</w:t>
      </w:r>
      <w:r w:rsidRPr="00C00EF0">
        <w:rPr>
          <w:rFonts w:eastAsia="Arial" w:cs="Arial"/>
          <w:sz w:val="22"/>
        </w:rPr>
        <w:t>TED</w:t>
      </w:r>
      <w:r w:rsidRPr="000056B7">
        <w:rPr>
          <w:rFonts w:eastAsia="Arial" w:cs="Arial"/>
          <w:sz w:val="22"/>
        </w:rPr>
        <w:t>), para implementação de infraestrutura de telecomunicações em 115 localidades sem cobertura de Serviço Móvel Pessoal (SMP).</w:t>
      </w:r>
    </w:p>
    <w:p w14:paraId="3505CB40" w14:textId="77777777" w:rsidR="00505643" w:rsidRPr="000056B7" w:rsidRDefault="00505643" w:rsidP="00505643">
      <w:pPr>
        <w:spacing w:before="120" w:after="0" w:line="240" w:lineRule="auto"/>
        <w:rPr>
          <w:rFonts w:eastAsia="Arial" w:cs="Arial"/>
          <w:sz w:val="22"/>
        </w:rPr>
      </w:pPr>
      <w:r w:rsidRPr="000056B7">
        <w:rPr>
          <w:rFonts w:eastAsia="Arial" w:cs="Arial"/>
          <w:sz w:val="22"/>
        </w:rPr>
        <w:t xml:space="preserve">Em 2024 a Telebras atendeu </w:t>
      </w:r>
      <w:r w:rsidRPr="00C00EF0">
        <w:rPr>
          <w:rFonts w:eastAsia="Arial" w:cs="Arial"/>
          <w:sz w:val="22"/>
        </w:rPr>
        <w:t>20 comunidades</w:t>
      </w:r>
      <w:r w:rsidRPr="000056B7">
        <w:rPr>
          <w:rFonts w:eastAsia="Arial" w:cs="Arial"/>
          <w:sz w:val="22"/>
        </w:rPr>
        <w:t xml:space="preserve">, distribuídas da seguinte forma: </w:t>
      </w:r>
      <w:r w:rsidRPr="00C00EF0">
        <w:rPr>
          <w:rFonts w:eastAsia="Arial" w:cs="Arial"/>
          <w:sz w:val="22"/>
        </w:rPr>
        <w:t>12 no Maranhão</w:t>
      </w:r>
      <w:r w:rsidRPr="000056B7">
        <w:rPr>
          <w:rFonts w:eastAsia="Arial" w:cs="Arial"/>
          <w:sz w:val="22"/>
        </w:rPr>
        <w:t xml:space="preserve">, </w:t>
      </w:r>
      <w:r w:rsidRPr="00C00EF0">
        <w:rPr>
          <w:rFonts w:eastAsia="Arial" w:cs="Arial"/>
          <w:sz w:val="22"/>
        </w:rPr>
        <w:t>2 na Paraíba</w:t>
      </w:r>
      <w:r w:rsidRPr="000056B7">
        <w:rPr>
          <w:rFonts w:eastAsia="Arial" w:cs="Arial"/>
          <w:sz w:val="22"/>
        </w:rPr>
        <w:t xml:space="preserve">, </w:t>
      </w:r>
      <w:r w:rsidRPr="00C00EF0">
        <w:rPr>
          <w:rFonts w:eastAsia="Arial" w:cs="Arial"/>
          <w:sz w:val="22"/>
        </w:rPr>
        <w:t>1 em Rondônia</w:t>
      </w:r>
      <w:r w:rsidRPr="000056B7">
        <w:rPr>
          <w:rFonts w:eastAsia="Arial" w:cs="Arial"/>
          <w:sz w:val="22"/>
        </w:rPr>
        <w:t xml:space="preserve"> e </w:t>
      </w:r>
      <w:r w:rsidRPr="00C00EF0">
        <w:rPr>
          <w:rFonts w:eastAsia="Arial" w:cs="Arial"/>
          <w:sz w:val="22"/>
        </w:rPr>
        <w:t>1 em Tocantins.</w:t>
      </w:r>
    </w:p>
    <w:p w14:paraId="10966F35" w14:textId="1C830FB5" w:rsidR="00E935B9" w:rsidRPr="000056B7" w:rsidRDefault="00505643" w:rsidP="00505643">
      <w:pPr>
        <w:spacing w:before="120" w:after="0" w:line="240" w:lineRule="auto"/>
        <w:rPr>
          <w:rFonts w:eastAsia="Arial" w:cs="Arial"/>
          <w:sz w:val="22"/>
        </w:rPr>
      </w:pPr>
      <w:r w:rsidRPr="000056B7">
        <w:rPr>
          <w:rFonts w:eastAsia="Arial" w:cs="Arial"/>
          <w:sz w:val="22"/>
        </w:rPr>
        <w:t xml:space="preserve">A solução fornecerá redes móveis de banda larga 4G (LTE, exclusivamente para tráfego de dados) às comunidades contempladas, além de </w:t>
      </w:r>
      <w:r w:rsidRPr="00C00EF0">
        <w:rPr>
          <w:rFonts w:eastAsia="Arial" w:cs="Arial"/>
          <w:sz w:val="22"/>
        </w:rPr>
        <w:t>600 SIM Cards</w:t>
      </w:r>
      <w:r w:rsidRPr="000056B7">
        <w:rPr>
          <w:rFonts w:eastAsia="Arial" w:cs="Arial"/>
          <w:sz w:val="22"/>
        </w:rPr>
        <w:t xml:space="preserve">, com cobertura estimada em </w:t>
      </w:r>
      <w:r w:rsidRPr="00C00EF0">
        <w:rPr>
          <w:rFonts w:eastAsia="Arial" w:cs="Arial"/>
          <w:sz w:val="22"/>
        </w:rPr>
        <w:t>aproximadamente 2 km de raio</w:t>
      </w:r>
      <w:r w:rsidRPr="000056B7">
        <w:rPr>
          <w:rFonts w:eastAsia="Arial" w:cs="Arial"/>
          <w:sz w:val="22"/>
        </w:rPr>
        <w:t>.</w:t>
      </w:r>
    </w:p>
    <w:p w14:paraId="3429155F" w14:textId="30147E1A" w:rsidR="00505643" w:rsidRPr="00505643" w:rsidRDefault="00505643" w:rsidP="00505643">
      <w:pPr>
        <w:pStyle w:val="Ttulo3"/>
        <w:spacing w:before="240" w:after="120"/>
        <w:ind w:left="709" w:hanging="709"/>
      </w:pPr>
      <w:bookmarkStart w:id="426" w:name="_Toc191641897"/>
      <w:r w:rsidRPr="00505643">
        <w:t>Terminal Transportável Telebras Satelital (T3SAT)</w:t>
      </w:r>
      <w:bookmarkEnd w:id="426"/>
    </w:p>
    <w:p w14:paraId="40261EA2" w14:textId="60967351" w:rsidR="00505643" w:rsidRPr="000056B7" w:rsidRDefault="00505643" w:rsidP="00505643">
      <w:pPr>
        <w:rPr>
          <w:sz w:val="22"/>
        </w:rPr>
      </w:pPr>
      <w:r w:rsidRPr="000056B7">
        <w:rPr>
          <w:sz w:val="22"/>
        </w:rPr>
        <w:t xml:space="preserve">O </w:t>
      </w:r>
      <w:r w:rsidRPr="00C00EF0">
        <w:rPr>
          <w:bCs/>
          <w:sz w:val="22"/>
        </w:rPr>
        <w:t>novo terminal transportável T3SAT V2.0</w:t>
      </w:r>
      <w:r w:rsidRPr="000056B7">
        <w:rPr>
          <w:sz w:val="22"/>
        </w:rPr>
        <w:t xml:space="preserve"> foi desenvolvido com dimensões menores e peso reduzido em relação à versão anterior, sendo fabricado pela </w:t>
      </w:r>
      <w:r w:rsidRPr="00C00EF0">
        <w:rPr>
          <w:bCs/>
          <w:sz w:val="22"/>
        </w:rPr>
        <w:t>RFCOM</w:t>
      </w:r>
      <w:r w:rsidRPr="000056B7">
        <w:rPr>
          <w:sz w:val="22"/>
        </w:rPr>
        <w:t xml:space="preserve">. Dois protótipos já foram avaliados pela </w:t>
      </w:r>
      <w:r w:rsidRPr="00C00EF0">
        <w:rPr>
          <w:bCs/>
          <w:sz w:val="22"/>
        </w:rPr>
        <w:t>Diretoria Comercial</w:t>
      </w:r>
      <w:r w:rsidRPr="000056B7">
        <w:rPr>
          <w:sz w:val="22"/>
        </w:rPr>
        <w:t xml:space="preserve">. A nova versão teve seu peso reduzido de </w:t>
      </w:r>
      <w:r w:rsidRPr="00C00EF0">
        <w:rPr>
          <w:bCs/>
          <w:sz w:val="22"/>
        </w:rPr>
        <w:t>64 kg para 38 kg</w:t>
      </w:r>
      <w:r w:rsidRPr="000056B7">
        <w:rPr>
          <w:sz w:val="22"/>
        </w:rPr>
        <w:t>, tornando-se significativamente mais leve e portátil.</w:t>
      </w:r>
    </w:p>
    <w:p w14:paraId="1171FBAE" w14:textId="77777777" w:rsidR="00505643" w:rsidRPr="000056B7" w:rsidRDefault="00505643" w:rsidP="00505643">
      <w:pPr>
        <w:rPr>
          <w:sz w:val="22"/>
        </w:rPr>
      </w:pPr>
      <w:r w:rsidRPr="000056B7">
        <w:rPr>
          <w:sz w:val="22"/>
        </w:rPr>
        <w:t xml:space="preserve">Além disso, as dimensões foram ajustadas para atender ao padrão </w:t>
      </w:r>
      <w:r w:rsidRPr="00C00EF0">
        <w:rPr>
          <w:bCs/>
          <w:sz w:val="22"/>
        </w:rPr>
        <w:t>IATA (</w:t>
      </w:r>
      <w:r w:rsidRPr="00C00EF0">
        <w:rPr>
          <w:bCs/>
          <w:i/>
          <w:sz w:val="22"/>
        </w:rPr>
        <w:t>International Air Transport Association</w:t>
      </w:r>
      <w:r w:rsidRPr="00C00EF0">
        <w:rPr>
          <w:bCs/>
          <w:sz w:val="22"/>
        </w:rPr>
        <w:t>)</w:t>
      </w:r>
      <w:r w:rsidRPr="000056B7">
        <w:rPr>
          <w:sz w:val="22"/>
        </w:rPr>
        <w:t xml:space="preserve">, facilitando o transporte aéreo e terrestre. Um dos protótipos foi enviado de volta à </w:t>
      </w:r>
      <w:r w:rsidRPr="00C00EF0">
        <w:rPr>
          <w:bCs/>
          <w:sz w:val="22"/>
        </w:rPr>
        <w:t>RFCOM</w:t>
      </w:r>
      <w:r w:rsidRPr="000056B7">
        <w:rPr>
          <w:sz w:val="22"/>
        </w:rPr>
        <w:t xml:space="preserve"> para adaptação em uma nova versão com maleta </w:t>
      </w:r>
      <w:r w:rsidRPr="00C00EF0">
        <w:rPr>
          <w:bCs/>
          <w:sz w:val="22"/>
        </w:rPr>
        <w:t>Pelican</w:t>
      </w:r>
      <w:r w:rsidRPr="000056B7">
        <w:rPr>
          <w:sz w:val="22"/>
        </w:rPr>
        <w:t xml:space="preserve">, que proporcionará ainda mais leveza, sem custo adicional para a </w:t>
      </w:r>
      <w:r w:rsidRPr="00C00EF0">
        <w:rPr>
          <w:bCs/>
          <w:sz w:val="22"/>
        </w:rPr>
        <w:t>Telebras</w:t>
      </w:r>
      <w:r w:rsidRPr="000056B7">
        <w:rPr>
          <w:sz w:val="22"/>
        </w:rPr>
        <w:t>.</w:t>
      </w:r>
    </w:p>
    <w:p w14:paraId="5CD0F8FB" w14:textId="77777777" w:rsidR="00505643" w:rsidRPr="0065694B" w:rsidRDefault="00505643" w:rsidP="00505643">
      <w:pPr>
        <w:rPr>
          <w:sz w:val="22"/>
        </w:rPr>
      </w:pPr>
      <w:r w:rsidRPr="0065694B">
        <w:rPr>
          <w:sz w:val="22"/>
        </w:rPr>
        <w:t>Essa inovação aprimora o portfólio da empresa, oferecendo um produto alinhado às necessidades da área comercial e de nossos clientes</w:t>
      </w:r>
    </w:p>
    <w:p w14:paraId="636F6392" w14:textId="592AA9A5" w:rsidR="00E935B9" w:rsidRPr="0065694B" w:rsidRDefault="00505643" w:rsidP="00505643">
      <w:pPr>
        <w:rPr>
          <w:sz w:val="22"/>
        </w:rPr>
      </w:pPr>
      <w:r w:rsidRPr="000056B7">
        <w:rPr>
          <w:sz w:val="22"/>
        </w:rPr>
        <w:t xml:space="preserve">O projeto também avançou com o desenvolvimento de uma nova versão do </w:t>
      </w:r>
      <w:r w:rsidRPr="00C00EF0">
        <w:rPr>
          <w:bCs/>
          <w:sz w:val="22"/>
        </w:rPr>
        <w:t>T3SAT</w:t>
      </w:r>
      <w:r w:rsidRPr="000056B7">
        <w:rPr>
          <w:sz w:val="22"/>
        </w:rPr>
        <w:t xml:space="preserve"> pela empresa </w:t>
      </w:r>
      <w:r w:rsidRPr="00C00EF0">
        <w:rPr>
          <w:bCs/>
          <w:sz w:val="22"/>
        </w:rPr>
        <w:t>Indeletra</w:t>
      </w:r>
      <w:r w:rsidRPr="000056B7">
        <w:rPr>
          <w:sz w:val="22"/>
        </w:rPr>
        <w:t xml:space="preserve">. Uma antena bipartida de </w:t>
      </w:r>
      <w:r w:rsidRPr="00C00EF0">
        <w:rPr>
          <w:bCs/>
          <w:sz w:val="22"/>
        </w:rPr>
        <w:t>60 cm de diâmetro</w:t>
      </w:r>
      <w:r w:rsidRPr="000056B7">
        <w:rPr>
          <w:sz w:val="22"/>
        </w:rPr>
        <w:t xml:space="preserve"> foi testada e aprovada no laboratório de </w:t>
      </w:r>
      <w:r w:rsidRPr="00C00EF0">
        <w:rPr>
          <w:bCs/>
          <w:sz w:val="22"/>
        </w:rPr>
        <w:t>RF da ENGETELCO (São José dos Campos)</w:t>
      </w:r>
      <w:r w:rsidRPr="000056B7">
        <w:rPr>
          <w:sz w:val="22"/>
        </w:rPr>
        <w:t xml:space="preserve">, demonstrando-se uma alternativa promissora à antena </w:t>
      </w:r>
      <w:r w:rsidRPr="00C00EF0">
        <w:rPr>
          <w:bCs/>
          <w:sz w:val="22"/>
        </w:rPr>
        <w:t>Viasat</w:t>
      </w:r>
      <w:r w:rsidRPr="000056B7">
        <w:rPr>
          <w:sz w:val="22"/>
        </w:rPr>
        <w:t xml:space="preserve">, </w:t>
      </w:r>
      <w:r w:rsidRPr="0065694B">
        <w:rPr>
          <w:sz w:val="22"/>
        </w:rPr>
        <w:t>possibilitando redução adicional de peso e volume do terminal.</w:t>
      </w:r>
    </w:p>
    <w:p w14:paraId="4EC6B23D" w14:textId="36B24AA4" w:rsidR="00505643" w:rsidRPr="00505643" w:rsidRDefault="00505643" w:rsidP="00505643">
      <w:pPr>
        <w:pStyle w:val="Ttulo3"/>
        <w:spacing w:before="240" w:after="120"/>
        <w:ind w:left="709" w:hanging="709"/>
      </w:pPr>
      <w:bookmarkStart w:id="427" w:name="_Toc191641898"/>
      <w:r w:rsidRPr="00505643">
        <w:t>INMET</w:t>
      </w:r>
      <w:bookmarkEnd w:id="427"/>
    </w:p>
    <w:p w14:paraId="10AF8480" w14:textId="43916437" w:rsidR="00505643" w:rsidRPr="000056B7" w:rsidRDefault="00505643" w:rsidP="00505643">
      <w:pPr>
        <w:rPr>
          <w:sz w:val="22"/>
        </w:rPr>
      </w:pPr>
      <w:r w:rsidRPr="000056B7">
        <w:rPr>
          <w:sz w:val="22"/>
        </w:rPr>
        <w:t xml:space="preserve">Foi desenvolvida uma solução para atender ao projeto de controle das estações de monitoramento do tempo do INMET </w:t>
      </w:r>
      <w:r w:rsidRPr="00C00EF0">
        <w:rPr>
          <w:bCs/>
          <w:sz w:val="22"/>
        </w:rPr>
        <w:t>do Instituto Nacional de Meteorologia (INMET)</w:t>
      </w:r>
      <w:r w:rsidRPr="000056B7">
        <w:rPr>
          <w:sz w:val="22"/>
        </w:rPr>
        <w:t>. A solução tecnológica pesquisada, foi testada com o satélite Inmarsat.</w:t>
      </w:r>
    </w:p>
    <w:p w14:paraId="12410971" w14:textId="2824BB66" w:rsidR="00505643" w:rsidRPr="00505643" w:rsidRDefault="00505643" w:rsidP="00505643">
      <w:pPr>
        <w:pStyle w:val="Ttulo3"/>
        <w:spacing w:before="240" w:after="120"/>
        <w:ind w:left="709" w:hanging="709"/>
      </w:pPr>
      <w:bookmarkStart w:id="428" w:name="_Toc191641899"/>
      <w:r w:rsidRPr="00505643">
        <w:t>Maleta Move2GO</w:t>
      </w:r>
      <w:bookmarkEnd w:id="428"/>
    </w:p>
    <w:p w14:paraId="52D16169" w14:textId="4D50A665" w:rsidR="00505643" w:rsidRPr="000056B7" w:rsidRDefault="00505643" w:rsidP="00505643">
      <w:pPr>
        <w:spacing w:before="120" w:after="0" w:line="240" w:lineRule="auto"/>
        <w:rPr>
          <w:rFonts w:eastAsia="Arial" w:cs="Arial"/>
          <w:sz w:val="22"/>
        </w:rPr>
      </w:pPr>
      <w:r w:rsidRPr="000056B7">
        <w:rPr>
          <w:rFonts w:eastAsia="Arial" w:cs="Arial"/>
          <w:sz w:val="22"/>
        </w:rPr>
        <w:t xml:space="preserve">Foram realizados testes com a </w:t>
      </w:r>
      <w:r w:rsidRPr="00C00EF0">
        <w:rPr>
          <w:rFonts w:eastAsia="Arial" w:cs="Arial"/>
          <w:bCs/>
          <w:sz w:val="22"/>
        </w:rPr>
        <w:t>maleta VSAT BemConnect/Move2Go</w:t>
      </w:r>
      <w:r w:rsidRPr="000056B7">
        <w:rPr>
          <w:rFonts w:eastAsia="Arial" w:cs="Arial"/>
          <w:sz w:val="22"/>
        </w:rPr>
        <w:t xml:space="preserve">, desenvolvida pelo grupo </w:t>
      </w:r>
      <w:r w:rsidRPr="00C00EF0">
        <w:rPr>
          <w:rFonts w:eastAsia="Arial" w:cs="Arial"/>
          <w:bCs/>
          <w:sz w:val="22"/>
        </w:rPr>
        <w:t>Bembras / Prime Field</w:t>
      </w:r>
      <w:r w:rsidRPr="000056B7">
        <w:rPr>
          <w:rFonts w:eastAsia="Arial" w:cs="Arial"/>
          <w:sz w:val="22"/>
        </w:rPr>
        <w:t xml:space="preserve">. O equipamento conta com uma </w:t>
      </w:r>
      <w:r w:rsidRPr="00C00EF0">
        <w:rPr>
          <w:rFonts w:eastAsia="Arial" w:cs="Arial"/>
          <w:bCs/>
          <w:sz w:val="22"/>
        </w:rPr>
        <w:t xml:space="preserve">antena plana do tipo </w:t>
      </w:r>
      <w:r w:rsidRPr="00C00EF0">
        <w:rPr>
          <w:rFonts w:eastAsia="Arial" w:cs="Arial"/>
          <w:bCs/>
          <w:i/>
          <w:sz w:val="22"/>
        </w:rPr>
        <w:t>phased-array</w:t>
      </w:r>
      <w:r w:rsidRPr="000056B7">
        <w:rPr>
          <w:rFonts w:eastAsia="Arial" w:cs="Arial"/>
          <w:sz w:val="22"/>
        </w:rPr>
        <w:t>, oferecendo uma solução inovadora para comunicação via satélite.</w:t>
      </w:r>
    </w:p>
    <w:p w14:paraId="66746DAD" w14:textId="418AE752" w:rsidR="00505643" w:rsidRPr="000056B7" w:rsidRDefault="00505643" w:rsidP="00505643">
      <w:pPr>
        <w:spacing w:before="120" w:after="0" w:line="240" w:lineRule="auto"/>
        <w:rPr>
          <w:rFonts w:eastAsia="Arial" w:cs="Arial"/>
          <w:sz w:val="22"/>
        </w:rPr>
      </w:pPr>
      <w:r w:rsidRPr="000056B7">
        <w:rPr>
          <w:rFonts w:eastAsia="Arial" w:cs="Arial"/>
          <w:sz w:val="22"/>
        </w:rPr>
        <w:t xml:space="preserve">Como resultado dos testes, foi elaborada uma </w:t>
      </w:r>
      <w:r w:rsidRPr="00C00EF0">
        <w:rPr>
          <w:rFonts w:eastAsia="Arial" w:cs="Arial"/>
          <w:bCs/>
          <w:sz w:val="22"/>
        </w:rPr>
        <w:t>Nota Técnica de Inovação (NTI)</w:t>
      </w:r>
      <w:r w:rsidRPr="000056B7">
        <w:rPr>
          <w:rFonts w:eastAsia="Arial" w:cs="Arial"/>
          <w:sz w:val="22"/>
        </w:rPr>
        <w:t xml:space="preserve">, a qual foi encaminhada à </w:t>
      </w:r>
      <w:r w:rsidRPr="00C00EF0">
        <w:rPr>
          <w:rFonts w:eastAsia="Arial" w:cs="Arial"/>
          <w:bCs/>
          <w:sz w:val="22"/>
        </w:rPr>
        <w:t>área de Marketing</w:t>
      </w:r>
      <w:r w:rsidRPr="000056B7">
        <w:rPr>
          <w:rFonts w:eastAsia="Arial" w:cs="Arial"/>
          <w:sz w:val="22"/>
        </w:rPr>
        <w:t xml:space="preserve"> com as recomendações para avaliação e possíveis aplicações da tecnologia.</w:t>
      </w:r>
    </w:p>
    <w:p w14:paraId="2C71C5F1" w14:textId="2FAE5F56" w:rsidR="00505643" w:rsidRPr="00505643" w:rsidRDefault="00505643" w:rsidP="00505643">
      <w:pPr>
        <w:pStyle w:val="Ttulo3"/>
        <w:spacing w:before="240" w:after="120"/>
        <w:ind w:left="709" w:hanging="709"/>
      </w:pPr>
      <w:bookmarkStart w:id="429" w:name="_Toc191641900"/>
      <w:r w:rsidRPr="00505643">
        <w:t>Laboratório de Inovação</w:t>
      </w:r>
      <w:bookmarkEnd w:id="429"/>
    </w:p>
    <w:p w14:paraId="4518BB2A" w14:textId="2A0C4117" w:rsidR="00505643" w:rsidRPr="000056B7" w:rsidRDefault="00505643" w:rsidP="00505643">
      <w:pPr>
        <w:spacing w:before="120" w:after="0" w:line="240" w:lineRule="auto"/>
        <w:rPr>
          <w:rFonts w:eastAsia="Arial" w:cs="Arial"/>
          <w:sz w:val="22"/>
        </w:rPr>
      </w:pPr>
      <w:r w:rsidRPr="000056B7">
        <w:rPr>
          <w:rFonts w:eastAsia="Arial" w:cs="Arial"/>
          <w:sz w:val="22"/>
        </w:rPr>
        <w:t xml:space="preserve">A </w:t>
      </w:r>
      <w:r w:rsidRPr="00C00EF0">
        <w:rPr>
          <w:rFonts w:eastAsia="Arial" w:cs="Arial"/>
          <w:bCs/>
          <w:sz w:val="22"/>
        </w:rPr>
        <w:t>Inovação</w:t>
      </w:r>
      <w:r w:rsidRPr="000056B7">
        <w:rPr>
          <w:rFonts w:eastAsia="Arial" w:cs="Arial"/>
          <w:sz w:val="22"/>
        </w:rPr>
        <w:t xml:space="preserve"> aprovou o uso do </w:t>
      </w:r>
      <w:r w:rsidRPr="00C00EF0">
        <w:rPr>
          <w:rFonts w:eastAsia="Arial" w:cs="Arial"/>
          <w:bCs/>
          <w:sz w:val="22"/>
        </w:rPr>
        <w:t>servidor HPE (</w:t>
      </w:r>
      <w:r w:rsidRPr="00C00EF0">
        <w:rPr>
          <w:rFonts w:eastAsia="Arial" w:cs="Arial"/>
          <w:bCs/>
          <w:i/>
          <w:sz w:val="22"/>
        </w:rPr>
        <w:t>Hewlett Packard Enterprise</w:t>
      </w:r>
      <w:r w:rsidRPr="00C00EF0">
        <w:rPr>
          <w:rFonts w:eastAsia="Arial" w:cs="Arial"/>
          <w:bCs/>
          <w:sz w:val="22"/>
        </w:rPr>
        <w:t>)</w:t>
      </w:r>
      <w:r w:rsidRPr="000056B7">
        <w:rPr>
          <w:rFonts w:eastAsia="Arial" w:cs="Arial"/>
          <w:sz w:val="22"/>
        </w:rPr>
        <w:t xml:space="preserve">, adquirido para atender exclusivamente às necessidades do </w:t>
      </w:r>
      <w:r w:rsidRPr="00C00EF0">
        <w:rPr>
          <w:rFonts w:eastAsia="Arial" w:cs="Arial"/>
          <w:bCs/>
          <w:sz w:val="22"/>
        </w:rPr>
        <w:t>laboratório de Inovação</w:t>
      </w:r>
      <w:r w:rsidRPr="000056B7">
        <w:rPr>
          <w:rFonts w:eastAsia="Arial" w:cs="Arial"/>
          <w:sz w:val="22"/>
        </w:rPr>
        <w:t xml:space="preserve">, operando </w:t>
      </w:r>
      <w:r w:rsidR="00EE4219">
        <w:rPr>
          <w:rFonts w:eastAsia="Arial" w:cs="Arial"/>
          <w:sz w:val="22"/>
        </w:rPr>
        <w:t xml:space="preserve">com segurança e isolado </w:t>
      </w:r>
      <w:r w:rsidRPr="00C00EF0">
        <w:rPr>
          <w:rFonts w:eastAsia="Arial" w:cs="Arial"/>
          <w:bCs/>
          <w:sz w:val="22"/>
        </w:rPr>
        <w:t>da rede Telebras</w:t>
      </w:r>
      <w:r w:rsidRPr="000056B7">
        <w:rPr>
          <w:rFonts w:eastAsia="Arial" w:cs="Arial"/>
          <w:sz w:val="22"/>
        </w:rPr>
        <w:t xml:space="preserve">. Sua principal finalidade é a realização de </w:t>
      </w:r>
      <w:r w:rsidRPr="00C00EF0">
        <w:rPr>
          <w:rFonts w:eastAsia="Arial" w:cs="Arial"/>
          <w:bCs/>
          <w:sz w:val="22"/>
        </w:rPr>
        <w:t>Provas de Conceito (PoC)</w:t>
      </w:r>
      <w:r w:rsidRPr="000056B7">
        <w:rPr>
          <w:rFonts w:eastAsia="Arial" w:cs="Arial"/>
          <w:sz w:val="22"/>
        </w:rPr>
        <w:t>.</w:t>
      </w:r>
    </w:p>
    <w:p w14:paraId="60D11E96" w14:textId="77777777" w:rsidR="00505643" w:rsidRPr="000056B7" w:rsidRDefault="00505643" w:rsidP="00505643">
      <w:pPr>
        <w:spacing w:before="120" w:after="0" w:line="240" w:lineRule="auto"/>
        <w:rPr>
          <w:rFonts w:eastAsia="Arial" w:cs="Arial"/>
          <w:sz w:val="22"/>
        </w:rPr>
      </w:pPr>
      <w:r w:rsidRPr="000056B7">
        <w:rPr>
          <w:rFonts w:eastAsia="Arial" w:cs="Arial"/>
          <w:sz w:val="22"/>
        </w:rPr>
        <w:t xml:space="preserve">Esse primeiro servidor será responsável por </w:t>
      </w:r>
      <w:r w:rsidRPr="00C00EF0">
        <w:rPr>
          <w:rFonts w:eastAsia="Arial" w:cs="Arial"/>
          <w:bCs/>
          <w:sz w:val="22"/>
        </w:rPr>
        <w:t>orquestrar os testes da Rede Privativa</w:t>
      </w:r>
      <w:r w:rsidRPr="000056B7">
        <w:rPr>
          <w:rFonts w:eastAsia="Arial" w:cs="Arial"/>
          <w:sz w:val="22"/>
        </w:rPr>
        <w:t xml:space="preserve">, proporcionando um ambiente voltado à inovação e ao aprendizado dentro da </w:t>
      </w:r>
      <w:r w:rsidRPr="00C00EF0">
        <w:rPr>
          <w:rFonts w:eastAsia="Arial" w:cs="Arial"/>
          <w:bCs/>
          <w:sz w:val="22"/>
        </w:rPr>
        <w:t>Telebras</w:t>
      </w:r>
      <w:r w:rsidRPr="000056B7">
        <w:rPr>
          <w:rFonts w:eastAsia="Arial" w:cs="Arial"/>
          <w:sz w:val="22"/>
        </w:rPr>
        <w:t>.</w:t>
      </w:r>
    </w:p>
    <w:p w14:paraId="7A88D837" w14:textId="221E8836" w:rsidR="007D1C9C" w:rsidRPr="000056B7" w:rsidRDefault="007D1C9C" w:rsidP="00505643">
      <w:pPr>
        <w:spacing w:before="120" w:after="0" w:line="240" w:lineRule="auto"/>
        <w:rPr>
          <w:rFonts w:eastAsia="Arial" w:cs="Arial"/>
          <w:sz w:val="22"/>
          <w:szCs w:val="22"/>
          <w:highlight w:val="yellow"/>
        </w:rPr>
        <w:sectPr w:rsidR="007D1C9C" w:rsidRPr="000056B7" w:rsidSect="000A5177">
          <w:headerReference w:type="default" r:id="rId23"/>
          <w:footerReference w:type="default" r:id="rId24"/>
          <w:headerReference w:type="first" r:id="rId25"/>
          <w:footerReference w:type="first" r:id="rId26"/>
          <w:pgSz w:w="11907" w:h="16840" w:code="9"/>
          <w:pgMar w:top="1701" w:right="1134" w:bottom="1531" w:left="1701" w:header="454" w:footer="397" w:gutter="0"/>
          <w:cols w:space="708"/>
          <w:titlePg/>
          <w:docGrid w:linePitch="360"/>
        </w:sectPr>
      </w:pPr>
    </w:p>
    <w:p w14:paraId="781816EF" w14:textId="1B2A30C8" w:rsidR="006B5A0B" w:rsidRPr="0065694B" w:rsidRDefault="1589F5D7" w:rsidP="00CA1759">
      <w:pPr>
        <w:pStyle w:val="Ttulo1"/>
        <w:ind w:left="284" w:hanging="284"/>
      </w:pPr>
      <w:bookmarkStart w:id="430" w:name="_Toc191641901"/>
      <w:r w:rsidRPr="0065694B">
        <w:t>Evolução da Rede de Telecomunicações</w:t>
      </w:r>
      <w:bookmarkEnd w:id="430"/>
    </w:p>
    <w:p w14:paraId="48A4B554" w14:textId="263B7687" w:rsidR="004532CE" w:rsidRPr="0065694B" w:rsidRDefault="001B6AAA" w:rsidP="00A04613">
      <w:pPr>
        <w:pStyle w:val="Ttulo2"/>
        <w:spacing w:before="240" w:after="240" w:line="276" w:lineRule="auto"/>
        <w:ind w:left="567" w:hanging="567"/>
      </w:pPr>
      <w:bookmarkStart w:id="431" w:name="_Toc191641902"/>
      <w:r w:rsidRPr="0065694B">
        <w:t>Rede Terrestre</w:t>
      </w:r>
      <w:bookmarkEnd w:id="431"/>
    </w:p>
    <w:p w14:paraId="734EE79F" w14:textId="74BE08CB" w:rsidR="00CE7C94" w:rsidRPr="0065694B" w:rsidRDefault="00CE7C94" w:rsidP="00CE7C94">
      <w:pPr>
        <w:spacing w:before="120" w:line="240" w:lineRule="auto"/>
        <w:rPr>
          <w:sz w:val="22"/>
        </w:rPr>
      </w:pPr>
      <w:r w:rsidRPr="0065694B">
        <w:rPr>
          <w:sz w:val="22"/>
        </w:rPr>
        <w:t>A Rede Terrestre da Telebras cobre todo o Brasil, sustentada por um backbone nacional composto por 30.115 km de fibras ópticas. Essa infraestrutura essencial para a conectividade do país atravessa diversas regiões, sendo predominantemente baseada em cabos OPGW (Optical Ground Wire) instalados ao longo de linhas de transmissão de energia elétrica. Além disso, a rede se expande por gasodutos e rodovias, tanto estaduais quanto federais.</w:t>
      </w:r>
    </w:p>
    <w:p w14:paraId="3518B72C" w14:textId="77777777" w:rsidR="00CE7C94" w:rsidRPr="0065694B" w:rsidRDefault="00CE7C94" w:rsidP="00CE7C94">
      <w:pPr>
        <w:spacing w:before="120" w:line="240" w:lineRule="auto"/>
        <w:rPr>
          <w:sz w:val="22"/>
        </w:rPr>
      </w:pPr>
      <w:r w:rsidRPr="0065694B">
        <w:rPr>
          <w:sz w:val="22"/>
        </w:rPr>
        <w:t>A composição detalhada dessa rede é a seguinte:</w:t>
      </w:r>
    </w:p>
    <w:p w14:paraId="1037E8EE" w14:textId="77777777" w:rsidR="00CE7C94" w:rsidRPr="0065694B" w:rsidRDefault="00CE7C94" w:rsidP="00CE7C94">
      <w:pPr>
        <w:numPr>
          <w:ilvl w:val="0"/>
          <w:numId w:val="62"/>
        </w:numPr>
        <w:spacing w:before="120" w:line="240" w:lineRule="auto"/>
        <w:rPr>
          <w:sz w:val="22"/>
        </w:rPr>
      </w:pPr>
      <w:r w:rsidRPr="0065694B">
        <w:rPr>
          <w:sz w:val="22"/>
        </w:rPr>
        <w:t>2.433,5 km de fibras são de propriedade direta da Telebras;</w:t>
      </w:r>
    </w:p>
    <w:p w14:paraId="4BEFB30C" w14:textId="77777777" w:rsidR="00CE7C94" w:rsidRPr="0065694B" w:rsidRDefault="00CE7C94" w:rsidP="00CE7C94">
      <w:pPr>
        <w:numPr>
          <w:ilvl w:val="0"/>
          <w:numId w:val="62"/>
        </w:numPr>
        <w:spacing w:before="120" w:line="240" w:lineRule="auto"/>
        <w:rPr>
          <w:sz w:val="22"/>
        </w:rPr>
      </w:pPr>
      <w:r w:rsidRPr="0065694B">
        <w:rPr>
          <w:sz w:val="22"/>
        </w:rPr>
        <w:t>17.623,7 km estão instalados em infraestrutura da Eletrobras;</w:t>
      </w:r>
    </w:p>
    <w:p w14:paraId="45B4C33A" w14:textId="77777777" w:rsidR="00CE7C94" w:rsidRPr="0065694B" w:rsidRDefault="00CE7C94" w:rsidP="00CE7C94">
      <w:pPr>
        <w:numPr>
          <w:ilvl w:val="0"/>
          <w:numId w:val="62"/>
        </w:numPr>
        <w:spacing w:before="120" w:line="240" w:lineRule="auto"/>
        <w:rPr>
          <w:sz w:val="22"/>
        </w:rPr>
      </w:pPr>
      <w:r w:rsidRPr="0065694B">
        <w:rPr>
          <w:sz w:val="22"/>
        </w:rPr>
        <w:t>2.229,5 km utilizam a infraestrutura da Petrobras;</w:t>
      </w:r>
    </w:p>
    <w:p w14:paraId="42B2692D" w14:textId="77777777" w:rsidR="00CE7C94" w:rsidRPr="0065694B" w:rsidRDefault="00CE7C94" w:rsidP="00CE7C94">
      <w:pPr>
        <w:numPr>
          <w:ilvl w:val="0"/>
          <w:numId w:val="62"/>
        </w:numPr>
        <w:spacing w:before="120" w:line="240" w:lineRule="auto"/>
        <w:rPr>
          <w:sz w:val="22"/>
        </w:rPr>
      </w:pPr>
      <w:r w:rsidRPr="0065694B">
        <w:rPr>
          <w:sz w:val="22"/>
        </w:rPr>
        <w:t>1235,0 km percorrem cabos subfluviais;</w:t>
      </w:r>
    </w:p>
    <w:p w14:paraId="5179CCC5" w14:textId="712D76B5" w:rsidR="00CE7C94" w:rsidRPr="0065694B" w:rsidRDefault="00CE7C94" w:rsidP="00CE7C94">
      <w:pPr>
        <w:numPr>
          <w:ilvl w:val="0"/>
          <w:numId w:val="62"/>
        </w:numPr>
        <w:spacing w:before="120" w:line="240" w:lineRule="auto"/>
        <w:rPr>
          <w:sz w:val="22"/>
        </w:rPr>
      </w:pPr>
      <w:r w:rsidRPr="0065694B">
        <w:rPr>
          <w:sz w:val="22"/>
        </w:rPr>
        <w:t xml:space="preserve">6.593,5 km são provenientes de parcerias ou acordos </w:t>
      </w:r>
      <w:r w:rsidR="00EE4219">
        <w:rPr>
          <w:sz w:val="22"/>
        </w:rPr>
        <w:t>com operadoras de telecomunicação</w:t>
      </w:r>
      <w:r w:rsidRPr="0065694B">
        <w:rPr>
          <w:sz w:val="22"/>
        </w:rPr>
        <w:t>.</w:t>
      </w:r>
    </w:p>
    <w:p w14:paraId="48B19136" w14:textId="77777777" w:rsidR="00CE7C94" w:rsidRPr="0065694B" w:rsidRDefault="00CE7C94" w:rsidP="00CE7C94">
      <w:pPr>
        <w:spacing w:before="120" w:line="240" w:lineRule="auto"/>
        <w:rPr>
          <w:sz w:val="22"/>
        </w:rPr>
      </w:pPr>
      <w:r w:rsidRPr="0065694B">
        <w:rPr>
          <w:sz w:val="22"/>
        </w:rPr>
        <w:t>A incorporação de 586 km de novos trechos de fibra óptica encontra-se em fase de detalhamento, com a perspectiva de utilização de novos cabos subfluviais para expandir ainda mais a cobertura da Rede Terrestre da Telebras.</w:t>
      </w:r>
    </w:p>
    <w:p w14:paraId="5F1C90D1" w14:textId="77777777" w:rsidR="00CE7C94" w:rsidRPr="0065694B" w:rsidRDefault="00CE7C94" w:rsidP="00CE7C94">
      <w:pPr>
        <w:spacing w:before="120" w:line="240" w:lineRule="auto"/>
        <w:rPr>
          <w:sz w:val="22"/>
        </w:rPr>
      </w:pPr>
      <w:r w:rsidRPr="0065694B">
        <w:rPr>
          <w:sz w:val="22"/>
        </w:rPr>
        <w:t xml:space="preserve">É importante destacar que os números apresentados se referem exclusivamente à </w:t>
      </w:r>
      <w:r w:rsidRPr="0065694B">
        <w:rPr>
          <w:bCs/>
          <w:sz w:val="22"/>
        </w:rPr>
        <w:t xml:space="preserve">infraestrutura de </w:t>
      </w:r>
      <w:r w:rsidRPr="00C00EF0">
        <w:rPr>
          <w:bCs/>
          <w:i/>
          <w:sz w:val="22"/>
        </w:rPr>
        <w:t>backbone</w:t>
      </w:r>
      <w:r w:rsidRPr="0065694B">
        <w:rPr>
          <w:sz w:val="22"/>
        </w:rPr>
        <w:t xml:space="preserve"> e </w:t>
      </w:r>
      <w:r w:rsidRPr="0065694B">
        <w:rPr>
          <w:bCs/>
          <w:sz w:val="22"/>
        </w:rPr>
        <w:t>não incluem as conexões de última milha</w:t>
      </w:r>
      <w:r w:rsidRPr="0065694B">
        <w:rPr>
          <w:sz w:val="22"/>
        </w:rPr>
        <w:t xml:space="preserve">, as quais são fornecidas por </w:t>
      </w:r>
      <w:r w:rsidRPr="0065694B">
        <w:rPr>
          <w:bCs/>
          <w:sz w:val="22"/>
        </w:rPr>
        <w:t>empresas parceiras</w:t>
      </w:r>
      <w:r w:rsidRPr="0065694B">
        <w:rPr>
          <w:sz w:val="22"/>
        </w:rPr>
        <w:t xml:space="preserve"> nas localidades atendidas pela </w:t>
      </w:r>
      <w:r w:rsidRPr="0065694B">
        <w:rPr>
          <w:bCs/>
          <w:sz w:val="22"/>
        </w:rPr>
        <w:t>Telebras</w:t>
      </w:r>
      <w:r w:rsidRPr="0065694B">
        <w:rPr>
          <w:sz w:val="22"/>
        </w:rPr>
        <w:t>, onde não há rede metropolitana própria.</w:t>
      </w:r>
    </w:p>
    <w:p w14:paraId="3C0E20FA" w14:textId="782FDF3C" w:rsidR="007F26B0" w:rsidRPr="0065694B" w:rsidRDefault="00CE7C94">
      <w:pPr>
        <w:spacing w:before="120" w:line="240" w:lineRule="auto"/>
        <w:rPr>
          <w:rFonts w:cs="Arial"/>
          <w:noProof/>
          <w:lang w:eastAsia="pt-BR"/>
        </w:rPr>
      </w:pPr>
      <w:r w:rsidRPr="0065694B">
        <w:rPr>
          <w:sz w:val="22"/>
        </w:rPr>
        <w:t xml:space="preserve">O mapa a seguir destaca, </w:t>
      </w:r>
      <w:r w:rsidRPr="00EE4219">
        <w:rPr>
          <w:sz w:val="22"/>
        </w:rPr>
        <w:t xml:space="preserve">em </w:t>
      </w:r>
      <w:r w:rsidR="00EE4219">
        <w:rPr>
          <w:bCs/>
          <w:sz w:val="22"/>
        </w:rPr>
        <w:t>laranja</w:t>
      </w:r>
      <w:r w:rsidRPr="00EE4219">
        <w:rPr>
          <w:sz w:val="22"/>
        </w:rPr>
        <w:t xml:space="preserve">, a </w:t>
      </w:r>
      <w:r w:rsidRPr="00C00EF0">
        <w:rPr>
          <w:bCs/>
          <w:sz w:val="22"/>
        </w:rPr>
        <w:t>abrangência da Rede Terrestre da Telebras</w:t>
      </w:r>
      <w:r w:rsidRPr="00EE4219">
        <w:rPr>
          <w:sz w:val="22"/>
        </w:rPr>
        <w:t>,</w:t>
      </w:r>
      <w:r w:rsidRPr="0065694B">
        <w:rPr>
          <w:sz w:val="22"/>
        </w:rPr>
        <w:t xml:space="preserve"> evidenciando sua capilaridade e presença estratégica no território nacional.</w:t>
      </w:r>
    </w:p>
    <w:p w14:paraId="60186502" w14:textId="7912AC14" w:rsidR="001004E8" w:rsidRPr="0065694B" w:rsidRDefault="00CE7C94" w:rsidP="00AE3EC3">
      <w:pPr>
        <w:spacing w:before="120" w:line="240" w:lineRule="auto"/>
        <w:jc w:val="center"/>
      </w:pPr>
      <w:r w:rsidRPr="0065694B">
        <w:rPr>
          <w:noProof/>
          <w:lang w:eastAsia="pt-BR"/>
        </w:rPr>
        <w:drawing>
          <wp:inline distT="0" distB="0" distL="0" distR="0" wp14:anchorId="4CA57BAB" wp14:editId="03862046">
            <wp:extent cx="3340735" cy="32067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0735" cy="3206750"/>
                    </a:xfrm>
                    <a:prstGeom prst="rect">
                      <a:avLst/>
                    </a:prstGeom>
                    <a:noFill/>
                  </pic:spPr>
                </pic:pic>
              </a:graphicData>
            </a:graphic>
          </wp:inline>
        </w:drawing>
      </w:r>
    </w:p>
    <w:p w14:paraId="22E7DA91" w14:textId="44CA9B93" w:rsidR="001004E8" w:rsidRPr="0065694B" w:rsidRDefault="001004E8" w:rsidP="001004E8">
      <w:pPr>
        <w:pStyle w:val="Legenda"/>
        <w:spacing w:before="0"/>
        <w:rPr>
          <w:rFonts w:cs="Arial"/>
        </w:rPr>
      </w:pPr>
      <w:bookmarkStart w:id="432" w:name="_Toc191643404"/>
      <w:r w:rsidRPr="0065694B">
        <w:t>Figura 7</w:t>
      </w:r>
      <w:r w:rsidRPr="0065694B">
        <w:noBreakHyphen/>
      </w:r>
      <w:fldSimple w:instr=" SEQ Figura \* ARABIC \s 1 ">
        <w:r w:rsidR="009A3F6E">
          <w:rPr>
            <w:noProof/>
          </w:rPr>
          <w:t>1</w:t>
        </w:r>
      </w:fldSimple>
      <w:r w:rsidRPr="0065694B">
        <w:t xml:space="preserve"> Rede Nacional</w:t>
      </w:r>
      <w:bookmarkEnd w:id="432"/>
    </w:p>
    <w:p w14:paraId="154E084C" w14:textId="1B46583C" w:rsidR="00947CC3" w:rsidRPr="0065694B" w:rsidRDefault="00947CC3" w:rsidP="00947CC3">
      <w:pPr>
        <w:spacing w:before="120" w:line="240" w:lineRule="auto"/>
        <w:rPr>
          <w:rFonts w:eastAsia="Arial"/>
          <w:sz w:val="22"/>
        </w:rPr>
      </w:pPr>
    </w:p>
    <w:p w14:paraId="227E67BE" w14:textId="5C608086" w:rsidR="00CE7C94" w:rsidRPr="00CE7C94" w:rsidRDefault="00CE7C94" w:rsidP="00CE7C94">
      <w:pPr>
        <w:spacing w:before="120" w:line="240" w:lineRule="auto"/>
        <w:rPr>
          <w:rFonts w:eastAsia="Arial"/>
          <w:sz w:val="22"/>
        </w:rPr>
      </w:pPr>
      <w:r w:rsidRPr="00CE7C94">
        <w:rPr>
          <w:rFonts w:eastAsia="Arial"/>
          <w:sz w:val="22"/>
        </w:rPr>
        <w:t>Em 2024, a Telebras avançou significativamente nos projetos e na operação de suas redes, com o objetivo de aprimorar e expandir sua infraestrutura de telecomunicações em todo o território nacional.</w:t>
      </w:r>
    </w:p>
    <w:p w14:paraId="665EA955" w14:textId="77777777" w:rsidR="00CE7C94" w:rsidRPr="00CE7C94" w:rsidRDefault="00CE7C94" w:rsidP="00CE7C94">
      <w:pPr>
        <w:spacing w:before="120" w:line="240" w:lineRule="auto"/>
        <w:rPr>
          <w:rFonts w:eastAsia="Arial"/>
          <w:sz w:val="22"/>
        </w:rPr>
      </w:pPr>
      <w:r w:rsidRPr="00CE7C94">
        <w:rPr>
          <w:rFonts w:eastAsia="Arial"/>
          <w:sz w:val="22"/>
        </w:rPr>
        <w:t>Dentre as principais iniciativas, destacam-se:</w:t>
      </w:r>
    </w:p>
    <w:p w14:paraId="5892FC64" w14:textId="77777777" w:rsidR="00CE7C94" w:rsidRPr="00CE7C94" w:rsidRDefault="00CE7C94" w:rsidP="00CE7C94">
      <w:pPr>
        <w:numPr>
          <w:ilvl w:val="0"/>
          <w:numId w:val="64"/>
        </w:numPr>
        <w:spacing w:before="120" w:line="240" w:lineRule="auto"/>
        <w:rPr>
          <w:rFonts w:eastAsia="Arial"/>
          <w:b/>
          <w:sz w:val="22"/>
        </w:rPr>
      </w:pPr>
      <w:r w:rsidRPr="00CE7C94">
        <w:rPr>
          <w:rFonts w:eastAsia="Arial"/>
          <w:b/>
          <w:sz w:val="22"/>
        </w:rPr>
        <w:t>Desenvolvimento Técnico</w:t>
      </w:r>
    </w:p>
    <w:p w14:paraId="19E9725B" w14:textId="77777777" w:rsidR="00CE7C94" w:rsidRPr="00CE7C94" w:rsidRDefault="00CE7C94" w:rsidP="00CE7C94">
      <w:pPr>
        <w:numPr>
          <w:ilvl w:val="0"/>
          <w:numId w:val="63"/>
        </w:numPr>
        <w:spacing w:before="120" w:line="240" w:lineRule="auto"/>
        <w:ind w:left="1134"/>
        <w:rPr>
          <w:rFonts w:eastAsia="Arial"/>
          <w:sz w:val="22"/>
        </w:rPr>
      </w:pPr>
      <w:r w:rsidRPr="00CE7C94">
        <w:rPr>
          <w:rFonts w:eastAsia="Arial"/>
          <w:sz w:val="22"/>
        </w:rPr>
        <w:t xml:space="preserve">Implementação de </w:t>
      </w:r>
      <w:r w:rsidRPr="0065694B">
        <w:rPr>
          <w:rFonts w:eastAsia="Arial"/>
          <w:sz w:val="22"/>
        </w:rPr>
        <w:t>Notas Técnicas de Planejamento</w:t>
      </w:r>
      <w:r w:rsidRPr="00CE7C94">
        <w:rPr>
          <w:rFonts w:eastAsia="Arial"/>
          <w:sz w:val="22"/>
        </w:rPr>
        <w:t xml:space="preserve"> para atender clientes com </w:t>
      </w:r>
      <w:r w:rsidRPr="0065694B">
        <w:rPr>
          <w:rFonts w:eastAsia="Arial"/>
          <w:sz w:val="22"/>
        </w:rPr>
        <w:t>circuitos de alta capacidade</w:t>
      </w:r>
      <w:r w:rsidRPr="00CE7C94">
        <w:rPr>
          <w:rFonts w:eastAsia="Arial"/>
          <w:sz w:val="22"/>
        </w:rPr>
        <w:t>;</w:t>
      </w:r>
    </w:p>
    <w:p w14:paraId="2BD4C15C" w14:textId="77777777" w:rsidR="00CE7C94" w:rsidRPr="00CE7C94" w:rsidRDefault="00CE7C94" w:rsidP="0065694B">
      <w:pPr>
        <w:numPr>
          <w:ilvl w:val="0"/>
          <w:numId w:val="63"/>
        </w:numPr>
        <w:spacing w:before="120" w:line="240" w:lineRule="auto"/>
        <w:ind w:left="1134"/>
        <w:rPr>
          <w:rFonts w:eastAsia="Arial"/>
          <w:sz w:val="22"/>
        </w:rPr>
      </w:pPr>
      <w:r w:rsidRPr="00CE7C94">
        <w:rPr>
          <w:rFonts w:eastAsia="Arial"/>
          <w:sz w:val="22"/>
        </w:rPr>
        <w:t xml:space="preserve">Expansão contínua da capacidade do </w:t>
      </w:r>
      <w:r w:rsidRPr="0065694B">
        <w:rPr>
          <w:rFonts w:eastAsia="Arial"/>
          <w:sz w:val="22"/>
        </w:rPr>
        <w:t>backbone IP/MPLS/DWDM</w:t>
      </w:r>
      <w:r w:rsidRPr="00CE7C94">
        <w:rPr>
          <w:rFonts w:eastAsia="Arial"/>
          <w:sz w:val="22"/>
        </w:rPr>
        <w:t>; e</w:t>
      </w:r>
    </w:p>
    <w:p w14:paraId="1C0AB805" w14:textId="77777777" w:rsidR="00CE7C94" w:rsidRPr="00CE7C94" w:rsidRDefault="00CE7C94" w:rsidP="0065694B">
      <w:pPr>
        <w:numPr>
          <w:ilvl w:val="0"/>
          <w:numId w:val="63"/>
        </w:numPr>
        <w:spacing w:before="120" w:line="240" w:lineRule="auto"/>
        <w:ind w:left="1134"/>
        <w:rPr>
          <w:rFonts w:eastAsia="Arial"/>
          <w:sz w:val="22"/>
        </w:rPr>
      </w:pPr>
      <w:r w:rsidRPr="00CE7C94">
        <w:rPr>
          <w:rFonts w:eastAsia="Arial"/>
          <w:sz w:val="22"/>
        </w:rPr>
        <w:t xml:space="preserve">Melhorias e adequações da infraestrutura para </w:t>
      </w:r>
      <w:r w:rsidRPr="0065694B">
        <w:rPr>
          <w:rFonts w:eastAsia="Arial"/>
          <w:sz w:val="22"/>
        </w:rPr>
        <w:t>redução de custos operacionais</w:t>
      </w:r>
      <w:r w:rsidRPr="00CE7C94">
        <w:rPr>
          <w:rFonts w:eastAsia="Arial"/>
          <w:sz w:val="22"/>
        </w:rPr>
        <w:t>.</w:t>
      </w:r>
    </w:p>
    <w:p w14:paraId="62426A3C" w14:textId="77777777" w:rsidR="00CE7C94" w:rsidRPr="00CE7C94" w:rsidRDefault="00CE7C94" w:rsidP="00CE7C94">
      <w:pPr>
        <w:numPr>
          <w:ilvl w:val="0"/>
          <w:numId w:val="64"/>
        </w:numPr>
        <w:spacing w:before="120" w:line="240" w:lineRule="auto"/>
        <w:rPr>
          <w:rFonts w:eastAsia="Arial"/>
          <w:b/>
          <w:sz w:val="22"/>
        </w:rPr>
      </w:pPr>
      <w:r w:rsidRPr="00CE7C94">
        <w:rPr>
          <w:rFonts w:eastAsia="Arial"/>
          <w:b/>
          <w:sz w:val="22"/>
        </w:rPr>
        <w:t>Parceria com o Exército Brasileiro</w:t>
      </w:r>
    </w:p>
    <w:p w14:paraId="28F27882" w14:textId="77777777" w:rsidR="00CE7C94" w:rsidRPr="00CE7C94" w:rsidRDefault="00CE7C94" w:rsidP="0065694B">
      <w:pPr>
        <w:numPr>
          <w:ilvl w:val="0"/>
          <w:numId w:val="63"/>
        </w:numPr>
        <w:spacing w:before="120" w:line="240" w:lineRule="auto"/>
        <w:ind w:left="1134"/>
        <w:rPr>
          <w:rFonts w:eastAsia="Arial"/>
          <w:sz w:val="22"/>
        </w:rPr>
      </w:pPr>
      <w:r w:rsidRPr="00CE7C94">
        <w:rPr>
          <w:rFonts w:eastAsia="Arial"/>
          <w:sz w:val="22"/>
        </w:rPr>
        <w:t xml:space="preserve">Avanços na execução do </w:t>
      </w:r>
      <w:r w:rsidRPr="0065694B">
        <w:rPr>
          <w:rFonts w:eastAsia="Arial"/>
          <w:sz w:val="22"/>
        </w:rPr>
        <w:t>Plano de Trabalho do Termo de Cooperação Técnica</w:t>
      </w:r>
      <w:r w:rsidRPr="00CE7C94">
        <w:rPr>
          <w:rFonts w:eastAsia="Arial"/>
          <w:sz w:val="22"/>
        </w:rPr>
        <w:t xml:space="preserve"> com o Exército, visando a implantação de </w:t>
      </w:r>
      <w:r w:rsidRPr="0065694B">
        <w:rPr>
          <w:rFonts w:eastAsia="Arial"/>
          <w:sz w:val="22"/>
        </w:rPr>
        <w:t>infraestruturas estratégicas para a Defesa Nacional</w:t>
      </w:r>
      <w:r w:rsidRPr="00CE7C94">
        <w:rPr>
          <w:rFonts w:eastAsia="Arial"/>
          <w:sz w:val="22"/>
        </w:rPr>
        <w:t xml:space="preserve"> e a promoção da </w:t>
      </w:r>
      <w:r w:rsidRPr="0065694B">
        <w:rPr>
          <w:rFonts w:eastAsia="Arial"/>
          <w:sz w:val="22"/>
        </w:rPr>
        <w:t>inclusão digital na Amazônia Ocidental</w:t>
      </w:r>
      <w:r w:rsidRPr="00CE7C94">
        <w:rPr>
          <w:rFonts w:eastAsia="Arial"/>
          <w:sz w:val="22"/>
        </w:rPr>
        <w:t>; e</w:t>
      </w:r>
    </w:p>
    <w:p w14:paraId="7905DE9A" w14:textId="77777777" w:rsidR="00CE7C94" w:rsidRPr="00CE7C94" w:rsidRDefault="00CE7C94" w:rsidP="0065694B">
      <w:pPr>
        <w:numPr>
          <w:ilvl w:val="0"/>
          <w:numId w:val="63"/>
        </w:numPr>
        <w:spacing w:before="120" w:line="240" w:lineRule="auto"/>
        <w:ind w:left="1134"/>
        <w:rPr>
          <w:rFonts w:eastAsia="Arial"/>
          <w:sz w:val="22"/>
        </w:rPr>
      </w:pPr>
      <w:r w:rsidRPr="00CE7C94">
        <w:rPr>
          <w:rFonts w:eastAsia="Arial"/>
          <w:sz w:val="22"/>
        </w:rPr>
        <w:t xml:space="preserve">Realização de </w:t>
      </w:r>
      <w:r w:rsidRPr="0065694B">
        <w:rPr>
          <w:rFonts w:eastAsia="Arial"/>
          <w:sz w:val="22"/>
        </w:rPr>
        <w:t>vistorias técnicas no Projeto Amazônia Conectada</w:t>
      </w:r>
      <w:r w:rsidRPr="00CE7C94">
        <w:rPr>
          <w:rFonts w:eastAsia="Arial"/>
          <w:sz w:val="22"/>
        </w:rPr>
        <w:t xml:space="preserve">, preparando a rede para ativações de capacidade em </w:t>
      </w:r>
      <w:r w:rsidRPr="0065694B">
        <w:rPr>
          <w:rFonts w:eastAsia="Arial"/>
          <w:sz w:val="22"/>
        </w:rPr>
        <w:t>nx100Gbps</w:t>
      </w:r>
      <w:r w:rsidRPr="00CE7C94">
        <w:rPr>
          <w:rFonts w:eastAsia="Arial"/>
          <w:sz w:val="22"/>
        </w:rPr>
        <w:t xml:space="preserve"> e integrações na gestão de rede.</w:t>
      </w:r>
    </w:p>
    <w:p w14:paraId="7139AFCE" w14:textId="77777777" w:rsidR="00CE7C94" w:rsidRPr="00CE7C94" w:rsidRDefault="00CE7C94" w:rsidP="00CE7C94">
      <w:pPr>
        <w:numPr>
          <w:ilvl w:val="0"/>
          <w:numId w:val="64"/>
        </w:numPr>
        <w:spacing w:before="120" w:line="240" w:lineRule="auto"/>
        <w:rPr>
          <w:rFonts w:eastAsia="Arial"/>
          <w:b/>
          <w:sz w:val="22"/>
        </w:rPr>
      </w:pPr>
      <w:r w:rsidRPr="00CE7C94">
        <w:rPr>
          <w:rFonts w:eastAsia="Arial"/>
          <w:b/>
          <w:sz w:val="22"/>
        </w:rPr>
        <w:t>Atendimento ao DNIT</w:t>
      </w:r>
    </w:p>
    <w:p w14:paraId="4D1A6766" w14:textId="77777777" w:rsidR="00CE7C94" w:rsidRPr="000056B7" w:rsidRDefault="00CE7C94" w:rsidP="0065694B">
      <w:pPr>
        <w:numPr>
          <w:ilvl w:val="0"/>
          <w:numId w:val="63"/>
        </w:numPr>
        <w:spacing w:before="120" w:line="240" w:lineRule="auto"/>
        <w:ind w:left="1134"/>
        <w:rPr>
          <w:rFonts w:eastAsia="Arial"/>
          <w:sz w:val="22"/>
        </w:rPr>
      </w:pPr>
      <w:r w:rsidRPr="000056B7">
        <w:rPr>
          <w:rFonts w:eastAsia="Arial"/>
          <w:sz w:val="22"/>
        </w:rPr>
        <w:t xml:space="preserve">Conclusão da implantação de </w:t>
      </w:r>
      <w:r w:rsidRPr="00C00EF0">
        <w:rPr>
          <w:rFonts w:eastAsia="Arial"/>
          <w:sz w:val="22"/>
        </w:rPr>
        <w:t>128 pontos com tecnologia SD-WAN</w:t>
      </w:r>
      <w:r w:rsidRPr="000056B7">
        <w:rPr>
          <w:rFonts w:eastAsia="Arial"/>
          <w:sz w:val="22"/>
        </w:rPr>
        <w:t xml:space="preserve"> para o </w:t>
      </w:r>
      <w:r w:rsidRPr="00C00EF0">
        <w:rPr>
          <w:rFonts w:eastAsia="Arial"/>
          <w:sz w:val="22"/>
        </w:rPr>
        <w:t>DNIT</w:t>
      </w:r>
      <w:r w:rsidRPr="000056B7">
        <w:rPr>
          <w:rFonts w:eastAsia="Arial"/>
          <w:sz w:val="22"/>
        </w:rPr>
        <w:t xml:space="preserve">, reforçando o compromisso da </w:t>
      </w:r>
      <w:r w:rsidRPr="00C00EF0">
        <w:rPr>
          <w:rFonts w:eastAsia="Arial"/>
          <w:sz w:val="22"/>
        </w:rPr>
        <w:t>Telebras</w:t>
      </w:r>
      <w:r w:rsidRPr="000056B7">
        <w:rPr>
          <w:rFonts w:eastAsia="Arial"/>
          <w:sz w:val="22"/>
        </w:rPr>
        <w:t xml:space="preserve"> com serviços essenciais, por meio de uma infraestrutura moderna e eficiente.</w:t>
      </w:r>
    </w:p>
    <w:p w14:paraId="08FD8DBF" w14:textId="77777777" w:rsidR="00CE7C94" w:rsidRPr="00CE7C94" w:rsidRDefault="00CE7C94" w:rsidP="00CE7C94">
      <w:pPr>
        <w:numPr>
          <w:ilvl w:val="0"/>
          <w:numId w:val="64"/>
        </w:numPr>
        <w:spacing w:before="120" w:line="240" w:lineRule="auto"/>
        <w:rPr>
          <w:rFonts w:eastAsia="Arial"/>
          <w:b/>
          <w:sz w:val="22"/>
        </w:rPr>
      </w:pPr>
      <w:r w:rsidRPr="00CE7C94">
        <w:rPr>
          <w:rFonts w:eastAsia="Arial"/>
          <w:b/>
          <w:sz w:val="22"/>
        </w:rPr>
        <w:t>Projeto 100Gbps</w:t>
      </w:r>
    </w:p>
    <w:p w14:paraId="02339C20" w14:textId="77777777" w:rsidR="00CE7C94" w:rsidRPr="00CE7C94" w:rsidRDefault="00CE7C94" w:rsidP="0065694B">
      <w:pPr>
        <w:numPr>
          <w:ilvl w:val="0"/>
          <w:numId w:val="63"/>
        </w:numPr>
        <w:spacing w:before="120" w:line="240" w:lineRule="auto"/>
        <w:ind w:left="1134"/>
        <w:rPr>
          <w:rFonts w:eastAsia="Arial"/>
          <w:sz w:val="22"/>
        </w:rPr>
      </w:pPr>
      <w:r w:rsidRPr="00CE7C94">
        <w:rPr>
          <w:rFonts w:eastAsia="Arial"/>
          <w:sz w:val="22"/>
        </w:rPr>
        <w:t xml:space="preserve">Implantação de canais de </w:t>
      </w:r>
      <w:r w:rsidRPr="0065694B">
        <w:rPr>
          <w:rFonts w:eastAsia="Arial"/>
          <w:sz w:val="22"/>
        </w:rPr>
        <w:t>100Gbps no backbone DWDM</w:t>
      </w:r>
      <w:r w:rsidRPr="00CE7C94">
        <w:rPr>
          <w:rFonts w:eastAsia="Arial"/>
          <w:sz w:val="22"/>
        </w:rPr>
        <w:t xml:space="preserve">, em parceria com a </w:t>
      </w:r>
      <w:r w:rsidRPr="0065694B">
        <w:rPr>
          <w:rFonts w:eastAsia="Arial"/>
          <w:sz w:val="22"/>
        </w:rPr>
        <w:t>RNP</w:t>
      </w:r>
      <w:r w:rsidRPr="00CE7C94">
        <w:rPr>
          <w:rFonts w:eastAsia="Arial"/>
          <w:sz w:val="22"/>
        </w:rPr>
        <w:t xml:space="preserve">, com </w:t>
      </w:r>
      <w:r w:rsidRPr="0065694B">
        <w:rPr>
          <w:rFonts w:eastAsia="Arial"/>
          <w:sz w:val="22"/>
        </w:rPr>
        <w:t>92,3% do projeto já concluído</w:t>
      </w:r>
      <w:r w:rsidRPr="00CE7C94">
        <w:rPr>
          <w:rFonts w:eastAsia="Arial"/>
          <w:sz w:val="22"/>
        </w:rPr>
        <w:t xml:space="preserve">, representando um salto na </w:t>
      </w:r>
      <w:r w:rsidRPr="0065694B">
        <w:rPr>
          <w:rFonts w:eastAsia="Arial"/>
          <w:sz w:val="22"/>
        </w:rPr>
        <w:t>capacidade e qualidade da Rede Terrestre Telebras</w:t>
      </w:r>
      <w:r w:rsidRPr="00CE7C94">
        <w:rPr>
          <w:rFonts w:eastAsia="Arial"/>
          <w:sz w:val="22"/>
        </w:rPr>
        <w:t>.</w:t>
      </w:r>
    </w:p>
    <w:p w14:paraId="10F932E5" w14:textId="77777777" w:rsidR="00CE7C94" w:rsidRPr="00CE7C94" w:rsidRDefault="00CE7C94" w:rsidP="00CE7C94">
      <w:pPr>
        <w:numPr>
          <w:ilvl w:val="0"/>
          <w:numId w:val="64"/>
        </w:numPr>
        <w:spacing w:before="120" w:line="240" w:lineRule="auto"/>
        <w:rPr>
          <w:rFonts w:eastAsia="Arial"/>
          <w:b/>
          <w:sz w:val="22"/>
        </w:rPr>
      </w:pPr>
      <w:r w:rsidRPr="00CE7C94">
        <w:rPr>
          <w:rFonts w:eastAsia="Arial"/>
          <w:b/>
          <w:sz w:val="22"/>
        </w:rPr>
        <w:t>Infraestrutura e Expansão da Rede</w:t>
      </w:r>
    </w:p>
    <w:p w14:paraId="432248AB" w14:textId="77777777" w:rsidR="00CE7C94" w:rsidRPr="00CE7C94" w:rsidRDefault="00CE7C94" w:rsidP="0065694B">
      <w:pPr>
        <w:numPr>
          <w:ilvl w:val="0"/>
          <w:numId w:val="63"/>
        </w:numPr>
        <w:spacing w:before="120" w:line="240" w:lineRule="auto"/>
        <w:ind w:left="1134"/>
        <w:rPr>
          <w:rFonts w:eastAsia="Arial"/>
          <w:sz w:val="22"/>
        </w:rPr>
      </w:pPr>
      <w:r w:rsidRPr="00CE7C94">
        <w:rPr>
          <w:rFonts w:eastAsia="Arial"/>
          <w:sz w:val="22"/>
        </w:rPr>
        <w:t xml:space="preserve">Instalação de </w:t>
      </w:r>
      <w:r w:rsidRPr="0065694B">
        <w:rPr>
          <w:rFonts w:eastAsia="Arial"/>
          <w:sz w:val="22"/>
        </w:rPr>
        <w:t>novas infraestruturas</w:t>
      </w:r>
      <w:r w:rsidRPr="00CE7C94">
        <w:rPr>
          <w:rFonts w:eastAsia="Arial"/>
          <w:sz w:val="22"/>
        </w:rPr>
        <w:t xml:space="preserve"> em estações de telecomunicações da </w:t>
      </w:r>
      <w:r w:rsidRPr="0065694B">
        <w:rPr>
          <w:rFonts w:eastAsia="Arial"/>
          <w:sz w:val="22"/>
        </w:rPr>
        <w:t>Rede Terrestre Telebras</w:t>
      </w:r>
      <w:r w:rsidRPr="00CE7C94">
        <w:rPr>
          <w:rFonts w:eastAsia="Arial"/>
          <w:sz w:val="22"/>
        </w:rPr>
        <w:t>;</w:t>
      </w:r>
    </w:p>
    <w:p w14:paraId="154AB1EC" w14:textId="77777777" w:rsidR="00CE7C94" w:rsidRPr="00CE7C94" w:rsidRDefault="00CE7C94" w:rsidP="0065694B">
      <w:pPr>
        <w:numPr>
          <w:ilvl w:val="0"/>
          <w:numId w:val="63"/>
        </w:numPr>
        <w:spacing w:before="120" w:line="240" w:lineRule="auto"/>
        <w:ind w:left="1134"/>
        <w:rPr>
          <w:rFonts w:eastAsia="Arial"/>
          <w:sz w:val="22"/>
        </w:rPr>
      </w:pPr>
      <w:r w:rsidRPr="00CE7C94">
        <w:rPr>
          <w:rFonts w:eastAsia="Arial"/>
          <w:sz w:val="22"/>
        </w:rPr>
        <w:t xml:space="preserve">Implementação física de </w:t>
      </w:r>
      <w:r w:rsidRPr="0065694B">
        <w:rPr>
          <w:rFonts w:eastAsia="Arial"/>
          <w:sz w:val="22"/>
        </w:rPr>
        <w:t>roteadores no backbone IP/MPLS</w:t>
      </w:r>
      <w:r w:rsidRPr="00CE7C94">
        <w:rPr>
          <w:rFonts w:eastAsia="Arial"/>
          <w:sz w:val="22"/>
        </w:rPr>
        <w:t>, garantindo suporte às demandas atuais e futuras.</w:t>
      </w:r>
    </w:p>
    <w:p w14:paraId="6D98707D" w14:textId="77777777" w:rsidR="00CE7C94" w:rsidRPr="00CE7C94" w:rsidRDefault="00CE7C94" w:rsidP="00CE7C94">
      <w:pPr>
        <w:numPr>
          <w:ilvl w:val="0"/>
          <w:numId w:val="64"/>
        </w:numPr>
        <w:spacing w:before="120" w:line="240" w:lineRule="auto"/>
        <w:rPr>
          <w:rFonts w:eastAsia="Arial"/>
          <w:b/>
          <w:sz w:val="22"/>
        </w:rPr>
      </w:pPr>
      <w:r w:rsidRPr="00CE7C94">
        <w:rPr>
          <w:rFonts w:eastAsia="Arial"/>
          <w:b/>
          <w:sz w:val="22"/>
        </w:rPr>
        <w:t>Cobertura Nacional</w:t>
      </w:r>
    </w:p>
    <w:p w14:paraId="0C206FBD" w14:textId="77777777" w:rsidR="00CE7C94" w:rsidRPr="00CE7C94" w:rsidRDefault="00CE7C94" w:rsidP="0065694B">
      <w:pPr>
        <w:numPr>
          <w:ilvl w:val="0"/>
          <w:numId w:val="63"/>
        </w:numPr>
        <w:spacing w:before="120" w:line="240" w:lineRule="auto"/>
        <w:ind w:left="1134"/>
        <w:rPr>
          <w:rFonts w:eastAsia="Arial"/>
          <w:sz w:val="22"/>
        </w:rPr>
      </w:pPr>
      <w:r w:rsidRPr="00CE7C94">
        <w:rPr>
          <w:rFonts w:eastAsia="Arial"/>
          <w:sz w:val="22"/>
        </w:rPr>
        <w:t xml:space="preserve">Ao final de </w:t>
      </w:r>
      <w:r w:rsidRPr="0065694B">
        <w:rPr>
          <w:rFonts w:eastAsia="Arial"/>
          <w:sz w:val="22"/>
        </w:rPr>
        <w:t>2024</w:t>
      </w:r>
      <w:r w:rsidRPr="00CE7C94">
        <w:rPr>
          <w:rFonts w:eastAsia="Arial"/>
          <w:sz w:val="22"/>
        </w:rPr>
        <w:t xml:space="preserve">, a </w:t>
      </w:r>
      <w:r w:rsidRPr="0065694B">
        <w:rPr>
          <w:rFonts w:eastAsia="Arial"/>
          <w:sz w:val="22"/>
        </w:rPr>
        <w:t>Rede Terrestre Telebras</w:t>
      </w:r>
      <w:r w:rsidRPr="00CE7C94">
        <w:rPr>
          <w:rFonts w:eastAsia="Arial"/>
          <w:sz w:val="22"/>
        </w:rPr>
        <w:t xml:space="preserve"> manteve seu potencial de cobertura, atendendo </w:t>
      </w:r>
      <w:r w:rsidRPr="0065694B">
        <w:rPr>
          <w:rFonts w:eastAsia="Arial"/>
          <w:sz w:val="22"/>
        </w:rPr>
        <w:t>diretamente 499 municípios</w:t>
      </w:r>
      <w:r w:rsidRPr="00CE7C94">
        <w:rPr>
          <w:rFonts w:eastAsia="Arial"/>
          <w:sz w:val="22"/>
        </w:rPr>
        <w:t xml:space="preserve"> e </w:t>
      </w:r>
      <w:r w:rsidRPr="0065694B">
        <w:rPr>
          <w:rFonts w:eastAsia="Arial"/>
          <w:sz w:val="22"/>
        </w:rPr>
        <w:t>indiretamente 1.420 municípios</w:t>
      </w:r>
      <w:r w:rsidRPr="00CE7C94">
        <w:rPr>
          <w:rFonts w:eastAsia="Arial"/>
          <w:sz w:val="22"/>
        </w:rPr>
        <w:t>, por meio de provedores de internet parceiros.</w:t>
      </w:r>
    </w:p>
    <w:p w14:paraId="536B50BE" w14:textId="77777777" w:rsidR="00CE7C94" w:rsidRPr="00CE7C94" w:rsidRDefault="00CE7C94" w:rsidP="00CE7C94">
      <w:pPr>
        <w:spacing w:before="120" w:line="240" w:lineRule="auto"/>
        <w:rPr>
          <w:rFonts w:eastAsia="Arial"/>
          <w:sz w:val="22"/>
        </w:rPr>
      </w:pPr>
      <w:r w:rsidRPr="00CE7C94">
        <w:rPr>
          <w:rFonts w:eastAsia="Arial"/>
          <w:sz w:val="22"/>
        </w:rPr>
        <w:t xml:space="preserve">Essas iniciativas refletem o </w:t>
      </w:r>
      <w:r w:rsidRPr="00CE7C94">
        <w:rPr>
          <w:rFonts w:eastAsia="Arial"/>
          <w:bCs/>
          <w:sz w:val="22"/>
        </w:rPr>
        <w:t>compromisso contínuo da Telebras</w:t>
      </w:r>
      <w:r w:rsidRPr="00CE7C94">
        <w:rPr>
          <w:rFonts w:eastAsia="Arial"/>
          <w:sz w:val="22"/>
        </w:rPr>
        <w:t xml:space="preserve"> em fortalecer a infraestrutura de telecomunicações do Brasil, garantindo </w:t>
      </w:r>
      <w:r w:rsidRPr="00CE7C94">
        <w:rPr>
          <w:rFonts w:eastAsia="Arial"/>
          <w:bCs/>
          <w:sz w:val="22"/>
        </w:rPr>
        <w:t>comunicações seguras</w:t>
      </w:r>
      <w:r w:rsidRPr="00CE7C94">
        <w:rPr>
          <w:rFonts w:eastAsia="Arial"/>
          <w:sz w:val="22"/>
        </w:rPr>
        <w:t xml:space="preserve"> e promovendo a </w:t>
      </w:r>
      <w:r w:rsidRPr="00CE7C94">
        <w:rPr>
          <w:rFonts w:eastAsia="Arial"/>
          <w:bCs/>
          <w:sz w:val="22"/>
        </w:rPr>
        <w:t>inclusão digital</w:t>
      </w:r>
      <w:r w:rsidRPr="00CE7C94">
        <w:rPr>
          <w:rFonts w:eastAsia="Arial"/>
          <w:sz w:val="22"/>
        </w:rPr>
        <w:t xml:space="preserve"> em todo o país.</w:t>
      </w:r>
    </w:p>
    <w:p w14:paraId="0FF96FBF" w14:textId="2D8AAEBE" w:rsidR="00947CC3" w:rsidRPr="00505643" w:rsidRDefault="00947CC3" w:rsidP="00CE7C94">
      <w:pPr>
        <w:spacing w:before="120" w:line="240" w:lineRule="auto"/>
        <w:rPr>
          <w:rFonts w:eastAsia="Arial"/>
          <w:sz w:val="22"/>
          <w:highlight w:val="yellow"/>
        </w:rPr>
      </w:pPr>
    </w:p>
    <w:p w14:paraId="3241631A" w14:textId="15250CBD" w:rsidR="004532CE" w:rsidRPr="0065694B" w:rsidRDefault="00D77A54" w:rsidP="00A46BF3">
      <w:pPr>
        <w:pStyle w:val="Ttulo2"/>
        <w:spacing w:before="360" w:after="240" w:line="276" w:lineRule="auto"/>
        <w:ind w:left="567" w:hanging="567"/>
      </w:pPr>
      <w:bookmarkStart w:id="433" w:name="_Toc191641903"/>
      <w:r w:rsidRPr="0065694B">
        <w:t>Satélite Geoestacionário de Defesa e Comunicações Estratégicas</w:t>
      </w:r>
      <w:bookmarkEnd w:id="433"/>
    </w:p>
    <w:p w14:paraId="38E5A3C8" w14:textId="0EA77B23" w:rsidR="00CE7C94" w:rsidRPr="0065694B" w:rsidRDefault="00CE7C94" w:rsidP="00CE7C94">
      <w:pPr>
        <w:spacing w:before="120" w:line="240" w:lineRule="auto"/>
        <w:ind w:firstLine="6"/>
        <w:rPr>
          <w:sz w:val="22"/>
          <w:szCs w:val="22"/>
        </w:rPr>
      </w:pPr>
      <w:r w:rsidRPr="0065694B">
        <w:rPr>
          <w:sz w:val="22"/>
          <w:szCs w:val="22"/>
        </w:rPr>
        <w:t xml:space="preserve">Lançado em </w:t>
      </w:r>
      <w:r w:rsidRPr="0065694B">
        <w:rPr>
          <w:bCs/>
          <w:sz w:val="22"/>
          <w:szCs w:val="22"/>
        </w:rPr>
        <w:t>maio de 2017</w:t>
      </w:r>
      <w:r w:rsidRPr="0065694B">
        <w:rPr>
          <w:sz w:val="22"/>
          <w:szCs w:val="22"/>
        </w:rPr>
        <w:t xml:space="preserve">, o </w:t>
      </w:r>
      <w:r w:rsidRPr="0065694B">
        <w:rPr>
          <w:bCs/>
          <w:sz w:val="22"/>
          <w:szCs w:val="22"/>
        </w:rPr>
        <w:t>Satélite Geoestacionário de Defesa e Comunicações Estratégicas (SGDC)</w:t>
      </w:r>
      <w:r w:rsidRPr="0065694B">
        <w:rPr>
          <w:sz w:val="22"/>
          <w:szCs w:val="22"/>
        </w:rPr>
        <w:t xml:space="preserve"> é um elemento essencial da infraestrutura de telecomunicações do Brasil, garantindo </w:t>
      </w:r>
      <w:r w:rsidRPr="0065694B">
        <w:rPr>
          <w:bCs/>
          <w:sz w:val="22"/>
          <w:szCs w:val="22"/>
        </w:rPr>
        <w:t>cobertura nacional homogênea de internet banda larga</w:t>
      </w:r>
      <w:r w:rsidRPr="0065694B">
        <w:rPr>
          <w:sz w:val="22"/>
          <w:szCs w:val="22"/>
        </w:rPr>
        <w:t xml:space="preserve">. Além de seu papel na </w:t>
      </w:r>
      <w:r w:rsidRPr="0065694B">
        <w:rPr>
          <w:bCs/>
          <w:sz w:val="22"/>
          <w:szCs w:val="22"/>
        </w:rPr>
        <w:t>inclusão digital</w:t>
      </w:r>
      <w:r w:rsidRPr="0065694B">
        <w:rPr>
          <w:sz w:val="22"/>
          <w:szCs w:val="22"/>
        </w:rPr>
        <w:t xml:space="preserve">, o SGDC desempenha funções estratégicas para a </w:t>
      </w:r>
      <w:r w:rsidRPr="0065694B">
        <w:rPr>
          <w:bCs/>
          <w:sz w:val="22"/>
          <w:szCs w:val="22"/>
        </w:rPr>
        <w:t>defesa nacional</w:t>
      </w:r>
      <w:r w:rsidRPr="0065694B">
        <w:rPr>
          <w:sz w:val="22"/>
          <w:szCs w:val="22"/>
        </w:rPr>
        <w:t xml:space="preserve">, por meio de suas duas </w:t>
      </w:r>
      <w:r w:rsidRPr="0065694B">
        <w:rPr>
          <w:bCs/>
          <w:sz w:val="22"/>
          <w:szCs w:val="22"/>
        </w:rPr>
        <w:t>cargas úteis</w:t>
      </w:r>
      <w:r w:rsidRPr="0065694B">
        <w:rPr>
          <w:sz w:val="22"/>
          <w:szCs w:val="22"/>
        </w:rPr>
        <w:t xml:space="preserve">: uma para </w:t>
      </w:r>
      <w:r w:rsidRPr="0065694B">
        <w:rPr>
          <w:bCs/>
          <w:sz w:val="22"/>
          <w:szCs w:val="22"/>
        </w:rPr>
        <w:t>comunicações civis na banda Ka</w:t>
      </w:r>
      <w:r w:rsidRPr="0065694B">
        <w:rPr>
          <w:sz w:val="22"/>
          <w:szCs w:val="22"/>
        </w:rPr>
        <w:t xml:space="preserve"> e outra para </w:t>
      </w:r>
      <w:r w:rsidRPr="0065694B">
        <w:rPr>
          <w:bCs/>
          <w:sz w:val="22"/>
          <w:szCs w:val="22"/>
        </w:rPr>
        <w:t>operações militares na banda X</w:t>
      </w:r>
      <w:r w:rsidRPr="0065694B">
        <w:rPr>
          <w:sz w:val="22"/>
          <w:szCs w:val="22"/>
        </w:rPr>
        <w:t>.</w:t>
      </w:r>
    </w:p>
    <w:p w14:paraId="5CC8F7F6" w14:textId="77777777" w:rsidR="00CE7C94" w:rsidRPr="0065694B" w:rsidRDefault="00CE7C94" w:rsidP="00CE7C94">
      <w:pPr>
        <w:spacing w:before="120" w:line="240" w:lineRule="auto"/>
        <w:ind w:firstLine="6"/>
        <w:rPr>
          <w:sz w:val="22"/>
          <w:szCs w:val="22"/>
        </w:rPr>
      </w:pPr>
      <w:r w:rsidRPr="0065694B">
        <w:rPr>
          <w:sz w:val="22"/>
          <w:szCs w:val="22"/>
        </w:rPr>
        <w:t xml:space="preserve">Por meio do SGDC, a </w:t>
      </w:r>
      <w:r w:rsidRPr="0065694B">
        <w:rPr>
          <w:bCs/>
          <w:sz w:val="22"/>
          <w:szCs w:val="22"/>
        </w:rPr>
        <w:t>Telebras</w:t>
      </w:r>
      <w:r w:rsidRPr="0065694B">
        <w:rPr>
          <w:sz w:val="22"/>
          <w:szCs w:val="22"/>
        </w:rPr>
        <w:t xml:space="preserve"> amplia significativamente o acesso à </w:t>
      </w:r>
      <w:r w:rsidRPr="0065694B">
        <w:rPr>
          <w:bCs/>
          <w:sz w:val="22"/>
          <w:szCs w:val="22"/>
        </w:rPr>
        <w:t>internet banda larga em regiões remotas</w:t>
      </w:r>
      <w:r w:rsidRPr="0065694B">
        <w:rPr>
          <w:sz w:val="22"/>
          <w:szCs w:val="22"/>
        </w:rPr>
        <w:t xml:space="preserve">, beneficiando </w:t>
      </w:r>
      <w:r w:rsidRPr="0065694B">
        <w:rPr>
          <w:bCs/>
          <w:sz w:val="22"/>
          <w:szCs w:val="22"/>
        </w:rPr>
        <w:t>escolas, unidades de saúde, postos de fronteira e aldeias indígenas</w:t>
      </w:r>
      <w:r w:rsidRPr="0065694B">
        <w:rPr>
          <w:sz w:val="22"/>
          <w:szCs w:val="22"/>
        </w:rPr>
        <w:t xml:space="preserve">. O satélite também é fundamental para </w:t>
      </w:r>
      <w:r w:rsidRPr="0065694B">
        <w:rPr>
          <w:bCs/>
          <w:sz w:val="22"/>
          <w:szCs w:val="22"/>
        </w:rPr>
        <w:t>comunicações em situações de emergência</w:t>
      </w:r>
      <w:r w:rsidRPr="0065694B">
        <w:rPr>
          <w:sz w:val="22"/>
          <w:szCs w:val="22"/>
        </w:rPr>
        <w:t xml:space="preserve"> e para </w:t>
      </w:r>
      <w:r w:rsidRPr="0065694B">
        <w:rPr>
          <w:bCs/>
          <w:sz w:val="22"/>
          <w:szCs w:val="22"/>
        </w:rPr>
        <w:t>promover a inclusão digital</w:t>
      </w:r>
      <w:r w:rsidRPr="0065694B">
        <w:rPr>
          <w:sz w:val="22"/>
          <w:szCs w:val="22"/>
        </w:rPr>
        <w:t>.</w:t>
      </w:r>
    </w:p>
    <w:p w14:paraId="24DD7D13" w14:textId="77777777" w:rsidR="00CE7C94" w:rsidRPr="0065694B" w:rsidRDefault="00CE7C94" w:rsidP="00CE7C94">
      <w:pPr>
        <w:spacing w:before="120" w:line="240" w:lineRule="auto"/>
        <w:ind w:firstLine="6"/>
        <w:rPr>
          <w:b/>
          <w:sz w:val="22"/>
          <w:szCs w:val="22"/>
        </w:rPr>
      </w:pPr>
      <w:r w:rsidRPr="0065694B">
        <w:rPr>
          <w:b/>
          <w:sz w:val="22"/>
          <w:szCs w:val="22"/>
        </w:rPr>
        <w:t>Operação e Infraestrutura</w:t>
      </w:r>
    </w:p>
    <w:p w14:paraId="6013FA2C" w14:textId="77777777" w:rsidR="00CE7C94" w:rsidRPr="0065694B" w:rsidRDefault="00CE7C94" w:rsidP="00CE7C94">
      <w:pPr>
        <w:spacing w:before="120" w:line="240" w:lineRule="auto"/>
        <w:ind w:firstLine="6"/>
        <w:rPr>
          <w:sz w:val="22"/>
          <w:szCs w:val="22"/>
        </w:rPr>
      </w:pPr>
      <w:r w:rsidRPr="0065694B">
        <w:rPr>
          <w:sz w:val="22"/>
          <w:szCs w:val="22"/>
        </w:rPr>
        <w:t>O sistema de operação do SGDC é apoiado por Centros de Operações Espaciais em Brasília (COPE-P) e no Rio de Janeiro (COPE-S). O COPE-P, localizado na capital, destaca-se por sua infraestrutura de missão crítica, sendo classificado como tolerante a falhas de acordo com a norma norte-americana ANSI/TIA e certificado TIER IV pelo Uptime Institute. Esta certificação coloca o centro no mais alto nível de resiliência, assegurando que a infraestrutura possa suportar interrupções sem impactar os serviços críticos de tecnologia da informação.</w:t>
      </w:r>
    </w:p>
    <w:p w14:paraId="797153A1" w14:textId="77777777" w:rsidR="00CE7C94" w:rsidRPr="0065694B" w:rsidRDefault="00CE7C94" w:rsidP="00CE7C94">
      <w:pPr>
        <w:spacing w:before="120" w:line="240" w:lineRule="auto"/>
        <w:ind w:firstLine="6"/>
        <w:rPr>
          <w:sz w:val="22"/>
          <w:szCs w:val="22"/>
        </w:rPr>
      </w:pPr>
      <w:r w:rsidRPr="0065694B">
        <w:rPr>
          <w:sz w:val="22"/>
          <w:szCs w:val="22"/>
        </w:rPr>
        <w:t xml:space="preserve">A comunicação entre a rede terrestre e o satélite é viabilizada pelas </w:t>
      </w:r>
      <w:r w:rsidRPr="0065694B">
        <w:rPr>
          <w:bCs/>
          <w:sz w:val="22"/>
          <w:szCs w:val="22"/>
        </w:rPr>
        <w:t>Estações de Acesso (Gateways)</w:t>
      </w:r>
      <w:r w:rsidRPr="0065694B">
        <w:rPr>
          <w:sz w:val="22"/>
          <w:szCs w:val="22"/>
        </w:rPr>
        <w:t xml:space="preserve">, estrategicamente distribuídas pelo país, em locais como </w:t>
      </w:r>
      <w:r w:rsidRPr="0065694B">
        <w:rPr>
          <w:bCs/>
          <w:sz w:val="22"/>
          <w:szCs w:val="22"/>
        </w:rPr>
        <w:t>Campo Grande, Florianópolis, Salvador, Brasília e Rio de Janeiro</w:t>
      </w:r>
      <w:r w:rsidRPr="0065694B">
        <w:rPr>
          <w:sz w:val="22"/>
          <w:szCs w:val="22"/>
        </w:rPr>
        <w:t xml:space="preserve">. Essas estações controlam e otimizam o tráfego de dados, garantindo </w:t>
      </w:r>
      <w:r w:rsidRPr="0065694B">
        <w:rPr>
          <w:bCs/>
          <w:sz w:val="22"/>
          <w:szCs w:val="22"/>
        </w:rPr>
        <w:t>eficiência e segurança</w:t>
      </w:r>
      <w:r w:rsidRPr="0065694B">
        <w:rPr>
          <w:sz w:val="22"/>
          <w:szCs w:val="22"/>
        </w:rPr>
        <w:t xml:space="preserve"> nas comunicações via satélite. Além disso, </w:t>
      </w:r>
      <w:r w:rsidRPr="0065694B">
        <w:rPr>
          <w:bCs/>
          <w:sz w:val="22"/>
          <w:szCs w:val="22"/>
        </w:rPr>
        <w:t>Estações de Monitoramento e Controle</w:t>
      </w:r>
      <w:r w:rsidRPr="0065694B">
        <w:rPr>
          <w:sz w:val="22"/>
          <w:szCs w:val="22"/>
        </w:rPr>
        <w:t xml:space="preserve">, espalhadas pelo território nacional, acompanham continuamente os </w:t>
      </w:r>
      <w:r w:rsidRPr="0065694B">
        <w:rPr>
          <w:bCs/>
          <w:sz w:val="22"/>
          <w:szCs w:val="22"/>
        </w:rPr>
        <w:t>parâmetros do satélite</w:t>
      </w:r>
      <w:r w:rsidRPr="0065694B">
        <w:rPr>
          <w:sz w:val="22"/>
          <w:szCs w:val="22"/>
        </w:rPr>
        <w:t>, assegurando a integridade e o desempenho da rede.</w:t>
      </w:r>
    </w:p>
    <w:p w14:paraId="0BA24C0A" w14:textId="77777777" w:rsidR="00CE7C94" w:rsidRPr="0065694B" w:rsidRDefault="00CE7C94" w:rsidP="00CE7C94">
      <w:pPr>
        <w:spacing w:before="120" w:line="240" w:lineRule="auto"/>
        <w:ind w:firstLine="6"/>
        <w:rPr>
          <w:b/>
          <w:sz w:val="22"/>
          <w:szCs w:val="22"/>
        </w:rPr>
      </w:pPr>
      <w:r w:rsidRPr="0065694B">
        <w:rPr>
          <w:b/>
          <w:sz w:val="22"/>
          <w:szCs w:val="22"/>
        </w:rPr>
        <w:t>Expansão e Inclusão Digital</w:t>
      </w:r>
    </w:p>
    <w:p w14:paraId="6C4BDB8B" w14:textId="77777777" w:rsidR="00CE7C94" w:rsidRPr="0065694B" w:rsidRDefault="00CE7C94" w:rsidP="00CE7C94">
      <w:pPr>
        <w:spacing w:before="120" w:line="240" w:lineRule="auto"/>
        <w:ind w:firstLine="6"/>
        <w:rPr>
          <w:sz w:val="22"/>
          <w:szCs w:val="22"/>
        </w:rPr>
      </w:pPr>
      <w:r w:rsidRPr="0065694B">
        <w:rPr>
          <w:sz w:val="22"/>
          <w:szCs w:val="22"/>
        </w:rPr>
        <w:t>A TELEBRAS, visando ser mais abrangente no provimento da inclusão digital, está complementando a capacidade do SGDC com a capacidade disponível de outros satélites que cobrem o território brasileiro com a mesma qualidade do SGDC.</w:t>
      </w:r>
    </w:p>
    <w:p w14:paraId="2242F397" w14:textId="7A4A640C" w:rsidR="00260BC4" w:rsidRPr="0065694B" w:rsidRDefault="00CE7C94" w:rsidP="0065694B">
      <w:pPr>
        <w:spacing w:before="120" w:line="240" w:lineRule="auto"/>
        <w:rPr>
          <w:sz w:val="22"/>
          <w:szCs w:val="22"/>
        </w:rPr>
      </w:pPr>
      <w:r w:rsidRPr="0065694B">
        <w:rPr>
          <w:sz w:val="22"/>
          <w:szCs w:val="22"/>
        </w:rPr>
        <w:t xml:space="preserve">Os </w:t>
      </w:r>
      <w:r w:rsidRPr="0065694B">
        <w:rPr>
          <w:bCs/>
          <w:sz w:val="22"/>
          <w:szCs w:val="22"/>
        </w:rPr>
        <w:t>Terminais de Usuário (VSATs)</w:t>
      </w:r>
      <w:r w:rsidRPr="0065694B">
        <w:rPr>
          <w:sz w:val="22"/>
          <w:szCs w:val="22"/>
        </w:rPr>
        <w:t xml:space="preserve">, instalados em </w:t>
      </w:r>
      <w:r w:rsidRPr="0065694B">
        <w:rPr>
          <w:bCs/>
          <w:sz w:val="22"/>
          <w:szCs w:val="22"/>
        </w:rPr>
        <w:t>áreas remotas</w:t>
      </w:r>
      <w:r w:rsidRPr="0065694B">
        <w:rPr>
          <w:sz w:val="22"/>
          <w:szCs w:val="22"/>
        </w:rPr>
        <w:t xml:space="preserve">, conectam-se diretamente ao SGDC, levando </w:t>
      </w:r>
      <w:r w:rsidRPr="0065694B">
        <w:rPr>
          <w:bCs/>
          <w:sz w:val="22"/>
          <w:szCs w:val="22"/>
        </w:rPr>
        <w:t>internet banda larga a comunidades isoladas</w:t>
      </w:r>
      <w:r w:rsidRPr="0065694B">
        <w:rPr>
          <w:sz w:val="22"/>
          <w:szCs w:val="22"/>
        </w:rPr>
        <w:t xml:space="preserve"> por meio da </w:t>
      </w:r>
      <w:r w:rsidRPr="0065694B">
        <w:rPr>
          <w:bCs/>
          <w:sz w:val="22"/>
          <w:szCs w:val="22"/>
        </w:rPr>
        <w:t>Rede Nacional de Banda Larga da Telebras</w:t>
      </w:r>
      <w:r w:rsidRPr="0065694B">
        <w:rPr>
          <w:sz w:val="22"/>
          <w:szCs w:val="22"/>
        </w:rPr>
        <w:t xml:space="preserve">. Essa iniciativa reforça o compromisso da empresa em </w:t>
      </w:r>
      <w:r w:rsidRPr="0065694B">
        <w:rPr>
          <w:bCs/>
          <w:sz w:val="22"/>
          <w:szCs w:val="22"/>
        </w:rPr>
        <w:t>conectar todo o território nacional</w:t>
      </w:r>
      <w:r w:rsidRPr="0065694B">
        <w:rPr>
          <w:sz w:val="22"/>
          <w:szCs w:val="22"/>
        </w:rPr>
        <w:t xml:space="preserve">, promovendo o </w:t>
      </w:r>
      <w:r w:rsidRPr="0065694B">
        <w:rPr>
          <w:bCs/>
          <w:sz w:val="22"/>
          <w:szCs w:val="22"/>
        </w:rPr>
        <w:t>desenvolvimento e a inclusão digital</w:t>
      </w:r>
      <w:r w:rsidRPr="0065694B">
        <w:rPr>
          <w:sz w:val="22"/>
          <w:szCs w:val="22"/>
        </w:rPr>
        <w:t>.</w:t>
      </w:r>
    </w:p>
    <w:p w14:paraId="324FCA89" w14:textId="350A9596" w:rsidR="00D02592" w:rsidRPr="002B23FC" w:rsidRDefault="000218A8" w:rsidP="00E66437">
      <w:pPr>
        <w:pStyle w:val="Ttulo2"/>
        <w:spacing w:before="240" w:after="240" w:line="276" w:lineRule="auto"/>
        <w:ind w:left="567" w:hanging="567"/>
      </w:pPr>
      <w:bookmarkStart w:id="434" w:name="_Toc191641904"/>
      <w:r w:rsidRPr="002B23FC">
        <w:t>Circuitos</w:t>
      </w:r>
      <w:r w:rsidR="00520790" w:rsidRPr="002B23FC">
        <w:t xml:space="preserve"> GESAC</w:t>
      </w:r>
      <w:bookmarkEnd w:id="434"/>
    </w:p>
    <w:p w14:paraId="5F6D3432" w14:textId="085C5749" w:rsidR="002B23FC" w:rsidRPr="00505643" w:rsidRDefault="002B23FC" w:rsidP="002B23FC">
      <w:pPr>
        <w:spacing w:line="240" w:lineRule="auto"/>
        <w:rPr>
          <w:sz w:val="22"/>
          <w:szCs w:val="22"/>
        </w:rPr>
      </w:pPr>
      <w:r w:rsidRPr="00505643">
        <w:rPr>
          <w:sz w:val="22"/>
          <w:szCs w:val="22"/>
        </w:rPr>
        <w:t>É essencial entender a importância e o impacto do projeto Governo Eletrônico – Serviço de Atendimento ao Cidadão (GESAC) na estratégia e no valor da Telebras. O GESAC é uma iniciativa governamental que visa fornecer acesso à internet em banda larga para comunidades em áreas remotas e estratégicas do Brasil, promovendo a inclusão digital e o acesso a serviços públicos digitais.</w:t>
      </w:r>
    </w:p>
    <w:p w14:paraId="7B785241" w14:textId="77777777" w:rsidR="002B23FC" w:rsidRPr="00505643" w:rsidRDefault="002B23FC" w:rsidP="002B23FC">
      <w:pPr>
        <w:spacing w:line="240" w:lineRule="auto"/>
        <w:rPr>
          <w:sz w:val="22"/>
          <w:szCs w:val="22"/>
        </w:rPr>
      </w:pPr>
      <w:r w:rsidRPr="00505643">
        <w:rPr>
          <w:sz w:val="22"/>
          <w:szCs w:val="22"/>
        </w:rPr>
        <w:t xml:space="preserve">Em 21 de dezembro de 2023, o Ministério das Comunicações (MCom) confirmou a renovação do contrato com a Telebras para dar continuidade ao programa GESAC, fundamentado na Lei Nº 14.744, de 2023. Este acordo estratégico visa estabelecer até 28 mil pontos de acesso à internet via satélite, focando em regiões remotas e comunidades em situação de vulnerabilidade social. </w:t>
      </w:r>
    </w:p>
    <w:p w14:paraId="51F87DA0" w14:textId="77777777" w:rsidR="002B23FC" w:rsidRPr="00505643" w:rsidRDefault="002B23FC" w:rsidP="002B23FC">
      <w:pPr>
        <w:spacing w:line="240" w:lineRule="auto"/>
        <w:rPr>
          <w:sz w:val="22"/>
          <w:szCs w:val="22"/>
        </w:rPr>
      </w:pPr>
      <w:r w:rsidRPr="00505643">
        <w:rPr>
          <w:sz w:val="22"/>
          <w:szCs w:val="22"/>
        </w:rPr>
        <w:t>A iniciativa é um marco na promoção da inclusão digital e na oferta de serviços essenciais e manteve a Telebras como instrumento de execução do programa, que abrange escolas, unidades de saúde, comunidades indígenas, quilombolas, órgãos de segurança pública, postos de fronteira, além de programas de monitoramento ambiental na Amazônia. Outros beneficiários incluem os Centros de Referência de Assistência Social (CRAS), reforçando o compromisso do programa em assegurar conectividade e acesso à informação para todos, contribuindo significativamente para o desenvolvimento social e econômico das áreas atendidas.</w:t>
      </w:r>
    </w:p>
    <w:p w14:paraId="44F84043" w14:textId="77777777" w:rsidR="002B23FC" w:rsidRPr="00505643" w:rsidRDefault="002B23FC" w:rsidP="00505643">
      <w:pPr>
        <w:spacing w:line="240" w:lineRule="auto"/>
        <w:rPr>
          <w:sz w:val="22"/>
          <w:szCs w:val="22"/>
        </w:rPr>
      </w:pPr>
      <w:r w:rsidRPr="00505643">
        <w:rPr>
          <w:sz w:val="22"/>
          <w:szCs w:val="22"/>
        </w:rPr>
        <w:t xml:space="preserve">Ademais, o novo contrato, firmado em dez/2023, traz melhorias significativas no modelo de atendimento ao programa GESAC, especialmente no que tange às velocidades ofertadas, que podem ser de 20 Mbps, 30 Mbps, 40 Mbps, 40 Mbps com Wi-Fi externo e 60 Mbps com Wi-Fi externo, consideravelmente superiores ao limite de 20 Mbps do contrato anterior, o que promove a ampliação da qualidade do serviço prestado. </w:t>
      </w:r>
    </w:p>
    <w:p w14:paraId="75BF84FC" w14:textId="12ED2729" w:rsidR="00E1024B" w:rsidRPr="00505643" w:rsidRDefault="002B23FC" w:rsidP="002B23FC">
      <w:pPr>
        <w:spacing w:line="240" w:lineRule="auto"/>
        <w:rPr>
          <w:rFonts w:cs="Arial"/>
          <w:sz w:val="22"/>
          <w:highlight w:val="yellow"/>
        </w:rPr>
      </w:pPr>
      <w:r w:rsidRPr="00505643">
        <w:rPr>
          <w:sz w:val="22"/>
          <w:szCs w:val="22"/>
        </w:rPr>
        <w:t>A representação visual abaixo ilustra o acompanhamento acumulado do projeto GESAC em 2024, que partiu de uma demanda inicial do Ministério das Comunicações (MCom) próxima de 11 mil pontos satelitais de acesso à Internet e evoluiu mais de 40% no ano, ultrapassando 16 mil pontos demandados, o que resultou nos dados de pontos GESAC instalados e Termos de Instalação de Pontos de Presença (TIPP) aprovados pelo MCom.</w:t>
      </w:r>
    </w:p>
    <w:p w14:paraId="10852ECA" w14:textId="5C64DC03" w:rsidR="00E1024B" w:rsidRPr="00505643" w:rsidRDefault="002B23FC" w:rsidP="00505643">
      <w:pPr>
        <w:spacing w:line="240" w:lineRule="auto"/>
        <w:jc w:val="center"/>
        <w:rPr>
          <w:rFonts w:cs="Arial"/>
          <w:sz w:val="22"/>
          <w:highlight w:val="yellow"/>
        </w:rPr>
      </w:pPr>
      <w:r>
        <w:rPr>
          <w:noProof/>
          <w:lang w:eastAsia="pt-BR"/>
        </w:rPr>
        <w:drawing>
          <wp:inline distT="0" distB="0" distL="0" distR="0" wp14:anchorId="58FDE696" wp14:editId="1F83FD9B">
            <wp:extent cx="4460875" cy="26670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E3B4D10" w14:textId="247BCC04" w:rsidR="00E1024B" w:rsidRPr="002B23FC" w:rsidRDefault="00E1024B" w:rsidP="00E1024B">
      <w:pPr>
        <w:pStyle w:val="Legenda"/>
      </w:pPr>
      <w:bookmarkStart w:id="435" w:name="_Toc191643463"/>
      <w:r w:rsidRPr="002B23FC">
        <w:t xml:space="preserve">Gráfico </w:t>
      </w:r>
      <w:r w:rsidR="005A4170" w:rsidRPr="00505643">
        <w:fldChar w:fldCharType="begin"/>
      </w:r>
      <w:r w:rsidR="005A4170" w:rsidRPr="002B23FC">
        <w:instrText xml:space="preserve"> STYLEREF 1 \s </w:instrText>
      </w:r>
      <w:r w:rsidR="005A4170" w:rsidRPr="00505643">
        <w:fldChar w:fldCharType="separate"/>
      </w:r>
      <w:r w:rsidR="009A3F6E">
        <w:rPr>
          <w:noProof/>
        </w:rPr>
        <w:t>7</w:t>
      </w:r>
      <w:r w:rsidR="005A4170" w:rsidRPr="00505643">
        <w:rPr>
          <w:noProof/>
        </w:rPr>
        <w:fldChar w:fldCharType="end"/>
      </w:r>
      <w:r w:rsidRPr="002B23FC">
        <w:noBreakHyphen/>
      </w:r>
      <w:r w:rsidR="005A4170" w:rsidRPr="00505643">
        <w:fldChar w:fldCharType="begin"/>
      </w:r>
      <w:r w:rsidR="005A4170" w:rsidRPr="002B23FC">
        <w:instrText xml:space="preserve"> SEQ Gráfico \* ARABIC \s 1 </w:instrText>
      </w:r>
      <w:r w:rsidR="005A4170" w:rsidRPr="00505643">
        <w:fldChar w:fldCharType="separate"/>
      </w:r>
      <w:r w:rsidR="009A3F6E">
        <w:rPr>
          <w:noProof/>
        </w:rPr>
        <w:t>1</w:t>
      </w:r>
      <w:r w:rsidR="005A4170" w:rsidRPr="00505643">
        <w:rPr>
          <w:noProof/>
        </w:rPr>
        <w:fldChar w:fldCharType="end"/>
      </w:r>
      <w:r w:rsidRPr="002B23FC">
        <w:t xml:space="preserve"> Projeto GESAC</w:t>
      </w:r>
      <w:bookmarkEnd w:id="435"/>
    </w:p>
    <w:p w14:paraId="2A46D553" w14:textId="14484373" w:rsidR="00826EFF" w:rsidRPr="00505643" w:rsidRDefault="002B23FC" w:rsidP="00582B22">
      <w:pPr>
        <w:spacing w:line="240" w:lineRule="auto"/>
        <w:rPr>
          <w:sz w:val="22"/>
          <w:szCs w:val="22"/>
        </w:rPr>
      </w:pPr>
      <w:r w:rsidRPr="00505643">
        <w:rPr>
          <w:sz w:val="22"/>
          <w:szCs w:val="22"/>
        </w:rPr>
        <w:t>O gráfico também permite observar que dos 14.980 pontos GESAC instalados pela Telebras, 14.235 pontos tiveram o aceite do MCom, o que equivale a 95% da base instalada naquele ano e reflete, portanto, o compromisso da empresa com os resultados de produtividade e de qualidade da entrega.</w:t>
      </w:r>
    </w:p>
    <w:p w14:paraId="4AE707B1" w14:textId="0564DF67" w:rsidR="004532CE" w:rsidRPr="0065694B" w:rsidRDefault="008C0623" w:rsidP="00A24589">
      <w:pPr>
        <w:pStyle w:val="Ttulo2"/>
        <w:spacing w:before="240" w:after="120" w:line="276" w:lineRule="auto"/>
        <w:ind w:left="567" w:hanging="567"/>
      </w:pPr>
      <w:bookmarkStart w:id="436" w:name="_Toc191641905"/>
      <w:r w:rsidRPr="0065694B">
        <w:t>Operação e Manutenção</w:t>
      </w:r>
      <w:bookmarkEnd w:id="436"/>
    </w:p>
    <w:p w14:paraId="6A9A97C2" w14:textId="2F03FAAE" w:rsidR="00604351" w:rsidRPr="00C00EF0" w:rsidRDefault="00604351" w:rsidP="00C00EF0">
      <w:pPr>
        <w:spacing w:before="120" w:line="240" w:lineRule="auto"/>
        <w:ind w:firstLine="6"/>
        <w:rPr>
          <w:sz w:val="22"/>
          <w:szCs w:val="22"/>
        </w:rPr>
      </w:pPr>
      <w:r w:rsidRPr="00C00EF0">
        <w:rPr>
          <w:sz w:val="22"/>
          <w:szCs w:val="22"/>
        </w:rPr>
        <w:t>A Telebras mantém a excelência operacional de sua Rede Nacional de Telecomunicações por meio de uma abordagem integrada que combina manutenção de campo e operações centralizadas.</w:t>
      </w:r>
    </w:p>
    <w:p w14:paraId="10A8B413" w14:textId="6E28A44F" w:rsidR="00604351" w:rsidRPr="00C00EF0" w:rsidRDefault="00604351" w:rsidP="00C00EF0">
      <w:pPr>
        <w:spacing w:before="120" w:line="240" w:lineRule="auto"/>
        <w:ind w:firstLine="6"/>
        <w:rPr>
          <w:sz w:val="22"/>
          <w:szCs w:val="22"/>
        </w:rPr>
      </w:pPr>
      <w:r w:rsidRPr="00C00EF0">
        <w:rPr>
          <w:sz w:val="22"/>
          <w:szCs w:val="22"/>
        </w:rPr>
        <w:t>No centro dessas operações está o Centro Integrado de Gerência de Rede (CIGR/NOC), localizado estrategicamente em Brasília. Esse centro desempenha um papel crucial na garantia da qualidade e confiabilidade da rede, sendo responsável p</w:t>
      </w:r>
      <w:r w:rsidR="000056B7" w:rsidRPr="00C00EF0">
        <w:rPr>
          <w:sz w:val="22"/>
          <w:szCs w:val="22"/>
        </w:rPr>
        <w:t>elo m</w:t>
      </w:r>
      <w:r w:rsidRPr="00C00EF0">
        <w:rPr>
          <w:sz w:val="22"/>
          <w:szCs w:val="22"/>
        </w:rPr>
        <w:t>onitoramento contínuo da infraestrutura</w:t>
      </w:r>
      <w:r w:rsidR="000056B7" w:rsidRPr="00C00EF0">
        <w:rPr>
          <w:sz w:val="22"/>
          <w:szCs w:val="22"/>
        </w:rPr>
        <w:t>, a</w:t>
      </w:r>
      <w:r w:rsidRPr="00C00EF0">
        <w:rPr>
          <w:sz w:val="22"/>
          <w:szCs w:val="22"/>
        </w:rPr>
        <w:t>nálise de desempenho e tráfego</w:t>
      </w:r>
      <w:r w:rsidR="000056B7" w:rsidRPr="00C00EF0">
        <w:rPr>
          <w:sz w:val="22"/>
          <w:szCs w:val="22"/>
        </w:rPr>
        <w:t>, g</w:t>
      </w:r>
      <w:r w:rsidRPr="00C00EF0">
        <w:rPr>
          <w:sz w:val="22"/>
          <w:szCs w:val="22"/>
        </w:rPr>
        <w:t>erenciamento e escalonamento de incidentes</w:t>
      </w:r>
      <w:r w:rsidR="000056B7" w:rsidRPr="00C00EF0">
        <w:rPr>
          <w:sz w:val="22"/>
          <w:szCs w:val="22"/>
        </w:rPr>
        <w:t>, a</w:t>
      </w:r>
      <w:r w:rsidRPr="00C00EF0">
        <w:rPr>
          <w:sz w:val="22"/>
          <w:szCs w:val="22"/>
        </w:rPr>
        <w:t>ceitação de novas estações e gestão de mudanças</w:t>
      </w:r>
      <w:r w:rsidR="000056B7" w:rsidRPr="00C00EF0">
        <w:rPr>
          <w:sz w:val="22"/>
          <w:szCs w:val="22"/>
        </w:rPr>
        <w:t>, a</w:t>
      </w:r>
      <w:r w:rsidRPr="00C00EF0">
        <w:rPr>
          <w:sz w:val="22"/>
          <w:szCs w:val="22"/>
        </w:rPr>
        <w:t>tivação, configuração e gerenciamento proativo de clientes e circuitos</w:t>
      </w:r>
      <w:r w:rsidR="000056B7" w:rsidRPr="00C00EF0">
        <w:rPr>
          <w:sz w:val="22"/>
          <w:szCs w:val="22"/>
        </w:rPr>
        <w:t xml:space="preserve"> e a g</w:t>
      </w:r>
      <w:r w:rsidRPr="00C00EF0">
        <w:rPr>
          <w:sz w:val="22"/>
          <w:szCs w:val="22"/>
        </w:rPr>
        <w:t>arantia do cumprimento dos Níveis de Serviço Acordados (SLAs).</w:t>
      </w:r>
    </w:p>
    <w:p w14:paraId="3311022D" w14:textId="77777777" w:rsidR="00604351" w:rsidRPr="00C00EF0" w:rsidRDefault="00604351" w:rsidP="00C00EF0">
      <w:pPr>
        <w:spacing w:before="120" w:line="240" w:lineRule="auto"/>
        <w:ind w:firstLine="6"/>
        <w:rPr>
          <w:sz w:val="22"/>
          <w:szCs w:val="22"/>
        </w:rPr>
      </w:pPr>
      <w:r w:rsidRPr="00C00EF0">
        <w:rPr>
          <w:sz w:val="22"/>
          <w:szCs w:val="22"/>
        </w:rPr>
        <w:t>Os SLAs são fundamentais para estabelecer padrões de serviço, garantindo qualidade consistente e confiável. O monitoramento desses indicadores permite à Telebras manter um controle rigoroso sobre a performance da rede, assegurando altos níveis de disponibilidade.</w:t>
      </w:r>
    </w:p>
    <w:p w14:paraId="6371C849" w14:textId="09C88B23" w:rsidR="00F92277" w:rsidRPr="00C00EF0" w:rsidRDefault="00604351" w:rsidP="00C00EF0">
      <w:pPr>
        <w:spacing w:before="120" w:line="240" w:lineRule="auto"/>
        <w:ind w:firstLine="6"/>
        <w:rPr>
          <w:sz w:val="22"/>
          <w:szCs w:val="22"/>
        </w:rPr>
      </w:pPr>
      <w:r w:rsidRPr="00C00EF0">
        <w:rPr>
          <w:sz w:val="22"/>
          <w:szCs w:val="22"/>
        </w:rPr>
        <w:t>Reforçando seu compromisso com a excelência operacional, a Telebras registrou uma taxa de disponibilidade da rede de 99,84% em dezembro de 2024, conforme o gráfico abaixo. Esse índice não apenas supera as expectativas, mas também comprova o sucesso das estratégias da empresa na manutenção de uma infraestrutura robusta, confiável e de alta disponibilidade.</w:t>
      </w:r>
    </w:p>
    <w:p w14:paraId="5FA8C8F5" w14:textId="63CCF324" w:rsidR="00D263BF" w:rsidRPr="0065694B" w:rsidRDefault="00CE6386" w:rsidP="00AE3EC3">
      <w:pPr>
        <w:keepNext/>
        <w:spacing w:line="276" w:lineRule="auto"/>
        <w:rPr>
          <w:sz w:val="22"/>
          <w:szCs w:val="22"/>
        </w:rPr>
      </w:pPr>
      <w:r w:rsidRPr="0065694B">
        <w:rPr>
          <w:noProof/>
          <w:lang w:eastAsia="pt-BR"/>
        </w:rPr>
        <w:drawing>
          <wp:inline distT="0" distB="0" distL="0" distR="0" wp14:anchorId="5D2320DF" wp14:editId="3CCAB4E9">
            <wp:extent cx="5760720" cy="3632200"/>
            <wp:effectExtent l="0" t="0" r="0" b="6350"/>
            <wp:docPr id="1665629075" name="Gráfico 1665629075">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43CD0B4" w14:textId="77295E5F" w:rsidR="00CE6386" w:rsidRPr="0065694B" w:rsidRDefault="00CE6386" w:rsidP="00CE6386">
      <w:pPr>
        <w:pStyle w:val="Legenda"/>
      </w:pPr>
      <w:bookmarkStart w:id="437" w:name="_Toc191643464"/>
      <w:r w:rsidRPr="0065694B">
        <w:t xml:space="preserve">Gráfico </w:t>
      </w:r>
      <w:fldSimple w:instr=" STYLEREF 1 \s ">
        <w:r w:rsidR="009A3F6E">
          <w:rPr>
            <w:noProof/>
          </w:rPr>
          <w:t>7</w:t>
        </w:r>
      </w:fldSimple>
      <w:r w:rsidRPr="0065694B">
        <w:noBreakHyphen/>
      </w:r>
      <w:fldSimple w:instr=" SEQ Gráfico \* ARABIC \s 1 ">
        <w:r w:rsidR="009A3F6E">
          <w:rPr>
            <w:noProof/>
          </w:rPr>
          <w:t>2</w:t>
        </w:r>
      </w:fldSimple>
      <w:r w:rsidRPr="0065694B">
        <w:t xml:space="preserve"> Nível de Serviço – Disponibilidade da Rede</w:t>
      </w:r>
      <w:bookmarkEnd w:id="437"/>
    </w:p>
    <w:p w14:paraId="156D2EBC" w14:textId="6D8E6A4B" w:rsidR="00604351" w:rsidRPr="0065694B" w:rsidRDefault="00604351" w:rsidP="00604351">
      <w:pPr>
        <w:spacing w:line="240" w:lineRule="auto"/>
        <w:rPr>
          <w:rFonts w:eastAsiaTheme="minorEastAsia"/>
          <w:sz w:val="22"/>
          <w:szCs w:val="22"/>
        </w:rPr>
      </w:pPr>
      <w:r w:rsidRPr="0065694B">
        <w:rPr>
          <w:rFonts w:eastAsiaTheme="minorEastAsia"/>
          <w:sz w:val="22"/>
          <w:szCs w:val="22"/>
        </w:rPr>
        <w:t xml:space="preserve">Nos últimos </w:t>
      </w:r>
      <w:r w:rsidRPr="0065694B">
        <w:rPr>
          <w:rFonts w:eastAsiaTheme="minorEastAsia"/>
          <w:bCs/>
          <w:sz w:val="22"/>
          <w:szCs w:val="22"/>
        </w:rPr>
        <w:t>12 meses</w:t>
      </w:r>
      <w:r w:rsidRPr="0065694B">
        <w:rPr>
          <w:rFonts w:eastAsiaTheme="minorEastAsia"/>
          <w:sz w:val="22"/>
          <w:szCs w:val="22"/>
        </w:rPr>
        <w:t xml:space="preserve">, a </w:t>
      </w:r>
      <w:r w:rsidRPr="0065694B">
        <w:rPr>
          <w:rFonts w:eastAsiaTheme="minorEastAsia"/>
          <w:bCs/>
          <w:sz w:val="22"/>
          <w:szCs w:val="22"/>
        </w:rPr>
        <w:t>Telebras</w:t>
      </w:r>
      <w:r w:rsidRPr="0065694B">
        <w:rPr>
          <w:rFonts w:eastAsiaTheme="minorEastAsia"/>
          <w:sz w:val="22"/>
          <w:szCs w:val="22"/>
        </w:rPr>
        <w:t xml:space="preserve"> identificou os principais desafios que impactaram a </w:t>
      </w:r>
      <w:r w:rsidRPr="0065694B">
        <w:rPr>
          <w:rFonts w:eastAsiaTheme="minorEastAsia"/>
          <w:bCs/>
          <w:sz w:val="22"/>
          <w:szCs w:val="22"/>
        </w:rPr>
        <w:t>operacionalidade da rede</w:t>
      </w:r>
      <w:r w:rsidRPr="0065694B">
        <w:rPr>
          <w:rFonts w:eastAsiaTheme="minorEastAsia"/>
          <w:sz w:val="22"/>
          <w:szCs w:val="22"/>
        </w:rPr>
        <w:t xml:space="preserve"> e implementou estratégias para mitigar seus efeitos.</w:t>
      </w:r>
    </w:p>
    <w:p w14:paraId="18A6A43D" w14:textId="77777777" w:rsidR="00604351" w:rsidRPr="0065694B" w:rsidRDefault="00604351" w:rsidP="00604351">
      <w:pPr>
        <w:spacing w:line="240" w:lineRule="auto"/>
        <w:rPr>
          <w:rFonts w:eastAsiaTheme="minorEastAsia"/>
          <w:b/>
          <w:sz w:val="22"/>
          <w:szCs w:val="22"/>
        </w:rPr>
      </w:pPr>
      <w:r w:rsidRPr="0065694B">
        <w:rPr>
          <w:rFonts w:eastAsiaTheme="minorEastAsia"/>
          <w:b/>
          <w:sz w:val="22"/>
          <w:szCs w:val="22"/>
        </w:rPr>
        <w:t>Principais desafios</w:t>
      </w:r>
    </w:p>
    <w:p w14:paraId="6D03283B" w14:textId="28346EBA" w:rsidR="00604351" w:rsidRPr="000056B7" w:rsidRDefault="00604351">
      <w:pPr>
        <w:numPr>
          <w:ilvl w:val="0"/>
          <w:numId w:val="63"/>
        </w:numPr>
        <w:spacing w:before="120" w:line="240" w:lineRule="auto"/>
        <w:ind w:left="1134"/>
        <w:rPr>
          <w:rFonts w:eastAsia="Arial"/>
          <w:sz w:val="22"/>
        </w:rPr>
      </w:pPr>
      <w:r w:rsidRPr="000056B7">
        <w:rPr>
          <w:rFonts w:eastAsiaTheme="minorEastAsia"/>
          <w:b/>
          <w:sz w:val="22"/>
          <w:szCs w:val="22"/>
        </w:rPr>
        <w:t>Qualidade do Fornecimento de Energia Elétrica</w:t>
      </w:r>
      <w:r w:rsidR="000056B7" w:rsidRPr="000056B7">
        <w:rPr>
          <w:rFonts w:eastAsiaTheme="minorEastAsia"/>
          <w:b/>
          <w:sz w:val="22"/>
          <w:szCs w:val="22"/>
        </w:rPr>
        <w:t xml:space="preserve">: </w:t>
      </w:r>
      <w:r w:rsidRPr="000056B7">
        <w:rPr>
          <w:rFonts w:eastAsia="Arial"/>
          <w:sz w:val="22"/>
        </w:rPr>
        <w:t>Flutuações e interrupções no fornecimento de energia resultaram na indisponibilidade temporária de estações e na degradação de componentes críticos da infraestrutura, como bancos de baterias e sistemas de ar-condicionado. Esses eventos afetam diretamente a continuidade e confiabilidade dos serviços.</w:t>
      </w:r>
    </w:p>
    <w:p w14:paraId="2D2B4F9A" w14:textId="77777777" w:rsidR="00604351" w:rsidRPr="0065694B" w:rsidRDefault="00604351" w:rsidP="0065694B">
      <w:pPr>
        <w:numPr>
          <w:ilvl w:val="0"/>
          <w:numId w:val="63"/>
        </w:numPr>
        <w:spacing w:before="120" w:line="240" w:lineRule="auto"/>
        <w:ind w:left="1134"/>
        <w:rPr>
          <w:rFonts w:eastAsia="Arial"/>
          <w:sz w:val="22"/>
        </w:rPr>
      </w:pPr>
      <w:r w:rsidRPr="0065694B">
        <w:rPr>
          <w:rFonts w:eastAsia="Arial"/>
          <w:sz w:val="22"/>
        </w:rPr>
        <w:t>Para aumentar a resiliência, a Telebras tem investido continuamente na aquisição de bancos de baterias e na realização de manutenções preventivas em geradores de energia.</w:t>
      </w:r>
    </w:p>
    <w:p w14:paraId="71999DA2" w14:textId="77777777" w:rsidR="00604351" w:rsidRPr="0065694B" w:rsidRDefault="00604351" w:rsidP="00604351">
      <w:pPr>
        <w:numPr>
          <w:ilvl w:val="0"/>
          <w:numId w:val="64"/>
        </w:numPr>
        <w:spacing w:line="240" w:lineRule="auto"/>
        <w:rPr>
          <w:rFonts w:eastAsiaTheme="minorEastAsia"/>
          <w:b/>
          <w:sz w:val="22"/>
          <w:szCs w:val="22"/>
        </w:rPr>
      </w:pPr>
      <w:r w:rsidRPr="0065694B">
        <w:rPr>
          <w:rFonts w:eastAsiaTheme="minorEastAsia"/>
          <w:b/>
          <w:sz w:val="22"/>
          <w:szCs w:val="22"/>
        </w:rPr>
        <w:t>Rompimento de Fibras</w:t>
      </w:r>
    </w:p>
    <w:p w14:paraId="2D415620" w14:textId="77777777" w:rsidR="00604351" w:rsidRPr="0065694B" w:rsidRDefault="00604351" w:rsidP="0065694B">
      <w:pPr>
        <w:numPr>
          <w:ilvl w:val="0"/>
          <w:numId w:val="63"/>
        </w:numPr>
        <w:spacing w:before="120" w:line="240" w:lineRule="auto"/>
        <w:ind w:left="1134"/>
        <w:rPr>
          <w:rFonts w:eastAsia="Arial"/>
          <w:sz w:val="22"/>
        </w:rPr>
      </w:pPr>
      <w:r w:rsidRPr="0065694B">
        <w:rPr>
          <w:rFonts w:eastAsia="Arial"/>
          <w:sz w:val="22"/>
        </w:rPr>
        <w:t>Ocorrências de rompimento de fibras ópticas em trechos da rede externa geraram interrupções significativas na rede backbone. Esses incidentes impactam a qualidade do serviço e exigem ações imediatas para reparo e recuperação da conectividade.</w:t>
      </w:r>
    </w:p>
    <w:p w14:paraId="3E91D048" w14:textId="77777777" w:rsidR="00604351" w:rsidRPr="0065694B" w:rsidRDefault="00604351" w:rsidP="0065694B">
      <w:pPr>
        <w:numPr>
          <w:ilvl w:val="0"/>
          <w:numId w:val="63"/>
        </w:numPr>
        <w:spacing w:before="120" w:line="240" w:lineRule="auto"/>
        <w:ind w:left="1134"/>
        <w:rPr>
          <w:rFonts w:eastAsia="Arial"/>
          <w:sz w:val="22"/>
        </w:rPr>
      </w:pPr>
      <w:r w:rsidRPr="0065694B">
        <w:rPr>
          <w:rFonts w:eastAsia="Arial"/>
          <w:sz w:val="22"/>
        </w:rPr>
        <w:t>Para mitigar esse risco, a Telebras adota estratégias de redundância e monitoramento contínuo, além de reforçar parcerias para manutenção rápida da infraestrutura.</w:t>
      </w:r>
    </w:p>
    <w:p w14:paraId="7AF03F02" w14:textId="77777777" w:rsidR="00604351" w:rsidRPr="0065694B" w:rsidRDefault="00604351" w:rsidP="00604351">
      <w:pPr>
        <w:numPr>
          <w:ilvl w:val="0"/>
          <w:numId w:val="64"/>
        </w:numPr>
        <w:spacing w:line="240" w:lineRule="auto"/>
        <w:rPr>
          <w:rFonts w:eastAsiaTheme="minorEastAsia"/>
          <w:b/>
          <w:sz w:val="22"/>
          <w:szCs w:val="22"/>
        </w:rPr>
      </w:pPr>
      <w:r w:rsidRPr="0065694B">
        <w:rPr>
          <w:rFonts w:eastAsiaTheme="minorEastAsia"/>
          <w:b/>
          <w:sz w:val="22"/>
          <w:szCs w:val="22"/>
        </w:rPr>
        <w:t>Vandalismo</w:t>
      </w:r>
    </w:p>
    <w:p w14:paraId="6DAE1C4C" w14:textId="77777777" w:rsidR="00604351" w:rsidRPr="0065694B" w:rsidRDefault="00604351" w:rsidP="0065694B">
      <w:pPr>
        <w:numPr>
          <w:ilvl w:val="0"/>
          <w:numId w:val="63"/>
        </w:numPr>
        <w:spacing w:before="120" w:line="240" w:lineRule="auto"/>
        <w:ind w:left="1134"/>
        <w:rPr>
          <w:rFonts w:eastAsia="Arial"/>
          <w:sz w:val="22"/>
        </w:rPr>
      </w:pPr>
      <w:r w:rsidRPr="0065694B">
        <w:rPr>
          <w:rFonts w:eastAsia="Arial"/>
          <w:sz w:val="22"/>
        </w:rPr>
        <w:t>Atos de vandalismo, incluindo furtos de baterias, cabos ópticos e cabos de alimentação de energia, representaram desafios adicionais para a manutenção da infraestrutura. Além dos custos de reposição e reparo, essas ocorrências podem causar interrupções temporárias nos serviços.</w:t>
      </w:r>
    </w:p>
    <w:p w14:paraId="4B807117" w14:textId="77777777" w:rsidR="00604351" w:rsidRPr="0065694B" w:rsidRDefault="00604351" w:rsidP="0065694B">
      <w:pPr>
        <w:numPr>
          <w:ilvl w:val="0"/>
          <w:numId w:val="63"/>
        </w:numPr>
        <w:spacing w:before="120" w:line="240" w:lineRule="auto"/>
        <w:ind w:left="1134"/>
        <w:rPr>
          <w:rFonts w:eastAsia="Arial"/>
          <w:sz w:val="22"/>
        </w:rPr>
      </w:pPr>
      <w:r w:rsidRPr="0065694B">
        <w:rPr>
          <w:rFonts w:eastAsia="Arial"/>
          <w:sz w:val="22"/>
        </w:rPr>
        <w:t>A Telebras segue reforçando medidas de segurança e proteção da infraestrutura, com monitoramento remoto e parcerias estratégicas para reduzir os impactos dessas ocorrências.</w:t>
      </w:r>
    </w:p>
    <w:p w14:paraId="5F3A65BF" w14:textId="06F2C931" w:rsidR="00DF1443" w:rsidRPr="00505643" w:rsidRDefault="00604351" w:rsidP="00604351">
      <w:pPr>
        <w:spacing w:line="240" w:lineRule="auto"/>
        <w:rPr>
          <w:rFonts w:eastAsiaTheme="minorEastAsia"/>
          <w:sz w:val="22"/>
          <w:szCs w:val="22"/>
          <w:highlight w:val="yellow"/>
        </w:rPr>
      </w:pPr>
      <w:r w:rsidRPr="0065694B">
        <w:rPr>
          <w:rFonts w:eastAsiaTheme="minorEastAsia"/>
          <w:sz w:val="22"/>
          <w:szCs w:val="22"/>
        </w:rPr>
        <w:t xml:space="preserve">Esses desafios ressaltam a importância de </w:t>
      </w:r>
      <w:r w:rsidRPr="0065694B">
        <w:rPr>
          <w:rFonts w:eastAsiaTheme="minorEastAsia"/>
          <w:bCs/>
          <w:sz w:val="22"/>
          <w:szCs w:val="22"/>
        </w:rPr>
        <w:t>estratégias robustas de manutenção, segurança e gestão de riscos</w:t>
      </w:r>
      <w:r w:rsidRPr="0065694B">
        <w:rPr>
          <w:rFonts w:eastAsiaTheme="minorEastAsia"/>
          <w:sz w:val="22"/>
          <w:szCs w:val="22"/>
        </w:rPr>
        <w:t xml:space="preserve">. A </w:t>
      </w:r>
      <w:r w:rsidRPr="0065694B">
        <w:rPr>
          <w:rFonts w:eastAsiaTheme="minorEastAsia"/>
          <w:bCs/>
          <w:sz w:val="22"/>
          <w:szCs w:val="22"/>
        </w:rPr>
        <w:t>Telebras</w:t>
      </w:r>
      <w:r w:rsidRPr="0065694B">
        <w:rPr>
          <w:rFonts w:eastAsiaTheme="minorEastAsia"/>
          <w:sz w:val="22"/>
          <w:szCs w:val="22"/>
        </w:rPr>
        <w:t xml:space="preserve"> continua a implementar </w:t>
      </w:r>
      <w:r w:rsidRPr="0065694B">
        <w:rPr>
          <w:rFonts w:eastAsiaTheme="minorEastAsia"/>
          <w:bCs/>
          <w:sz w:val="22"/>
          <w:szCs w:val="22"/>
        </w:rPr>
        <w:t>ações para fortalecer sua infraestrutura e aumentar a resiliência da rede</w:t>
      </w:r>
      <w:r w:rsidRPr="0065694B">
        <w:rPr>
          <w:rFonts w:eastAsiaTheme="minorEastAsia"/>
          <w:sz w:val="22"/>
          <w:szCs w:val="22"/>
        </w:rPr>
        <w:t xml:space="preserve">, assegurando </w:t>
      </w:r>
      <w:r w:rsidRPr="0065694B">
        <w:rPr>
          <w:rFonts w:eastAsiaTheme="minorEastAsia"/>
          <w:bCs/>
          <w:sz w:val="22"/>
          <w:szCs w:val="22"/>
        </w:rPr>
        <w:t>altos padrões de disponibilidade</w:t>
      </w:r>
      <w:r w:rsidRPr="0065694B">
        <w:rPr>
          <w:rFonts w:eastAsiaTheme="minorEastAsia"/>
          <w:sz w:val="22"/>
          <w:szCs w:val="22"/>
        </w:rPr>
        <w:t xml:space="preserve"> e aprimorando </w:t>
      </w:r>
      <w:r w:rsidRPr="0065694B">
        <w:rPr>
          <w:rFonts w:eastAsiaTheme="minorEastAsia"/>
          <w:bCs/>
          <w:sz w:val="22"/>
          <w:szCs w:val="22"/>
        </w:rPr>
        <w:t>a qualidade do serviço</w:t>
      </w:r>
      <w:r w:rsidRPr="0065694B">
        <w:rPr>
          <w:rFonts w:eastAsiaTheme="minorEastAsia"/>
          <w:sz w:val="22"/>
          <w:szCs w:val="22"/>
        </w:rPr>
        <w:t xml:space="preserve">, sempre alinhada às expectativas de </w:t>
      </w:r>
      <w:r w:rsidRPr="0065694B">
        <w:rPr>
          <w:rFonts w:eastAsiaTheme="minorEastAsia"/>
          <w:bCs/>
          <w:sz w:val="22"/>
          <w:szCs w:val="22"/>
        </w:rPr>
        <w:t>investidores e clientes</w:t>
      </w:r>
      <w:r w:rsidRPr="0065694B">
        <w:rPr>
          <w:rFonts w:eastAsiaTheme="minorEastAsia"/>
          <w:sz w:val="22"/>
          <w:szCs w:val="22"/>
        </w:rPr>
        <w:t>.</w:t>
      </w:r>
    </w:p>
    <w:p w14:paraId="0B79C96B" w14:textId="15883C5A" w:rsidR="004532CE" w:rsidRPr="0065694B" w:rsidRDefault="00966E35" w:rsidP="00A24589">
      <w:pPr>
        <w:pStyle w:val="Ttulo2"/>
        <w:spacing w:before="240" w:after="120" w:line="276" w:lineRule="auto"/>
        <w:ind w:left="567" w:hanging="567"/>
      </w:pPr>
      <w:bookmarkStart w:id="438" w:name="_Toc191641906"/>
      <w:r w:rsidRPr="0065694B">
        <w:t>Tecnologia da Informação</w:t>
      </w:r>
      <w:bookmarkEnd w:id="438"/>
    </w:p>
    <w:p w14:paraId="4E8C4BF5" w14:textId="2B1D1D8A" w:rsidR="00604351" w:rsidRPr="0065694B" w:rsidRDefault="00604351" w:rsidP="00604351">
      <w:pPr>
        <w:spacing w:before="120" w:line="240" w:lineRule="auto"/>
        <w:rPr>
          <w:rFonts w:eastAsiaTheme="minorEastAsia"/>
          <w:sz w:val="22"/>
          <w:szCs w:val="22"/>
        </w:rPr>
      </w:pPr>
      <w:r w:rsidRPr="0065694B">
        <w:rPr>
          <w:rFonts w:eastAsiaTheme="minorEastAsia"/>
          <w:sz w:val="22"/>
          <w:szCs w:val="22"/>
        </w:rPr>
        <w:t>A empresa realizou uma série de atualizações importantes em suas ferramentas de TI, que são fundamentais para melhorar a operacionalidade e atender às exigências de serviço. Aqui está uma visão detalhada dessas iniciativas:</w:t>
      </w:r>
    </w:p>
    <w:p w14:paraId="774AE3FF" w14:textId="77777777" w:rsidR="00604351" w:rsidRPr="0065694B" w:rsidRDefault="00604351" w:rsidP="00604351">
      <w:pPr>
        <w:spacing w:before="120" w:line="240" w:lineRule="auto"/>
        <w:rPr>
          <w:rFonts w:eastAsiaTheme="minorEastAsia"/>
          <w:b/>
          <w:sz w:val="22"/>
          <w:szCs w:val="22"/>
        </w:rPr>
      </w:pPr>
      <w:r w:rsidRPr="0065694B">
        <w:rPr>
          <w:rFonts w:eastAsiaTheme="minorEastAsia"/>
          <w:b/>
          <w:sz w:val="22"/>
          <w:szCs w:val="22"/>
        </w:rPr>
        <w:t>Principais iniciativas</w:t>
      </w:r>
    </w:p>
    <w:p w14:paraId="0F19A05B" w14:textId="77777777" w:rsidR="00604351" w:rsidRPr="0065694B" w:rsidRDefault="00604351" w:rsidP="00604351">
      <w:pPr>
        <w:numPr>
          <w:ilvl w:val="0"/>
          <w:numId w:val="68"/>
        </w:numPr>
        <w:spacing w:before="120" w:line="240" w:lineRule="auto"/>
        <w:rPr>
          <w:rFonts w:eastAsiaTheme="minorEastAsia"/>
          <w:sz w:val="22"/>
          <w:szCs w:val="22"/>
        </w:rPr>
      </w:pPr>
      <w:r w:rsidRPr="0065694B">
        <w:rPr>
          <w:rFonts w:eastAsiaTheme="minorEastAsia"/>
          <w:b/>
          <w:sz w:val="22"/>
          <w:szCs w:val="22"/>
        </w:rPr>
        <w:t xml:space="preserve">Portal de Clientes: </w:t>
      </w:r>
      <w:r w:rsidRPr="0065694B">
        <w:rPr>
          <w:rFonts w:eastAsiaTheme="minorEastAsia"/>
          <w:sz w:val="22"/>
          <w:szCs w:val="22"/>
        </w:rPr>
        <w:t xml:space="preserve">Desenvolvimento de um </w:t>
      </w:r>
      <w:r w:rsidRPr="0065694B">
        <w:rPr>
          <w:rFonts w:eastAsiaTheme="minorEastAsia"/>
          <w:bCs/>
          <w:sz w:val="22"/>
          <w:szCs w:val="22"/>
        </w:rPr>
        <w:t>novo portal</w:t>
      </w:r>
      <w:r w:rsidRPr="0065694B">
        <w:rPr>
          <w:rFonts w:eastAsiaTheme="minorEastAsia"/>
          <w:sz w:val="22"/>
          <w:szCs w:val="22"/>
        </w:rPr>
        <w:t xml:space="preserve">, proporcionando </w:t>
      </w:r>
      <w:r w:rsidRPr="0065694B">
        <w:rPr>
          <w:rFonts w:eastAsiaTheme="minorEastAsia"/>
          <w:bCs/>
          <w:sz w:val="22"/>
          <w:szCs w:val="22"/>
        </w:rPr>
        <w:t>acompanhamento mais eficiente dos serviços</w:t>
      </w:r>
      <w:r w:rsidRPr="0065694B">
        <w:rPr>
          <w:rFonts w:eastAsiaTheme="minorEastAsia"/>
          <w:sz w:val="22"/>
          <w:szCs w:val="22"/>
        </w:rPr>
        <w:t xml:space="preserve"> e uma </w:t>
      </w:r>
      <w:r w:rsidRPr="0065694B">
        <w:rPr>
          <w:rFonts w:eastAsiaTheme="minorEastAsia"/>
          <w:bCs/>
          <w:sz w:val="22"/>
          <w:szCs w:val="22"/>
        </w:rPr>
        <w:t>experiência aprimorada para os clientes</w:t>
      </w:r>
      <w:r w:rsidRPr="0065694B">
        <w:rPr>
          <w:rFonts w:eastAsiaTheme="minorEastAsia"/>
          <w:sz w:val="22"/>
          <w:szCs w:val="22"/>
        </w:rPr>
        <w:t>.</w:t>
      </w:r>
    </w:p>
    <w:p w14:paraId="65297A21" w14:textId="77777777" w:rsidR="00604351" w:rsidRPr="0065694B" w:rsidRDefault="00604351" w:rsidP="00604351">
      <w:pPr>
        <w:numPr>
          <w:ilvl w:val="0"/>
          <w:numId w:val="68"/>
        </w:numPr>
        <w:spacing w:before="120" w:line="240" w:lineRule="auto"/>
        <w:rPr>
          <w:rFonts w:eastAsiaTheme="minorEastAsia"/>
          <w:sz w:val="22"/>
          <w:szCs w:val="22"/>
        </w:rPr>
      </w:pPr>
      <w:r w:rsidRPr="0065694B">
        <w:rPr>
          <w:rFonts w:eastAsiaTheme="minorEastAsia"/>
          <w:b/>
          <w:sz w:val="22"/>
          <w:szCs w:val="22"/>
        </w:rPr>
        <w:t>Normativos</w:t>
      </w:r>
      <w:r w:rsidRPr="0065694B">
        <w:rPr>
          <w:rFonts w:eastAsiaTheme="minorEastAsia"/>
          <w:sz w:val="22"/>
          <w:szCs w:val="22"/>
        </w:rPr>
        <w:t xml:space="preserve">: Atualização de normativos para reforçar a </w:t>
      </w:r>
      <w:r w:rsidRPr="0065694B">
        <w:rPr>
          <w:rFonts w:eastAsiaTheme="minorEastAsia"/>
          <w:bCs/>
          <w:sz w:val="22"/>
          <w:szCs w:val="22"/>
        </w:rPr>
        <w:t>governança, o controle e a padronização dos processos internos</w:t>
      </w:r>
      <w:r w:rsidRPr="0065694B">
        <w:rPr>
          <w:rFonts w:eastAsiaTheme="minorEastAsia"/>
          <w:sz w:val="22"/>
          <w:szCs w:val="22"/>
        </w:rPr>
        <w:t>.</w:t>
      </w:r>
    </w:p>
    <w:p w14:paraId="033F313D" w14:textId="77777777" w:rsidR="00604351" w:rsidRPr="0065694B" w:rsidRDefault="00604351" w:rsidP="00604351">
      <w:pPr>
        <w:numPr>
          <w:ilvl w:val="0"/>
          <w:numId w:val="68"/>
        </w:numPr>
        <w:spacing w:before="120" w:line="240" w:lineRule="auto"/>
        <w:rPr>
          <w:rFonts w:eastAsiaTheme="minorEastAsia"/>
          <w:sz w:val="22"/>
          <w:szCs w:val="22"/>
        </w:rPr>
      </w:pPr>
      <w:r w:rsidRPr="0065694B">
        <w:rPr>
          <w:rFonts w:eastAsiaTheme="minorEastAsia"/>
          <w:b/>
          <w:sz w:val="22"/>
          <w:szCs w:val="22"/>
        </w:rPr>
        <w:t xml:space="preserve">SAD (Sistema de Avaliação de Desempenho): </w:t>
      </w:r>
      <w:r w:rsidRPr="0065694B">
        <w:rPr>
          <w:rFonts w:eastAsiaTheme="minorEastAsia"/>
          <w:sz w:val="22"/>
          <w:szCs w:val="22"/>
        </w:rPr>
        <w:t xml:space="preserve">Implementação de </w:t>
      </w:r>
      <w:r w:rsidRPr="0065694B">
        <w:rPr>
          <w:rFonts w:eastAsiaTheme="minorEastAsia"/>
          <w:bCs/>
          <w:sz w:val="22"/>
          <w:szCs w:val="22"/>
        </w:rPr>
        <w:t>ajustes e melhorias</w:t>
      </w:r>
      <w:r w:rsidRPr="0065694B">
        <w:rPr>
          <w:rFonts w:eastAsiaTheme="minorEastAsia"/>
          <w:sz w:val="22"/>
          <w:szCs w:val="22"/>
        </w:rPr>
        <w:t xml:space="preserve"> permitindo ajustes e evolução no processo de avaliação de desempenho dos colaboradores em </w:t>
      </w:r>
      <w:r w:rsidRPr="0065694B">
        <w:rPr>
          <w:rFonts w:eastAsiaTheme="minorEastAsia"/>
          <w:bCs/>
          <w:sz w:val="22"/>
          <w:szCs w:val="22"/>
        </w:rPr>
        <w:t>2024</w:t>
      </w:r>
      <w:r w:rsidRPr="0065694B">
        <w:rPr>
          <w:rFonts w:eastAsiaTheme="minorEastAsia"/>
          <w:sz w:val="22"/>
          <w:szCs w:val="22"/>
        </w:rPr>
        <w:t xml:space="preserve">, visando o </w:t>
      </w:r>
      <w:r w:rsidRPr="0065694B">
        <w:rPr>
          <w:rFonts w:eastAsiaTheme="minorEastAsia"/>
          <w:bCs/>
          <w:sz w:val="22"/>
          <w:szCs w:val="22"/>
        </w:rPr>
        <w:t>desenvolvimento contínuo da equipe</w:t>
      </w:r>
      <w:r w:rsidRPr="0065694B">
        <w:rPr>
          <w:rFonts w:eastAsiaTheme="minorEastAsia"/>
          <w:sz w:val="22"/>
          <w:szCs w:val="22"/>
        </w:rPr>
        <w:t>.</w:t>
      </w:r>
    </w:p>
    <w:p w14:paraId="2A509E32" w14:textId="77777777" w:rsidR="00604351" w:rsidRPr="0065694B" w:rsidRDefault="00604351" w:rsidP="00604351">
      <w:pPr>
        <w:numPr>
          <w:ilvl w:val="0"/>
          <w:numId w:val="68"/>
        </w:numPr>
        <w:spacing w:before="120" w:line="240" w:lineRule="auto"/>
        <w:rPr>
          <w:rFonts w:eastAsiaTheme="minorEastAsia"/>
          <w:sz w:val="22"/>
          <w:szCs w:val="22"/>
        </w:rPr>
      </w:pPr>
      <w:r w:rsidRPr="0065694B">
        <w:rPr>
          <w:rFonts w:eastAsiaTheme="minorEastAsia"/>
          <w:b/>
          <w:sz w:val="22"/>
          <w:szCs w:val="22"/>
        </w:rPr>
        <w:t xml:space="preserve">SIGA-DOC: </w:t>
      </w:r>
      <w:r w:rsidRPr="0065694B">
        <w:rPr>
          <w:rFonts w:eastAsiaTheme="minorEastAsia"/>
          <w:sz w:val="22"/>
          <w:szCs w:val="22"/>
        </w:rPr>
        <w:t xml:space="preserve">Evolução do sistema, agregando </w:t>
      </w:r>
      <w:r w:rsidRPr="0065694B">
        <w:rPr>
          <w:rFonts w:eastAsiaTheme="minorEastAsia"/>
          <w:bCs/>
          <w:sz w:val="22"/>
          <w:szCs w:val="22"/>
        </w:rPr>
        <w:t>novas funcionalidades</w:t>
      </w:r>
      <w:r w:rsidRPr="0065694B">
        <w:rPr>
          <w:rFonts w:eastAsiaTheme="minorEastAsia"/>
          <w:sz w:val="22"/>
          <w:szCs w:val="22"/>
        </w:rPr>
        <w:t xml:space="preserve"> para </w:t>
      </w:r>
      <w:r w:rsidRPr="0065694B">
        <w:rPr>
          <w:rFonts w:eastAsiaTheme="minorEastAsia"/>
          <w:bCs/>
          <w:sz w:val="22"/>
          <w:szCs w:val="22"/>
        </w:rPr>
        <w:t>otimizar as atividades diárias dos colaboradores</w:t>
      </w:r>
      <w:r w:rsidRPr="0065694B">
        <w:rPr>
          <w:rFonts w:eastAsiaTheme="minorEastAsia"/>
          <w:sz w:val="22"/>
          <w:szCs w:val="22"/>
        </w:rPr>
        <w:t>.</w:t>
      </w:r>
    </w:p>
    <w:p w14:paraId="71D19E02" w14:textId="77777777" w:rsidR="00604351" w:rsidRPr="0065694B" w:rsidRDefault="00604351" w:rsidP="00604351">
      <w:pPr>
        <w:numPr>
          <w:ilvl w:val="0"/>
          <w:numId w:val="68"/>
        </w:numPr>
        <w:spacing w:before="120" w:line="240" w:lineRule="auto"/>
        <w:rPr>
          <w:rFonts w:eastAsiaTheme="minorEastAsia"/>
          <w:sz w:val="22"/>
          <w:szCs w:val="22"/>
        </w:rPr>
      </w:pPr>
      <w:r w:rsidRPr="0065694B">
        <w:rPr>
          <w:rFonts w:eastAsiaTheme="minorEastAsia"/>
          <w:b/>
          <w:sz w:val="22"/>
          <w:szCs w:val="22"/>
        </w:rPr>
        <w:t>Ferramenta de Ordens de Serviços (OSS Order Management):</w:t>
      </w:r>
      <w:r w:rsidRPr="0065694B">
        <w:rPr>
          <w:rFonts w:eastAsiaTheme="minorEastAsia"/>
          <w:sz w:val="22"/>
          <w:szCs w:val="22"/>
        </w:rPr>
        <w:t xml:space="preserve"> Atualização do sistema, garantindo </w:t>
      </w:r>
      <w:r w:rsidRPr="0065694B">
        <w:rPr>
          <w:rFonts w:eastAsiaTheme="minorEastAsia"/>
          <w:bCs/>
          <w:sz w:val="22"/>
          <w:szCs w:val="22"/>
        </w:rPr>
        <w:t>correções, maior segurança e eficiência operacional</w:t>
      </w:r>
      <w:r w:rsidRPr="0065694B">
        <w:rPr>
          <w:rFonts w:eastAsiaTheme="minorEastAsia"/>
          <w:sz w:val="22"/>
          <w:szCs w:val="22"/>
        </w:rPr>
        <w:t>.</w:t>
      </w:r>
    </w:p>
    <w:p w14:paraId="11A7AC43" w14:textId="77777777" w:rsidR="00604351" w:rsidRPr="0065694B" w:rsidRDefault="00604351" w:rsidP="00604351">
      <w:pPr>
        <w:numPr>
          <w:ilvl w:val="0"/>
          <w:numId w:val="68"/>
        </w:numPr>
        <w:spacing w:before="120" w:line="240" w:lineRule="auto"/>
        <w:rPr>
          <w:rFonts w:eastAsiaTheme="minorEastAsia"/>
          <w:sz w:val="22"/>
          <w:szCs w:val="22"/>
        </w:rPr>
      </w:pPr>
      <w:r w:rsidRPr="0065694B">
        <w:rPr>
          <w:rFonts w:eastAsiaTheme="minorEastAsia"/>
          <w:b/>
          <w:sz w:val="22"/>
          <w:szCs w:val="22"/>
        </w:rPr>
        <w:t xml:space="preserve">Infraestrutura e Sistemas: </w:t>
      </w:r>
    </w:p>
    <w:p w14:paraId="688851CA" w14:textId="77777777" w:rsidR="00604351" w:rsidRPr="0065694B" w:rsidRDefault="00604351" w:rsidP="00604351">
      <w:pPr>
        <w:numPr>
          <w:ilvl w:val="0"/>
          <w:numId w:val="69"/>
        </w:numPr>
        <w:spacing w:before="120" w:line="240" w:lineRule="auto"/>
        <w:rPr>
          <w:rFonts w:eastAsiaTheme="minorEastAsia"/>
          <w:sz w:val="22"/>
          <w:szCs w:val="22"/>
        </w:rPr>
      </w:pPr>
      <w:r w:rsidRPr="0065694B">
        <w:rPr>
          <w:rFonts w:eastAsiaTheme="minorEastAsia"/>
          <w:bCs/>
          <w:sz w:val="22"/>
          <w:szCs w:val="22"/>
        </w:rPr>
        <w:t>Otimização do faturamento no SAP</w:t>
      </w:r>
      <w:r w:rsidRPr="0065694B">
        <w:rPr>
          <w:rFonts w:eastAsiaTheme="minorEastAsia"/>
          <w:sz w:val="22"/>
          <w:szCs w:val="22"/>
        </w:rPr>
        <w:t xml:space="preserve">, permitindo processamento </w:t>
      </w:r>
      <w:r w:rsidRPr="0065694B">
        <w:rPr>
          <w:rFonts w:eastAsiaTheme="minorEastAsia"/>
          <w:bCs/>
          <w:sz w:val="22"/>
          <w:szCs w:val="22"/>
        </w:rPr>
        <w:t>em background</w:t>
      </w:r>
      <w:r w:rsidRPr="0065694B">
        <w:rPr>
          <w:rFonts w:eastAsiaTheme="minorEastAsia"/>
          <w:sz w:val="22"/>
          <w:szCs w:val="22"/>
        </w:rPr>
        <w:t xml:space="preserve">, resultando em </w:t>
      </w:r>
      <w:r w:rsidRPr="0065694B">
        <w:rPr>
          <w:rFonts w:eastAsiaTheme="minorEastAsia"/>
          <w:bCs/>
          <w:sz w:val="22"/>
          <w:szCs w:val="22"/>
        </w:rPr>
        <w:t>melhor desempenho</w:t>
      </w:r>
      <w:r w:rsidRPr="0065694B">
        <w:rPr>
          <w:rFonts w:eastAsiaTheme="minorEastAsia"/>
          <w:sz w:val="22"/>
          <w:szCs w:val="22"/>
        </w:rPr>
        <w:t xml:space="preserve"> da solução.</w:t>
      </w:r>
    </w:p>
    <w:p w14:paraId="60A8E591" w14:textId="3DF11199" w:rsidR="00604351" w:rsidRPr="0065694B" w:rsidRDefault="00604351" w:rsidP="0065694B">
      <w:pPr>
        <w:numPr>
          <w:ilvl w:val="0"/>
          <w:numId w:val="69"/>
        </w:numPr>
        <w:spacing w:before="120" w:line="240" w:lineRule="auto"/>
        <w:rPr>
          <w:rFonts w:eastAsiaTheme="minorEastAsia"/>
          <w:sz w:val="22"/>
          <w:szCs w:val="22"/>
        </w:rPr>
      </w:pPr>
      <w:r w:rsidRPr="0065694B">
        <w:rPr>
          <w:rFonts w:eastAsiaTheme="minorEastAsia"/>
          <w:bCs/>
          <w:sz w:val="22"/>
          <w:szCs w:val="22"/>
        </w:rPr>
        <w:t>Estudo técnico, desenvolvimento e testes</w:t>
      </w:r>
      <w:r w:rsidRPr="0065694B">
        <w:rPr>
          <w:rFonts w:eastAsiaTheme="minorEastAsia"/>
          <w:sz w:val="22"/>
          <w:szCs w:val="22"/>
        </w:rPr>
        <w:t xml:space="preserve"> para aprimorar o </w:t>
      </w:r>
      <w:r w:rsidRPr="0065694B">
        <w:rPr>
          <w:rFonts w:eastAsiaTheme="minorEastAsia"/>
          <w:bCs/>
          <w:sz w:val="22"/>
          <w:szCs w:val="22"/>
        </w:rPr>
        <w:t>monitoramento de recursos de TI</w:t>
      </w:r>
      <w:r w:rsidRPr="0065694B">
        <w:rPr>
          <w:rFonts w:eastAsiaTheme="minorEastAsia"/>
          <w:sz w:val="22"/>
          <w:szCs w:val="22"/>
        </w:rPr>
        <w:t xml:space="preserve">, utilizando as plataformas </w:t>
      </w:r>
      <w:r w:rsidRPr="0065694B">
        <w:rPr>
          <w:rFonts w:eastAsiaTheme="minorEastAsia"/>
          <w:bCs/>
          <w:sz w:val="22"/>
          <w:szCs w:val="22"/>
        </w:rPr>
        <w:t>Zabbix</w:t>
      </w:r>
      <w:r w:rsidRPr="0065694B">
        <w:rPr>
          <w:rFonts w:eastAsiaTheme="minorEastAsia"/>
          <w:sz w:val="22"/>
          <w:szCs w:val="22"/>
        </w:rPr>
        <w:t xml:space="preserve"> e </w:t>
      </w:r>
      <w:r w:rsidRPr="0065694B">
        <w:rPr>
          <w:rFonts w:eastAsiaTheme="minorEastAsia"/>
          <w:bCs/>
          <w:sz w:val="22"/>
          <w:szCs w:val="22"/>
        </w:rPr>
        <w:t>Grafana</w:t>
      </w:r>
      <w:r w:rsidRPr="0065694B">
        <w:rPr>
          <w:rFonts w:eastAsiaTheme="minorEastAsia"/>
          <w:sz w:val="22"/>
          <w:szCs w:val="22"/>
        </w:rPr>
        <w:t>.</w:t>
      </w:r>
    </w:p>
    <w:p w14:paraId="4A7BCF68" w14:textId="77777777" w:rsidR="00604351" w:rsidRPr="0065694B" w:rsidRDefault="00604351" w:rsidP="00604351">
      <w:pPr>
        <w:numPr>
          <w:ilvl w:val="0"/>
          <w:numId w:val="67"/>
        </w:numPr>
        <w:spacing w:before="120" w:line="240" w:lineRule="auto"/>
        <w:rPr>
          <w:rFonts w:eastAsiaTheme="minorEastAsia"/>
          <w:sz w:val="22"/>
          <w:szCs w:val="22"/>
        </w:rPr>
      </w:pPr>
      <w:r w:rsidRPr="0065694B">
        <w:rPr>
          <w:rFonts w:eastAsiaTheme="minorEastAsia"/>
          <w:b/>
          <w:sz w:val="22"/>
          <w:szCs w:val="22"/>
        </w:rPr>
        <w:t xml:space="preserve">NFCOM (Nota Fiscal Eletrônica): </w:t>
      </w:r>
      <w:r w:rsidRPr="0065694B">
        <w:rPr>
          <w:rFonts w:eastAsiaTheme="minorEastAsia"/>
          <w:sz w:val="22"/>
          <w:szCs w:val="22"/>
        </w:rPr>
        <w:t xml:space="preserve">Início do desenvolvimento do </w:t>
      </w:r>
      <w:r w:rsidRPr="0065694B">
        <w:rPr>
          <w:rFonts w:eastAsiaTheme="minorEastAsia"/>
          <w:bCs/>
          <w:sz w:val="22"/>
          <w:szCs w:val="22"/>
        </w:rPr>
        <w:t>novo modelo de nota fiscal eletrônica (modelo 62)</w:t>
      </w:r>
      <w:r w:rsidRPr="0065694B">
        <w:rPr>
          <w:rFonts w:eastAsiaTheme="minorEastAsia"/>
          <w:sz w:val="22"/>
          <w:szCs w:val="22"/>
        </w:rPr>
        <w:t xml:space="preserve">, em substituição aos </w:t>
      </w:r>
      <w:r w:rsidRPr="0065694B">
        <w:rPr>
          <w:rFonts w:eastAsiaTheme="minorEastAsia"/>
          <w:bCs/>
          <w:sz w:val="22"/>
          <w:szCs w:val="22"/>
        </w:rPr>
        <w:t>modelos antigos (21 e 22)</w:t>
      </w:r>
      <w:r w:rsidRPr="0065694B">
        <w:rPr>
          <w:rFonts w:eastAsiaTheme="minorEastAsia"/>
          <w:sz w:val="22"/>
          <w:szCs w:val="22"/>
        </w:rPr>
        <w:t>.</w:t>
      </w:r>
    </w:p>
    <w:p w14:paraId="6309E509" w14:textId="11BC4F29" w:rsidR="00216628" w:rsidRPr="0065694B" w:rsidRDefault="00604351">
      <w:pPr>
        <w:spacing w:before="120" w:line="240" w:lineRule="auto"/>
        <w:rPr>
          <w:rFonts w:eastAsiaTheme="minorEastAsia"/>
          <w:sz w:val="22"/>
          <w:szCs w:val="22"/>
        </w:rPr>
      </w:pPr>
      <w:r w:rsidRPr="0065694B">
        <w:rPr>
          <w:rFonts w:eastAsiaTheme="minorEastAsia"/>
          <w:sz w:val="22"/>
          <w:szCs w:val="22"/>
        </w:rPr>
        <w:t xml:space="preserve">Essas melhorias refletem o </w:t>
      </w:r>
      <w:r w:rsidRPr="0065694B">
        <w:rPr>
          <w:rFonts w:eastAsiaTheme="minorEastAsia"/>
          <w:bCs/>
          <w:sz w:val="22"/>
          <w:szCs w:val="22"/>
        </w:rPr>
        <w:t>compromisso da Telebras</w:t>
      </w:r>
      <w:r w:rsidRPr="0065694B">
        <w:rPr>
          <w:rFonts w:eastAsiaTheme="minorEastAsia"/>
          <w:sz w:val="22"/>
          <w:szCs w:val="22"/>
        </w:rPr>
        <w:t xml:space="preserve"> com a </w:t>
      </w:r>
      <w:r w:rsidRPr="0065694B">
        <w:rPr>
          <w:rFonts w:eastAsiaTheme="minorEastAsia"/>
          <w:bCs/>
          <w:sz w:val="22"/>
          <w:szCs w:val="22"/>
        </w:rPr>
        <w:t>modernização da infraestrutura tecnológica</w:t>
      </w:r>
      <w:r w:rsidRPr="0065694B">
        <w:rPr>
          <w:rFonts w:eastAsiaTheme="minorEastAsia"/>
          <w:sz w:val="22"/>
          <w:szCs w:val="22"/>
        </w:rPr>
        <w:t xml:space="preserve">, garantindo </w:t>
      </w:r>
      <w:r w:rsidRPr="0065694B">
        <w:rPr>
          <w:rFonts w:eastAsiaTheme="minorEastAsia"/>
          <w:bCs/>
          <w:sz w:val="22"/>
          <w:szCs w:val="22"/>
        </w:rPr>
        <w:t>mais eficiência, segurança e qualidade</w:t>
      </w:r>
      <w:r w:rsidRPr="0065694B">
        <w:rPr>
          <w:rFonts w:eastAsiaTheme="minorEastAsia"/>
          <w:sz w:val="22"/>
          <w:szCs w:val="22"/>
        </w:rPr>
        <w:t xml:space="preserve"> nos serviços prestados.</w:t>
      </w:r>
    </w:p>
    <w:p w14:paraId="1D01808B" w14:textId="00358F92" w:rsidR="00CB7A50" w:rsidRPr="0065694B" w:rsidRDefault="00CE7ABB" w:rsidP="0065694B">
      <w:pPr>
        <w:pStyle w:val="Ttulo2"/>
        <w:spacing w:before="240" w:after="120" w:line="276" w:lineRule="auto"/>
        <w:ind w:left="567" w:hanging="567"/>
        <w:rPr>
          <w:rFonts w:eastAsiaTheme="minorEastAsia"/>
          <w:b w:val="0"/>
          <w:sz w:val="22"/>
          <w:szCs w:val="22"/>
        </w:rPr>
      </w:pPr>
      <w:bookmarkStart w:id="439" w:name="_Toc191641907"/>
      <w:r w:rsidRPr="0065694B">
        <w:rPr>
          <w:b w:val="0"/>
          <w:bCs w:val="0"/>
          <w:iCs w:val="0"/>
        </w:rPr>
        <w:t>Segurança da Informação e Comunicações</w:t>
      </w:r>
      <w:bookmarkEnd w:id="439"/>
    </w:p>
    <w:p w14:paraId="2D133628" w14:textId="21E6596D" w:rsidR="0024778E" w:rsidRPr="0065694B" w:rsidRDefault="0024778E" w:rsidP="0024778E">
      <w:pPr>
        <w:spacing w:before="120" w:line="240" w:lineRule="auto"/>
        <w:rPr>
          <w:rFonts w:eastAsiaTheme="minorEastAsia"/>
          <w:b/>
          <w:sz w:val="22"/>
          <w:szCs w:val="22"/>
        </w:rPr>
      </w:pPr>
      <w:r w:rsidRPr="0065694B">
        <w:rPr>
          <w:rFonts w:eastAsiaTheme="minorEastAsia"/>
          <w:b/>
          <w:sz w:val="22"/>
          <w:szCs w:val="22"/>
        </w:rPr>
        <w:t>Conscientização e Treinamento em Segurança Cibernética</w:t>
      </w:r>
    </w:p>
    <w:p w14:paraId="637921A6" w14:textId="21D185F2" w:rsidR="00604351" w:rsidRPr="00604351" w:rsidRDefault="00604351" w:rsidP="00604351">
      <w:pPr>
        <w:spacing w:before="120" w:line="240" w:lineRule="auto"/>
        <w:rPr>
          <w:rFonts w:eastAsiaTheme="minorEastAsia"/>
          <w:sz w:val="22"/>
          <w:szCs w:val="22"/>
        </w:rPr>
      </w:pPr>
      <w:r w:rsidRPr="00604351">
        <w:rPr>
          <w:rFonts w:eastAsiaTheme="minorEastAsia"/>
          <w:sz w:val="22"/>
          <w:szCs w:val="22"/>
        </w:rPr>
        <w:t xml:space="preserve">A </w:t>
      </w:r>
      <w:r w:rsidRPr="00604351">
        <w:rPr>
          <w:rFonts w:eastAsiaTheme="minorEastAsia"/>
          <w:bCs/>
          <w:sz w:val="22"/>
          <w:szCs w:val="22"/>
        </w:rPr>
        <w:t>Telebras</w:t>
      </w:r>
      <w:r w:rsidRPr="00604351">
        <w:rPr>
          <w:rFonts w:eastAsiaTheme="minorEastAsia"/>
          <w:sz w:val="22"/>
          <w:szCs w:val="22"/>
        </w:rPr>
        <w:t xml:space="preserve"> reforçou suas ações em </w:t>
      </w:r>
      <w:r w:rsidRPr="00604351">
        <w:rPr>
          <w:rFonts w:eastAsiaTheme="minorEastAsia"/>
          <w:bCs/>
          <w:sz w:val="22"/>
          <w:szCs w:val="22"/>
        </w:rPr>
        <w:t>segurança da informação e comunicações</w:t>
      </w:r>
      <w:r w:rsidRPr="00604351">
        <w:rPr>
          <w:rFonts w:eastAsiaTheme="minorEastAsia"/>
          <w:sz w:val="22"/>
          <w:szCs w:val="22"/>
        </w:rPr>
        <w:t xml:space="preserve">, implementando iniciativas voltadas à </w:t>
      </w:r>
      <w:r w:rsidRPr="00604351">
        <w:rPr>
          <w:rFonts w:eastAsiaTheme="minorEastAsia"/>
          <w:bCs/>
          <w:sz w:val="22"/>
          <w:szCs w:val="22"/>
        </w:rPr>
        <w:t>conscientização, treinamento e aprimoramento da defesa cibernética</w:t>
      </w:r>
      <w:r w:rsidRPr="00604351">
        <w:rPr>
          <w:rFonts w:eastAsiaTheme="minorEastAsia"/>
          <w:sz w:val="22"/>
          <w:szCs w:val="22"/>
        </w:rPr>
        <w:t>.</w:t>
      </w:r>
    </w:p>
    <w:p w14:paraId="390CCC46" w14:textId="574EDF69" w:rsidR="00604351" w:rsidRPr="00604351" w:rsidRDefault="00604351" w:rsidP="00C00EF0">
      <w:pPr>
        <w:spacing w:before="120" w:line="240" w:lineRule="auto"/>
        <w:rPr>
          <w:rFonts w:eastAsiaTheme="minorEastAsia"/>
          <w:bCs/>
          <w:sz w:val="22"/>
          <w:szCs w:val="22"/>
        </w:rPr>
      </w:pPr>
      <w:r w:rsidRPr="00604351">
        <w:rPr>
          <w:rFonts w:eastAsiaTheme="minorEastAsia"/>
          <w:b/>
          <w:sz w:val="22"/>
          <w:szCs w:val="22"/>
        </w:rPr>
        <w:t xml:space="preserve">Conscientização sobre Segurança Cibernética: </w:t>
      </w:r>
      <w:r w:rsidR="000056B7">
        <w:rPr>
          <w:rFonts w:eastAsiaTheme="minorEastAsia"/>
          <w:bCs/>
          <w:sz w:val="22"/>
          <w:szCs w:val="22"/>
        </w:rPr>
        <w:t xml:space="preserve">A Telebras lançou o </w:t>
      </w:r>
      <w:r w:rsidRPr="00604351">
        <w:rPr>
          <w:rFonts w:eastAsiaTheme="minorEastAsia"/>
          <w:bCs/>
          <w:sz w:val="22"/>
          <w:szCs w:val="22"/>
        </w:rPr>
        <w:t xml:space="preserve">programa de conscientização em segurança cibernética, capacitando os colaboradores com informações essenciais sobre boas práticas e ameaças digitais. A iniciativa reforça o </w:t>
      </w:r>
      <w:r w:rsidRPr="00604351">
        <w:rPr>
          <w:rFonts w:eastAsiaTheme="minorEastAsia"/>
          <w:sz w:val="22"/>
          <w:szCs w:val="22"/>
        </w:rPr>
        <w:t>compromisso da Telebras</w:t>
      </w:r>
      <w:r w:rsidRPr="00604351">
        <w:rPr>
          <w:rFonts w:eastAsiaTheme="minorEastAsia"/>
          <w:bCs/>
          <w:sz w:val="22"/>
          <w:szCs w:val="22"/>
        </w:rPr>
        <w:t xml:space="preserve"> em manter um </w:t>
      </w:r>
      <w:r w:rsidRPr="00604351">
        <w:rPr>
          <w:rFonts w:eastAsiaTheme="minorEastAsia"/>
          <w:sz w:val="22"/>
          <w:szCs w:val="22"/>
        </w:rPr>
        <w:t>ambiente digital seguro</w:t>
      </w:r>
      <w:r w:rsidRPr="00604351">
        <w:rPr>
          <w:rFonts w:eastAsiaTheme="minorEastAsia"/>
          <w:bCs/>
          <w:sz w:val="22"/>
          <w:szCs w:val="22"/>
        </w:rPr>
        <w:t xml:space="preserve">, promovendo uma cultura organizacional voltada à </w:t>
      </w:r>
      <w:r w:rsidRPr="00604351">
        <w:rPr>
          <w:rFonts w:eastAsiaTheme="minorEastAsia"/>
          <w:sz w:val="22"/>
          <w:szCs w:val="22"/>
        </w:rPr>
        <w:t>segurança da informação</w:t>
      </w:r>
      <w:r w:rsidRPr="00604351">
        <w:rPr>
          <w:rFonts w:eastAsiaTheme="minorEastAsia"/>
          <w:bCs/>
          <w:sz w:val="22"/>
          <w:szCs w:val="22"/>
        </w:rPr>
        <w:t>.</w:t>
      </w:r>
    </w:p>
    <w:p w14:paraId="0DB2F4F7" w14:textId="3A94679C" w:rsidR="00604351" w:rsidRPr="00604351" w:rsidRDefault="00604351" w:rsidP="00C00EF0">
      <w:pPr>
        <w:spacing w:before="120" w:line="240" w:lineRule="auto"/>
        <w:rPr>
          <w:rFonts w:eastAsiaTheme="minorEastAsia"/>
          <w:bCs/>
          <w:sz w:val="22"/>
          <w:szCs w:val="22"/>
        </w:rPr>
      </w:pPr>
      <w:r w:rsidRPr="00604351">
        <w:rPr>
          <w:rFonts w:eastAsiaTheme="minorEastAsia"/>
          <w:b/>
          <w:sz w:val="22"/>
          <w:szCs w:val="22"/>
        </w:rPr>
        <w:t>Participação no Exercício Guardião Cibernético (EGC) 6.0</w:t>
      </w:r>
      <w:r w:rsidR="000056B7">
        <w:rPr>
          <w:rFonts w:eastAsiaTheme="minorEastAsia"/>
          <w:b/>
          <w:sz w:val="22"/>
          <w:szCs w:val="22"/>
        </w:rPr>
        <w:t xml:space="preserve">: </w:t>
      </w:r>
      <w:r w:rsidRPr="00604351">
        <w:rPr>
          <w:rFonts w:eastAsiaTheme="minorEastAsia"/>
          <w:bCs/>
          <w:sz w:val="22"/>
          <w:szCs w:val="22"/>
        </w:rPr>
        <w:t xml:space="preserve">A </w:t>
      </w:r>
      <w:r w:rsidRPr="00604351">
        <w:rPr>
          <w:rFonts w:eastAsiaTheme="minorEastAsia"/>
          <w:sz w:val="22"/>
          <w:szCs w:val="22"/>
        </w:rPr>
        <w:t>Telebras</w:t>
      </w:r>
      <w:r w:rsidRPr="00604351">
        <w:rPr>
          <w:rFonts w:eastAsiaTheme="minorEastAsia"/>
          <w:bCs/>
          <w:sz w:val="22"/>
          <w:szCs w:val="22"/>
        </w:rPr>
        <w:t xml:space="preserve"> participou do </w:t>
      </w:r>
      <w:r w:rsidRPr="00604351">
        <w:rPr>
          <w:rFonts w:eastAsiaTheme="minorEastAsia"/>
          <w:sz w:val="22"/>
          <w:szCs w:val="22"/>
        </w:rPr>
        <w:t>Exercício Guardião Cibernético (EGC) 6.0</w:t>
      </w:r>
      <w:r w:rsidRPr="00604351">
        <w:rPr>
          <w:rFonts w:eastAsiaTheme="minorEastAsia"/>
          <w:bCs/>
          <w:sz w:val="22"/>
          <w:szCs w:val="22"/>
        </w:rPr>
        <w:t xml:space="preserve">, um dos principais eventos de </w:t>
      </w:r>
      <w:r w:rsidRPr="00604351">
        <w:rPr>
          <w:rFonts w:eastAsiaTheme="minorEastAsia"/>
          <w:sz w:val="22"/>
          <w:szCs w:val="22"/>
        </w:rPr>
        <w:t>defesa cibernética do Hemisfério Sul</w:t>
      </w:r>
      <w:r w:rsidRPr="00604351">
        <w:rPr>
          <w:rFonts w:eastAsiaTheme="minorEastAsia"/>
          <w:bCs/>
          <w:sz w:val="22"/>
          <w:szCs w:val="22"/>
        </w:rPr>
        <w:t>.</w:t>
      </w:r>
      <w:r w:rsidR="000056B7">
        <w:rPr>
          <w:rFonts w:eastAsiaTheme="minorEastAsia"/>
          <w:bCs/>
          <w:sz w:val="22"/>
          <w:szCs w:val="22"/>
        </w:rPr>
        <w:t xml:space="preserve"> </w:t>
      </w:r>
      <w:r w:rsidRPr="00604351">
        <w:rPr>
          <w:rFonts w:eastAsiaTheme="minorEastAsia"/>
          <w:bCs/>
          <w:sz w:val="22"/>
          <w:szCs w:val="22"/>
        </w:rPr>
        <w:t xml:space="preserve">O evento, organizado pelo </w:t>
      </w:r>
      <w:r w:rsidRPr="00604351">
        <w:rPr>
          <w:rFonts w:eastAsiaTheme="minorEastAsia"/>
          <w:sz w:val="22"/>
          <w:szCs w:val="22"/>
        </w:rPr>
        <w:t>Comando de Defesa Cibernética (ComDCiber)</w:t>
      </w:r>
      <w:r w:rsidRPr="00604351">
        <w:rPr>
          <w:rFonts w:eastAsiaTheme="minorEastAsia"/>
          <w:bCs/>
          <w:sz w:val="22"/>
          <w:szCs w:val="22"/>
        </w:rPr>
        <w:t xml:space="preserve"> e realizado na </w:t>
      </w:r>
      <w:r w:rsidRPr="00604351">
        <w:rPr>
          <w:rFonts w:eastAsiaTheme="minorEastAsia"/>
          <w:sz w:val="22"/>
          <w:szCs w:val="22"/>
        </w:rPr>
        <w:t>Escola Superior de Defesa (ESD), em Brasília</w:t>
      </w:r>
      <w:r w:rsidRPr="00604351">
        <w:rPr>
          <w:rFonts w:eastAsiaTheme="minorEastAsia"/>
          <w:bCs/>
          <w:sz w:val="22"/>
          <w:szCs w:val="22"/>
        </w:rPr>
        <w:t xml:space="preserve">, possibilitou o </w:t>
      </w:r>
      <w:r w:rsidRPr="00604351">
        <w:rPr>
          <w:rFonts w:eastAsiaTheme="minorEastAsia"/>
          <w:sz w:val="22"/>
          <w:szCs w:val="22"/>
        </w:rPr>
        <w:t>aprimoramento das estratégias de defesa cibernética</w:t>
      </w:r>
      <w:r w:rsidRPr="00604351">
        <w:rPr>
          <w:rFonts w:eastAsiaTheme="minorEastAsia"/>
          <w:bCs/>
          <w:sz w:val="22"/>
          <w:szCs w:val="22"/>
        </w:rPr>
        <w:t xml:space="preserve"> da empresa.</w:t>
      </w:r>
      <w:r w:rsidR="000056B7">
        <w:rPr>
          <w:rFonts w:eastAsiaTheme="minorEastAsia"/>
          <w:bCs/>
          <w:sz w:val="22"/>
          <w:szCs w:val="22"/>
        </w:rPr>
        <w:t xml:space="preserve"> </w:t>
      </w:r>
      <w:r w:rsidRPr="00604351">
        <w:rPr>
          <w:rFonts w:eastAsiaTheme="minorEastAsia"/>
          <w:bCs/>
          <w:sz w:val="22"/>
          <w:szCs w:val="22"/>
        </w:rPr>
        <w:t xml:space="preserve">A participação fortaleceu a </w:t>
      </w:r>
      <w:r w:rsidRPr="00604351">
        <w:rPr>
          <w:rFonts w:eastAsiaTheme="minorEastAsia"/>
          <w:sz w:val="22"/>
          <w:szCs w:val="22"/>
        </w:rPr>
        <w:t>capacidade de resposta a incidentes</w:t>
      </w:r>
      <w:r w:rsidRPr="00604351">
        <w:rPr>
          <w:rFonts w:eastAsiaTheme="minorEastAsia"/>
          <w:bCs/>
          <w:sz w:val="22"/>
          <w:szCs w:val="22"/>
        </w:rPr>
        <w:t xml:space="preserve"> e permitiu a </w:t>
      </w:r>
      <w:r w:rsidRPr="00604351">
        <w:rPr>
          <w:rFonts w:eastAsiaTheme="minorEastAsia"/>
          <w:sz w:val="22"/>
          <w:szCs w:val="22"/>
        </w:rPr>
        <w:t>troca de conhecimentos</w:t>
      </w:r>
      <w:r w:rsidRPr="00604351">
        <w:rPr>
          <w:rFonts w:eastAsiaTheme="minorEastAsia"/>
          <w:bCs/>
          <w:sz w:val="22"/>
          <w:szCs w:val="22"/>
        </w:rPr>
        <w:t xml:space="preserve"> com outras entidades do setor.</w:t>
      </w:r>
    </w:p>
    <w:p w14:paraId="256C61E0" w14:textId="77777777" w:rsidR="00604351" w:rsidRPr="00604351" w:rsidRDefault="00604351" w:rsidP="00C00EF0">
      <w:pPr>
        <w:spacing w:before="120" w:line="240" w:lineRule="auto"/>
        <w:rPr>
          <w:rFonts w:eastAsiaTheme="minorEastAsia"/>
          <w:bCs/>
          <w:sz w:val="22"/>
          <w:szCs w:val="22"/>
        </w:rPr>
      </w:pPr>
      <w:r w:rsidRPr="00604351">
        <w:rPr>
          <w:rFonts w:eastAsiaTheme="minorEastAsia"/>
          <w:b/>
          <w:sz w:val="22"/>
          <w:szCs w:val="22"/>
        </w:rPr>
        <w:t>Atualizações Sistêmicas:</w:t>
      </w:r>
      <w:r w:rsidRPr="00604351">
        <w:rPr>
          <w:rFonts w:eastAsiaTheme="minorEastAsia"/>
          <w:b/>
          <w:i/>
          <w:iCs/>
          <w:sz w:val="22"/>
          <w:szCs w:val="22"/>
        </w:rPr>
        <w:t xml:space="preserve"> </w:t>
      </w:r>
      <w:r w:rsidRPr="00604351">
        <w:rPr>
          <w:rFonts w:eastAsiaTheme="minorEastAsia"/>
          <w:bCs/>
          <w:sz w:val="22"/>
          <w:szCs w:val="22"/>
        </w:rPr>
        <w:t xml:space="preserve">Foram realizadas </w:t>
      </w:r>
      <w:r w:rsidRPr="00604351">
        <w:rPr>
          <w:rFonts w:eastAsiaTheme="minorEastAsia"/>
          <w:sz w:val="22"/>
          <w:szCs w:val="22"/>
        </w:rPr>
        <w:t>atualizações críticas em sistemas essenciais</w:t>
      </w:r>
      <w:r w:rsidRPr="00604351">
        <w:rPr>
          <w:rFonts w:eastAsiaTheme="minorEastAsia"/>
          <w:bCs/>
          <w:sz w:val="22"/>
          <w:szCs w:val="22"/>
        </w:rPr>
        <w:t xml:space="preserve">, garantindo um </w:t>
      </w:r>
      <w:r w:rsidRPr="00604351">
        <w:rPr>
          <w:rFonts w:eastAsiaTheme="minorEastAsia"/>
          <w:sz w:val="22"/>
          <w:szCs w:val="22"/>
        </w:rPr>
        <w:t>nível de segurança elevado</w:t>
      </w:r>
      <w:r w:rsidRPr="00604351">
        <w:rPr>
          <w:rFonts w:eastAsiaTheme="minorEastAsia"/>
          <w:bCs/>
          <w:sz w:val="22"/>
          <w:szCs w:val="22"/>
        </w:rPr>
        <w:t xml:space="preserve"> e </w:t>
      </w:r>
      <w:r w:rsidRPr="00604351">
        <w:rPr>
          <w:rFonts w:eastAsiaTheme="minorEastAsia"/>
          <w:sz w:val="22"/>
          <w:szCs w:val="22"/>
        </w:rPr>
        <w:t>reforçando a proteção contra ameaças digitais</w:t>
      </w:r>
      <w:r w:rsidRPr="00604351">
        <w:rPr>
          <w:rFonts w:eastAsiaTheme="minorEastAsia"/>
          <w:bCs/>
          <w:sz w:val="22"/>
          <w:szCs w:val="22"/>
        </w:rPr>
        <w:t>.</w:t>
      </w:r>
    </w:p>
    <w:p w14:paraId="49F3A66A" w14:textId="77777777" w:rsidR="00604351" w:rsidRPr="00604351" w:rsidRDefault="00604351" w:rsidP="00604351">
      <w:pPr>
        <w:spacing w:before="120" w:line="240" w:lineRule="auto"/>
        <w:rPr>
          <w:rFonts w:eastAsiaTheme="minorEastAsia"/>
          <w:sz w:val="22"/>
          <w:szCs w:val="22"/>
        </w:rPr>
      </w:pPr>
      <w:r w:rsidRPr="00604351">
        <w:rPr>
          <w:rFonts w:eastAsiaTheme="minorEastAsia"/>
          <w:sz w:val="22"/>
          <w:szCs w:val="22"/>
        </w:rPr>
        <w:t xml:space="preserve">Essas ações evidenciam o </w:t>
      </w:r>
      <w:r w:rsidRPr="00604351">
        <w:rPr>
          <w:rFonts w:eastAsiaTheme="minorEastAsia"/>
          <w:bCs/>
          <w:sz w:val="22"/>
          <w:szCs w:val="22"/>
        </w:rPr>
        <w:t>compromisso contínuo da Telebras</w:t>
      </w:r>
      <w:r w:rsidRPr="00604351">
        <w:rPr>
          <w:rFonts w:eastAsiaTheme="minorEastAsia"/>
          <w:sz w:val="22"/>
          <w:szCs w:val="22"/>
        </w:rPr>
        <w:t xml:space="preserve"> em </w:t>
      </w:r>
      <w:r w:rsidRPr="00604351">
        <w:rPr>
          <w:rFonts w:eastAsiaTheme="minorEastAsia"/>
          <w:bCs/>
          <w:sz w:val="22"/>
          <w:szCs w:val="22"/>
        </w:rPr>
        <w:t>proteger suas operações e infraestrutura digital</w:t>
      </w:r>
      <w:r w:rsidRPr="00604351">
        <w:rPr>
          <w:rFonts w:eastAsiaTheme="minorEastAsia"/>
          <w:sz w:val="22"/>
          <w:szCs w:val="22"/>
        </w:rPr>
        <w:t xml:space="preserve">, garantindo a </w:t>
      </w:r>
      <w:r w:rsidRPr="00604351">
        <w:rPr>
          <w:rFonts w:eastAsiaTheme="minorEastAsia"/>
          <w:bCs/>
          <w:sz w:val="22"/>
          <w:szCs w:val="22"/>
        </w:rPr>
        <w:t>segurança da informação e a resiliência cibernética</w:t>
      </w:r>
      <w:r w:rsidRPr="00604351">
        <w:rPr>
          <w:rFonts w:eastAsiaTheme="minorEastAsia"/>
          <w:sz w:val="22"/>
          <w:szCs w:val="22"/>
        </w:rPr>
        <w:t xml:space="preserve"> da empresa.</w:t>
      </w:r>
    </w:p>
    <w:p w14:paraId="581B69F1" w14:textId="5C07448B" w:rsidR="00DA051C" w:rsidRPr="00D44CF4" w:rsidRDefault="00DA051C" w:rsidP="00604351">
      <w:pPr>
        <w:spacing w:before="120" w:line="240" w:lineRule="auto"/>
        <w:rPr>
          <w:highlight w:val="yellow"/>
        </w:rPr>
      </w:pPr>
    </w:p>
    <w:p w14:paraId="698C45ED" w14:textId="56CC8823" w:rsidR="005F0BD1" w:rsidRPr="002825B6" w:rsidRDefault="2294BC08" w:rsidP="00A24589">
      <w:pPr>
        <w:pStyle w:val="Ttulo1"/>
        <w:spacing w:after="240"/>
        <w:ind w:left="567" w:hanging="567"/>
      </w:pPr>
      <w:bookmarkStart w:id="440" w:name="_Toc191641908"/>
      <w:bookmarkEnd w:id="334"/>
      <w:r w:rsidRPr="002825B6">
        <w:t>Gestão de Pessoas</w:t>
      </w:r>
      <w:bookmarkEnd w:id="440"/>
    </w:p>
    <w:p w14:paraId="736F650F" w14:textId="621A2CCD" w:rsidR="6B0B5A0D" w:rsidRPr="002825B6" w:rsidRDefault="472E19A3" w:rsidP="00740C79">
      <w:pPr>
        <w:pStyle w:val="Ttulo2"/>
        <w:spacing w:before="240" w:after="120" w:line="276" w:lineRule="auto"/>
        <w:ind w:left="567" w:hanging="567"/>
      </w:pPr>
      <w:bookmarkStart w:id="441" w:name="_Toc191641909"/>
      <w:r w:rsidRPr="002825B6">
        <w:t>Planos de Previdência e Seguridade Social</w:t>
      </w:r>
      <w:bookmarkEnd w:id="441"/>
    </w:p>
    <w:p w14:paraId="45F4902A" w14:textId="77777777" w:rsidR="002825B6" w:rsidRPr="00505643" w:rsidRDefault="002825B6" w:rsidP="002825B6">
      <w:pPr>
        <w:spacing w:before="120" w:line="240" w:lineRule="auto"/>
        <w:rPr>
          <w:rFonts w:cs="Arial"/>
          <w:sz w:val="22"/>
        </w:rPr>
      </w:pPr>
      <w:r w:rsidRPr="00505643">
        <w:rPr>
          <w:rFonts w:cs="Arial"/>
          <w:sz w:val="22"/>
        </w:rPr>
        <w:t>A Telebras patrocina três planos de previdência complementar geridos pela Fundação Sistel de Seguridade Social, demonstrando seu compromisso com o bem-estar dos colaboradores atuais e aposentados:</w:t>
      </w:r>
    </w:p>
    <w:p w14:paraId="524B84FB" w14:textId="77777777" w:rsidR="002825B6" w:rsidRPr="00505643" w:rsidRDefault="002825B6" w:rsidP="002825B6">
      <w:pPr>
        <w:spacing w:before="120" w:line="240" w:lineRule="auto"/>
        <w:rPr>
          <w:rFonts w:cs="Arial"/>
          <w:sz w:val="22"/>
        </w:rPr>
      </w:pPr>
      <w:r w:rsidRPr="00505643">
        <w:rPr>
          <w:rFonts w:cs="Arial"/>
          <w:b/>
          <w:sz w:val="22"/>
        </w:rPr>
        <w:t>Plano de Benefícios da Sistel - PBS-A</w:t>
      </w:r>
      <w:r w:rsidRPr="00505643">
        <w:rPr>
          <w:rFonts w:cs="Arial"/>
          <w:sz w:val="22"/>
        </w:rPr>
        <w:t>: Este plano de benefício definido atende ex-funcionários do Sistema Telebras, aposentados até janeiro de 2000. Oferece aposentadoria, pensão, auxílios diversos e pecúlios por morte.</w:t>
      </w:r>
    </w:p>
    <w:p w14:paraId="36397656" w14:textId="77777777" w:rsidR="002825B6" w:rsidRPr="00505643" w:rsidRDefault="002825B6" w:rsidP="002825B6">
      <w:pPr>
        <w:spacing w:before="120" w:line="240" w:lineRule="auto"/>
        <w:rPr>
          <w:rFonts w:cs="Arial"/>
          <w:sz w:val="22"/>
        </w:rPr>
      </w:pPr>
      <w:r w:rsidRPr="00505643">
        <w:rPr>
          <w:rFonts w:cs="Arial"/>
          <w:b/>
          <w:sz w:val="22"/>
        </w:rPr>
        <w:t>Plano PBS-Telebras</w:t>
      </w:r>
      <w:r w:rsidRPr="00505643">
        <w:rPr>
          <w:rFonts w:cs="Arial"/>
          <w:sz w:val="22"/>
        </w:rPr>
        <w:t>: Também um plano de benefício definido, patrocinado exclusivamente pela Telebras e em fase de extinção. Garante aposentadoria, auxílio-doença, auxílio-reclusão e pecúlios por morte.</w:t>
      </w:r>
    </w:p>
    <w:p w14:paraId="557DA353" w14:textId="77777777" w:rsidR="002825B6" w:rsidRPr="00505643" w:rsidRDefault="002825B6" w:rsidP="002825B6">
      <w:pPr>
        <w:spacing w:before="120" w:line="240" w:lineRule="auto"/>
        <w:rPr>
          <w:rFonts w:cs="Arial"/>
          <w:sz w:val="22"/>
        </w:rPr>
      </w:pPr>
      <w:r w:rsidRPr="00505643">
        <w:rPr>
          <w:rFonts w:cs="Arial"/>
          <w:b/>
          <w:sz w:val="22"/>
        </w:rPr>
        <w:t>Plano Telebrasprev</w:t>
      </w:r>
      <w:r w:rsidRPr="00505643">
        <w:rPr>
          <w:rFonts w:cs="Arial"/>
          <w:sz w:val="22"/>
        </w:rPr>
        <w:t>: Estruturado na modalidade de contribuição variável, está fechado a novos participantes e oferece benefícios programados e de risco, incluindo aposentadoria (ordinária e por invalidez), pensão por morte e auxílio-doença.</w:t>
      </w:r>
    </w:p>
    <w:p w14:paraId="4FEF7813" w14:textId="77777777" w:rsidR="002825B6" w:rsidRPr="00505643" w:rsidRDefault="002825B6" w:rsidP="002825B6">
      <w:pPr>
        <w:spacing w:before="120" w:line="240" w:lineRule="auto"/>
        <w:rPr>
          <w:rFonts w:cs="Arial"/>
          <w:sz w:val="22"/>
        </w:rPr>
      </w:pPr>
      <w:r w:rsidRPr="00505643">
        <w:rPr>
          <w:rFonts w:cs="Arial"/>
          <w:sz w:val="22"/>
        </w:rPr>
        <w:t xml:space="preserve">Esses planos refletem o esforço contínuo da Telebras em assegurar segurança financeira e tranquilidade para seus colaboradores e suas famílias, reafirmando seu papel como empregador responsável e comprometido com a sustentabilidade social de sua força de trabalho. </w:t>
      </w:r>
    </w:p>
    <w:p w14:paraId="0FD25A45" w14:textId="6C52A7CB" w:rsidR="00C9006B" w:rsidRPr="00777F9F" w:rsidRDefault="79824539" w:rsidP="00740C79">
      <w:pPr>
        <w:pStyle w:val="Ttulo2"/>
        <w:spacing w:before="360" w:after="120" w:line="276" w:lineRule="auto"/>
        <w:ind w:left="567" w:hanging="567"/>
      </w:pPr>
      <w:bookmarkStart w:id="442" w:name="_Toc1052041"/>
      <w:bookmarkStart w:id="443" w:name="_Toc191641910"/>
      <w:r w:rsidRPr="00777F9F">
        <w:t>Quadro de Pessoal</w:t>
      </w:r>
      <w:bookmarkEnd w:id="442"/>
      <w:bookmarkEnd w:id="443"/>
    </w:p>
    <w:p w14:paraId="0224B8EF" w14:textId="227F9E4B" w:rsidR="002B10FA" w:rsidRPr="00505643" w:rsidRDefault="002B10FA" w:rsidP="002B10FA">
      <w:pPr>
        <w:tabs>
          <w:tab w:val="clear" w:pos="851"/>
          <w:tab w:val="left" w:pos="993"/>
        </w:tabs>
        <w:spacing w:before="120" w:line="240" w:lineRule="auto"/>
        <w:rPr>
          <w:rFonts w:cs="Arial"/>
          <w:sz w:val="22"/>
          <w:szCs w:val="22"/>
        </w:rPr>
      </w:pPr>
      <w:r w:rsidRPr="00505643">
        <w:rPr>
          <w:rFonts w:cs="Arial"/>
          <w:sz w:val="22"/>
          <w:szCs w:val="22"/>
        </w:rPr>
        <w:t>Em 2024, a Telebras ajustou seu quadro de pessoal para alinhar-se às necessidades operacionais e estratégicas da empresa, finalizando o ano com um total de 469 colaboradores. Essa equipe é composta por 304 empregados efetivos, 47 colaboradores ad nutum, 3 funcionários requisitados, 71 estagiários e 3 jovens aprendizes. Dentro desse quadro, 12 empregados efetivos foram cedidos para trabalhar em outros órgãos da Administração Pública, enquanto 29 fazem parte de um quadro transitório, também cedidos. Observa-se na tabela a seguir o comparativo entre os anos de 2023 e 2024:</w:t>
      </w:r>
    </w:p>
    <w:tbl>
      <w:tblPr>
        <w:tblW w:w="6510" w:type="dxa"/>
        <w:tblInd w:w="10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1110"/>
        <w:gridCol w:w="1200"/>
        <w:gridCol w:w="1200"/>
      </w:tblGrid>
      <w:tr w:rsidR="002B10FA" w:rsidRPr="00777F9F" w14:paraId="20F5746E" w14:textId="77777777" w:rsidTr="00505643">
        <w:trPr>
          <w:trHeight w:val="300"/>
        </w:trPr>
        <w:tc>
          <w:tcPr>
            <w:tcW w:w="3000" w:type="dxa"/>
            <w:tcBorders>
              <w:top w:val="single" w:sz="6" w:space="0" w:color="95B3D7"/>
              <w:left w:val="nil"/>
              <w:bottom w:val="single" w:sz="6" w:space="0" w:color="95B3D7"/>
              <w:right w:val="nil"/>
            </w:tcBorders>
            <w:shd w:val="clear" w:color="auto" w:fill="DCE6F1"/>
            <w:vAlign w:val="center"/>
            <w:hideMark/>
          </w:tcPr>
          <w:p w14:paraId="1DFF1B1B" w14:textId="77777777" w:rsidR="002B10FA" w:rsidRPr="00777F9F" w:rsidRDefault="002B10FA" w:rsidP="00777F9F">
            <w:pPr>
              <w:tabs>
                <w:tab w:val="clear" w:pos="851"/>
              </w:tabs>
              <w:spacing w:before="0" w:after="0" w:line="240" w:lineRule="auto"/>
              <w:textAlignment w:val="baseline"/>
              <w:rPr>
                <w:rFonts w:ascii="Segoe UI" w:hAnsi="Segoe UI" w:cs="Segoe UI"/>
                <w:color w:val="44546A"/>
                <w:sz w:val="18"/>
                <w:szCs w:val="18"/>
                <w:lang w:eastAsia="pt-BR"/>
              </w:rPr>
            </w:pPr>
            <w:r w:rsidRPr="00777F9F">
              <w:rPr>
                <w:rFonts w:ascii="Calibri" w:hAnsi="Calibri" w:cs="Calibri"/>
                <w:b/>
                <w:bCs/>
                <w:color w:val="44546A"/>
                <w:sz w:val="18"/>
                <w:szCs w:val="18"/>
                <w:lang w:eastAsia="pt-BR"/>
              </w:rPr>
              <w:t>QUADRO DE PESSOAL</w:t>
            </w:r>
          </w:p>
        </w:tc>
        <w:tc>
          <w:tcPr>
            <w:tcW w:w="1110" w:type="dxa"/>
            <w:tcBorders>
              <w:top w:val="single" w:sz="6" w:space="0" w:color="95B3D7"/>
              <w:left w:val="nil"/>
              <w:bottom w:val="single" w:sz="6" w:space="0" w:color="95B3D7"/>
              <w:right w:val="single" w:sz="6" w:space="0" w:color="95B3D7"/>
            </w:tcBorders>
            <w:shd w:val="clear" w:color="auto" w:fill="DCE6F1"/>
            <w:vAlign w:val="center"/>
            <w:hideMark/>
          </w:tcPr>
          <w:p w14:paraId="5EBF91BB"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b/>
                <w:bCs/>
                <w:color w:val="44546A"/>
                <w:sz w:val="18"/>
                <w:szCs w:val="18"/>
                <w:lang w:eastAsia="pt-BR"/>
              </w:rPr>
              <w:t>dez/23</w:t>
            </w:r>
          </w:p>
        </w:tc>
        <w:tc>
          <w:tcPr>
            <w:tcW w:w="1200" w:type="dxa"/>
            <w:tcBorders>
              <w:top w:val="single" w:sz="6" w:space="0" w:color="95B3D7"/>
              <w:left w:val="nil"/>
              <w:bottom w:val="single" w:sz="6" w:space="0" w:color="95B3D7"/>
              <w:right w:val="single" w:sz="6" w:space="0" w:color="95B3D7"/>
            </w:tcBorders>
            <w:shd w:val="clear" w:color="auto" w:fill="DCE6F1"/>
            <w:vAlign w:val="center"/>
            <w:hideMark/>
          </w:tcPr>
          <w:p w14:paraId="7646923D"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b/>
                <w:bCs/>
                <w:color w:val="44546A"/>
                <w:sz w:val="18"/>
                <w:szCs w:val="18"/>
                <w:lang w:eastAsia="pt-BR"/>
              </w:rPr>
              <w:t>dez/24</w:t>
            </w:r>
          </w:p>
        </w:tc>
        <w:tc>
          <w:tcPr>
            <w:tcW w:w="1200" w:type="dxa"/>
            <w:tcBorders>
              <w:top w:val="single" w:sz="6" w:space="0" w:color="95B3D7"/>
              <w:left w:val="nil"/>
              <w:bottom w:val="single" w:sz="6" w:space="0" w:color="95B3D7"/>
              <w:right w:val="nil"/>
            </w:tcBorders>
            <w:shd w:val="clear" w:color="auto" w:fill="DCE6F1"/>
            <w:vAlign w:val="center"/>
            <w:hideMark/>
          </w:tcPr>
          <w:p w14:paraId="0C65302A"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b/>
                <w:bCs/>
                <w:color w:val="44546A"/>
                <w:sz w:val="18"/>
                <w:szCs w:val="18"/>
                <w:lang w:eastAsia="pt-BR"/>
              </w:rPr>
              <w:t>∆%</w:t>
            </w:r>
            <w:r w:rsidRPr="00777F9F">
              <w:rPr>
                <w:rFonts w:ascii="Calibri" w:hAnsi="Calibri" w:cs="Calibri"/>
                <w:color w:val="44546A"/>
                <w:sz w:val="18"/>
                <w:szCs w:val="18"/>
                <w:lang w:eastAsia="pt-BR"/>
              </w:rPr>
              <w:t> </w:t>
            </w:r>
            <w:r w:rsidRPr="00777F9F">
              <w:rPr>
                <w:rFonts w:ascii="Calibri" w:hAnsi="Calibri" w:cs="Calibri"/>
                <w:color w:val="44546A"/>
                <w:sz w:val="18"/>
                <w:szCs w:val="18"/>
                <w:lang w:eastAsia="pt-BR"/>
              </w:rPr>
              <w:br/>
            </w:r>
            <w:r w:rsidRPr="00777F9F">
              <w:rPr>
                <w:rFonts w:ascii="Calibri" w:hAnsi="Calibri" w:cs="Calibri"/>
                <w:b/>
                <w:bCs/>
                <w:color w:val="44546A"/>
                <w:sz w:val="18"/>
                <w:szCs w:val="18"/>
                <w:lang w:eastAsia="pt-BR"/>
              </w:rPr>
              <w:t>dez23/dez24</w:t>
            </w:r>
          </w:p>
        </w:tc>
      </w:tr>
      <w:tr w:rsidR="002B10FA" w:rsidRPr="00777F9F" w14:paraId="1C0965F2" w14:textId="77777777" w:rsidTr="00505643">
        <w:trPr>
          <w:trHeight w:val="300"/>
        </w:trPr>
        <w:tc>
          <w:tcPr>
            <w:tcW w:w="3000" w:type="dxa"/>
            <w:tcBorders>
              <w:top w:val="nil"/>
              <w:left w:val="nil"/>
              <w:bottom w:val="nil"/>
              <w:right w:val="nil"/>
            </w:tcBorders>
            <w:shd w:val="clear" w:color="auto" w:fill="auto"/>
            <w:vAlign w:val="center"/>
            <w:hideMark/>
          </w:tcPr>
          <w:p w14:paraId="03806A25" w14:textId="77777777" w:rsidR="002B10FA" w:rsidRPr="00777F9F" w:rsidRDefault="002B10FA" w:rsidP="00777F9F">
            <w:pPr>
              <w:tabs>
                <w:tab w:val="clear" w:pos="851"/>
              </w:tabs>
              <w:spacing w:before="0" w:after="0" w:line="240" w:lineRule="auto"/>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EFETIVO</w:t>
            </w:r>
          </w:p>
        </w:tc>
        <w:tc>
          <w:tcPr>
            <w:tcW w:w="1110" w:type="dxa"/>
            <w:tcBorders>
              <w:top w:val="nil"/>
              <w:left w:val="nil"/>
              <w:bottom w:val="nil"/>
              <w:right w:val="single" w:sz="6" w:space="0" w:color="95B3D7"/>
            </w:tcBorders>
            <w:shd w:val="clear" w:color="auto" w:fill="auto"/>
            <w:vAlign w:val="bottom"/>
            <w:hideMark/>
          </w:tcPr>
          <w:p w14:paraId="7074BA2C"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297</w:t>
            </w:r>
          </w:p>
        </w:tc>
        <w:tc>
          <w:tcPr>
            <w:tcW w:w="1200" w:type="dxa"/>
            <w:tcBorders>
              <w:top w:val="nil"/>
              <w:left w:val="nil"/>
              <w:bottom w:val="nil"/>
              <w:right w:val="single" w:sz="6" w:space="0" w:color="95B3D7"/>
            </w:tcBorders>
            <w:shd w:val="clear" w:color="auto" w:fill="auto"/>
            <w:vAlign w:val="bottom"/>
            <w:hideMark/>
          </w:tcPr>
          <w:p w14:paraId="491714AF"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304</w:t>
            </w:r>
          </w:p>
        </w:tc>
        <w:tc>
          <w:tcPr>
            <w:tcW w:w="1200" w:type="dxa"/>
            <w:tcBorders>
              <w:top w:val="single" w:sz="6" w:space="0" w:color="95B3D7"/>
              <w:left w:val="single" w:sz="6" w:space="0" w:color="95B3D7"/>
              <w:bottom w:val="nil"/>
              <w:right w:val="nil"/>
            </w:tcBorders>
            <w:shd w:val="clear" w:color="auto" w:fill="auto"/>
            <w:vAlign w:val="bottom"/>
            <w:hideMark/>
          </w:tcPr>
          <w:p w14:paraId="15814A3B" w14:textId="77777777" w:rsidR="002B10FA" w:rsidRPr="00777F9F" w:rsidRDefault="002B10FA" w:rsidP="00505643">
            <w:pPr>
              <w:tabs>
                <w:tab w:val="clear" w:pos="851"/>
              </w:tabs>
              <w:spacing w:before="0" w:after="0" w:line="240" w:lineRule="auto"/>
              <w:jc w:val="right"/>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2,4%</w:t>
            </w:r>
          </w:p>
        </w:tc>
      </w:tr>
      <w:tr w:rsidR="002B10FA" w:rsidRPr="00777F9F" w14:paraId="2048966A" w14:textId="77777777" w:rsidTr="00505643">
        <w:trPr>
          <w:trHeight w:val="300"/>
        </w:trPr>
        <w:tc>
          <w:tcPr>
            <w:tcW w:w="3000" w:type="dxa"/>
            <w:tcBorders>
              <w:top w:val="nil"/>
              <w:left w:val="nil"/>
              <w:bottom w:val="nil"/>
              <w:right w:val="nil"/>
            </w:tcBorders>
            <w:shd w:val="clear" w:color="auto" w:fill="auto"/>
            <w:vAlign w:val="center"/>
            <w:hideMark/>
          </w:tcPr>
          <w:p w14:paraId="2F98A458" w14:textId="77777777" w:rsidR="002B10FA" w:rsidRPr="00777F9F" w:rsidRDefault="002B10FA" w:rsidP="00777F9F">
            <w:pPr>
              <w:tabs>
                <w:tab w:val="clear" w:pos="851"/>
              </w:tabs>
              <w:spacing w:before="0" w:after="0" w:line="240" w:lineRule="auto"/>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AD NUTUM</w:t>
            </w:r>
          </w:p>
        </w:tc>
        <w:tc>
          <w:tcPr>
            <w:tcW w:w="1110" w:type="dxa"/>
            <w:tcBorders>
              <w:top w:val="nil"/>
              <w:left w:val="nil"/>
              <w:bottom w:val="nil"/>
              <w:right w:val="single" w:sz="6" w:space="0" w:color="95B3D7"/>
            </w:tcBorders>
            <w:shd w:val="clear" w:color="auto" w:fill="auto"/>
            <w:vAlign w:val="bottom"/>
            <w:hideMark/>
          </w:tcPr>
          <w:p w14:paraId="0DE59CFD"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50</w:t>
            </w:r>
          </w:p>
        </w:tc>
        <w:tc>
          <w:tcPr>
            <w:tcW w:w="1200" w:type="dxa"/>
            <w:tcBorders>
              <w:top w:val="nil"/>
              <w:left w:val="nil"/>
              <w:bottom w:val="nil"/>
              <w:right w:val="single" w:sz="6" w:space="0" w:color="95B3D7"/>
            </w:tcBorders>
            <w:shd w:val="clear" w:color="auto" w:fill="auto"/>
            <w:vAlign w:val="bottom"/>
            <w:hideMark/>
          </w:tcPr>
          <w:p w14:paraId="3CC4414B"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47</w:t>
            </w:r>
          </w:p>
        </w:tc>
        <w:tc>
          <w:tcPr>
            <w:tcW w:w="1200" w:type="dxa"/>
            <w:tcBorders>
              <w:top w:val="nil"/>
              <w:left w:val="single" w:sz="6" w:space="0" w:color="95B3D7"/>
              <w:bottom w:val="nil"/>
              <w:right w:val="nil"/>
            </w:tcBorders>
            <w:shd w:val="clear" w:color="auto" w:fill="auto"/>
            <w:vAlign w:val="bottom"/>
            <w:hideMark/>
          </w:tcPr>
          <w:p w14:paraId="5009BA9A" w14:textId="77777777" w:rsidR="002B10FA" w:rsidRPr="00777F9F" w:rsidRDefault="002B10FA" w:rsidP="00505643">
            <w:pPr>
              <w:tabs>
                <w:tab w:val="clear" w:pos="851"/>
              </w:tabs>
              <w:spacing w:before="0" w:after="0" w:line="240" w:lineRule="auto"/>
              <w:jc w:val="right"/>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-6,0%</w:t>
            </w:r>
          </w:p>
        </w:tc>
      </w:tr>
      <w:tr w:rsidR="002B10FA" w:rsidRPr="00777F9F" w14:paraId="4A92CBD5" w14:textId="77777777" w:rsidTr="00505643">
        <w:trPr>
          <w:trHeight w:val="300"/>
        </w:trPr>
        <w:tc>
          <w:tcPr>
            <w:tcW w:w="3000" w:type="dxa"/>
            <w:tcBorders>
              <w:top w:val="nil"/>
              <w:left w:val="nil"/>
              <w:bottom w:val="nil"/>
              <w:right w:val="nil"/>
            </w:tcBorders>
            <w:shd w:val="clear" w:color="auto" w:fill="auto"/>
            <w:vAlign w:val="center"/>
            <w:hideMark/>
          </w:tcPr>
          <w:p w14:paraId="1BBF2CA3" w14:textId="77777777" w:rsidR="002B10FA" w:rsidRPr="00777F9F" w:rsidRDefault="002B10FA" w:rsidP="00777F9F">
            <w:pPr>
              <w:tabs>
                <w:tab w:val="clear" w:pos="851"/>
              </w:tabs>
              <w:spacing w:before="0" w:after="0" w:line="240" w:lineRule="auto"/>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CEDIDO (QUADRO TRANSITÓRIO)</w:t>
            </w:r>
          </w:p>
        </w:tc>
        <w:tc>
          <w:tcPr>
            <w:tcW w:w="1110" w:type="dxa"/>
            <w:tcBorders>
              <w:top w:val="nil"/>
              <w:left w:val="nil"/>
              <w:bottom w:val="nil"/>
              <w:right w:val="single" w:sz="6" w:space="0" w:color="95B3D7"/>
            </w:tcBorders>
            <w:shd w:val="clear" w:color="auto" w:fill="auto"/>
            <w:vAlign w:val="bottom"/>
            <w:hideMark/>
          </w:tcPr>
          <w:p w14:paraId="102031AC"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30</w:t>
            </w:r>
          </w:p>
        </w:tc>
        <w:tc>
          <w:tcPr>
            <w:tcW w:w="1200" w:type="dxa"/>
            <w:tcBorders>
              <w:top w:val="nil"/>
              <w:left w:val="nil"/>
              <w:bottom w:val="nil"/>
              <w:right w:val="single" w:sz="6" w:space="0" w:color="95B3D7"/>
            </w:tcBorders>
            <w:shd w:val="clear" w:color="auto" w:fill="auto"/>
            <w:vAlign w:val="bottom"/>
            <w:hideMark/>
          </w:tcPr>
          <w:p w14:paraId="3E1E5FC3"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29</w:t>
            </w:r>
          </w:p>
        </w:tc>
        <w:tc>
          <w:tcPr>
            <w:tcW w:w="1200" w:type="dxa"/>
            <w:tcBorders>
              <w:top w:val="nil"/>
              <w:left w:val="single" w:sz="6" w:space="0" w:color="95B3D7"/>
              <w:bottom w:val="nil"/>
              <w:right w:val="nil"/>
            </w:tcBorders>
            <w:shd w:val="clear" w:color="auto" w:fill="auto"/>
            <w:vAlign w:val="bottom"/>
            <w:hideMark/>
          </w:tcPr>
          <w:p w14:paraId="2E4C923C" w14:textId="77777777" w:rsidR="002B10FA" w:rsidRPr="00777F9F" w:rsidRDefault="002B10FA" w:rsidP="00505643">
            <w:pPr>
              <w:tabs>
                <w:tab w:val="clear" w:pos="851"/>
              </w:tabs>
              <w:spacing w:before="0" w:after="0" w:line="240" w:lineRule="auto"/>
              <w:jc w:val="right"/>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-3,3%</w:t>
            </w:r>
          </w:p>
        </w:tc>
      </w:tr>
      <w:tr w:rsidR="002B10FA" w:rsidRPr="00777F9F" w14:paraId="15235E62" w14:textId="77777777" w:rsidTr="00505643">
        <w:trPr>
          <w:trHeight w:val="300"/>
        </w:trPr>
        <w:tc>
          <w:tcPr>
            <w:tcW w:w="3000" w:type="dxa"/>
            <w:tcBorders>
              <w:top w:val="nil"/>
              <w:left w:val="nil"/>
              <w:bottom w:val="nil"/>
              <w:right w:val="nil"/>
            </w:tcBorders>
            <w:shd w:val="clear" w:color="auto" w:fill="auto"/>
            <w:vAlign w:val="center"/>
            <w:hideMark/>
          </w:tcPr>
          <w:p w14:paraId="7CA28184" w14:textId="77777777" w:rsidR="002B10FA" w:rsidRPr="00777F9F" w:rsidRDefault="002B10FA" w:rsidP="00777F9F">
            <w:pPr>
              <w:tabs>
                <w:tab w:val="clear" w:pos="851"/>
              </w:tabs>
              <w:spacing w:before="0" w:after="0" w:line="240" w:lineRule="auto"/>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CEDIDO (QUADRO PERMANENTE)</w:t>
            </w:r>
          </w:p>
        </w:tc>
        <w:tc>
          <w:tcPr>
            <w:tcW w:w="1110" w:type="dxa"/>
            <w:tcBorders>
              <w:top w:val="nil"/>
              <w:left w:val="nil"/>
              <w:bottom w:val="nil"/>
              <w:right w:val="single" w:sz="6" w:space="0" w:color="95B3D7"/>
            </w:tcBorders>
            <w:shd w:val="clear" w:color="auto" w:fill="auto"/>
            <w:vAlign w:val="bottom"/>
            <w:hideMark/>
          </w:tcPr>
          <w:p w14:paraId="014FAEAD"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13</w:t>
            </w:r>
          </w:p>
        </w:tc>
        <w:tc>
          <w:tcPr>
            <w:tcW w:w="1200" w:type="dxa"/>
            <w:tcBorders>
              <w:top w:val="nil"/>
              <w:left w:val="nil"/>
              <w:bottom w:val="nil"/>
              <w:right w:val="single" w:sz="6" w:space="0" w:color="95B3D7"/>
            </w:tcBorders>
            <w:shd w:val="clear" w:color="auto" w:fill="auto"/>
            <w:vAlign w:val="bottom"/>
            <w:hideMark/>
          </w:tcPr>
          <w:p w14:paraId="68ECD0ED"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12</w:t>
            </w:r>
          </w:p>
        </w:tc>
        <w:tc>
          <w:tcPr>
            <w:tcW w:w="1200" w:type="dxa"/>
            <w:tcBorders>
              <w:top w:val="nil"/>
              <w:left w:val="single" w:sz="6" w:space="0" w:color="95B3D7"/>
              <w:bottom w:val="nil"/>
              <w:right w:val="nil"/>
            </w:tcBorders>
            <w:shd w:val="clear" w:color="auto" w:fill="auto"/>
            <w:vAlign w:val="bottom"/>
            <w:hideMark/>
          </w:tcPr>
          <w:p w14:paraId="60180923" w14:textId="77777777" w:rsidR="002B10FA" w:rsidRPr="00777F9F" w:rsidRDefault="002B10FA" w:rsidP="00505643">
            <w:pPr>
              <w:tabs>
                <w:tab w:val="clear" w:pos="851"/>
              </w:tabs>
              <w:spacing w:before="0" w:after="0" w:line="240" w:lineRule="auto"/>
              <w:jc w:val="right"/>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-7,7%</w:t>
            </w:r>
          </w:p>
        </w:tc>
      </w:tr>
      <w:tr w:rsidR="002B10FA" w:rsidRPr="00777F9F" w14:paraId="28B6B970" w14:textId="77777777" w:rsidTr="00505643">
        <w:trPr>
          <w:trHeight w:val="300"/>
        </w:trPr>
        <w:tc>
          <w:tcPr>
            <w:tcW w:w="3000" w:type="dxa"/>
            <w:tcBorders>
              <w:top w:val="nil"/>
              <w:left w:val="nil"/>
              <w:bottom w:val="nil"/>
              <w:right w:val="nil"/>
            </w:tcBorders>
            <w:shd w:val="clear" w:color="auto" w:fill="auto"/>
            <w:vAlign w:val="center"/>
            <w:hideMark/>
          </w:tcPr>
          <w:p w14:paraId="08E880D7" w14:textId="77777777" w:rsidR="002B10FA" w:rsidRPr="00777F9F" w:rsidRDefault="002B10FA" w:rsidP="00777F9F">
            <w:pPr>
              <w:tabs>
                <w:tab w:val="clear" w:pos="851"/>
              </w:tabs>
              <w:spacing w:before="0" w:after="0" w:line="240" w:lineRule="auto"/>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REQUISITADO</w:t>
            </w:r>
          </w:p>
        </w:tc>
        <w:tc>
          <w:tcPr>
            <w:tcW w:w="1110" w:type="dxa"/>
            <w:tcBorders>
              <w:top w:val="nil"/>
              <w:left w:val="nil"/>
              <w:bottom w:val="nil"/>
              <w:right w:val="single" w:sz="6" w:space="0" w:color="95B3D7"/>
            </w:tcBorders>
            <w:shd w:val="clear" w:color="auto" w:fill="auto"/>
            <w:vAlign w:val="bottom"/>
            <w:hideMark/>
          </w:tcPr>
          <w:p w14:paraId="5AA36429"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1</w:t>
            </w:r>
          </w:p>
        </w:tc>
        <w:tc>
          <w:tcPr>
            <w:tcW w:w="1200" w:type="dxa"/>
            <w:tcBorders>
              <w:top w:val="nil"/>
              <w:left w:val="nil"/>
              <w:bottom w:val="nil"/>
              <w:right w:val="single" w:sz="6" w:space="0" w:color="95B3D7"/>
            </w:tcBorders>
            <w:shd w:val="clear" w:color="auto" w:fill="auto"/>
            <w:vAlign w:val="bottom"/>
            <w:hideMark/>
          </w:tcPr>
          <w:p w14:paraId="4946719B"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3</w:t>
            </w:r>
          </w:p>
        </w:tc>
        <w:tc>
          <w:tcPr>
            <w:tcW w:w="1200" w:type="dxa"/>
            <w:tcBorders>
              <w:top w:val="nil"/>
              <w:left w:val="single" w:sz="6" w:space="0" w:color="95B3D7"/>
              <w:bottom w:val="nil"/>
              <w:right w:val="nil"/>
            </w:tcBorders>
            <w:shd w:val="clear" w:color="auto" w:fill="auto"/>
            <w:vAlign w:val="bottom"/>
            <w:hideMark/>
          </w:tcPr>
          <w:p w14:paraId="2E8112B0" w14:textId="77777777" w:rsidR="002B10FA" w:rsidRPr="00777F9F" w:rsidRDefault="002B10FA" w:rsidP="00505643">
            <w:pPr>
              <w:tabs>
                <w:tab w:val="clear" w:pos="851"/>
              </w:tabs>
              <w:spacing w:before="0" w:after="0" w:line="240" w:lineRule="auto"/>
              <w:jc w:val="right"/>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200,0%</w:t>
            </w:r>
          </w:p>
        </w:tc>
      </w:tr>
      <w:tr w:rsidR="002B10FA" w:rsidRPr="00777F9F" w14:paraId="57774725" w14:textId="77777777" w:rsidTr="00505643">
        <w:trPr>
          <w:trHeight w:val="300"/>
        </w:trPr>
        <w:tc>
          <w:tcPr>
            <w:tcW w:w="3000" w:type="dxa"/>
            <w:tcBorders>
              <w:top w:val="nil"/>
              <w:left w:val="nil"/>
              <w:bottom w:val="nil"/>
              <w:right w:val="nil"/>
            </w:tcBorders>
            <w:shd w:val="clear" w:color="auto" w:fill="auto"/>
            <w:vAlign w:val="center"/>
            <w:hideMark/>
          </w:tcPr>
          <w:p w14:paraId="04F4CCD1" w14:textId="77777777" w:rsidR="002B10FA" w:rsidRPr="00777F9F" w:rsidRDefault="002B10FA" w:rsidP="00777F9F">
            <w:pPr>
              <w:tabs>
                <w:tab w:val="clear" w:pos="851"/>
              </w:tabs>
              <w:spacing w:before="0" w:after="0" w:line="240" w:lineRule="auto"/>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ESTAGIÁRIO</w:t>
            </w:r>
          </w:p>
        </w:tc>
        <w:tc>
          <w:tcPr>
            <w:tcW w:w="1110" w:type="dxa"/>
            <w:tcBorders>
              <w:top w:val="nil"/>
              <w:left w:val="nil"/>
              <w:bottom w:val="nil"/>
              <w:right w:val="single" w:sz="6" w:space="0" w:color="95B3D7"/>
            </w:tcBorders>
            <w:shd w:val="clear" w:color="auto" w:fill="auto"/>
            <w:vAlign w:val="bottom"/>
            <w:hideMark/>
          </w:tcPr>
          <w:p w14:paraId="3E621A35"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71</w:t>
            </w:r>
          </w:p>
        </w:tc>
        <w:tc>
          <w:tcPr>
            <w:tcW w:w="1200" w:type="dxa"/>
            <w:tcBorders>
              <w:top w:val="nil"/>
              <w:left w:val="nil"/>
              <w:bottom w:val="nil"/>
              <w:right w:val="single" w:sz="6" w:space="0" w:color="95B3D7"/>
            </w:tcBorders>
            <w:shd w:val="clear" w:color="auto" w:fill="auto"/>
            <w:vAlign w:val="bottom"/>
            <w:hideMark/>
          </w:tcPr>
          <w:p w14:paraId="54944A81"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71</w:t>
            </w:r>
          </w:p>
        </w:tc>
        <w:tc>
          <w:tcPr>
            <w:tcW w:w="1200" w:type="dxa"/>
            <w:tcBorders>
              <w:top w:val="nil"/>
              <w:left w:val="single" w:sz="6" w:space="0" w:color="95B3D7"/>
              <w:bottom w:val="nil"/>
              <w:right w:val="nil"/>
            </w:tcBorders>
            <w:shd w:val="clear" w:color="auto" w:fill="auto"/>
            <w:vAlign w:val="bottom"/>
            <w:hideMark/>
          </w:tcPr>
          <w:p w14:paraId="57FB1C3D" w14:textId="77777777" w:rsidR="002B10FA" w:rsidRPr="00777F9F" w:rsidRDefault="002B10FA" w:rsidP="00505643">
            <w:pPr>
              <w:tabs>
                <w:tab w:val="clear" w:pos="851"/>
              </w:tabs>
              <w:spacing w:before="0" w:after="0" w:line="240" w:lineRule="auto"/>
              <w:jc w:val="right"/>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0,0%</w:t>
            </w:r>
          </w:p>
        </w:tc>
      </w:tr>
      <w:tr w:rsidR="002B10FA" w:rsidRPr="00777F9F" w14:paraId="68E9819C" w14:textId="77777777" w:rsidTr="00505643">
        <w:trPr>
          <w:trHeight w:val="300"/>
        </w:trPr>
        <w:tc>
          <w:tcPr>
            <w:tcW w:w="3000" w:type="dxa"/>
            <w:tcBorders>
              <w:top w:val="nil"/>
              <w:left w:val="nil"/>
              <w:bottom w:val="nil"/>
              <w:right w:val="nil"/>
            </w:tcBorders>
            <w:shd w:val="clear" w:color="auto" w:fill="auto"/>
            <w:vAlign w:val="center"/>
            <w:hideMark/>
          </w:tcPr>
          <w:p w14:paraId="15F1415E" w14:textId="77777777" w:rsidR="002B10FA" w:rsidRPr="00777F9F" w:rsidRDefault="002B10FA" w:rsidP="00777F9F">
            <w:pPr>
              <w:tabs>
                <w:tab w:val="clear" w:pos="851"/>
              </w:tabs>
              <w:spacing w:before="0" w:after="0" w:line="240" w:lineRule="auto"/>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JOVEM APRENDIZ</w:t>
            </w:r>
          </w:p>
        </w:tc>
        <w:tc>
          <w:tcPr>
            <w:tcW w:w="1110" w:type="dxa"/>
            <w:tcBorders>
              <w:top w:val="nil"/>
              <w:left w:val="nil"/>
              <w:bottom w:val="nil"/>
              <w:right w:val="single" w:sz="6" w:space="0" w:color="95B3D7"/>
            </w:tcBorders>
            <w:shd w:val="clear" w:color="auto" w:fill="auto"/>
            <w:vAlign w:val="bottom"/>
            <w:hideMark/>
          </w:tcPr>
          <w:p w14:paraId="63656E57"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5</w:t>
            </w:r>
          </w:p>
        </w:tc>
        <w:tc>
          <w:tcPr>
            <w:tcW w:w="1200" w:type="dxa"/>
            <w:tcBorders>
              <w:top w:val="nil"/>
              <w:left w:val="nil"/>
              <w:bottom w:val="nil"/>
              <w:right w:val="single" w:sz="6" w:space="0" w:color="95B3D7"/>
            </w:tcBorders>
            <w:shd w:val="clear" w:color="auto" w:fill="auto"/>
            <w:vAlign w:val="bottom"/>
            <w:hideMark/>
          </w:tcPr>
          <w:p w14:paraId="4546EC7A"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3</w:t>
            </w:r>
          </w:p>
        </w:tc>
        <w:tc>
          <w:tcPr>
            <w:tcW w:w="1200" w:type="dxa"/>
            <w:tcBorders>
              <w:top w:val="nil"/>
              <w:left w:val="single" w:sz="6" w:space="0" w:color="95B3D7"/>
              <w:bottom w:val="nil"/>
              <w:right w:val="nil"/>
            </w:tcBorders>
            <w:shd w:val="clear" w:color="auto" w:fill="auto"/>
            <w:vAlign w:val="bottom"/>
            <w:hideMark/>
          </w:tcPr>
          <w:p w14:paraId="4CEADB3D" w14:textId="77777777" w:rsidR="002B10FA" w:rsidRPr="00777F9F" w:rsidRDefault="002B10FA" w:rsidP="00505643">
            <w:pPr>
              <w:tabs>
                <w:tab w:val="clear" w:pos="851"/>
              </w:tabs>
              <w:spacing w:before="0" w:after="0" w:line="240" w:lineRule="auto"/>
              <w:jc w:val="right"/>
              <w:textAlignment w:val="baseline"/>
              <w:rPr>
                <w:rFonts w:ascii="Segoe UI" w:hAnsi="Segoe UI" w:cs="Segoe UI"/>
                <w:color w:val="44546A"/>
                <w:sz w:val="18"/>
                <w:szCs w:val="18"/>
                <w:lang w:eastAsia="pt-BR"/>
              </w:rPr>
            </w:pPr>
            <w:r w:rsidRPr="00777F9F">
              <w:rPr>
                <w:rFonts w:ascii="Calibri" w:hAnsi="Calibri" w:cs="Calibri"/>
                <w:color w:val="44546A"/>
                <w:sz w:val="20"/>
                <w:szCs w:val="20"/>
                <w:lang w:eastAsia="pt-BR"/>
              </w:rPr>
              <w:t>-40,0%</w:t>
            </w:r>
          </w:p>
        </w:tc>
      </w:tr>
      <w:tr w:rsidR="002B10FA" w:rsidRPr="00777F9F" w14:paraId="5A67C439" w14:textId="77777777" w:rsidTr="00777F9F">
        <w:trPr>
          <w:trHeight w:val="300"/>
        </w:trPr>
        <w:tc>
          <w:tcPr>
            <w:tcW w:w="3000" w:type="dxa"/>
            <w:tcBorders>
              <w:top w:val="single" w:sz="6" w:space="0" w:color="95B3D7"/>
              <w:left w:val="nil"/>
              <w:bottom w:val="single" w:sz="6" w:space="0" w:color="95B3D7"/>
              <w:right w:val="nil"/>
            </w:tcBorders>
            <w:shd w:val="clear" w:color="auto" w:fill="DCE6F1"/>
            <w:vAlign w:val="center"/>
            <w:hideMark/>
          </w:tcPr>
          <w:p w14:paraId="611E1E54" w14:textId="77777777" w:rsidR="002B10FA" w:rsidRPr="00777F9F" w:rsidRDefault="002B10FA" w:rsidP="00777F9F">
            <w:pPr>
              <w:tabs>
                <w:tab w:val="clear" w:pos="851"/>
              </w:tabs>
              <w:spacing w:before="0" w:after="0" w:line="240" w:lineRule="auto"/>
              <w:textAlignment w:val="baseline"/>
              <w:rPr>
                <w:rFonts w:ascii="Segoe UI" w:hAnsi="Segoe UI" w:cs="Segoe UI"/>
                <w:color w:val="44546A"/>
                <w:sz w:val="18"/>
                <w:szCs w:val="18"/>
                <w:lang w:eastAsia="pt-BR"/>
              </w:rPr>
            </w:pPr>
            <w:r w:rsidRPr="00777F9F">
              <w:rPr>
                <w:rFonts w:ascii="Calibri" w:hAnsi="Calibri" w:cs="Calibri"/>
                <w:b/>
                <w:bCs/>
                <w:color w:val="44546A"/>
                <w:sz w:val="20"/>
                <w:szCs w:val="20"/>
                <w:lang w:eastAsia="pt-BR"/>
              </w:rPr>
              <w:t>TOTAL</w:t>
            </w:r>
          </w:p>
        </w:tc>
        <w:tc>
          <w:tcPr>
            <w:tcW w:w="1110" w:type="dxa"/>
            <w:tcBorders>
              <w:top w:val="single" w:sz="6" w:space="0" w:color="95B3D7"/>
              <w:left w:val="nil"/>
              <w:bottom w:val="single" w:sz="6" w:space="0" w:color="95B3D7"/>
              <w:right w:val="single" w:sz="6" w:space="0" w:color="95B3D7"/>
            </w:tcBorders>
            <w:shd w:val="clear" w:color="auto" w:fill="DCE6F1"/>
            <w:vAlign w:val="bottom"/>
            <w:hideMark/>
          </w:tcPr>
          <w:p w14:paraId="5B7E627E"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b/>
                <w:bCs/>
                <w:color w:val="44546A"/>
                <w:sz w:val="20"/>
                <w:szCs w:val="20"/>
                <w:lang w:eastAsia="pt-BR"/>
              </w:rPr>
              <w:t>467</w:t>
            </w:r>
          </w:p>
        </w:tc>
        <w:tc>
          <w:tcPr>
            <w:tcW w:w="1200" w:type="dxa"/>
            <w:tcBorders>
              <w:top w:val="single" w:sz="6" w:space="0" w:color="95B3D7"/>
              <w:left w:val="nil"/>
              <w:bottom w:val="single" w:sz="6" w:space="0" w:color="95B3D7"/>
              <w:right w:val="single" w:sz="6" w:space="0" w:color="95B3D7"/>
            </w:tcBorders>
            <w:shd w:val="clear" w:color="auto" w:fill="DCE6F1"/>
            <w:vAlign w:val="bottom"/>
            <w:hideMark/>
          </w:tcPr>
          <w:p w14:paraId="1A955DC8" w14:textId="77777777" w:rsidR="002B10FA" w:rsidRPr="00777F9F" w:rsidRDefault="002B10FA" w:rsidP="00505643">
            <w:pPr>
              <w:tabs>
                <w:tab w:val="clear" w:pos="851"/>
              </w:tabs>
              <w:spacing w:before="0" w:after="0" w:line="240" w:lineRule="auto"/>
              <w:jc w:val="center"/>
              <w:textAlignment w:val="baseline"/>
              <w:rPr>
                <w:rFonts w:ascii="Segoe UI" w:hAnsi="Segoe UI" w:cs="Segoe UI"/>
                <w:color w:val="44546A"/>
                <w:sz w:val="18"/>
                <w:szCs w:val="18"/>
                <w:lang w:eastAsia="pt-BR"/>
              </w:rPr>
            </w:pPr>
            <w:r w:rsidRPr="00777F9F">
              <w:rPr>
                <w:rFonts w:ascii="Calibri" w:hAnsi="Calibri" w:cs="Calibri"/>
                <w:b/>
                <w:bCs/>
                <w:color w:val="44546A"/>
                <w:sz w:val="20"/>
                <w:szCs w:val="20"/>
                <w:lang w:eastAsia="pt-BR"/>
              </w:rPr>
              <w:t>469</w:t>
            </w:r>
          </w:p>
        </w:tc>
        <w:tc>
          <w:tcPr>
            <w:tcW w:w="1200" w:type="dxa"/>
            <w:tcBorders>
              <w:top w:val="single" w:sz="6" w:space="0" w:color="95B3D7"/>
              <w:left w:val="nil"/>
              <w:bottom w:val="single" w:sz="6" w:space="0" w:color="95B3D7"/>
              <w:right w:val="nil"/>
            </w:tcBorders>
            <w:shd w:val="clear" w:color="auto" w:fill="DCE6F1"/>
            <w:vAlign w:val="bottom"/>
            <w:hideMark/>
          </w:tcPr>
          <w:p w14:paraId="6F3B8B9C" w14:textId="77777777" w:rsidR="002B10FA" w:rsidRPr="00777F9F" w:rsidRDefault="002B10FA" w:rsidP="00505643">
            <w:pPr>
              <w:tabs>
                <w:tab w:val="clear" w:pos="851"/>
              </w:tabs>
              <w:spacing w:before="0" w:after="0" w:line="240" w:lineRule="auto"/>
              <w:jc w:val="right"/>
              <w:textAlignment w:val="baseline"/>
              <w:rPr>
                <w:rFonts w:ascii="Segoe UI" w:hAnsi="Segoe UI" w:cs="Segoe UI"/>
                <w:color w:val="44546A"/>
                <w:sz w:val="18"/>
                <w:szCs w:val="18"/>
                <w:lang w:eastAsia="pt-BR"/>
              </w:rPr>
            </w:pPr>
            <w:r w:rsidRPr="00777F9F">
              <w:rPr>
                <w:rFonts w:ascii="Calibri" w:hAnsi="Calibri" w:cs="Calibri"/>
                <w:b/>
                <w:bCs/>
                <w:color w:val="44546A"/>
                <w:sz w:val="20"/>
                <w:szCs w:val="20"/>
                <w:lang w:eastAsia="pt-BR"/>
              </w:rPr>
              <w:t>0,43%</w:t>
            </w:r>
          </w:p>
        </w:tc>
      </w:tr>
    </w:tbl>
    <w:p w14:paraId="38302BD7" w14:textId="6E5B54F7" w:rsidR="000123DA" w:rsidRPr="00777F9F" w:rsidRDefault="000123DA" w:rsidP="000123DA">
      <w:pPr>
        <w:pStyle w:val="Legenda"/>
      </w:pPr>
      <w:bookmarkStart w:id="444" w:name="_Toc191643422"/>
      <w:r w:rsidRPr="00777F9F">
        <w:t xml:space="preserve">Tabela </w:t>
      </w:r>
      <w:r w:rsidR="005A4170" w:rsidRPr="00505643">
        <w:fldChar w:fldCharType="begin"/>
      </w:r>
      <w:r w:rsidR="005A4170" w:rsidRPr="00777F9F">
        <w:instrText xml:space="preserve"> STYLEREF 1 \s </w:instrText>
      </w:r>
      <w:r w:rsidR="005A4170" w:rsidRPr="00505643">
        <w:fldChar w:fldCharType="separate"/>
      </w:r>
      <w:r w:rsidR="009A3F6E">
        <w:rPr>
          <w:noProof/>
        </w:rPr>
        <w:t>8</w:t>
      </w:r>
      <w:r w:rsidR="005A4170" w:rsidRPr="00505643">
        <w:rPr>
          <w:noProof/>
        </w:rPr>
        <w:fldChar w:fldCharType="end"/>
      </w:r>
      <w:r w:rsidRPr="00777F9F">
        <w:noBreakHyphen/>
      </w:r>
      <w:r w:rsidR="005A4170" w:rsidRPr="00505643">
        <w:fldChar w:fldCharType="begin"/>
      </w:r>
      <w:r w:rsidR="005A4170" w:rsidRPr="00777F9F">
        <w:instrText xml:space="preserve"> SEQ Tabela \* ARABIC \s 1 </w:instrText>
      </w:r>
      <w:r w:rsidR="005A4170" w:rsidRPr="00505643">
        <w:fldChar w:fldCharType="separate"/>
      </w:r>
      <w:r w:rsidR="009A3F6E">
        <w:rPr>
          <w:noProof/>
        </w:rPr>
        <w:t>1</w:t>
      </w:r>
      <w:r w:rsidR="005A4170" w:rsidRPr="00505643">
        <w:rPr>
          <w:noProof/>
        </w:rPr>
        <w:fldChar w:fldCharType="end"/>
      </w:r>
      <w:r w:rsidRPr="00777F9F">
        <w:t xml:space="preserve"> Comparativo do quadro de empregados por exercício – 202</w:t>
      </w:r>
      <w:r w:rsidR="00777F9F" w:rsidRPr="00505643">
        <w:t>4</w:t>
      </w:r>
      <w:r w:rsidRPr="00777F9F">
        <w:t>/202</w:t>
      </w:r>
      <w:r w:rsidR="00777F9F" w:rsidRPr="00505643">
        <w:t>3</w:t>
      </w:r>
      <w:bookmarkEnd w:id="444"/>
    </w:p>
    <w:p w14:paraId="68950B8B" w14:textId="73CBB4D3" w:rsidR="00777F9F" w:rsidRPr="00505643" w:rsidRDefault="00777F9F" w:rsidP="00777F9F">
      <w:pPr>
        <w:spacing w:line="276" w:lineRule="auto"/>
      </w:pPr>
      <w:r>
        <w:t>O painel</w:t>
      </w:r>
      <w:r w:rsidRPr="00505643">
        <w:t xml:space="preserve"> abaixo apresenta recortes do quadro de pessoal em 2024 por gênero, cor declara</w:t>
      </w:r>
      <w:r>
        <w:t>da</w:t>
      </w:r>
      <w:r w:rsidRPr="00505643">
        <w:t xml:space="preserve"> e gênero no âmbito das lideranças:</w:t>
      </w:r>
    </w:p>
    <w:p w14:paraId="0F4B9792" w14:textId="3B89921B" w:rsidR="00777F9F" w:rsidRPr="00505643" w:rsidRDefault="00777F9F" w:rsidP="00505643">
      <w:pPr>
        <w:spacing w:line="276" w:lineRule="auto"/>
        <w:jc w:val="center"/>
      </w:pPr>
      <w:r w:rsidRPr="00505643">
        <w:rPr>
          <w:noProof/>
          <w:lang w:eastAsia="pt-BR"/>
        </w:rPr>
        <w:drawing>
          <wp:inline distT="0" distB="0" distL="0" distR="0" wp14:anchorId="526E00FB" wp14:editId="61288076">
            <wp:extent cx="1733550" cy="2103755"/>
            <wp:effectExtent l="0" t="0" r="0" b="0"/>
            <wp:docPr id="22" name="Imagem 22" descr="C:\Users\isabela.schneider\AppData\Local\Microsoft\Windows\INetCache\Content.MSO\84374C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a.schneider\AppData\Local\Microsoft\Windows\INetCache\Content.MSO\84374C8A.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0" cy="2103755"/>
                    </a:xfrm>
                    <a:prstGeom prst="rect">
                      <a:avLst/>
                    </a:prstGeom>
                    <a:noFill/>
                    <a:ln>
                      <a:noFill/>
                    </a:ln>
                  </pic:spPr>
                </pic:pic>
              </a:graphicData>
            </a:graphic>
          </wp:inline>
        </w:drawing>
      </w:r>
      <w:r w:rsidRPr="00505643">
        <w:rPr>
          <w:noProof/>
          <w:lang w:eastAsia="pt-BR"/>
        </w:rPr>
        <w:drawing>
          <wp:inline distT="0" distB="0" distL="0" distR="0" wp14:anchorId="69D5228E" wp14:editId="309B8CCF">
            <wp:extent cx="2056130" cy="2103755"/>
            <wp:effectExtent l="0" t="0" r="1270" b="0"/>
            <wp:docPr id="25" name="Imagem 25" descr="C:\Users\isabela.schneider\AppData\Local\Microsoft\Windows\INetCache\Content.MSO\4C4C85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a.schneider\AppData\Local\Microsoft\Windows\INetCache\Content.MSO\4C4C8528.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6130" cy="2103755"/>
                    </a:xfrm>
                    <a:prstGeom prst="rect">
                      <a:avLst/>
                    </a:prstGeom>
                    <a:noFill/>
                    <a:ln>
                      <a:noFill/>
                    </a:ln>
                  </pic:spPr>
                </pic:pic>
              </a:graphicData>
            </a:graphic>
          </wp:inline>
        </w:drawing>
      </w:r>
      <w:r w:rsidRPr="00505643">
        <w:rPr>
          <w:noProof/>
          <w:lang w:eastAsia="pt-BR"/>
        </w:rPr>
        <w:drawing>
          <wp:inline distT="0" distB="0" distL="0" distR="0" wp14:anchorId="5A75B844" wp14:editId="712AE516">
            <wp:extent cx="1802130" cy="2103755"/>
            <wp:effectExtent l="0" t="0" r="7620" b="0"/>
            <wp:docPr id="29" name="Imagem 29" descr="C:\Users\isabela.schneider\AppData\Local\Microsoft\Windows\INetCache\Content.MSO\9737AD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bela.schneider\AppData\Local\Microsoft\Windows\INetCache\Content.MSO\9737AD76.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2130" cy="2103755"/>
                    </a:xfrm>
                    <a:prstGeom prst="rect">
                      <a:avLst/>
                    </a:prstGeom>
                    <a:noFill/>
                    <a:ln>
                      <a:noFill/>
                    </a:ln>
                  </pic:spPr>
                </pic:pic>
              </a:graphicData>
            </a:graphic>
          </wp:inline>
        </w:drawing>
      </w:r>
    </w:p>
    <w:p w14:paraId="506CBD00" w14:textId="43F87382" w:rsidR="00D5755B" w:rsidRPr="00777F9F" w:rsidRDefault="000123DA" w:rsidP="00E17763">
      <w:pPr>
        <w:pStyle w:val="Legenda"/>
      </w:pPr>
      <w:bookmarkStart w:id="445" w:name="_Toc191643465"/>
      <w:r w:rsidRPr="00777F9F">
        <w:t xml:space="preserve">Gráfico </w:t>
      </w:r>
      <w:r w:rsidR="005A4170" w:rsidRPr="00505643">
        <w:fldChar w:fldCharType="begin"/>
      </w:r>
      <w:r w:rsidR="005A4170" w:rsidRPr="00777F9F">
        <w:instrText xml:space="preserve"> STYLEREF 1 \s </w:instrText>
      </w:r>
      <w:r w:rsidR="005A4170" w:rsidRPr="00505643">
        <w:fldChar w:fldCharType="separate"/>
      </w:r>
      <w:r w:rsidR="009A3F6E">
        <w:rPr>
          <w:noProof/>
        </w:rPr>
        <w:t>8</w:t>
      </w:r>
      <w:r w:rsidR="005A4170" w:rsidRPr="00505643">
        <w:rPr>
          <w:noProof/>
        </w:rPr>
        <w:fldChar w:fldCharType="end"/>
      </w:r>
      <w:r w:rsidRPr="00777F9F">
        <w:noBreakHyphen/>
      </w:r>
      <w:r w:rsidR="005A4170" w:rsidRPr="00505643">
        <w:fldChar w:fldCharType="begin"/>
      </w:r>
      <w:r w:rsidR="005A4170" w:rsidRPr="00777F9F">
        <w:instrText xml:space="preserve"> SEQ Gráfico \* ARABIC \s 1 </w:instrText>
      </w:r>
      <w:r w:rsidR="005A4170" w:rsidRPr="00505643">
        <w:fldChar w:fldCharType="separate"/>
      </w:r>
      <w:r w:rsidR="009A3F6E">
        <w:rPr>
          <w:noProof/>
        </w:rPr>
        <w:t>1</w:t>
      </w:r>
      <w:r w:rsidR="005A4170" w:rsidRPr="00505643">
        <w:rPr>
          <w:noProof/>
        </w:rPr>
        <w:fldChar w:fldCharType="end"/>
      </w:r>
      <w:r w:rsidRPr="00777F9F">
        <w:t xml:space="preserve"> </w:t>
      </w:r>
      <w:r w:rsidR="00777F9F">
        <w:t xml:space="preserve">Painel do quadro de pessoal 2024, por </w:t>
      </w:r>
      <w:r w:rsidR="00777F9F" w:rsidRPr="00E94C0F">
        <w:t>gênero, cor declara</w:t>
      </w:r>
      <w:r w:rsidR="00777F9F">
        <w:t>da</w:t>
      </w:r>
      <w:r w:rsidR="00777F9F" w:rsidRPr="00E94C0F">
        <w:t xml:space="preserve"> e gênero no âmbito das lideranças</w:t>
      </w:r>
      <w:bookmarkEnd w:id="445"/>
      <w:r w:rsidR="00777F9F" w:rsidRPr="00777F9F" w:rsidDel="00777F9F">
        <w:t xml:space="preserve"> </w:t>
      </w:r>
    </w:p>
    <w:p w14:paraId="0B7EB3E2" w14:textId="3BBFAE37" w:rsidR="009C6092" w:rsidRPr="00505643" w:rsidRDefault="009C6092" w:rsidP="009C6092">
      <w:pPr>
        <w:spacing w:before="120" w:line="240" w:lineRule="auto"/>
        <w:ind w:hanging="284"/>
        <w:jc w:val="center"/>
        <w:rPr>
          <w:bCs/>
          <w:sz w:val="16"/>
          <w:highlight w:val="yellow"/>
        </w:rPr>
      </w:pPr>
    </w:p>
    <w:p w14:paraId="0ADAC03B" w14:textId="756D4BEB" w:rsidR="00C9006B" w:rsidRPr="00777F9F" w:rsidRDefault="79824539" w:rsidP="00AE2A3B">
      <w:pPr>
        <w:pStyle w:val="Ttulo2"/>
        <w:spacing w:before="240" w:after="120" w:line="276" w:lineRule="auto"/>
        <w:ind w:left="567" w:hanging="567"/>
      </w:pPr>
      <w:bookmarkStart w:id="446" w:name="_Toc191641911"/>
      <w:bookmarkStart w:id="447" w:name="_Toc1052042"/>
      <w:r w:rsidRPr="00777F9F">
        <w:t>Remuneração</w:t>
      </w:r>
      <w:bookmarkEnd w:id="446"/>
      <w:r w:rsidRPr="00777F9F">
        <w:t xml:space="preserve"> </w:t>
      </w:r>
      <w:bookmarkEnd w:id="447"/>
    </w:p>
    <w:p w14:paraId="184F3901" w14:textId="77777777" w:rsidR="00777F9F" w:rsidRPr="00505643" w:rsidRDefault="00777F9F" w:rsidP="00777F9F">
      <w:pPr>
        <w:spacing w:before="120" w:line="240" w:lineRule="auto"/>
        <w:rPr>
          <w:sz w:val="22"/>
          <w:szCs w:val="22"/>
        </w:rPr>
      </w:pPr>
      <w:r w:rsidRPr="00505643">
        <w:rPr>
          <w:sz w:val="22"/>
          <w:szCs w:val="22"/>
        </w:rPr>
        <w:t>A maior remuneração para o quadro de pessoal alcançou R$ 31.775,00, e a menor foi de R$ 4.274,79, estabelecendo um salário médio de R$ 14.641,30. Para os dirigentes, a remuneração oscilou entre R$ 38.396,51 e R$ 42.236,17, com uma média de R$ 39.164,44, reconhecendo as responsabilidades e a liderança desses profissionais dentro da organização.</w:t>
      </w:r>
    </w:p>
    <w:p w14:paraId="16B94260" w14:textId="6174B934" w:rsidR="00C9006B" w:rsidRPr="00777F9F" w:rsidRDefault="62369B81" w:rsidP="00AE2A3B">
      <w:pPr>
        <w:pStyle w:val="Ttulo2"/>
        <w:spacing w:before="240" w:after="120" w:line="276" w:lineRule="auto"/>
        <w:ind w:left="567" w:hanging="567"/>
      </w:pPr>
      <w:bookmarkStart w:id="448" w:name="_Toc1052043"/>
      <w:bookmarkStart w:id="449" w:name="_Toc191641912"/>
      <w:r w:rsidRPr="00777F9F">
        <w:t>Acordo Coletivo de Trabalho</w:t>
      </w:r>
      <w:bookmarkEnd w:id="448"/>
      <w:bookmarkEnd w:id="449"/>
    </w:p>
    <w:p w14:paraId="68858EF9" w14:textId="15808741" w:rsidR="009C6092" w:rsidRPr="00777F9F" w:rsidRDefault="00934B0A" w:rsidP="009C6092">
      <w:pPr>
        <w:spacing w:before="120" w:line="240" w:lineRule="auto"/>
        <w:rPr>
          <w:sz w:val="22"/>
          <w:szCs w:val="22"/>
        </w:rPr>
      </w:pPr>
      <w:r w:rsidRPr="00777F9F">
        <w:rPr>
          <w:sz w:val="22"/>
          <w:szCs w:val="22"/>
        </w:rPr>
        <w:t xml:space="preserve">A </w:t>
      </w:r>
      <w:r w:rsidR="00777F9F" w:rsidRPr="00505643">
        <w:rPr>
          <w:sz w:val="22"/>
          <w:szCs w:val="22"/>
        </w:rPr>
        <w:t>Telebras concluiu com êxito as negociações do ACT 2023/2024, implementando um reajuste salarial e de benefícios de 3,73% e um abono pecuniário de R$ 3.000,00 para todos os empregados ativos entre novembro/2022 e fevereiro/2023. Além disso, duas novas cláusulas sócias foram incluídas (descanso especial para mães lactantes e redução de jornada de empregados com dependentes com necessidade) e manteve as demais cláusulas sociais. Este acordo é válido de 1º de novembro de 2023 a 31 de outubro de 2024</w:t>
      </w:r>
      <w:r w:rsidRPr="00777F9F">
        <w:rPr>
          <w:sz w:val="22"/>
          <w:szCs w:val="22"/>
        </w:rPr>
        <w:t>.</w:t>
      </w:r>
    </w:p>
    <w:p w14:paraId="5E7EA309" w14:textId="6E8C3C37" w:rsidR="00C9006B" w:rsidRPr="00777F9F" w:rsidRDefault="42986106" w:rsidP="00554F74">
      <w:pPr>
        <w:pStyle w:val="Ttulo2"/>
        <w:spacing w:before="360" w:after="120" w:line="276" w:lineRule="auto"/>
        <w:ind w:left="567" w:hanging="567"/>
      </w:pPr>
      <w:bookmarkStart w:id="450" w:name="_Toc1052044"/>
      <w:bookmarkStart w:id="451" w:name="_Toc191641913"/>
      <w:r w:rsidRPr="00777F9F">
        <w:t>Concurso Público</w:t>
      </w:r>
      <w:bookmarkEnd w:id="450"/>
      <w:bookmarkEnd w:id="451"/>
    </w:p>
    <w:p w14:paraId="1652E3FD" w14:textId="77777777" w:rsidR="00777F9F" w:rsidRPr="00505643" w:rsidRDefault="00777F9F" w:rsidP="00777F9F">
      <w:pPr>
        <w:spacing w:before="120" w:line="240" w:lineRule="auto"/>
        <w:rPr>
          <w:sz w:val="22"/>
          <w:szCs w:val="22"/>
        </w:rPr>
      </w:pPr>
      <w:r w:rsidRPr="00505643">
        <w:rPr>
          <w:sz w:val="22"/>
          <w:szCs w:val="22"/>
        </w:rPr>
        <w:t xml:space="preserve">A estratégia de recrutamento da Telebras incluiu a realização de concursos públicos para atrair talentos especializados. Desde 2015, a empresa realizou três concursos, admitindo um total de 424 funcionários até dezembro de 2023, apesar de 148 desses funcionários terem se desligado. O mais recente concurso, anunciado em novembro de 2021, ofereceu 9 vagas diretas e cadastro reserva, resultando na contratação de 59 novos especialistas em gestão de telecomunicações até o final de 2024.  </w:t>
      </w:r>
    </w:p>
    <w:p w14:paraId="5F57A78C" w14:textId="2D81479D" w:rsidR="00C9006B" w:rsidRPr="00777F9F" w:rsidRDefault="02BAEB50" w:rsidP="00736361">
      <w:pPr>
        <w:pStyle w:val="Ttulo2"/>
        <w:spacing w:before="240" w:after="120" w:line="276" w:lineRule="auto"/>
        <w:ind w:left="567" w:hanging="510"/>
      </w:pPr>
      <w:bookmarkStart w:id="452" w:name="_Toc1052045"/>
      <w:bookmarkStart w:id="453" w:name="_Toc191641914"/>
      <w:r w:rsidRPr="00777F9F">
        <w:t>Avaliação de Desempenho</w:t>
      </w:r>
      <w:bookmarkEnd w:id="452"/>
      <w:bookmarkEnd w:id="453"/>
    </w:p>
    <w:p w14:paraId="223BF0E7" w14:textId="77777777" w:rsidR="00777F9F" w:rsidRPr="00505643" w:rsidRDefault="00777F9F" w:rsidP="00777F9F">
      <w:pPr>
        <w:spacing w:line="240" w:lineRule="auto"/>
        <w:rPr>
          <w:rFonts w:cs="Arial"/>
          <w:sz w:val="22"/>
          <w:szCs w:val="22"/>
        </w:rPr>
      </w:pPr>
      <w:r w:rsidRPr="00505643">
        <w:rPr>
          <w:rFonts w:cs="Arial"/>
          <w:sz w:val="22"/>
          <w:szCs w:val="22"/>
        </w:rPr>
        <w:t xml:space="preserve">A Telebras conduziu sua Avaliação de Desempenho por Competências e Resultados em 2024, com o intuito de avaliar e promover o desenvolvimento profissional dos seus colaboradores. Participaram 307 empregados elegíveis, que foram avaliados com base no seu desempenho entre 18 de março a 27 de setembro de 2023. Como resultado, 19 empregados foram promovidos por antiguidade, reconhecendo sua dedicação e tempo de serviço, enquanto 89 receberam promoções por mérito, destacando suas contribuições excepcionais e impacto no sucesso da empresa. Entre os promovidos por mérito, as promoções variaram de um a três níveis salariais, evidenciando o compromisso da Telebras em valorizar e incentivar o alto desempenho. </w:t>
      </w:r>
    </w:p>
    <w:p w14:paraId="74AE4D31" w14:textId="026E1715" w:rsidR="00777F9F" w:rsidRPr="00505643" w:rsidRDefault="00777F9F" w:rsidP="005C23DF">
      <w:pPr>
        <w:spacing w:line="240" w:lineRule="auto"/>
        <w:rPr>
          <w:rFonts w:cs="Arial"/>
          <w:sz w:val="22"/>
          <w:szCs w:val="22"/>
        </w:rPr>
      </w:pPr>
      <w:r w:rsidRPr="00505643">
        <w:rPr>
          <w:rFonts w:cs="Arial"/>
          <w:sz w:val="22"/>
          <w:szCs w:val="22"/>
        </w:rPr>
        <w:t>Quanto ao gênero feminino e masculino, a distribuição percentual de eleitos registrou, respectivamente, 35% e 65%. Estes resultados são proporcionais ao atual quadro de pessoal da Telebras.   </w:t>
      </w:r>
    </w:p>
    <w:p w14:paraId="6F5D6911" w14:textId="72C087B7" w:rsidR="00C9006B" w:rsidRPr="00777F9F" w:rsidRDefault="02BAEB50" w:rsidP="00736361">
      <w:pPr>
        <w:pStyle w:val="Ttulo2"/>
        <w:spacing w:before="240" w:after="120" w:line="276" w:lineRule="auto"/>
        <w:ind w:left="567" w:hanging="567"/>
      </w:pPr>
      <w:bookmarkStart w:id="454" w:name="_Toc1052046"/>
      <w:bookmarkStart w:id="455" w:name="_Toc191641915"/>
      <w:r w:rsidRPr="00777F9F">
        <w:t>Capacitação</w:t>
      </w:r>
      <w:bookmarkEnd w:id="454"/>
      <w:bookmarkEnd w:id="455"/>
    </w:p>
    <w:p w14:paraId="3C30B4EC" w14:textId="77777777" w:rsidR="00777F9F" w:rsidRPr="00505643" w:rsidRDefault="00777F9F" w:rsidP="00777F9F">
      <w:pPr>
        <w:spacing w:before="120" w:line="240" w:lineRule="auto"/>
        <w:rPr>
          <w:rFonts w:ascii="Calibri" w:eastAsia="Calibri" w:hAnsi="Calibri" w:cs="Calibri"/>
          <w:sz w:val="22"/>
          <w:szCs w:val="22"/>
        </w:rPr>
      </w:pPr>
      <w:r w:rsidRPr="00505643">
        <w:rPr>
          <w:rFonts w:ascii="Calibri" w:eastAsia="Calibri" w:hAnsi="Calibri" w:cs="Calibri"/>
          <w:sz w:val="22"/>
          <w:szCs w:val="22"/>
        </w:rPr>
        <w:t>Em 2024, a Telebras investiu mais de 17.000 horas em treinamentos, alcançando uma média de 48 horas por empregado, incluindo eventos internacionais. Exemplificativamente, destacam-se: </w:t>
      </w:r>
    </w:p>
    <w:p w14:paraId="3399A0D2" w14:textId="77777777" w:rsidR="00777F9F" w:rsidRPr="00505643" w:rsidRDefault="00777F9F" w:rsidP="00777F9F">
      <w:pPr>
        <w:numPr>
          <w:ilvl w:val="0"/>
          <w:numId w:val="47"/>
        </w:numPr>
        <w:spacing w:before="120" w:line="240" w:lineRule="auto"/>
        <w:rPr>
          <w:rFonts w:ascii="Calibri" w:eastAsia="Calibri" w:hAnsi="Calibri" w:cs="Calibri"/>
          <w:sz w:val="22"/>
          <w:szCs w:val="22"/>
        </w:rPr>
      </w:pPr>
      <w:r w:rsidRPr="00505643">
        <w:rPr>
          <w:rFonts w:ascii="Calibri" w:eastAsia="Calibri" w:hAnsi="Calibri" w:cs="Calibri"/>
          <w:sz w:val="22"/>
          <w:szCs w:val="22"/>
        </w:rPr>
        <w:t>Meses de janeiro a março: participação da Telebras nos seguintes eventos internacionais:</w:t>
      </w:r>
    </w:p>
    <w:p w14:paraId="27BB5F06" w14:textId="77777777" w:rsidR="00777F9F" w:rsidRPr="00505643" w:rsidRDefault="00777F9F" w:rsidP="00777F9F">
      <w:pPr>
        <w:numPr>
          <w:ilvl w:val="1"/>
          <w:numId w:val="47"/>
        </w:numPr>
        <w:spacing w:before="120" w:line="240" w:lineRule="auto"/>
        <w:rPr>
          <w:rFonts w:ascii="Calibri" w:eastAsia="Calibri" w:hAnsi="Calibri" w:cs="Calibri"/>
          <w:sz w:val="22"/>
          <w:szCs w:val="22"/>
        </w:rPr>
      </w:pPr>
      <w:r w:rsidRPr="00505643">
        <w:rPr>
          <w:rFonts w:ascii="Calibri" w:eastAsia="Calibri" w:hAnsi="Calibri" w:cs="Calibri"/>
          <w:i/>
          <w:iCs/>
          <w:sz w:val="22"/>
          <w:szCs w:val="22"/>
        </w:rPr>
        <w:t xml:space="preserve"> International Symposium on Space Flight Dynamics (ISSFD)</w:t>
      </w:r>
      <w:r w:rsidRPr="00505643">
        <w:rPr>
          <w:rFonts w:ascii="Calibri" w:eastAsia="Calibri" w:hAnsi="Calibri" w:cs="Calibri"/>
          <w:sz w:val="22"/>
          <w:szCs w:val="22"/>
        </w:rPr>
        <w:t xml:space="preserve">, na Alemanha, e </w:t>
      </w:r>
    </w:p>
    <w:p w14:paraId="5A392EA3" w14:textId="77777777" w:rsidR="00777F9F" w:rsidRPr="00505643" w:rsidRDefault="00777F9F" w:rsidP="00777F9F">
      <w:pPr>
        <w:numPr>
          <w:ilvl w:val="1"/>
          <w:numId w:val="47"/>
        </w:numPr>
        <w:spacing w:before="120" w:line="240" w:lineRule="auto"/>
        <w:rPr>
          <w:rFonts w:ascii="Calibri" w:eastAsia="Calibri" w:hAnsi="Calibri" w:cs="Calibri"/>
          <w:sz w:val="22"/>
          <w:szCs w:val="22"/>
        </w:rPr>
      </w:pPr>
      <w:r w:rsidRPr="00505643">
        <w:rPr>
          <w:rFonts w:ascii="Calibri" w:eastAsia="Calibri" w:hAnsi="Calibri" w:cs="Calibri"/>
          <w:i/>
          <w:iCs/>
          <w:sz w:val="22"/>
          <w:szCs w:val="22"/>
        </w:rPr>
        <w:t>Satellite 2024 - Conference and Exhibition</w:t>
      </w:r>
      <w:r w:rsidRPr="00505643">
        <w:rPr>
          <w:rFonts w:ascii="Calibri" w:eastAsia="Calibri" w:hAnsi="Calibri" w:cs="Calibri"/>
          <w:sz w:val="22"/>
          <w:szCs w:val="22"/>
        </w:rPr>
        <w:t xml:space="preserve">, realizado nos EUA e, promoção do primeiro </w:t>
      </w:r>
    </w:p>
    <w:p w14:paraId="5EBF0BAA" w14:textId="77777777" w:rsidR="00777F9F" w:rsidRPr="00505643" w:rsidRDefault="00777F9F" w:rsidP="00777F9F">
      <w:pPr>
        <w:numPr>
          <w:ilvl w:val="0"/>
          <w:numId w:val="48"/>
        </w:numPr>
        <w:spacing w:before="120" w:line="240" w:lineRule="auto"/>
        <w:rPr>
          <w:rFonts w:ascii="Calibri" w:eastAsia="Calibri" w:hAnsi="Calibri" w:cs="Calibri"/>
          <w:sz w:val="22"/>
          <w:szCs w:val="22"/>
        </w:rPr>
      </w:pPr>
      <w:r w:rsidRPr="00505643">
        <w:rPr>
          <w:rFonts w:ascii="Calibri" w:eastAsia="Calibri" w:hAnsi="Calibri" w:cs="Calibri"/>
          <w:iCs/>
          <w:sz w:val="22"/>
          <w:szCs w:val="22"/>
        </w:rPr>
        <w:t>Março:</w:t>
      </w:r>
      <w:r w:rsidRPr="00505643">
        <w:rPr>
          <w:rFonts w:ascii="Calibri" w:eastAsia="Calibri" w:hAnsi="Calibri" w:cs="Calibri"/>
          <w:i/>
          <w:iCs/>
          <w:sz w:val="22"/>
          <w:szCs w:val="22"/>
        </w:rPr>
        <w:t xml:space="preserve"> Telebras Day</w:t>
      </w:r>
      <w:r w:rsidRPr="00505643">
        <w:rPr>
          <w:rFonts w:ascii="Calibri" w:eastAsia="Calibri" w:hAnsi="Calibri" w:cs="Calibri"/>
          <w:sz w:val="22"/>
          <w:szCs w:val="22"/>
        </w:rPr>
        <w:t>, evento que fortaleceu o compromisso da empresa em desenvolver seus líderes; </w:t>
      </w:r>
    </w:p>
    <w:p w14:paraId="622F5A8A" w14:textId="77777777" w:rsidR="00777F9F" w:rsidRPr="00505643" w:rsidRDefault="00777F9F" w:rsidP="00777F9F">
      <w:pPr>
        <w:numPr>
          <w:ilvl w:val="0"/>
          <w:numId w:val="48"/>
        </w:numPr>
        <w:spacing w:before="120" w:line="240" w:lineRule="auto"/>
        <w:rPr>
          <w:rFonts w:ascii="Calibri" w:eastAsia="Calibri" w:hAnsi="Calibri" w:cs="Calibri"/>
          <w:sz w:val="22"/>
          <w:szCs w:val="22"/>
        </w:rPr>
      </w:pPr>
      <w:r w:rsidRPr="00505643">
        <w:rPr>
          <w:rFonts w:ascii="Calibri" w:eastAsia="Calibri" w:hAnsi="Calibri" w:cs="Calibri"/>
          <w:sz w:val="22"/>
          <w:szCs w:val="22"/>
        </w:rPr>
        <w:t xml:space="preserve">Abril: realização do </w:t>
      </w:r>
      <w:r w:rsidRPr="00505643">
        <w:rPr>
          <w:rFonts w:ascii="Calibri" w:eastAsia="Calibri" w:hAnsi="Calibri" w:cs="Calibri"/>
          <w:i/>
          <w:iCs/>
          <w:sz w:val="22"/>
          <w:szCs w:val="22"/>
        </w:rPr>
        <w:t xml:space="preserve">1° Workshop para Líderes, </w:t>
      </w:r>
      <w:r w:rsidRPr="00505643">
        <w:rPr>
          <w:rFonts w:ascii="Calibri" w:eastAsia="Calibri" w:hAnsi="Calibri" w:cs="Calibri"/>
          <w:sz w:val="22"/>
          <w:szCs w:val="22"/>
        </w:rPr>
        <w:t>com foco em Gestão de Equipes e Atividades;  </w:t>
      </w:r>
    </w:p>
    <w:p w14:paraId="4DB13B8B" w14:textId="77777777" w:rsidR="00777F9F" w:rsidRPr="00505643" w:rsidRDefault="00777F9F" w:rsidP="00777F9F">
      <w:pPr>
        <w:numPr>
          <w:ilvl w:val="0"/>
          <w:numId w:val="49"/>
        </w:numPr>
        <w:spacing w:before="120" w:line="240" w:lineRule="auto"/>
        <w:rPr>
          <w:rFonts w:ascii="Calibri" w:eastAsia="Calibri" w:hAnsi="Calibri" w:cs="Calibri"/>
          <w:sz w:val="22"/>
          <w:szCs w:val="22"/>
        </w:rPr>
      </w:pPr>
      <w:r w:rsidRPr="00505643">
        <w:rPr>
          <w:rFonts w:ascii="Calibri" w:eastAsia="Calibri" w:hAnsi="Calibri" w:cs="Calibri"/>
          <w:sz w:val="22"/>
          <w:szCs w:val="22"/>
        </w:rPr>
        <w:t>Junho: início dos cursos relacionados às Metas Institucionais (MI) da Avaliação de Desempenho de 2024; </w:t>
      </w:r>
    </w:p>
    <w:p w14:paraId="2346346A" w14:textId="77777777" w:rsidR="00777F9F" w:rsidRPr="00505643" w:rsidRDefault="00777F9F" w:rsidP="00777F9F">
      <w:pPr>
        <w:numPr>
          <w:ilvl w:val="0"/>
          <w:numId w:val="50"/>
        </w:numPr>
        <w:spacing w:before="120" w:line="240" w:lineRule="auto"/>
        <w:rPr>
          <w:rFonts w:ascii="Calibri" w:eastAsia="Calibri" w:hAnsi="Calibri" w:cs="Calibri"/>
          <w:sz w:val="22"/>
          <w:szCs w:val="22"/>
        </w:rPr>
      </w:pPr>
      <w:r w:rsidRPr="00505643">
        <w:rPr>
          <w:rFonts w:ascii="Calibri" w:eastAsia="Calibri" w:hAnsi="Calibri" w:cs="Calibri"/>
          <w:sz w:val="22"/>
          <w:szCs w:val="22"/>
        </w:rPr>
        <w:t>Julho: registro de mais de 100 (cem) horas de treinamento, realizados voluntariamente, em instituições como a Escola Nacional de Administração Pública (ENAP), Controladoria-Geral da União (CGU) e LEC – Educação e Pesquisa; </w:t>
      </w:r>
    </w:p>
    <w:p w14:paraId="57559615" w14:textId="77777777" w:rsidR="00777F9F" w:rsidRPr="00505643" w:rsidRDefault="00777F9F" w:rsidP="00777F9F">
      <w:pPr>
        <w:numPr>
          <w:ilvl w:val="0"/>
          <w:numId w:val="51"/>
        </w:numPr>
        <w:spacing w:before="120" w:line="240" w:lineRule="auto"/>
        <w:rPr>
          <w:rFonts w:ascii="Calibri" w:eastAsia="Calibri" w:hAnsi="Calibri" w:cs="Calibri"/>
          <w:sz w:val="22"/>
          <w:szCs w:val="22"/>
        </w:rPr>
      </w:pPr>
      <w:r w:rsidRPr="00505643">
        <w:rPr>
          <w:rFonts w:ascii="Calibri" w:eastAsia="Calibri" w:hAnsi="Calibri" w:cs="Calibri"/>
          <w:sz w:val="22"/>
          <w:szCs w:val="22"/>
        </w:rPr>
        <w:t xml:space="preserve">Agosto: participação de duas colaboradoras da DAFRI no evento </w:t>
      </w:r>
      <w:r w:rsidRPr="00505643">
        <w:rPr>
          <w:rFonts w:ascii="Calibri" w:eastAsia="Calibri" w:hAnsi="Calibri" w:cs="Calibri"/>
          <w:i/>
          <w:iCs/>
          <w:sz w:val="22"/>
          <w:szCs w:val="22"/>
        </w:rPr>
        <w:t>CONARH 2024</w:t>
      </w:r>
      <w:r w:rsidRPr="00505643">
        <w:rPr>
          <w:rFonts w:ascii="Calibri" w:eastAsia="Calibri" w:hAnsi="Calibri" w:cs="Calibri"/>
          <w:sz w:val="22"/>
          <w:szCs w:val="22"/>
        </w:rPr>
        <w:t>, cujo tema central foi “Conectando pessoas a um infinito de inovações"; </w:t>
      </w:r>
    </w:p>
    <w:p w14:paraId="096B79BA" w14:textId="77777777" w:rsidR="00777F9F" w:rsidRPr="00505643" w:rsidRDefault="00777F9F" w:rsidP="00777F9F">
      <w:pPr>
        <w:numPr>
          <w:ilvl w:val="0"/>
          <w:numId w:val="52"/>
        </w:numPr>
        <w:spacing w:before="120" w:line="240" w:lineRule="auto"/>
        <w:rPr>
          <w:rFonts w:ascii="Calibri" w:eastAsia="Calibri" w:hAnsi="Calibri" w:cs="Calibri"/>
          <w:sz w:val="22"/>
          <w:szCs w:val="22"/>
        </w:rPr>
      </w:pPr>
      <w:r w:rsidRPr="00505643">
        <w:rPr>
          <w:rFonts w:ascii="Calibri" w:eastAsia="Calibri" w:hAnsi="Calibri" w:cs="Calibri"/>
          <w:sz w:val="22"/>
          <w:szCs w:val="22"/>
        </w:rPr>
        <w:t xml:space="preserve">Setembro: </w:t>
      </w:r>
      <w:r w:rsidRPr="00505643">
        <w:rPr>
          <w:rFonts w:ascii="Calibri" w:eastAsia="Calibri" w:hAnsi="Calibri" w:cs="Calibri"/>
          <w:i/>
          <w:iCs/>
          <w:sz w:val="22"/>
          <w:szCs w:val="22"/>
        </w:rPr>
        <w:t>Formação de Auditores Internos – Nível Intermediário – AUDI 2</w:t>
      </w:r>
      <w:r w:rsidRPr="00505643">
        <w:rPr>
          <w:rFonts w:ascii="Calibri" w:eastAsia="Calibri" w:hAnsi="Calibri" w:cs="Calibri"/>
          <w:sz w:val="22"/>
          <w:szCs w:val="22"/>
        </w:rPr>
        <w:t>; e </w:t>
      </w:r>
    </w:p>
    <w:p w14:paraId="7B297CBB" w14:textId="77777777" w:rsidR="00777F9F" w:rsidRPr="00505643" w:rsidRDefault="00777F9F" w:rsidP="00777F9F">
      <w:pPr>
        <w:numPr>
          <w:ilvl w:val="0"/>
          <w:numId w:val="53"/>
        </w:numPr>
        <w:spacing w:before="120" w:line="240" w:lineRule="auto"/>
        <w:rPr>
          <w:rFonts w:ascii="Calibri" w:eastAsia="Calibri" w:hAnsi="Calibri" w:cs="Calibri"/>
          <w:sz w:val="22"/>
          <w:szCs w:val="22"/>
        </w:rPr>
      </w:pPr>
      <w:r w:rsidRPr="00505643">
        <w:rPr>
          <w:rFonts w:ascii="Calibri" w:eastAsia="Calibri" w:hAnsi="Calibri" w:cs="Calibri"/>
          <w:sz w:val="22"/>
          <w:szCs w:val="22"/>
        </w:rPr>
        <w:t>Novembro: realização de cursos obrigatórios relativos às Normas Reguladoras, promovidos pela BIOSEG - Soluções em Segurança.  </w:t>
      </w:r>
    </w:p>
    <w:p w14:paraId="1F3FE236" w14:textId="01A2F990" w:rsidR="00777F9F" w:rsidRPr="00505643" w:rsidRDefault="00777F9F" w:rsidP="00777F9F">
      <w:pPr>
        <w:spacing w:before="120" w:line="240" w:lineRule="auto"/>
        <w:rPr>
          <w:rFonts w:ascii="Calibri" w:eastAsia="Calibri" w:hAnsi="Calibri" w:cs="Calibri"/>
          <w:sz w:val="22"/>
          <w:szCs w:val="22"/>
        </w:rPr>
      </w:pPr>
      <w:r w:rsidRPr="00505643">
        <w:rPr>
          <w:rFonts w:ascii="Calibri" w:eastAsia="Calibri" w:hAnsi="Calibri" w:cs="Calibri"/>
          <w:sz w:val="22"/>
          <w:szCs w:val="22"/>
        </w:rPr>
        <w:t>Essas iniciativas reforçam o compromisso da Telebras com o desenvolvimento contínuo de seus colaboradores, alinhando as ações de T&amp;D aos objetivos estratégicos da empresa e promovendo de um ambiente de aprendizagem e valorização profissional.  </w:t>
      </w:r>
    </w:p>
    <w:p w14:paraId="616012C2" w14:textId="2D46DE3B" w:rsidR="000D1EBC" w:rsidRPr="00505643" w:rsidRDefault="000D1EBC" w:rsidP="002B6259">
      <w:pPr>
        <w:spacing w:line="240" w:lineRule="auto"/>
        <w:rPr>
          <w:rFonts w:cs="Arial"/>
          <w:sz w:val="22"/>
          <w:highlight w:val="yellow"/>
        </w:rPr>
        <w:sectPr w:rsidR="000D1EBC" w:rsidRPr="00505643" w:rsidSect="000978E5">
          <w:headerReference w:type="default" r:id="rId33"/>
          <w:type w:val="continuous"/>
          <w:pgSz w:w="11907" w:h="16840" w:code="9"/>
          <w:pgMar w:top="1701" w:right="1134" w:bottom="1531" w:left="1701" w:header="397" w:footer="720" w:gutter="0"/>
          <w:cols w:space="708"/>
          <w:titlePg/>
          <w:docGrid w:linePitch="360"/>
        </w:sectPr>
      </w:pPr>
    </w:p>
    <w:p w14:paraId="16B1702D" w14:textId="4E94EA87" w:rsidR="005F0BD1" w:rsidRPr="00B751A8" w:rsidRDefault="1A204EAF" w:rsidP="00736361">
      <w:pPr>
        <w:pStyle w:val="Ttulo1"/>
        <w:spacing w:after="240"/>
        <w:ind w:left="567" w:hanging="567"/>
      </w:pPr>
      <w:bookmarkStart w:id="456" w:name="_Toc191641916"/>
      <w:r w:rsidRPr="00B751A8">
        <w:t xml:space="preserve">Licitações </w:t>
      </w:r>
      <w:r w:rsidR="2F19A4A1" w:rsidRPr="00B751A8">
        <w:t>e</w:t>
      </w:r>
      <w:r w:rsidRPr="00B751A8">
        <w:t xml:space="preserve"> Contratos</w:t>
      </w:r>
      <w:bookmarkEnd w:id="456"/>
    </w:p>
    <w:p w14:paraId="683D5D52" w14:textId="0E091208" w:rsidR="00B751A8" w:rsidRPr="00505643" w:rsidRDefault="00B751A8" w:rsidP="00B751A8">
      <w:pPr>
        <w:spacing w:after="240" w:line="240" w:lineRule="auto"/>
        <w:rPr>
          <w:rFonts w:cs="Arial"/>
          <w:sz w:val="22"/>
        </w:rPr>
      </w:pPr>
      <w:r w:rsidRPr="00505643">
        <w:rPr>
          <w:rFonts w:cs="Arial"/>
          <w:sz w:val="22"/>
        </w:rPr>
        <w:t>Em 2024, a empresa realizou contratações significativas para a aquisição de bens, produtos e serviços, totalizando o montante de R$ 96.562.225, 31 (Noventa e seis milhões, quinhentos e sessenta e dois mil, duzentos e vinte e cinco reais e trinta e um centavos). Essas contratações foram distribuídas conforme modalidades de licitação específicas, refletindo a aderência rigorosa da Telebras às normativas legais e regulamentares em suas operações de compra, conforme tabela abaixo:</w:t>
      </w:r>
    </w:p>
    <w:p w14:paraId="2D3B1555" w14:textId="61355AE7" w:rsidR="009C6092" w:rsidRPr="00B751A8" w:rsidRDefault="00B751A8" w:rsidP="00505643">
      <w:pPr>
        <w:spacing w:after="240" w:line="240" w:lineRule="auto"/>
        <w:jc w:val="center"/>
        <w:rPr>
          <w:rFonts w:eastAsia="Calibri"/>
          <w:sz w:val="22"/>
        </w:rPr>
      </w:pPr>
      <w:r w:rsidRPr="00505643">
        <w:rPr>
          <w:noProof/>
          <w:lang w:eastAsia="pt-BR"/>
        </w:rPr>
        <w:drawing>
          <wp:inline distT="0" distB="0" distL="0" distR="0" wp14:anchorId="7B58EE58" wp14:editId="1DBCAEF1">
            <wp:extent cx="5400040" cy="1585595"/>
            <wp:effectExtent l="0" t="0" r="0" b="0"/>
            <wp:docPr id="31" name="Imagem 3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1585595"/>
                    </a:xfrm>
                    <a:prstGeom prst="rect">
                      <a:avLst/>
                    </a:prstGeom>
                    <a:noFill/>
                    <a:ln>
                      <a:noFill/>
                    </a:ln>
                  </pic:spPr>
                </pic:pic>
              </a:graphicData>
            </a:graphic>
          </wp:inline>
        </w:drawing>
      </w:r>
    </w:p>
    <w:p w14:paraId="2EF53499" w14:textId="00E5D5C5" w:rsidR="00216FCA" w:rsidRPr="00505643" w:rsidRDefault="00636E96" w:rsidP="005371E9">
      <w:pPr>
        <w:pStyle w:val="Legenda"/>
        <w:rPr>
          <w:rFonts w:eastAsia="Calibri"/>
          <w:highlight w:val="yellow"/>
        </w:rPr>
      </w:pPr>
      <w:bookmarkStart w:id="457" w:name="_Toc191643423"/>
      <w:r w:rsidRPr="00B751A8">
        <w:t xml:space="preserve">Tabela </w:t>
      </w:r>
      <w:r w:rsidR="005A4170" w:rsidRPr="00505643">
        <w:rPr>
          <w:bCs w:val="0"/>
        </w:rPr>
        <w:fldChar w:fldCharType="begin"/>
      </w:r>
      <w:r w:rsidR="005A4170" w:rsidRPr="00B751A8">
        <w:instrText xml:space="preserve"> STYLEREF 1 \s </w:instrText>
      </w:r>
      <w:r w:rsidR="005A4170" w:rsidRPr="00505643">
        <w:rPr>
          <w:bCs w:val="0"/>
        </w:rPr>
        <w:fldChar w:fldCharType="separate"/>
      </w:r>
      <w:r w:rsidR="009A3F6E">
        <w:rPr>
          <w:noProof/>
        </w:rPr>
        <w:t>9</w:t>
      </w:r>
      <w:r w:rsidR="005A4170" w:rsidRPr="00505643">
        <w:rPr>
          <w:bCs w:val="0"/>
          <w:noProof/>
        </w:rPr>
        <w:fldChar w:fldCharType="end"/>
      </w:r>
      <w:r w:rsidRPr="00B751A8">
        <w:noBreakHyphen/>
      </w:r>
      <w:r w:rsidR="005A4170" w:rsidRPr="00505643">
        <w:rPr>
          <w:bCs w:val="0"/>
        </w:rPr>
        <w:fldChar w:fldCharType="begin"/>
      </w:r>
      <w:r w:rsidR="005A4170" w:rsidRPr="00B751A8">
        <w:instrText xml:space="preserve"> SEQ Tabela \* ARABIC \s 1 </w:instrText>
      </w:r>
      <w:r w:rsidR="005A4170" w:rsidRPr="00505643">
        <w:rPr>
          <w:bCs w:val="0"/>
        </w:rPr>
        <w:fldChar w:fldCharType="separate"/>
      </w:r>
      <w:r w:rsidR="009A3F6E">
        <w:rPr>
          <w:noProof/>
        </w:rPr>
        <w:t>1</w:t>
      </w:r>
      <w:r w:rsidR="005A4170" w:rsidRPr="00505643">
        <w:rPr>
          <w:bCs w:val="0"/>
          <w:noProof/>
        </w:rPr>
        <w:fldChar w:fldCharType="end"/>
      </w:r>
      <w:r w:rsidRPr="00B751A8">
        <w:t xml:space="preserve"> Contratos de aquisição e serviços por modalidade de licitação</w:t>
      </w:r>
      <w:bookmarkEnd w:id="457"/>
    </w:p>
    <w:p w14:paraId="764EDD27" w14:textId="4C087BCC" w:rsidR="00482616" w:rsidRPr="00505643" w:rsidRDefault="000A26A1" w:rsidP="000A26A1">
      <w:pPr>
        <w:spacing w:line="240" w:lineRule="auto"/>
        <w:rPr>
          <w:rFonts w:eastAsia="Calibri"/>
          <w:b/>
          <w:sz w:val="22"/>
        </w:rPr>
      </w:pPr>
      <w:r w:rsidRPr="00482616">
        <w:rPr>
          <w:rFonts w:eastAsia="Calibri"/>
          <w:b/>
          <w:sz w:val="22"/>
        </w:rPr>
        <w:t>Modalidades de Licitação e Justificativas</w:t>
      </w:r>
    </w:p>
    <w:p w14:paraId="30071610" w14:textId="7835352A" w:rsidR="00482616" w:rsidRPr="00505643" w:rsidRDefault="00482616" w:rsidP="00482616">
      <w:pPr>
        <w:spacing w:line="240" w:lineRule="auto"/>
        <w:rPr>
          <w:rFonts w:eastAsia="Calibri"/>
          <w:sz w:val="22"/>
        </w:rPr>
      </w:pPr>
      <w:r w:rsidRPr="00505643">
        <w:rPr>
          <w:rFonts w:eastAsia="Calibri"/>
          <w:b/>
          <w:sz w:val="22"/>
        </w:rPr>
        <w:t>Inexigibilidade de Licitação</w:t>
      </w:r>
      <w:r w:rsidRPr="00505643">
        <w:rPr>
          <w:rFonts w:eastAsia="Calibri"/>
          <w:sz w:val="22"/>
        </w:rPr>
        <w:t>: As contratações realizadas sob esta modalidade foram fundamentadas na notória especialização de serviços, incluindo capacitações e outros serviços especializados sem concorrência disponível no mercado, como o fornecimento de energia elétrica e extensões da rede.</w:t>
      </w:r>
    </w:p>
    <w:p w14:paraId="1AE63E41" w14:textId="77777777" w:rsidR="00482616" w:rsidRPr="00505643" w:rsidRDefault="00482616" w:rsidP="00482616">
      <w:pPr>
        <w:spacing w:line="240" w:lineRule="auto"/>
        <w:rPr>
          <w:rFonts w:eastAsia="Calibri"/>
          <w:sz w:val="22"/>
        </w:rPr>
      </w:pPr>
      <w:r w:rsidRPr="00505643">
        <w:rPr>
          <w:rFonts w:eastAsia="Calibri"/>
          <w:b/>
          <w:sz w:val="22"/>
        </w:rPr>
        <w:t>Dispensa de Licitação</w:t>
      </w:r>
      <w:r w:rsidRPr="00505643">
        <w:rPr>
          <w:rFonts w:eastAsia="Calibri"/>
          <w:sz w:val="22"/>
        </w:rPr>
        <w:t>: Esta modalidade foi aplicada a aquisições de pequeno valor, justificadas pelos critérios estabelecidos nos Incisos I, II, IV e V do Art. 112 do Regulamento de Licitações e Contratos da Telebras (RELIC) e pelos Incisos I, II, IV e V do Art. 29 da Lei nº 13.303/2016.</w:t>
      </w:r>
    </w:p>
    <w:p w14:paraId="0DEF004F" w14:textId="77777777" w:rsidR="00482616" w:rsidRPr="00505643" w:rsidRDefault="00482616" w:rsidP="00482616">
      <w:pPr>
        <w:spacing w:line="240" w:lineRule="auto"/>
        <w:rPr>
          <w:rFonts w:eastAsia="Calibri"/>
          <w:sz w:val="22"/>
        </w:rPr>
      </w:pPr>
      <w:r w:rsidRPr="00505643">
        <w:rPr>
          <w:rFonts w:eastAsia="Calibri"/>
          <w:b/>
          <w:sz w:val="22"/>
        </w:rPr>
        <w:t>Afastamento de Licitação</w:t>
      </w:r>
      <w:r w:rsidRPr="00505643">
        <w:rPr>
          <w:rFonts w:eastAsia="Calibri"/>
          <w:sz w:val="22"/>
        </w:rPr>
        <w:t>: Casos que se enquadram no Inciso I do § 3º do Art. 28 da Lei nº 13.303/2016, destacando situações específicas que permitem a Telebras realizar contratações diretas, de acordo com a legislação.</w:t>
      </w:r>
    </w:p>
    <w:p w14:paraId="24EB8F1F" w14:textId="77777777" w:rsidR="00482616" w:rsidRPr="00505643" w:rsidRDefault="00482616" w:rsidP="00482616">
      <w:pPr>
        <w:spacing w:line="240" w:lineRule="auto"/>
        <w:rPr>
          <w:rFonts w:eastAsia="Calibri"/>
          <w:sz w:val="22"/>
        </w:rPr>
      </w:pPr>
      <w:r w:rsidRPr="00505643">
        <w:rPr>
          <w:rFonts w:eastAsia="Calibri"/>
          <w:b/>
          <w:sz w:val="22"/>
        </w:rPr>
        <w:t>Pregão Eletrônico</w:t>
      </w:r>
      <w:r w:rsidRPr="00505643">
        <w:rPr>
          <w:rFonts w:eastAsia="Calibri"/>
          <w:sz w:val="22"/>
        </w:rPr>
        <w:t>: A modalidade de pregão eletrônico foi utilizada conforme as diretrizes do artigo 32, IV, da Lei nº 13.303/2016, artigo 92, I, do RELIC, e Lei 14.133/2021, no que couber, evidenciando a busca da Telebras pela eficiência e transparência nas contratações públicas.</w:t>
      </w:r>
    </w:p>
    <w:p w14:paraId="41143F4B" w14:textId="77777777" w:rsidR="001B4098" w:rsidRPr="00D44CF4" w:rsidRDefault="001B4098" w:rsidP="00035BEE">
      <w:pPr>
        <w:spacing w:line="276" w:lineRule="auto"/>
        <w:rPr>
          <w:rFonts w:cs="Arial"/>
          <w:highlight w:val="yellow"/>
        </w:rPr>
      </w:pPr>
    </w:p>
    <w:p w14:paraId="0BA2B3F7" w14:textId="57D2CD1C" w:rsidR="00845FA3" w:rsidRPr="005371E9" w:rsidRDefault="3C5723AB" w:rsidP="00950EB9">
      <w:pPr>
        <w:pStyle w:val="Ttulo1"/>
        <w:spacing w:after="240"/>
        <w:ind w:left="567" w:hanging="567"/>
        <w:rPr>
          <w:sz w:val="24"/>
        </w:rPr>
      </w:pPr>
      <w:bookmarkStart w:id="458" w:name="_Toc191641917"/>
      <w:r w:rsidRPr="005371E9">
        <w:rPr>
          <w:sz w:val="24"/>
        </w:rPr>
        <w:t>Auditoria Externa</w:t>
      </w:r>
      <w:bookmarkEnd w:id="458"/>
      <w:r w:rsidR="00F368A5" w:rsidRPr="005371E9">
        <w:rPr>
          <w:color w:val="FF0000"/>
          <w:sz w:val="24"/>
        </w:rPr>
        <w:t xml:space="preserve"> </w:t>
      </w:r>
    </w:p>
    <w:p w14:paraId="0D497D79" w14:textId="77777777" w:rsidR="00052435" w:rsidRPr="00CC6E44" w:rsidRDefault="00052435" w:rsidP="00052435">
      <w:pPr>
        <w:spacing w:before="120" w:line="240" w:lineRule="auto"/>
        <w:rPr>
          <w:rFonts w:cs="Arial"/>
          <w:sz w:val="22"/>
        </w:rPr>
      </w:pPr>
      <w:r w:rsidRPr="00CC6E44">
        <w:rPr>
          <w:rFonts w:cs="Arial"/>
          <w:sz w:val="22"/>
        </w:rPr>
        <w:t xml:space="preserve">Em atenção aos termos da Instrução CVM 381/03, a Telebras esclarece que, em 25 de outubro de 2022, contratou pelo período de três anos a empresa </w:t>
      </w:r>
      <w:r w:rsidRPr="00CC6E44">
        <w:rPr>
          <w:rFonts w:cs="Arial"/>
          <w:i/>
          <w:iCs/>
          <w:sz w:val="22"/>
        </w:rPr>
        <w:t>Consult</w:t>
      </w:r>
      <w:r w:rsidRPr="00CC6E44">
        <w:rPr>
          <w:rFonts w:cs="Arial"/>
          <w:sz w:val="22"/>
        </w:rPr>
        <w:t xml:space="preserve"> – Auditores Independentes, para a prestação de serviços de auditoria independente das demonstrações contábeis, ora apresentada ao mercado. O valor total dos honorários contratados para esse serviço, conforme contrato firmado entre as partes, foi de R$ 160,5 mil.</w:t>
      </w:r>
    </w:p>
    <w:p w14:paraId="575F3BF6" w14:textId="77777777" w:rsidR="00052435" w:rsidRPr="00CC6E44" w:rsidRDefault="00052435" w:rsidP="00052435">
      <w:pPr>
        <w:spacing w:before="120" w:line="240" w:lineRule="auto"/>
        <w:rPr>
          <w:rFonts w:cs="Arial"/>
          <w:sz w:val="22"/>
        </w:rPr>
      </w:pPr>
      <w:r w:rsidRPr="00CC6E44">
        <w:rPr>
          <w:rFonts w:cs="Arial"/>
          <w:sz w:val="22"/>
        </w:rPr>
        <w:t>Na contratação dos serviços de auditoria independente, as políticas adotadas pela Companhia fundamentam-se nos princípios que preservam a independência do auditor. Esses princípios consistem, de acordo com os padrões internacionalmente aceitos, em: (a) o auditor não deve auditar o seu próprio trabalho; (b) o auditor não deve exercer função de gerência no seu cliente; e (c) o auditor não deve representar legalmente os interesses de seus clientes.</w:t>
      </w:r>
    </w:p>
    <w:p w14:paraId="7B8C1E43" w14:textId="77777777" w:rsidR="00052435" w:rsidRPr="00CC6E44" w:rsidRDefault="00052435" w:rsidP="00052435">
      <w:pPr>
        <w:spacing w:before="120" w:line="240" w:lineRule="auto"/>
        <w:rPr>
          <w:rFonts w:cs="Arial"/>
          <w:sz w:val="22"/>
        </w:rPr>
      </w:pPr>
      <w:r w:rsidRPr="00CC6E44">
        <w:rPr>
          <w:rFonts w:cs="Arial"/>
          <w:sz w:val="22"/>
        </w:rPr>
        <w:t xml:space="preserve">A </w:t>
      </w:r>
      <w:r w:rsidRPr="00CC6E44">
        <w:rPr>
          <w:rFonts w:cs="Arial"/>
          <w:i/>
          <w:iCs/>
          <w:sz w:val="22"/>
        </w:rPr>
        <w:t>Consult</w:t>
      </w:r>
      <w:r w:rsidRPr="00CC6E44">
        <w:rPr>
          <w:rFonts w:cs="Arial"/>
          <w:sz w:val="22"/>
        </w:rPr>
        <w:t xml:space="preserve"> – Auditores Independentes declarou que a prestação dos serviços foi feita em estrita observância das normas contábeis que tratam da independência dos auditores independentes em trabalhos de auditoria e não representaram situação que poderia afetar a independência e a objetividade ao desempenho de seus serviços de auditoria externa.</w:t>
      </w:r>
    </w:p>
    <w:p w14:paraId="163DAA21" w14:textId="064A6F5D" w:rsidR="000D2941" w:rsidRPr="00CC6E44" w:rsidRDefault="39278D62" w:rsidP="007243ED">
      <w:pPr>
        <w:pStyle w:val="Ttulo1"/>
        <w:ind w:left="567" w:hanging="567"/>
        <w:rPr>
          <w:color w:val="FF0000"/>
        </w:rPr>
      </w:pPr>
      <w:bookmarkStart w:id="459" w:name="_Toc191641918"/>
      <w:r w:rsidRPr="00CC6E44">
        <w:t>Declaração dos Diretores sobre os Relatórios de Auditoria e Demonstrações Contábeis</w:t>
      </w:r>
      <w:bookmarkEnd w:id="459"/>
    </w:p>
    <w:p w14:paraId="1A6FDABA" w14:textId="708969C1" w:rsidR="00071E4B" w:rsidRPr="00CC6E44" w:rsidRDefault="00071E4B" w:rsidP="008F0A60">
      <w:pPr>
        <w:spacing w:before="120" w:line="240" w:lineRule="auto"/>
        <w:rPr>
          <w:sz w:val="22"/>
        </w:rPr>
      </w:pPr>
      <w:r w:rsidRPr="00CC6E44">
        <w:rPr>
          <w:sz w:val="22"/>
        </w:rPr>
        <w:t>Em at</w:t>
      </w:r>
      <w:r w:rsidR="008E19FF" w:rsidRPr="00CC6E44">
        <w:rPr>
          <w:sz w:val="22"/>
        </w:rPr>
        <w:t>endimento ao disposto no art. 27</w:t>
      </w:r>
      <w:r w:rsidRPr="00CC6E44">
        <w:rPr>
          <w:sz w:val="22"/>
        </w:rPr>
        <w:t>, parágrafo 1º, incis</w:t>
      </w:r>
      <w:r w:rsidR="008E19FF" w:rsidRPr="00CC6E44">
        <w:rPr>
          <w:sz w:val="22"/>
        </w:rPr>
        <w:t xml:space="preserve">os V e VI, da Instrução CVM nº </w:t>
      </w:r>
      <w:r w:rsidRPr="00CC6E44">
        <w:rPr>
          <w:sz w:val="22"/>
        </w:rPr>
        <w:t xml:space="preserve">80, de </w:t>
      </w:r>
      <w:r w:rsidR="008E19FF" w:rsidRPr="00CC6E44">
        <w:rPr>
          <w:sz w:val="22"/>
        </w:rPr>
        <w:t>29</w:t>
      </w:r>
      <w:r w:rsidRPr="00CC6E44">
        <w:rPr>
          <w:sz w:val="22"/>
        </w:rPr>
        <w:t xml:space="preserve"> de </w:t>
      </w:r>
      <w:r w:rsidR="008E19FF" w:rsidRPr="00CC6E44">
        <w:rPr>
          <w:sz w:val="22"/>
        </w:rPr>
        <w:t>março de 2022</w:t>
      </w:r>
      <w:r w:rsidRPr="00CC6E44">
        <w:rPr>
          <w:sz w:val="22"/>
        </w:rPr>
        <w:t>, os Diretores da Telecomunicações Brasileiras S.A. – Telebras, inscrita no CNPJ nº 00.336.701/0001-04, declaram:</w:t>
      </w:r>
      <w:r w:rsidR="004163EE" w:rsidRPr="00CC6E44">
        <w:rPr>
          <w:sz w:val="22"/>
        </w:rPr>
        <w:t xml:space="preserve"> </w:t>
      </w:r>
    </w:p>
    <w:p w14:paraId="49A6288F" w14:textId="336AA070" w:rsidR="00071E4B" w:rsidRPr="00CC6E44" w:rsidRDefault="00071E4B" w:rsidP="008F0A60">
      <w:pPr>
        <w:spacing w:before="120" w:line="240" w:lineRule="auto"/>
        <w:ind w:left="851"/>
        <w:rPr>
          <w:sz w:val="22"/>
        </w:rPr>
      </w:pPr>
      <w:r w:rsidRPr="00CC6E44">
        <w:rPr>
          <w:sz w:val="22"/>
        </w:rPr>
        <w:t>(I)</w:t>
      </w:r>
      <w:r w:rsidRPr="00CC6E44">
        <w:rPr>
          <w:sz w:val="22"/>
        </w:rPr>
        <w:tab/>
      </w:r>
      <w:r w:rsidR="00A53EF4" w:rsidRPr="00CC6E44">
        <w:rPr>
          <w:sz w:val="22"/>
        </w:rPr>
        <w:t xml:space="preserve"> </w:t>
      </w:r>
      <w:r w:rsidRPr="00CC6E44">
        <w:rPr>
          <w:sz w:val="22"/>
        </w:rPr>
        <w:t xml:space="preserve">baseados em seus conhecimentos, no </w:t>
      </w:r>
      <w:r w:rsidR="00012BC0" w:rsidRPr="00CC6E44">
        <w:rPr>
          <w:sz w:val="22"/>
        </w:rPr>
        <w:t xml:space="preserve">relatório </w:t>
      </w:r>
      <w:r w:rsidRPr="00CC6E44">
        <w:rPr>
          <w:sz w:val="22"/>
        </w:rPr>
        <w:t xml:space="preserve">apresentado pelos auditores e nas discussões subsequentes sobre os resultados de auditoria, que concordam com as opiniões expressas no relatório elaborado pelos auditores da empresa Consult – Auditores Independentes, emitido em </w:t>
      </w:r>
      <w:r w:rsidR="00DE6183">
        <w:rPr>
          <w:sz w:val="22"/>
        </w:rPr>
        <w:t>27</w:t>
      </w:r>
      <w:r w:rsidR="0065694B" w:rsidRPr="00CC6E44">
        <w:rPr>
          <w:sz w:val="22"/>
        </w:rPr>
        <w:t xml:space="preserve"> </w:t>
      </w:r>
      <w:r w:rsidR="00B1676D" w:rsidRPr="00CC6E44">
        <w:rPr>
          <w:sz w:val="22"/>
        </w:rPr>
        <w:t>d</w:t>
      </w:r>
      <w:r w:rsidR="00C2287F" w:rsidRPr="00CC6E44">
        <w:rPr>
          <w:sz w:val="22"/>
        </w:rPr>
        <w:t xml:space="preserve">e </w:t>
      </w:r>
      <w:r w:rsidR="00DE6183">
        <w:rPr>
          <w:sz w:val="22"/>
        </w:rPr>
        <w:t>fevereiro</w:t>
      </w:r>
      <w:r w:rsidR="0065694B" w:rsidRPr="00CC6E44">
        <w:rPr>
          <w:sz w:val="22"/>
        </w:rPr>
        <w:t xml:space="preserve"> </w:t>
      </w:r>
      <w:r w:rsidR="008E19FF" w:rsidRPr="00CC6E44">
        <w:rPr>
          <w:sz w:val="22"/>
        </w:rPr>
        <w:t xml:space="preserve">de </w:t>
      </w:r>
      <w:r w:rsidR="00A53EF4" w:rsidRPr="00CC6E44">
        <w:rPr>
          <w:sz w:val="22"/>
        </w:rPr>
        <w:t>202</w:t>
      </w:r>
      <w:r w:rsidR="00DE6183">
        <w:rPr>
          <w:sz w:val="22"/>
        </w:rPr>
        <w:t>5</w:t>
      </w:r>
      <w:r w:rsidR="00C2287F" w:rsidRPr="00CC6E44">
        <w:rPr>
          <w:sz w:val="22"/>
        </w:rPr>
        <w:t xml:space="preserve">, </w:t>
      </w:r>
      <w:r w:rsidRPr="00CC6E44">
        <w:rPr>
          <w:sz w:val="22"/>
        </w:rPr>
        <w:t xml:space="preserve">não havendo qualquer discordância com relação às Demonstrações Contábeis relativas ao exercício social encerrado em 31 de dezembro de </w:t>
      </w:r>
      <w:r w:rsidR="00A53EF4" w:rsidRPr="00CC6E44">
        <w:rPr>
          <w:sz w:val="22"/>
        </w:rPr>
        <w:t>202</w:t>
      </w:r>
      <w:r w:rsidR="006E34E5" w:rsidRPr="00CC6E44">
        <w:rPr>
          <w:sz w:val="22"/>
        </w:rPr>
        <w:t>4</w:t>
      </w:r>
      <w:r w:rsidRPr="00CC6E44">
        <w:rPr>
          <w:sz w:val="22"/>
        </w:rPr>
        <w:t>.</w:t>
      </w:r>
    </w:p>
    <w:p w14:paraId="23FB5E48" w14:textId="2619E54D" w:rsidR="00071E4B" w:rsidRPr="004312C6" w:rsidRDefault="00071E4B" w:rsidP="008F0A60">
      <w:pPr>
        <w:spacing w:before="120" w:line="240" w:lineRule="auto"/>
        <w:ind w:left="851"/>
        <w:rPr>
          <w:sz w:val="22"/>
        </w:rPr>
      </w:pPr>
      <w:r w:rsidRPr="00CC6E44">
        <w:rPr>
          <w:sz w:val="22"/>
        </w:rPr>
        <w:t>(II)</w:t>
      </w:r>
      <w:r w:rsidR="00A53EF4" w:rsidRPr="00CC6E44">
        <w:rPr>
          <w:sz w:val="22"/>
        </w:rPr>
        <w:t xml:space="preserve"> </w:t>
      </w:r>
      <w:r w:rsidRPr="00CC6E44">
        <w:rPr>
          <w:sz w:val="22"/>
        </w:rPr>
        <w:tab/>
        <w:t xml:space="preserve">que </w:t>
      </w:r>
      <w:r w:rsidR="005D52B2" w:rsidRPr="00CC6E44">
        <w:rPr>
          <w:sz w:val="22"/>
        </w:rPr>
        <w:t xml:space="preserve">revisaram </w:t>
      </w:r>
      <w:r w:rsidRPr="00CC6E44">
        <w:rPr>
          <w:sz w:val="22"/>
        </w:rPr>
        <w:t xml:space="preserve">o relatório dos referidos auditores sobre as Demonstrações Contábeis relativas ao exercício encerrado em 31 de dezembro de </w:t>
      </w:r>
      <w:r w:rsidR="00A53EF4" w:rsidRPr="00CC6E44">
        <w:rPr>
          <w:sz w:val="22"/>
        </w:rPr>
        <w:t>202</w:t>
      </w:r>
      <w:r w:rsidR="0065694B" w:rsidRPr="00CC6E44">
        <w:rPr>
          <w:sz w:val="22"/>
        </w:rPr>
        <w:t>4</w:t>
      </w:r>
      <w:r w:rsidRPr="00CC6E44">
        <w:rPr>
          <w:sz w:val="22"/>
        </w:rPr>
        <w:t>, da Telecomunicações Brasileiras S.A - Telebras e, baseados nas discussões subsequentes, concordam que tais demonstrações refletem adequadamente</w:t>
      </w:r>
      <w:r w:rsidR="007066A9" w:rsidRPr="00CC6E44">
        <w:rPr>
          <w:sz w:val="22"/>
        </w:rPr>
        <w:t>,</w:t>
      </w:r>
      <w:r w:rsidRPr="00CC6E44">
        <w:rPr>
          <w:sz w:val="22"/>
        </w:rPr>
        <w:t xml:space="preserve"> em todos os aspectos relevantes, a posição patrimonial e financeira correspondente ao exercício apresentado.</w:t>
      </w:r>
    </w:p>
    <w:p w14:paraId="644762A2" w14:textId="5C385086" w:rsidR="00AF5026" w:rsidRPr="00212531" w:rsidRDefault="00AF5026" w:rsidP="00C00EF0">
      <w:pPr>
        <w:spacing w:before="120" w:line="240" w:lineRule="auto"/>
        <w:ind w:firstLine="6"/>
        <w:rPr>
          <w:rFonts w:cs="Arial"/>
          <w:color w:val="FF0000"/>
        </w:rPr>
      </w:pPr>
    </w:p>
    <w:sectPr w:rsidR="00AF5026" w:rsidRPr="00212531" w:rsidSect="008736B5">
      <w:pgSz w:w="11907" w:h="16840" w:code="9"/>
      <w:pgMar w:top="1701" w:right="1134" w:bottom="1531"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6928F" w14:textId="77777777" w:rsidR="00AC3993" w:rsidRDefault="00AC3993">
      <w:r>
        <w:separator/>
      </w:r>
    </w:p>
    <w:p w14:paraId="5E41504A" w14:textId="77777777" w:rsidR="00AC3993" w:rsidRDefault="00AC3993"/>
    <w:p w14:paraId="0AB206A5" w14:textId="77777777" w:rsidR="00AC3993" w:rsidRDefault="00AC3993"/>
    <w:p w14:paraId="6AB5A0A9" w14:textId="77777777" w:rsidR="00AC3993" w:rsidRDefault="00AC3993"/>
  </w:endnote>
  <w:endnote w:type="continuationSeparator" w:id="0">
    <w:p w14:paraId="653F873B" w14:textId="77777777" w:rsidR="00AC3993" w:rsidRDefault="00AC3993">
      <w:r>
        <w:continuationSeparator/>
      </w:r>
    </w:p>
    <w:p w14:paraId="5133CAE2" w14:textId="77777777" w:rsidR="00AC3993" w:rsidRDefault="00AC3993"/>
    <w:p w14:paraId="4AFB21E2" w14:textId="77777777" w:rsidR="00AC3993" w:rsidRDefault="00AC3993"/>
    <w:p w14:paraId="1F4FB684" w14:textId="77777777" w:rsidR="00AC3993" w:rsidRDefault="00AC3993"/>
  </w:endnote>
  <w:endnote w:type="continuationNotice" w:id="1">
    <w:p w14:paraId="04953ACE" w14:textId="77777777" w:rsidR="00AC3993" w:rsidRDefault="00AC39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Berthold Akzidenz Grotesk BE">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FiraSans-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32CF" w14:textId="098ECE57" w:rsidR="00AC3993" w:rsidRDefault="00AC3993" w:rsidP="009D62AB">
    <w:pPr>
      <w:pStyle w:val="Rodap"/>
      <w:jc w:val="right"/>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257240">
      <w:rPr>
        <w:caps/>
        <w:noProof/>
        <w:color w:val="4F81BD" w:themeColor="accent1"/>
      </w:rPr>
      <w:t>4</w:t>
    </w:r>
    <w:r>
      <w:rPr>
        <w:caps/>
        <w:color w:val="4F81BD"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84A9C" w14:textId="37AD781F" w:rsidR="00AC3993" w:rsidRDefault="00AC3993" w:rsidP="009D62AB">
    <w:pPr>
      <w:pStyle w:val="Rodap"/>
      <w:jc w:val="right"/>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257240">
      <w:rPr>
        <w:caps/>
        <w:noProof/>
        <w:color w:val="4F81BD" w:themeColor="accent1"/>
      </w:rPr>
      <w:t>1</w:t>
    </w:r>
    <w:r>
      <w:rPr>
        <w:caps/>
        <w:color w:val="4F81BD"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8E16FD" w14:textId="77777777" w:rsidR="00AC3993" w:rsidRDefault="00AC3993">
      <w:r>
        <w:separator/>
      </w:r>
    </w:p>
    <w:p w14:paraId="3B14C8F1" w14:textId="77777777" w:rsidR="00AC3993" w:rsidRDefault="00AC3993"/>
    <w:p w14:paraId="276DA802" w14:textId="77777777" w:rsidR="00AC3993" w:rsidRDefault="00AC3993"/>
    <w:p w14:paraId="34D32221" w14:textId="77777777" w:rsidR="00AC3993" w:rsidRDefault="00AC3993"/>
  </w:footnote>
  <w:footnote w:type="continuationSeparator" w:id="0">
    <w:p w14:paraId="4A8B7FDF" w14:textId="77777777" w:rsidR="00AC3993" w:rsidRDefault="00AC3993">
      <w:r>
        <w:continuationSeparator/>
      </w:r>
    </w:p>
    <w:p w14:paraId="64B56AC5" w14:textId="77777777" w:rsidR="00AC3993" w:rsidRDefault="00AC3993"/>
    <w:p w14:paraId="1ECE02D3" w14:textId="77777777" w:rsidR="00AC3993" w:rsidRDefault="00AC3993"/>
    <w:p w14:paraId="604F2AC6" w14:textId="77777777" w:rsidR="00AC3993" w:rsidRDefault="00AC3993"/>
  </w:footnote>
  <w:footnote w:type="continuationNotice" w:id="1">
    <w:p w14:paraId="2FF79D11" w14:textId="77777777" w:rsidR="00AC3993" w:rsidRDefault="00AC399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77249" w14:textId="77777777" w:rsidR="00AC3993" w:rsidRDefault="00AC3993" w:rsidP="003D4A07">
    <w:pPr>
      <w:pStyle w:val="Cabealho"/>
      <w:jc w:val="right"/>
    </w:pPr>
    <w:r w:rsidRPr="00B10669">
      <w:rPr>
        <w:noProof/>
        <w:lang w:eastAsia="pt-BR"/>
      </w:rPr>
      <mc:AlternateContent>
        <mc:Choice Requires="wps">
          <w:drawing>
            <wp:anchor distT="0" distB="0" distL="114300" distR="114300" simplePos="0" relativeHeight="251658253" behindDoc="0" locked="0" layoutInCell="1" allowOverlap="1" wp14:anchorId="1288083B" wp14:editId="07B06B45">
              <wp:simplePos x="0" y="0"/>
              <wp:positionH relativeFrom="column">
                <wp:posOffset>-601345</wp:posOffset>
              </wp:positionH>
              <wp:positionV relativeFrom="paragraph">
                <wp:posOffset>410210</wp:posOffset>
              </wp:positionV>
              <wp:extent cx="7200900" cy="0"/>
              <wp:effectExtent l="0" t="0" r="0" b="0"/>
              <wp:wrapNone/>
              <wp:docPr id="455" name="Conector reto 455"/>
              <wp:cNvGraphicFramePr/>
              <a:graphic xmlns:a="http://schemas.openxmlformats.org/drawingml/2006/main">
                <a:graphicData uri="http://schemas.microsoft.com/office/word/2010/wordprocessingShape">
                  <wps:wsp>
                    <wps:cNvCnPr/>
                    <wps:spPr>
                      <a:xfrm>
                        <a:off x="0" y="0"/>
                        <a:ext cx="7200900"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D5C81E" id="Conector reto 455" o:spid="_x0000_s1026" style="position:absolute;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5pt,32.3pt" to="519.6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" strokecolor="#95b3d7 [1940]" strokeweight="1.5pt"/>
          </w:pict>
        </mc:Fallback>
      </mc:AlternateContent>
    </w:r>
    <w:r w:rsidRPr="00B10669">
      <w:rPr>
        <w:noProof/>
        <w:lang w:eastAsia="pt-BR"/>
      </w:rPr>
      <mc:AlternateContent>
        <mc:Choice Requires="wps">
          <w:drawing>
            <wp:anchor distT="0" distB="0" distL="114300" distR="114300" simplePos="0" relativeHeight="251658254" behindDoc="0" locked="0" layoutInCell="1" allowOverlap="1" wp14:anchorId="160FF383" wp14:editId="7CFD99F7">
              <wp:simplePos x="0" y="0"/>
              <wp:positionH relativeFrom="column">
                <wp:posOffset>-182245</wp:posOffset>
              </wp:positionH>
              <wp:positionV relativeFrom="paragraph">
                <wp:posOffset>444500</wp:posOffset>
              </wp:positionV>
              <wp:extent cx="6680200" cy="0"/>
              <wp:effectExtent l="0" t="0" r="0" b="0"/>
              <wp:wrapNone/>
              <wp:docPr id="474" name="Conector reto 474"/>
              <wp:cNvGraphicFramePr/>
              <a:graphic xmlns:a="http://schemas.openxmlformats.org/drawingml/2006/main">
                <a:graphicData uri="http://schemas.microsoft.com/office/word/2010/wordprocessingShape">
                  <wps:wsp>
                    <wps:cNvCnPr/>
                    <wps:spPr>
                      <a:xfrm>
                        <a:off x="0" y="0"/>
                        <a:ext cx="6680200"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74897" id="Conector reto 474"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35pt" to="51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" strokecolor="#205867 [1608]" strokeweight="1.5pt"/>
          </w:pict>
        </mc:Fallback>
      </mc:AlternateContent>
    </w:r>
    <w:r w:rsidRPr="00B10669">
      <w:rPr>
        <w:noProof/>
        <w:lang w:eastAsia="pt-BR"/>
      </w:rPr>
      <w:drawing>
        <wp:anchor distT="0" distB="0" distL="114300" distR="114300" simplePos="0" relativeHeight="251658255" behindDoc="0" locked="0" layoutInCell="1" allowOverlap="1" wp14:anchorId="28088D78" wp14:editId="6B280E6E">
          <wp:simplePos x="0" y="0"/>
          <wp:positionH relativeFrom="column">
            <wp:posOffset>5058888</wp:posOffset>
          </wp:positionH>
          <wp:positionV relativeFrom="paragraph">
            <wp:posOffset>0</wp:posOffset>
          </wp:positionV>
          <wp:extent cx="886587" cy="247650"/>
          <wp:effectExtent l="0" t="0" r="889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6587"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7CDAD" w14:textId="77777777" w:rsidR="00AC3993" w:rsidRDefault="00AC3993" w:rsidP="008116AC">
    <w:pPr>
      <w:ind w:right="397"/>
      <w:jc w:val="right"/>
      <w:rPr>
        <w:b/>
        <w:color w:val="808080"/>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803F0" w14:textId="77777777" w:rsidR="00AC3993" w:rsidRDefault="00AC3993" w:rsidP="003D4A07">
    <w:pPr>
      <w:pStyle w:val="Cabealho"/>
      <w:jc w:val="right"/>
    </w:pPr>
    <w:r w:rsidRPr="00B10669">
      <w:rPr>
        <w:noProof/>
        <w:lang w:eastAsia="pt-BR"/>
      </w:rPr>
      <mc:AlternateContent>
        <mc:Choice Requires="wps">
          <w:drawing>
            <wp:anchor distT="0" distB="0" distL="114300" distR="114300" simplePos="0" relativeHeight="251658250" behindDoc="0" locked="0" layoutInCell="1" allowOverlap="1" wp14:anchorId="31AC0925" wp14:editId="2FE7AD21">
              <wp:simplePos x="0" y="0"/>
              <wp:positionH relativeFrom="column">
                <wp:posOffset>-601345</wp:posOffset>
              </wp:positionH>
              <wp:positionV relativeFrom="paragraph">
                <wp:posOffset>410210</wp:posOffset>
              </wp:positionV>
              <wp:extent cx="7200900" cy="0"/>
              <wp:effectExtent l="0" t="0" r="0" b="0"/>
              <wp:wrapNone/>
              <wp:docPr id="448" name="Conector reto 448"/>
              <wp:cNvGraphicFramePr/>
              <a:graphic xmlns:a="http://schemas.openxmlformats.org/drawingml/2006/main">
                <a:graphicData uri="http://schemas.microsoft.com/office/word/2010/wordprocessingShape">
                  <wps:wsp>
                    <wps:cNvCnPr/>
                    <wps:spPr>
                      <a:xfrm>
                        <a:off x="0" y="0"/>
                        <a:ext cx="7200900"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BE0B39" id="Conector reto 448" o:spid="_x0000_s1026" style="position:absolute;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5pt,32.3pt" to="519.6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" strokecolor="#95b3d7 [1940]" strokeweight="1.5pt"/>
          </w:pict>
        </mc:Fallback>
      </mc:AlternateContent>
    </w:r>
    <w:r w:rsidRPr="00B10669">
      <w:rPr>
        <w:noProof/>
        <w:lang w:eastAsia="pt-BR"/>
      </w:rPr>
      <mc:AlternateContent>
        <mc:Choice Requires="wps">
          <w:drawing>
            <wp:anchor distT="0" distB="0" distL="114300" distR="114300" simplePos="0" relativeHeight="251658251" behindDoc="0" locked="0" layoutInCell="1" allowOverlap="1" wp14:anchorId="65E998E9" wp14:editId="4D9C1F40">
              <wp:simplePos x="0" y="0"/>
              <wp:positionH relativeFrom="column">
                <wp:posOffset>-182245</wp:posOffset>
              </wp:positionH>
              <wp:positionV relativeFrom="paragraph">
                <wp:posOffset>444500</wp:posOffset>
              </wp:positionV>
              <wp:extent cx="6680200" cy="0"/>
              <wp:effectExtent l="0" t="0" r="0" b="0"/>
              <wp:wrapNone/>
              <wp:docPr id="449" name="Conector reto 449"/>
              <wp:cNvGraphicFramePr/>
              <a:graphic xmlns:a="http://schemas.openxmlformats.org/drawingml/2006/main">
                <a:graphicData uri="http://schemas.microsoft.com/office/word/2010/wordprocessingShape">
                  <wps:wsp>
                    <wps:cNvCnPr/>
                    <wps:spPr>
                      <a:xfrm>
                        <a:off x="0" y="0"/>
                        <a:ext cx="6680200"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C0BC2" id="Conector reto 449"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35pt" to="51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" strokecolor="#205867 [1608]" strokeweight="1.5pt"/>
          </w:pict>
        </mc:Fallback>
      </mc:AlternateContent>
    </w:r>
    <w:r w:rsidRPr="00B10669">
      <w:rPr>
        <w:noProof/>
        <w:lang w:eastAsia="pt-BR"/>
      </w:rPr>
      <w:drawing>
        <wp:anchor distT="0" distB="0" distL="114300" distR="114300" simplePos="0" relativeHeight="251658252" behindDoc="0" locked="0" layoutInCell="1" allowOverlap="1" wp14:anchorId="7967B6B5" wp14:editId="1AD94381">
          <wp:simplePos x="0" y="0"/>
          <wp:positionH relativeFrom="column">
            <wp:posOffset>5058888</wp:posOffset>
          </wp:positionH>
          <wp:positionV relativeFrom="paragraph">
            <wp:posOffset>0</wp:posOffset>
          </wp:positionV>
          <wp:extent cx="886587" cy="247650"/>
          <wp:effectExtent l="0" t="0" r="889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6587"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3DC54F" w14:textId="77777777" w:rsidR="00AC3993" w:rsidRDefault="00AC3993" w:rsidP="00C279DD">
    <w:pPr>
      <w:ind w:right="397"/>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4D56D" w14:textId="77777777" w:rsidR="00AC3993" w:rsidRDefault="00AC3993" w:rsidP="003D4A07">
    <w:pPr>
      <w:pStyle w:val="Cabealho"/>
      <w:jc w:val="right"/>
    </w:pPr>
    <w:r w:rsidRPr="00B10669">
      <w:rPr>
        <w:noProof/>
        <w:lang w:eastAsia="pt-BR"/>
      </w:rPr>
      <mc:AlternateContent>
        <mc:Choice Requires="wps">
          <w:drawing>
            <wp:anchor distT="0" distB="0" distL="114300" distR="114300" simplePos="0" relativeHeight="251658256" behindDoc="0" locked="0" layoutInCell="1" allowOverlap="1" wp14:anchorId="7B9C765C" wp14:editId="3C75975E">
              <wp:simplePos x="0" y="0"/>
              <wp:positionH relativeFrom="column">
                <wp:posOffset>-601345</wp:posOffset>
              </wp:positionH>
              <wp:positionV relativeFrom="paragraph">
                <wp:posOffset>410210</wp:posOffset>
              </wp:positionV>
              <wp:extent cx="7200900" cy="0"/>
              <wp:effectExtent l="0" t="0" r="0" b="0"/>
              <wp:wrapNone/>
              <wp:docPr id="479" name="Conector reto 479"/>
              <wp:cNvGraphicFramePr/>
              <a:graphic xmlns:a="http://schemas.openxmlformats.org/drawingml/2006/main">
                <a:graphicData uri="http://schemas.microsoft.com/office/word/2010/wordprocessingShape">
                  <wps:wsp>
                    <wps:cNvCnPr/>
                    <wps:spPr>
                      <a:xfrm>
                        <a:off x="0" y="0"/>
                        <a:ext cx="7200900"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F5955E" id="Conector reto 479" o:spid="_x0000_s1026" style="position:absolute;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5pt,32.3pt" to="519.6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" strokecolor="#95b3d7 [1940]" strokeweight="1.5pt"/>
          </w:pict>
        </mc:Fallback>
      </mc:AlternateContent>
    </w:r>
    <w:r w:rsidRPr="00B10669">
      <w:rPr>
        <w:noProof/>
        <w:lang w:eastAsia="pt-BR"/>
      </w:rPr>
      <mc:AlternateContent>
        <mc:Choice Requires="wps">
          <w:drawing>
            <wp:anchor distT="0" distB="0" distL="114300" distR="114300" simplePos="0" relativeHeight="251658257" behindDoc="0" locked="0" layoutInCell="1" allowOverlap="1" wp14:anchorId="063CB304" wp14:editId="61AC46F7">
              <wp:simplePos x="0" y="0"/>
              <wp:positionH relativeFrom="column">
                <wp:posOffset>-182245</wp:posOffset>
              </wp:positionH>
              <wp:positionV relativeFrom="paragraph">
                <wp:posOffset>444500</wp:posOffset>
              </wp:positionV>
              <wp:extent cx="6680200" cy="0"/>
              <wp:effectExtent l="0" t="0" r="0" b="0"/>
              <wp:wrapNone/>
              <wp:docPr id="480" name="Conector reto 480"/>
              <wp:cNvGraphicFramePr/>
              <a:graphic xmlns:a="http://schemas.openxmlformats.org/drawingml/2006/main">
                <a:graphicData uri="http://schemas.microsoft.com/office/word/2010/wordprocessingShape">
                  <wps:wsp>
                    <wps:cNvCnPr/>
                    <wps:spPr>
                      <a:xfrm>
                        <a:off x="0" y="0"/>
                        <a:ext cx="6680200"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BE97F" id="Conector reto 480"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35pt" to="51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" strokecolor="#205867 [1608]" strokeweight="1.5pt"/>
          </w:pict>
        </mc:Fallback>
      </mc:AlternateContent>
    </w:r>
    <w:r w:rsidRPr="00B10669">
      <w:rPr>
        <w:noProof/>
        <w:lang w:eastAsia="pt-BR"/>
      </w:rPr>
      <w:drawing>
        <wp:anchor distT="0" distB="0" distL="114300" distR="114300" simplePos="0" relativeHeight="251658258" behindDoc="0" locked="0" layoutInCell="1" allowOverlap="1" wp14:anchorId="292B5982" wp14:editId="7F1599A7">
          <wp:simplePos x="0" y="0"/>
          <wp:positionH relativeFrom="column">
            <wp:posOffset>5058888</wp:posOffset>
          </wp:positionH>
          <wp:positionV relativeFrom="paragraph">
            <wp:posOffset>0</wp:posOffset>
          </wp:positionV>
          <wp:extent cx="886587" cy="247650"/>
          <wp:effectExtent l="0" t="0" r="889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6587"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E0065" w14:textId="77777777" w:rsidR="00AC3993" w:rsidRDefault="00AC3993" w:rsidP="008116AC">
    <w:pPr>
      <w:ind w:right="397"/>
      <w:jc w:val="right"/>
      <w:rPr>
        <w:b/>
        <w:color w:val="80808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6916"/>
    <w:multiLevelType w:val="hybridMultilevel"/>
    <w:tmpl w:val="657E170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C96AAF"/>
    <w:multiLevelType w:val="hybridMultilevel"/>
    <w:tmpl w:val="397E050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D66B96"/>
    <w:multiLevelType w:val="hybridMultilevel"/>
    <w:tmpl w:val="17F2E91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8AC643F"/>
    <w:multiLevelType w:val="hybridMultilevel"/>
    <w:tmpl w:val="00B8CCA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A494A6A"/>
    <w:multiLevelType w:val="multilevel"/>
    <w:tmpl w:val="933609C2"/>
    <w:lvl w:ilvl="0">
      <w:start w:val="1"/>
      <w:numFmt w:val="decimal"/>
      <w:pStyle w:val="Ttulo1"/>
      <w:lvlText w:val="%1"/>
      <w:lvlJc w:val="left"/>
      <w:pPr>
        <w:ind w:left="5819" w:hanging="432"/>
      </w:pPr>
      <w:rPr>
        <w:rFonts w:hint="default"/>
        <w:color w:val="002060"/>
        <w:sz w:val="26"/>
        <w:szCs w:val="26"/>
      </w:rPr>
    </w:lvl>
    <w:lvl w:ilvl="1">
      <w:start w:val="1"/>
      <w:numFmt w:val="decimal"/>
      <w:pStyle w:val="Ttulo2"/>
      <w:lvlText w:val="%1.%2"/>
      <w:lvlJc w:val="left"/>
      <w:pPr>
        <w:ind w:left="6475" w:hanging="1229"/>
      </w:pPr>
    </w:lvl>
    <w:lvl w:ilvl="2">
      <w:start w:val="1"/>
      <w:numFmt w:val="decimal"/>
      <w:pStyle w:val="Ttulo3"/>
      <w:lvlText w:val="%1.%2.%3"/>
      <w:lvlJc w:val="left"/>
      <w:pPr>
        <w:ind w:left="5682" w:hanging="720"/>
      </w:pPr>
      <w:rPr>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15:restartNumberingAfterBreak="0">
    <w:nsid w:val="0D0F29B3"/>
    <w:multiLevelType w:val="hybridMultilevel"/>
    <w:tmpl w:val="DF382A8A"/>
    <w:lvl w:ilvl="0" w:tplc="98C0867C">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4359FB"/>
    <w:multiLevelType w:val="hybridMultilevel"/>
    <w:tmpl w:val="518486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33B7181"/>
    <w:multiLevelType w:val="hybridMultilevel"/>
    <w:tmpl w:val="476A1B06"/>
    <w:lvl w:ilvl="0" w:tplc="5AD88B1C">
      <w:start w:val="1"/>
      <w:numFmt w:val="bullet"/>
      <w:lvlText w:val=""/>
      <w:lvlJc w:val="left"/>
      <w:pPr>
        <w:ind w:left="720" w:hanging="360"/>
      </w:pPr>
      <w:rPr>
        <w:rFonts w:ascii="Symbol" w:hAnsi="Symbol"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4360FA4"/>
    <w:multiLevelType w:val="multilevel"/>
    <w:tmpl w:val="7198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762BC1"/>
    <w:multiLevelType w:val="multilevel"/>
    <w:tmpl w:val="842C3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B1337"/>
    <w:multiLevelType w:val="hybridMultilevel"/>
    <w:tmpl w:val="8A8EEA66"/>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7B368A0"/>
    <w:multiLevelType w:val="multilevel"/>
    <w:tmpl w:val="162E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B6213B"/>
    <w:multiLevelType w:val="hybridMultilevel"/>
    <w:tmpl w:val="0416001D"/>
    <w:styleLink w:val="1ai"/>
    <w:lvl w:ilvl="0" w:tplc="AAC86F0E">
      <w:start w:val="1"/>
      <w:numFmt w:val="decimal"/>
      <w:lvlText w:val="%1)"/>
      <w:lvlJc w:val="left"/>
      <w:pPr>
        <w:tabs>
          <w:tab w:val="num" w:pos="360"/>
        </w:tabs>
        <w:ind w:left="360" w:hanging="360"/>
      </w:pPr>
      <w:rPr>
        <w:rFonts w:cs="Times New Roman"/>
      </w:rPr>
    </w:lvl>
    <w:lvl w:ilvl="1" w:tplc="F8602C62">
      <w:start w:val="1"/>
      <w:numFmt w:val="lowerLetter"/>
      <w:lvlText w:val="%2)"/>
      <w:lvlJc w:val="left"/>
      <w:pPr>
        <w:tabs>
          <w:tab w:val="num" w:pos="720"/>
        </w:tabs>
        <w:ind w:left="720" w:hanging="360"/>
      </w:pPr>
      <w:rPr>
        <w:rFonts w:cs="Times New Roman"/>
      </w:rPr>
    </w:lvl>
    <w:lvl w:ilvl="2" w:tplc="3A6A713E">
      <w:start w:val="1"/>
      <w:numFmt w:val="lowerRoman"/>
      <w:lvlText w:val="%3)"/>
      <w:lvlJc w:val="left"/>
      <w:pPr>
        <w:tabs>
          <w:tab w:val="num" w:pos="1080"/>
        </w:tabs>
        <w:ind w:left="1080" w:hanging="360"/>
      </w:pPr>
      <w:rPr>
        <w:rFonts w:cs="Times New Roman"/>
      </w:rPr>
    </w:lvl>
    <w:lvl w:ilvl="3" w:tplc="F4F612BA">
      <w:start w:val="1"/>
      <w:numFmt w:val="decimal"/>
      <w:lvlText w:val="(%4)"/>
      <w:lvlJc w:val="left"/>
      <w:pPr>
        <w:tabs>
          <w:tab w:val="num" w:pos="1440"/>
        </w:tabs>
        <w:ind w:left="1440" w:hanging="360"/>
      </w:pPr>
      <w:rPr>
        <w:rFonts w:cs="Times New Roman"/>
      </w:rPr>
    </w:lvl>
    <w:lvl w:ilvl="4" w:tplc="CB622388">
      <w:start w:val="1"/>
      <w:numFmt w:val="lowerLetter"/>
      <w:lvlText w:val="(%5)"/>
      <w:lvlJc w:val="left"/>
      <w:pPr>
        <w:tabs>
          <w:tab w:val="num" w:pos="1800"/>
        </w:tabs>
        <w:ind w:left="1800" w:hanging="360"/>
      </w:pPr>
      <w:rPr>
        <w:rFonts w:cs="Times New Roman"/>
      </w:rPr>
    </w:lvl>
    <w:lvl w:ilvl="5" w:tplc="66BE275A">
      <w:start w:val="1"/>
      <w:numFmt w:val="lowerRoman"/>
      <w:lvlText w:val="(%6)"/>
      <w:lvlJc w:val="left"/>
      <w:pPr>
        <w:tabs>
          <w:tab w:val="num" w:pos="2160"/>
        </w:tabs>
        <w:ind w:left="2160" w:hanging="360"/>
      </w:pPr>
      <w:rPr>
        <w:rFonts w:cs="Times New Roman"/>
      </w:rPr>
    </w:lvl>
    <w:lvl w:ilvl="6" w:tplc="FF38A720">
      <w:start w:val="1"/>
      <w:numFmt w:val="decimal"/>
      <w:lvlText w:val="%7."/>
      <w:lvlJc w:val="left"/>
      <w:pPr>
        <w:tabs>
          <w:tab w:val="num" w:pos="2520"/>
        </w:tabs>
        <w:ind w:left="2520" w:hanging="360"/>
      </w:pPr>
      <w:rPr>
        <w:rFonts w:cs="Times New Roman"/>
      </w:rPr>
    </w:lvl>
    <w:lvl w:ilvl="7" w:tplc="1A3E04BE">
      <w:start w:val="1"/>
      <w:numFmt w:val="lowerLetter"/>
      <w:lvlText w:val="%8."/>
      <w:lvlJc w:val="left"/>
      <w:pPr>
        <w:tabs>
          <w:tab w:val="num" w:pos="2880"/>
        </w:tabs>
        <w:ind w:left="2880" w:hanging="360"/>
      </w:pPr>
      <w:rPr>
        <w:rFonts w:cs="Times New Roman"/>
      </w:rPr>
    </w:lvl>
    <w:lvl w:ilvl="8" w:tplc="590C9FB2">
      <w:start w:val="1"/>
      <w:numFmt w:val="lowerRoman"/>
      <w:lvlText w:val="%9."/>
      <w:lvlJc w:val="left"/>
      <w:pPr>
        <w:tabs>
          <w:tab w:val="num" w:pos="3240"/>
        </w:tabs>
        <w:ind w:left="3240" w:hanging="360"/>
      </w:pPr>
      <w:rPr>
        <w:rFonts w:cs="Times New Roman"/>
      </w:rPr>
    </w:lvl>
  </w:abstractNum>
  <w:abstractNum w:abstractNumId="13" w15:restartNumberingAfterBreak="0">
    <w:nsid w:val="1C883243"/>
    <w:multiLevelType w:val="hybridMultilevel"/>
    <w:tmpl w:val="036204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E531D6C"/>
    <w:multiLevelType w:val="hybridMultilevel"/>
    <w:tmpl w:val="D8EA3752"/>
    <w:styleLink w:val="ListaNumerada-Nmeros"/>
    <w:lvl w:ilvl="0" w:tplc="42CE2548">
      <w:start w:val="1"/>
      <w:numFmt w:val="decimal"/>
      <w:lvlText w:val="%1. "/>
      <w:lvlJc w:val="left"/>
      <w:pPr>
        <w:tabs>
          <w:tab w:val="num" w:pos="851"/>
        </w:tabs>
        <w:ind w:left="1134" w:hanging="283"/>
      </w:pPr>
      <w:rPr>
        <w:rFonts w:cs="Times New Roman" w:hint="default"/>
      </w:rPr>
    </w:lvl>
    <w:lvl w:ilvl="1" w:tplc="C7F23392">
      <w:start w:val="1"/>
      <w:numFmt w:val="bullet"/>
      <w:lvlText w:val=""/>
      <w:lvlJc w:val="left"/>
      <w:pPr>
        <w:tabs>
          <w:tab w:val="num" w:pos="720"/>
        </w:tabs>
        <w:ind w:left="720" w:hanging="360"/>
      </w:pPr>
      <w:rPr>
        <w:rFonts w:ascii="Symbol" w:hAnsi="Symbol" w:hint="default"/>
      </w:rPr>
    </w:lvl>
    <w:lvl w:ilvl="2" w:tplc="D646F148">
      <w:start w:val="1"/>
      <w:numFmt w:val="lowerRoman"/>
      <w:lvlText w:val="%3)"/>
      <w:lvlJc w:val="left"/>
      <w:pPr>
        <w:tabs>
          <w:tab w:val="num" w:pos="1080"/>
        </w:tabs>
        <w:ind w:left="1080" w:hanging="360"/>
      </w:pPr>
      <w:rPr>
        <w:rFonts w:cs="Times New Roman" w:hint="default"/>
      </w:rPr>
    </w:lvl>
    <w:lvl w:ilvl="3" w:tplc="FD762D04">
      <w:start w:val="1"/>
      <w:numFmt w:val="decimal"/>
      <w:lvlText w:val="(%4)"/>
      <w:lvlJc w:val="left"/>
      <w:pPr>
        <w:tabs>
          <w:tab w:val="num" w:pos="1440"/>
        </w:tabs>
        <w:ind w:left="1440" w:hanging="360"/>
      </w:pPr>
      <w:rPr>
        <w:rFonts w:cs="Times New Roman" w:hint="default"/>
      </w:rPr>
    </w:lvl>
    <w:lvl w:ilvl="4" w:tplc="3A38E67E">
      <w:start w:val="1"/>
      <w:numFmt w:val="lowerLetter"/>
      <w:lvlText w:val="(%5)"/>
      <w:lvlJc w:val="left"/>
      <w:pPr>
        <w:tabs>
          <w:tab w:val="num" w:pos="1800"/>
        </w:tabs>
        <w:ind w:left="1800" w:hanging="360"/>
      </w:pPr>
      <w:rPr>
        <w:rFonts w:cs="Times New Roman" w:hint="default"/>
      </w:rPr>
    </w:lvl>
    <w:lvl w:ilvl="5" w:tplc="0C08DB9A">
      <w:start w:val="1"/>
      <w:numFmt w:val="lowerRoman"/>
      <w:lvlText w:val="(%6)"/>
      <w:lvlJc w:val="left"/>
      <w:pPr>
        <w:tabs>
          <w:tab w:val="num" w:pos="2160"/>
        </w:tabs>
        <w:ind w:left="2160" w:hanging="360"/>
      </w:pPr>
      <w:rPr>
        <w:rFonts w:cs="Times New Roman" w:hint="default"/>
      </w:rPr>
    </w:lvl>
    <w:lvl w:ilvl="6" w:tplc="382EA43C">
      <w:start w:val="1"/>
      <w:numFmt w:val="decimal"/>
      <w:lvlText w:val="%7."/>
      <w:lvlJc w:val="left"/>
      <w:pPr>
        <w:tabs>
          <w:tab w:val="num" w:pos="2520"/>
        </w:tabs>
        <w:ind w:left="2520" w:hanging="360"/>
      </w:pPr>
      <w:rPr>
        <w:rFonts w:cs="Times New Roman" w:hint="default"/>
      </w:rPr>
    </w:lvl>
    <w:lvl w:ilvl="7" w:tplc="35AED6C8">
      <w:start w:val="1"/>
      <w:numFmt w:val="lowerLetter"/>
      <w:lvlText w:val="%8."/>
      <w:lvlJc w:val="left"/>
      <w:pPr>
        <w:tabs>
          <w:tab w:val="num" w:pos="2880"/>
        </w:tabs>
        <w:ind w:left="2880" w:hanging="360"/>
      </w:pPr>
      <w:rPr>
        <w:rFonts w:cs="Times New Roman" w:hint="default"/>
      </w:rPr>
    </w:lvl>
    <w:lvl w:ilvl="8" w:tplc="52E69FC6">
      <w:start w:val="1"/>
      <w:numFmt w:val="lowerRoman"/>
      <w:lvlText w:val="%9."/>
      <w:lvlJc w:val="left"/>
      <w:pPr>
        <w:tabs>
          <w:tab w:val="num" w:pos="3240"/>
        </w:tabs>
        <w:ind w:left="3240" w:hanging="360"/>
      </w:pPr>
      <w:rPr>
        <w:rFonts w:cs="Times New Roman" w:hint="default"/>
      </w:rPr>
    </w:lvl>
  </w:abstractNum>
  <w:abstractNum w:abstractNumId="15" w15:restartNumberingAfterBreak="0">
    <w:nsid w:val="1F6B7663"/>
    <w:multiLevelType w:val="hybridMultilevel"/>
    <w:tmpl w:val="511882E6"/>
    <w:lvl w:ilvl="0" w:tplc="2E98CD38">
      <w:start w:val="1"/>
      <w:numFmt w:val="decimal"/>
      <w:pStyle w:val="TtulodoGrfico"/>
      <w:lvlText w:val="GRÁFICO %1 - "/>
      <w:lvlJc w:val="left"/>
      <w:pPr>
        <w:tabs>
          <w:tab w:val="num" w:pos="5813"/>
        </w:tabs>
        <w:ind w:left="7287" w:hanging="1474"/>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FAE0876"/>
    <w:multiLevelType w:val="hybridMultilevel"/>
    <w:tmpl w:val="AA02AC3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149202B"/>
    <w:multiLevelType w:val="multilevel"/>
    <w:tmpl w:val="AB52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121BAA"/>
    <w:multiLevelType w:val="multilevel"/>
    <w:tmpl w:val="EBFA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2326C0"/>
    <w:multiLevelType w:val="hybridMultilevel"/>
    <w:tmpl w:val="9F723E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4A72E68"/>
    <w:multiLevelType w:val="hybridMultilevel"/>
    <w:tmpl w:val="0260896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4E900CD"/>
    <w:multiLevelType w:val="hybridMultilevel"/>
    <w:tmpl w:val="D62CFD4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8CC3943"/>
    <w:multiLevelType w:val="hybridMultilevel"/>
    <w:tmpl w:val="BE04529C"/>
    <w:styleLink w:val="ListaNumerada-AlneaseIncisos"/>
    <w:lvl w:ilvl="0" w:tplc="34E6E198">
      <w:start w:val="1"/>
      <w:numFmt w:val="lowerLetter"/>
      <w:suff w:val="space"/>
      <w:lvlText w:val="%1)"/>
      <w:lvlJc w:val="left"/>
      <w:pPr>
        <w:ind w:left="1134" w:hanging="283"/>
      </w:pPr>
      <w:rPr>
        <w:rFonts w:cs="Times New Roman" w:hint="default"/>
      </w:rPr>
    </w:lvl>
    <w:lvl w:ilvl="1" w:tplc="2EC0FD60">
      <w:start w:val="1"/>
      <w:numFmt w:val="none"/>
      <w:suff w:val="space"/>
      <w:lvlText w:val="%2-"/>
      <w:lvlJc w:val="left"/>
      <w:pPr>
        <w:ind w:left="1281" w:hanging="147"/>
      </w:pPr>
      <w:rPr>
        <w:rFonts w:cs="Times New Roman" w:hint="default"/>
      </w:rPr>
    </w:lvl>
    <w:lvl w:ilvl="2" w:tplc="14320200">
      <w:start w:val="1"/>
      <w:numFmt w:val="none"/>
      <w:lvlText w:val="%3"/>
      <w:lvlJc w:val="left"/>
      <w:pPr>
        <w:tabs>
          <w:tab w:val="num" w:pos="1440"/>
        </w:tabs>
        <w:ind w:left="1440" w:hanging="360"/>
      </w:pPr>
      <w:rPr>
        <w:rFonts w:cs="Times New Roman" w:hint="default"/>
      </w:rPr>
    </w:lvl>
    <w:lvl w:ilvl="3" w:tplc="066E2E56">
      <w:start w:val="1"/>
      <w:numFmt w:val="none"/>
      <w:lvlText w:val=""/>
      <w:lvlJc w:val="left"/>
      <w:pPr>
        <w:tabs>
          <w:tab w:val="num" w:pos="1800"/>
        </w:tabs>
        <w:ind w:left="1800" w:hanging="360"/>
      </w:pPr>
      <w:rPr>
        <w:rFonts w:cs="Times New Roman" w:hint="default"/>
      </w:rPr>
    </w:lvl>
    <w:lvl w:ilvl="4" w:tplc="22625628">
      <w:start w:val="1"/>
      <w:numFmt w:val="none"/>
      <w:lvlText w:val=""/>
      <w:lvlJc w:val="left"/>
      <w:pPr>
        <w:tabs>
          <w:tab w:val="num" w:pos="2160"/>
        </w:tabs>
        <w:ind w:left="2160" w:hanging="360"/>
      </w:pPr>
      <w:rPr>
        <w:rFonts w:cs="Times New Roman" w:hint="default"/>
      </w:rPr>
    </w:lvl>
    <w:lvl w:ilvl="5" w:tplc="A0BE4264">
      <w:start w:val="1"/>
      <w:numFmt w:val="none"/>
      <w:lvlText w:val=""/>
      <w:lvlJc w:val="left"/>
      <w:pPr>
        <w:tabs>
          <w:tab w:val="num" w:pos="2520"/>
        </w:tabs>
        <w:ind w:left="2520" w:hanging="360"/>
      </w:pPr>
      <w:rPr>
        <w:rFonts w:cs="Times New Roman" w:hint="default"/>
      </w:rPr>
    </w:lvl>
    <w:lvl w:ilvl="6" w:tplc="5366F9AA">
      <w:start w:val="1"/>
      <w:numFmt w:val="none"/>
      <w:lvlText w:val=""/>
      <w:lvlJc w:val="left"/>
      <w:pPr>
        <w:tabs>
          <w:tab w:val="num" w:pos="2880"/>
        </w:tabs>
        <w:ind w:left="2880" w:hanging="360"/>
      </w:pPr>
      <w:rPr>
        <w:rFonts w:cs="Times New Roman" w:hint="default"/>
      </w:rPr>
    </w:lvl>
    <w:lvl w:ilvl="7" w:tplc="9F307330">
      <w:start w:val="1"/>
      <w:numFmt w:val="none"/>
      <w:lvlText w:val=""/>
      <w:lvlJc w:val="left"/>
      <w:pPr>
        <w:tabs>
          <w:tab w:val="num" w:pos="3240"/>
        </w:tabs>
        <w:ind w:left="3240" w:hanging="360"/>
      </w:pPr>
      <w:rPr>
        <w:rFonts w:cs="Times New Roman" w:hint="default"/>
      </w:rPr>
    </w:lvl>
    <w:lvl w:ilvl="8" w:tplc="8C0A0332">
      <w:start w:val="1"/>
      <w:numFmt w:val="none"/>
      <w:lvlText w:val=""/>
      <w:lvlJc w:val="left"/>
      <w:pPr>
        <w:tabs>
          <w:tab w:val="num" w:pos="3600"/>
        </w:tabs>
        <w:ind w:left="3600" w:hanging="360"/>
      </w:pPr>
      <w:rPr>
        <w:rFonts w:cs="Times New Roman" w:hint="default"/>
      </w:rPr>
    </w:lvl>
  </w:abstractNum>
  <w:abstractNum w:abstractNumId="23" w15:restartNumberingAfterBreak="0">
    <w:nsid w:val="3BA560DC"/>
    <w:multiLevelType w:val="hybridMultilevel"/>
    <w:tmpl w:val="5ACE1D8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BAE5545"/>
    <w:multiLevelType w:val="multilevel"/>
    <w:tmpl w:val="D6808D7E"/>
    <w:lvl w:ilvl="0">
      <w:start w:val="3"/>
      <w:numFmt w:val="decimal"/>
      <w:lvlText w:val="%1."/>
      <w:lvlJc w:val="left"/>
      <w:pPr>
        <w:ind w:left="495" w:hanging="495"/>
      </w:pPr>
      <w:rPr>
        <w:rFonts w:hint="default"/>
      </w:rPr>
    </w:lvl>
    <w:lvl w:ilvl="1">
      <w:start w:val="1"/>
      <w:numFmt w:val="decimal"/>
      <w:lvlText w:val="%1.%2."/>
      <w:lvlJc w:val="left"/>
      <w:pPr>
        <w:ind w:left="523" w:hanging="495"/>
      </w:pPr>
      <w:rPr>
        <w:rFonts w:hint="default"/>
      </w:rPr>
    </w:lvl>
    <w:lvl w:ilvl="2">
      <w:start w:val="1"/>
      <w:numFmt w:val="decimal"/>
      <w:lvlText w:val="%1.%2.%3."/>
      <w:lvlJc w:val="left"/>
      <w:pPr>
        <w:ind w:left="776" w:hanging="720"/>
      </w:pPr>
      <w:rPr>
        <w:rFonts w:hint="default"/>
        <w:b/>
        <w:bCs w:val="0"/>
      </w:rPr>
    </w:lvl>
    <w:lvl w:ilvl="3">
      <w:start w:val="1"/>
      <w:numFmt w:val="decimal"/>
      <w:lvlText w:val="%1.%2.%3.%4."/>
      <w:lvlJc w:val="left"/>
      <w:pPr>
        <w:ind w:left="804" w:hanging="72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220" w:hanging="108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636" w:hanging="1440"/>
      </w:pPr>
      <w:rPr>
        <w:rFonts w:hint="default"/>
      </w:rPr>
    </w:lvl>
    <w:lvl w:ilvl="8">
      <w:start w:val="1"/>
      <w:numFmt w:val="decimal"/>
      <w:lvlText w:val="%1.%2.%3.%4.%5.%6.%7.%8.%9."/>
      <w:lvlJc w:val="left"/>
      <w:pPr>
        <w:ind w:left="2024" w:hanging="1800"/>
      </w:pPr>
      <w:rPr>
        <w:rFonts w:hint="default"/>
      </w:rPr>
    </w:lvl>
  </w:abstractNum>
  <w:abstractNum w:abstractNumId="25" w15:restartNumberingAfterBreak="0">
    <w:nsid w:val="3C3865A7"/>
    <w:multiLevelType w:val="multilevel"/>
    <w:tmpl w:val="252C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386863"/>
    <w:multiLevelType w:val="hybridMultilevel"/>
    <w:tmpl w:val="EC6229B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D5D4A42"/>
    <w:multiLevelType w:val="hybridMultilevel"/>
    <w:tmpl w:val="B8285692"/>
    <w:lvl w:ilvl="0" w:tplc="D1400400">
      <w:start w:val="1"/>
      <w:numFmt w:val="decimal"/>
      <w:pStyle w:val="TtulodoApndice"/>
      <w:lvlText w:val="Apêndice %1 - "/>
      <w:lvlJc w:val="left"/>
      <w:pPr>
        <w:ind w:left="360" w:hanging="360"/>
      </w:pPr>
      <w:rPr>
        <w:rFonts w:cs="Times New Roman" w:hint="default"/>
        <w:b/>
        <w:bCs w:val="0"/>
        <w:i w:val="0"/>
        <w:iCs w:val="0"/>
        <w:caps/>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3E0A47C5"/>
    <w:multiLevelType w:val="hybridMultilevel"/>
    <w:tmpl w:val="10888EFE"/>
    <w:lvl w:ilvl="0" w:tplc="3AD2F47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EC955D0"/>
    <w:multiLevelType w:val="multilevel"/>
    <w:tmpl w:val="9276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11621EE"/>
    <w:multiLevelType w:val="multilevel"/>
    <w:tmpl w:val="CC94F5D8"/>
    <w:styleLink w:val="Artigoseo"/>
    <w:lvl w:ilvl="0">
      <w:start w:val="1"/>
      <w:numFmt w:val="upperRoman"/>
      <w:lvlText w:val="Artigo %1."/>
      <w:lvlJc w:val="left"/>
      <w:pPr>
        <w:tabs>
          <w:tab w:val="num" w:pos="1440"/>
        </w:tabs>
      </w:pPr>
      <w:rPr>
        <w:rFonts w:cs="Times New Roman"/>
      </w:rPr>
    </w:lvl>
    <w:lvl w:ilvl="1">
      <w:start w:val="1"/>
      <w:numFmt w:val="decimalZero"/>
      <w:isLgl/>
      <w:lvlText w:val="Seção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1" w15:restartNumberingAfterBreak="0">
    <w:nsid w:val="412739F0"/>
    <w:multiLevelType w:val="hybridMultilevel"/>
    <w:tmpl w:val="D66A1EB6"/>
    <w:lvl w:ilvl="0" w:tplc="2668BA2A">
      <w:start w:val="1"/>
      <w:numFmt w:val="decimal"/>
      <w:pStyle w:val="TtulodaFigura"/>
      <w:lvlText w:val="FIGURA %1 - "/>
      <w:lvlJc w:val="left"/>
      <w:pPr>
        <w:tabs>
          <w:tab w:val="num" w:pos="120"/>
        </w:tabs>
        <w:ind w:left="1424" w:hanging="1304"/>
      </w:pPr>
      <w:rPr>
        <w:rFonts w:cs="Times New Roman" w:hint="default"/>
      </w:rPr>
    </w:lvl>
    <w:lvl w:ilvl="1" w:tplc="08561E54">
      <w:start w:val="1"/>
      <w:numFmt w:val="lowerLetter"/>
      <w:lvlText w:val="%2)"/>
      <w:lvlJc w:val="left"/>
      <w:pPr>
        <w:tabs>
          <w:tab w:val="num" w:pos="1935"/>
        </w:tabs>
        <w:ind w:left="1935" w:hanging="855"/>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15:restartNumberingAfterBreak="0">
    <w:nsid w:val="43943F35"/>
    <w:multiLevelType w:val="hybridMultilevel"/>
    <w:tmpl w:val="4CCEF6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5EF195A"/>
    <w:multiLevelType w:val="hybridMultilevel"/>
    <w:tmpl w:val="19308B4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C9B29C6"/>
    <w:multiLevelType w:val="hybridMultilevel"/>
    <w:tmpl w:val="846EE284"/>
    <w:lvl w:ilvl="0" w:tplc="5AD88B1C">
      <w:start w:val="1"/>
      <w:numFmt w:val="bullet"/>
      <w:lvlText w:val=""/>
      <w:lvlJc w:val="left"/>
      <w:pPr>
        <w:ind w:left="720" w:hanging="360"/>
      </w:pPr>
      <w:rPr>
        <w:rFonts w:ascii="Symbol" w:hAnsi="Symbol"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CD37E1A"/>
    <w:multiLevelType w:val="hybridMultilevel"/>
    <w:tmpl w:val="048CC67A"/>
    <w:lvl w:ilvl="0" w:tplc="63FAF1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1A20348"/>
    <w:multiLevelType w:val="hybridMultilevel"/>
    <w:tmpl w:val="05169C7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8766FA5"/>
    <w:multiLevelType w:val="hybridMultilevel"/>
    <w:tmpl w:val="DF0C705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B2B46FB"/>
    <w:multiLevelType w:val="hybridMultilevel"/>
    <w:tmpl w:val="A89E293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0D21E28"/>
    <w:multiLevelType w:val="hybridMultilevel"/>
    <w:tmpl w:val="CE88D9FA"/>
    <w:lvl w:ilvl="0" w:tplc="5184B172">
      <w:start w:val="1"/>
      <w:numFmt w:val="decimal"/>
      <w:pStyle w:val="TtulodaTabela"/>
      <w:lvlText w:val="TABELA %1 - "/>
      <w:lvlJc w:val="left"/>
      <w:pPr>
        <w:tabs>
          <w:tab w:val="num" w:pos="6238"/>
        </w:tabs>
        <w:ind w:left="7576" w:hanging="1338"/>
      </w:pPr>
      <w:rPr>
        <w:rFonts w:cs="Times New Roman" w:hint="default"/>
      </w:rPr>
    </w:lvl>
    <w:lvl w:ilvl="1" w:tplc="D54ECFCC" w:tentative="1">
      <w:start w:val="1"/>
      <w:numFmt w:val="lowerLetter"/>
      <w:lvlText w:val="%2."/>
      <w:lvlJc w:val="left"/>
      <w:pPr>
        <w:tabs>
          <w:tab w:val="num" w:pos="1440"/>
        </w:tabs>
        <w:ind w:left="1440" w:hanging="360"/>
      </w:pPr>
      <w:rPr>
        <w:rFonts w:cs="Times New Roman"/>
      </w:rPr>
    </w:lvl>
    <w:lvl w:ilvl="2" w:tplc="4426E4C4" w:tentative="1">
      <w:start w:val="1"/>
      <w:numFmt w:val="lowerRoman"/>
      <w:lvlText w:val="%3."/>
      <w:lvlJc w:val="right"/>
      <w:pPr>
        <w:tabs>
          <w:tab w:val="num" w:pos="2160"/>
        </w:tabs>
        <w:ind w:left="2160" w:hanging="180"/>
      </w:pPr>
      <w:rPr>
        <w:rFonts w:cs="Times New Roman"/>
      </w:rPr>
    </w:lvl>
    <w:lvl w:ilvl="3" w:tplc="C5DC1720" w:tentative="1">
      <w:start w:val="1"/>
      <w:numFmt w:val="decimal"/>
      <w:lvlText w:val="%4."/>
      <w:lvlJc w:val="left"/>
      <w:pPr>
        <w:tabs>
          <w:tab w:val="num" w:pos="2880"/>
        </w:tabs>
        <w:ind w:left="2880" w:hanging="360"/>
      </w:pPr>
      <w:rPr>
        <w:rFonts w:cs="Times New Roman"/>
      </w:rPr>
    </w:lvl>
    <w:lvl w:ilvl="4" w:tplc="8DC68B0E" w:tentative="1">
      <w:start w:val="1"/>
      <w:numFmt w:val="lowerLetter"/>
      <w:lvlText w:val="%5."/>
      <w:lvlJc w:val="left"/>
      <w:pPr>
        <w:tabs>
          <w:tab w:val="num" w:pos="3600"/>
        </w:tabs>
        <w:ind w:left="3600" w:hanging="360"/>
      </w:pPr>
      <w:rPr>
        <w:rFonts w:cs="Times New Roman"/>
      </w:rPr>
    </w:lvl>
    <w:lvl w:ilvl="5" w:tplc="14B4AB78" w:tentative="1">
      <w:start w:val="1"/>
      <w:numFmt w:val="lowerRoman"/>
      <w:lvlText w:val="%6."/>
      <w:lvlJc w:val="right"/>
      <w:pPr>
        <w:tabs>
          <w:tab w:val="num" w:pos="4320"/>
        </w:tabs>
        <w:ind w:left="4320" w:hanging="180"/>
      </w:pPr>
      <w:rPr>
        <w:rFonts w:cs="Times New Roman"/>
      </w:rPr>
    </w:lvl>
    <w:lvl w:ilvl="6" w:tplc="9558C55E" w:tentative="1">
      <w:start w:val="1"/>
      <w:numFmt w:val="decimal"/>
      <w:lvlText w:val="%7."/>
      <w:lvlJc w:val="left"/>
      <w:pPr>
        <w:tabs>
          <w:tab w:val="num" w:pos="5040"/>
        </w:tabs>
        <w:ind w:left="5040" w:hanging="360"/>
      </w:pPr>
      <w:rPr>
        <w:rFonts w:cs="Times New Roman"/>
      </w:rPr>
    </w:lvl>
    <w:lvl w:ilvl="7" w:tplc="2B282228" w:tentative="1">
      <w:start w:val="1"/>
      <w:numFmt w:val="lowerLetter"/>
      <w:lvlText w:val="%8."/>
      <w:lvlJc w:val="left"/>
      <w:pPr>
        <w:tabs>
          <w:tab w:val="num" w:pos="5760"/>
        </w:tabs>
        <w:ind w:left="5760" w:hanging="360"/>
      </w:pPr>
      <w:rPr>
        <w:rFonts w:cs="Times New Roman"/>
      </w:rPr>
    </w:lvl>
    <w:lvl w:ilvl="8" w:tplc="E2B61BE4" w:tentative="1">
      <w:start w:val="1"/>
      <w:numFmt w:val="lowerRoman"/>
      <w:lvlText w:val="%9."/>
      <w:lvlJc w:val="right"/>
      <w:pPr>
        <w:tabs>
          <w:tab w:val="num" w:pos="6480"/>
        </w:tabs>
        <w:ind w:left="6480" w:hanging="180"/>
      </w:pPr>
      <w:rPr>
        <w:rFonts w:cs="Times New Roman"/>
      </w:rPr>
    </w:lvl>
  </w:abstractNum>
  <w:abstractNum w:abstractNumId="40" w15:restartNumberingAfterBreak="0">
    <w:nsid w:val="64DC1F12"/>
    <w:multiLevelType w:val="hybridMultilevel"/>
    <w:tmpl w:val="5CA6BDB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53B4E00"/>
    <w:multiLevelType w:val="hybridMultilevel"/>
    <w:tmpl w:val="2820DAA0"/>
    <w:lvl w:ilvl="0" w:tplc="0416000D">
      <w:start w:val="1"/>
      <w:numFmt w:val="bullet"/>
      <w:lvlText w:val=""/>
      <w:lvlJc w:val="left"/>
      <w:pPr>
        <w:ind w:left="724" w:hanging="360"/>
      </w:pPr>
      <w:rPr>
        <w:rFonts w:ascii="Wingdings" w:hAnsi="Wingdings" w:hint="default"/>
      </w:rPr>
    </w:lvl>
    <w:lvl w:ilvl="1" w:tplc="04160003" w:tentative="1">
      <w:start w:val="1"/>
      <w:numFmt w:val="bullet"/>
      <w:lvlText w:val="o"/>
      <w:lvlJc w:val="left"/>
      <w:pPr>
        <w:ind w:left="1444" w:hanging="360"/>
      </w:pPr>
      <w:rPr>
        <w:rFonts w:ascii="Courier New" w:hAnsi="Courier New" w:cs="Courier New" w:hint="default"/>
      </w:rPr>
    </w:lvl>
    <w:lvl w:ilvl="2" w:tplc="04160005" w:tentative="1">
      <w:start w:val="1"/>
      <w:numFmt w:val="bullet"/>
      <w:lvlText w:val=""/>
      <w:lvlJc w:val="left"/>
      <w:pPr>
        <w:ind w:left="2164" w:hanging="360"/>
      </w:pPr>
      <w:rPr>
        <w:rFonts w:ascii="Wingdings" w:hAnsi="Wingdings" w:hint="default"/>
      </w:rPr>
    </w:lvl>
    <w:lvl w:ilvl="3" w:tplc="04160001" w:tentative="1">
      <w:start w:val="1"/>
      <w:numFmt w:val="bullet"/>
      <w:lvlText w:val=""/>
      <w:lvlJc w:val="left"/>
      <w:pPr>
        <w:ind w:left="2884" w:hanging="360"/>
      </w:pPr>
      <w:rPr>
        <w:rFonts w:ascii="Symbol" w:hAnsi="Symbol" w:hint="default"/>
      </w:rPr>
    </w:lvl>
    <w:lvl w:ilvl="4" w:tplc="04160003" w:tentative="1">
      <w:start w:val="1"/>
      <w:numFmt w:val="bullet"/>
      <w:lvlText w:val="o"/>
      <w:lvlJc w:val="left"/>
      <w:pPr>
        <w:ind w:left="3604" w:hanging="360"/>
      </w:pPr>
      <w:rPr>
        <w:rFonts w:ascii="Courier New" w:hAnsi="Courier New" w:cs="Courier New" w:hint="default"/>
      </w:rPr>
    </w:lvl>
    <w:lvl w:ilvl="5" w:tplc="04160005" w:tentative="1">
      <w:start w:val="1"/>
      <w:numFmt w:val="bullet"/>
      <w:lvlText w:val=""/>
      <w:lvlJc w:val="left"/>
      <w:pPr>
        <w:ind w:left="4324" w:hanging="360"/>
      </w:pPr>
      <w:rPr>
        <w:rFonts w:ascii="Wingdings" w:hAnsi="Wingdings" w:hint="default"/>
      </w:rPr>
    </w:lvl>
    <w:lvl w:ilvl="6" w:tplc="04160001" w:tentative="1">
      <w:start w:val="1"/>
      <w:numFmt w:val="bullet"/>
      <w:lvlText w:val=""/>
      <w:lvlJc w:val="left"/>
      <w:pPr>
        <w:ind w:left="5044" w:hanging="360"/>
      </w:pPr>
      <w:rPr>
        <w:rFonts w:ascii="Symbol" w:hAnsi="Symbol" w:hint="default"/>
      </w:rPr>
    </w:lvl>
    <w:lvl w:ilvl="7" w:tplc="04160003" w:tentative="1">
      <w:start w:val="1"/>
      <w:numFmt w:val="bullet"/>
      <w:lvlText w:val="o"/>
      <w:lvlJc w:val="left"/>
      <w:pPr>
        <w:ind w:left="5764" w:hanging="360"/>
      </w:pPr>
      <w:rPr>
        <w:rFonts w:ascii="Courier New" w:hAnsi="Courier New" w:cs="Courier New" w:hint="default"/>
      </w:rPr>
    </w:lvl>
    <w:lvl w:ilvl="8" w:tplc="04160005" w:tentative="1">
      <w:start w:val="1"/>
      <w:numFmt w:val="bullet"/>
      <w:lvlText w:val=""/>
      <w:lvlJc w:val="left"/>
      <w:pPr>
        <w:ind w:left="6484" w:hanging="360"/>
      </w:pPr>
      <w:rPr>
        <w:rFonts w:ascii="Wingdings" w:hAnsi="Wingdings" w:hint="default"/>
      </w:rPr>
    </w:lvl>
  </w:abstractNum>
  <w:abstractNum w:abstractNumId="42" w15:restartNumberingAfterBreak="0">
    <w:nsid w:val="6A687395"/>
    <w:multiLevelType w:val="hybridMultilevel"/>
    <w:tmpl w:val="C938E6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C5E22E6"/>
    <w:multiLevelType w:val="hybridMultilevel"/>
    <w:tmpl w:val="9E441576"/>
    <w:lvl w:ilvl="0" w:tplc="C4C8DDD0">
      <w:start w:val="1"/>
      <w:numFmt w:val="lowerRoman"/>
      <w:lvlText w:val="%1."/>
      <w:lvlJc w:val="right"/>
      <w:pPr>
        <w:ind w:left="720" w:hanging="360"/>
      </w:pPr>
      <w:rPr>
        <w:rFonts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CE02215"/>
    <w:multiLevelType w:val="multilevel"/>
    <w:tmpl w:val="0554DE52"/>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5" w15:restartNumberingAfterBreak="0">
    <w:nsid w:val="6D2F6D1B"/>
    <w:multiLevelType w:val="multilevel"/>
    <w:tmpl w:val="22847A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F1C4EF5"/>
    <w:multiLevelType w:val="multilevel"/>
    <w:tmpl w:val="AEDA54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FA5578B"/>
    <w:multiLevelType w:val="hybridMultilevel"/>
    <w:tmpl w:val="5C2EB4B6"/>
    <w:lvl w:ilvl="0" w:tplc="B92EA186">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6FC47F22"/>
    <w:multiLevelType w:val="hybridMultilevel"/>
    <w:tmpl w:val="049AF9C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04B2B29"/>
    <w:multiLevelType w:val="hybridMultilevel"/>
    <w:tmpl w:val="03DA2A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28410E5"/>
    <w:multiLevelType w:val="hybridMultilevel"/>
    <w:tmpl w:val="9E28CB10"/>
    <w:lvl w:ilvl="0" w:tplc="AAF864B4">
      <w:start w:val="1"/>
      <w:numFmt w:val="decimal"/>
      <w:pStyle w:val="TtulodoQuadro"/>
      <w:lvlText w:val="QUADRO %1 - "/>
      <w:lvlJc w:val="left"/>
      <w:pPr>
        <w:tabs>
          <w:tab w:val="num" w:pos="0"/>
        </w:tabs>
        <w:ind w:left="1361" w:hanging="1361"/>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767A673A"/>
    <w:multiLevelType w:val="hybridMultilevel"/>
    <w:tmpl w:val="F7BA4F3A"/>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2" w15:restartNumberingAfterBreak="0">
    <w:nsid w:val="76DE7B1D"/>
    <w:multiLevelType w:val="multilevel"/>
    <w:tmpl w:val="3C96D2DC"/>
    <w:lvl w:ilvl="0">
      <w:start w:val="1"/>
      <w:numFmt w:val="bullet"/>
      <w:lvlText w:val=""/>
      <w:lvlJc w:val="left"/>
      <w:pPr>
        <w:tabs>
          <w:tab w:val="num" w:pos="720"/>
        </w:tabs>
        <w:ind w:left="720" w:hanging="360"/>
      </w:pPr>
      <w:rPr>
        <w:rFonts w:ascii="Wingdings" w:hAnsi="Wingdings"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9237734"/>
    <w:multiLevelType w:val="multilevel"/>
    <w:tmpl w:val="9E76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A7A7378"/>
    <w:multiLevelType w:val="hybridMultilevel"/>
    <w:tmpl w:val="1A9C2790"/>
    <w:lvl w:ilvl="0" w:tplc="4894E96A">
      <w:start w:val="1"/>
      <w:numFmt w:val="decimal"/>
      <w:pStyle w:val="TtulodoAnexo"/>
      <w:lvlText w:val="Anexo %1 - "/>
      <w:lvlJc w:val="left"/>
      <w:pPr>
        <w:tabs>
          <w:tab w:val="num" w:pos="0"/>
        </w:tabs>
        <w:ind w:left="1021" w:hanging="1021"/>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7B3C7F33"/>
    <w:multiLevelType w:val="hybridMultilevel"/>
    <w:tmpl w:val="412205F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7D9E6405"/>
    <w:multiLevelType w:val="hybridMultilevel"/>
    <w:tmpl w:val="D894315A"/>
    <w:lvl w:ilvl="0" w:tplc="04160001">
      <w:start w:val="1"/>
      <w:numFmt w:val="bullet"/>
      <w:lvlText w:val=""/>
      <w:lvlJc w:val="left"/>
      <w:pPr>
        <w:ind w:left="720" w:hanging="360"/>
      </w:pPr>
      <w:rPr>
        <w:rFonts w:ascii="Symbol" w:hAnsi="Symbol" w:hint="default"/>
      </w:rPr>
    </w:lvl>
    <w:lvl w:ilvl="1" w:tplc="5AD88B1C">
      <w:start w:val="1"/>
      <w:numFmt w:val="bullet"/>
      <w:lvlText w:val=""/>
      <w:lvlJc w:val="left"/>
      <w:pPr>
        <w:ind w:left="1440" w:hanging="360"/>
      </w:pPr>
      <w:rPr>
        <w:rFonts w:ascii="Symbol" w:hAnsi="Symbol" w:hint="default"/>
        <w:sz w:val="16"/>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7F537428"/>
    <w:multiLevelType w:val="hybridMultilevel"/>
    <w:tmpl w:val="FD66B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4"/>
  </w:num>
  <w:num w:numId="2">
    <w:abstractNumId w:val="30"/>
  </w:num>
  <w:num w:numId="3">
    <w:abstractNumId w:val="44"/>
  </w:num>
  <w:num w:numId="4">
    <w:abstractNumId w:val="12"/>
  </w:num>
  <w:num w:numId="5">
    <w:abstractNumId w:val="22"/>
  </w:num>
  <w:num w:numId="6">
    <w:abstractNumId w:val="31"/>
  </w:num>
  <w:num w:numId="7">
    <w:abstractNumId w:val="39"/>
  </w:num>
  <w:num w:numId="8">
    <w:abstractNumId w:val="14"/>
  </w:num>
  <w:num w:numId="9">
    <w:abstractNumId w:val="50"/>
  </w:num>
  <w:num w:numId="10">
    <w:abstractNumId w:val="15"/>
  </w:num>
  <w:num w:numId="11">
    <w:abstractNumId w:val="27"/>
  </w:num>
  <w:num w:numId="12">
    <w:abstractNumId w:val="54"/>
  </w:num>
  <w:num w:numId="13">
    <w:abstractNumId w:val="4"/>
  </w:num>
  <w:num w:numId="14">
    <w:abstractNumId w:val="32"/>
  </w:num>
  <w:num w:numId="15">
    <w:abstractNumId w:val="24"/>
  </w:num>
  <w:num w:numId="16">
    <w:abstractNumId w:val="49"/>
  </w:num>
  <w:num w:numId="17">
    <w:abstractNumId w:val="47"/>
  </w:num>
  <w:num w:numId="18">
    <w:abstractNumId w:val="40"/>
  </w:num>
  <w:num w:numId="19">
    <w:abstractNumId w:val="16"/>
  </w:num>
  <w:num w:numId="20">
    <w:abstractNumId w:val="3"/>
  </w:num>
  <w:num w:numId="21">
    <w:abstractNumId w:val="4"/>
  </w:num>
  <w:num w:numId="22">
    <w:abstractNumId w:val="36"/>
  </w:num>
  <w:num w:numId="23">
    <w:abstractNumId w:val="4"/>
  </w:num>
  <w:num w:numId="24">
    <w:abstractNumId w:val="20"/>
  </w:num>
  <w:num w:numId="25">
    <w:abstractNumId w:val="35"/>
  </w:num>
  <w:num w:numId="26">
    <w:abstractNumId w:val="26"/>
  </w:num>
  <w:num w:numId="27">
    <w:abstractNumId w:val="56"/>
  </w:num>
  <w:num w:numId="28">
    <w:abstractNumId w:val="7"/>
  </w:num>
  <w:num w:numId="29">
    <w:abstractNumId w:val="34"/>
  </w:num>
  <w:num w:numId="30">
    <w:abstractNumId w:val="42"/>
  </w:num>
  <w:num w:numId="31">
    <w:abstractNumId w:val="57"/>
  </w:num>
  <w:num w:numId="32">
    <w:abstractNumId w:val="6"/>
  </w:num>
  <w:num w:numId="33">
    <w:abstractNumId w:val="19"/>
  </w:num>
  <w:num w:numId="34">
    <w:abstractNumId w:val="43"/>
  </w:num>
  <w:num w:numId="35">
    <w:abstractNumId w:val="5"/>
  </w:num>
  <w:num w:numId="36">
    <w:abstractNumId w:val="10"/>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 w:numId="46">
    <w:abstractNumId w:val="28"/>
  </w:num>
  <w:num w:numId="47">
    <w:abstractNumId w:val="46"/>
  </w:num>
  <w:num w:numId="48">
    <w:abstractNumId w:val="11"/>
  </w:num>
  <w:num w:numId="49">
    <w:abstractNumId w:val="29"/>
  </w:num>
  <w:num w:numId="50">
    <w:abstractNumId w:val="8"/>
  </w:num>
  <w:num w:numId="51">
    <w:abstractNumId w:val="17"/>
  </w:num>
  <w:num w:numId="52">
    <w:abstractNumId w:val="25"/>
  </w:num>
  <w:num w:numId="53">
    <w:abstractNumId w:val="53"/>
  </w:num>
  <w:num w:numId="54">
    <w:abstractNumId w:val="4"/>
  </w:num>
  <w:num w:numId="55">
    <w:abstractNumId w:val="37"/>
  </w:num>
  <w:num w:numId="56">
    <w:abstractNumId w:val="4"/>
  </w:num>
  <w:num w:numId="57">
    <w:abstractNumId w:val="1"/>
  </w:num>
  <w:num w:numId="58">
    <w:abstractNumId w:val="38"/>
  </w:num>
  <w:num w:numId="59">
    <w:abstractNumId w:val="48"/>
  </w:num>
  <w:num w:numId="60">
    <w:abstractNumId w:val="0"/>
  </w:num>
  <w:num w:numId="61">
    <w:abstractNumId w:val="4"/>
  </w:num>
  <w:num w:numId="62">
    <w:abstractNumId w:val="55"/>
  </w:num>
  <w:num w:numId="63">
    <w:abstractNumId w:val="41"/>
  </w:num>
  <w:num w:numId="64">
    <w:abstractNumId w:val="21"/>
  </w:num>
  <w:num w:numId="65">
    <w:abstractNumId w:val="23"/>
  </w:num>
  <w:num w:numId="66">
    <w:abstractNumId w:val="13"/>
  </w:num>
  <w:num w:numId="67">
    <w:abstractNumId w:val="18"/>
  </w:num>
  <w:num w:numId="68">
    <w:abstractNumId w:val="33"/>
  </w:num>
  <w:num w:numId="69">
    <w:abstractNumId w:val="51"/>
  </w:num>
  <w:num w:numId="70">
    <w:abstractNumId w:val="45"/>
  </w:num>
  <w:num w:numId="71">
    <w:abstractNumId w:val="2"/>
  </w:num>
  <w:num w:numId="72">
    <w:abstractNumId w:val="52"/>
  </w:num>
  <w:num w:numId="73">
    <w:abstractNumId w:val="9"/>
  </w:num>
  <w:num w:numId="74">
    <w:abstractNumId w:val="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0"/>
  <w:hyphenationZone w:val="425"/>
  <w:defaultTableStyle w:val="Tabela"/>
  <w:drawingGridHorizontalSpacing w:val="120"/>
  <w:displayHorizontalDrawingGridEvery w:val="2"/>
  <w:displayVerticalDrawingGridEvery w:val="2"/>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ABNT_autor_data edmar&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Referencias EDMAR.enl&lt;/item&gt;&lt;/Libraries&gt;&lt;/ENLibraries&gt;"/>
  </w:docVars>
  <w:rsids>
    <w:rsidRoot w:val="00E61BC1"/>
    <w:rsid w:val="00000655"/>
    <w:rsid w:val="0000098B"/>
    <w:rsid w:val="00000B66"/>
    <w:rsid w:val="000018A0"/>
    <w:rsid w:val="00001A73"/>
    <w:rsid w:val="00003355"/>
    <w:rsid w:val="0000338C"/>
    <w:rsid w:val="000035F2"/>
    <w:rsid w:val="000036FE"/>
    <w:rsid w:val="0000376F"/>
    <w:rsid w:val="000047F9"/>
    <w:rsid w:val="00004BDF"/>
    <w:rsid w:val="000056B7"/>
    <w:rsid w:val="00005A14"/>
    <w:rsid w:val="00006024"/>
    <w:rsid w:val="000066D2"/>
    <w:rsid w:val="00007026"/>
    <w:rsid w:val="00007960"/>
    <w:rsid w:val="00007F57"/>
    <w:rsid w:val="00010BDB"/>
    <w:rsid w:val="00010F2A"/>
    <w:rsid w:val="00011578"/>
    <w:rsid w:val="00011599"/>
    <w:rsid w:val="00011B2C"/>
    <w:rsid w:val="00011D25"/>
    <w:rsid w:val="000123DA"/>
    <w:rsid w:val="0001240E"/>
    <w:rsid w:val="00012522"/>
    <w:rsid w:val="00012948"/>
    <w:rsid w:val="00012BC0"/>
    <w:rsid w:val="00013FDD"/>
    <w:rsid w:val="00014685"/>
    <w:rsid w:val="00014A19"/>
    <w:rsid w:val="0001526B"/>
    <w:rsid w:val="000152EE"/>
    <w:rsid w:val="00016767"/>
    <w:rsid w:val="00016B28"/>
    <w:rsid w:val="00016CA2"/>
    <w:rsid w:val="00016E36"/>
    <w:rsid w:val="00017214"/>
    <w:rsid w:val="00017F0E"/>
    <w:rsid w:val="00020E17"/>
    <w:rsid w:val="00021877"/>
    <w:rsid w:val="000218A8"/>
    <w:rsid w:val="00021956"/>
    <w:rsid w:val="000232CC"/>
    <w:rsid w:val="00023362"/>
    <w:rsid w:val="00023BDB"/>
    <w:rsid w:val="00023BE6"/>
    <w:rsid w:val="00023DD9"/>
    <w:rsid w:val="00024B34"/>
    <w:rsid w:val="000251C5"/>
    <w:rsid w:val="00025529"/>
    <w:rsid w:val="000256DD"/>
    <w:rsid w:val="00025F4C"/>
    <w:rsid w:val="00026746"/>
    <w:rsid w:val="00026A50"/>
    <w:rsid w:val="00026F1E"/>
    <w:rsid w:val="0002702A"/>
    <w:rsid w:val="00027048"/>
    <w:rsid w:val="0002743B"/>
    <w:rsid w:val="00027673"/>
    <w:rsid w:val="00030625"/>
    <w:rsid w:val="00030642"/>
    <w:rsid w:val="000306C1"/>
    <w:rsid w:val="00030DC1"/>
    <w:rsid w:val="000314D7"/>
    <w:rsid w:val="000317FF"/>
    <w:rsid w:val="0003183F"/>
    <w:rsid w:val="00031FDC"/>
    <w:rsid w:val="0003259B"/>
    <w:rsid w:val="000330CE"/>
    <w:rsid w:val="00033922"/>
    <w:rsid w:val="000346F0"/>
    <w:rsid w:val="00034AB6"/>
    <w:rsid w:val="000357DD"/>
    <w:rsid w:val="00035BEE"/>
    <w:rsid w:val="00035EBE"/>
    <w:rsid w:val="000372AE"/>
    <w:rsid w:val="00037497"/>
    <w:rsid w:val="00037CE3"/>
    <w:rsid w:val="00037FC5"/>
    <w:rsid w:val="0004015C"/>
    <w:rsid w:val="00040F21"/>
    <w:rsid w:val="00040F8F"/>
    <w:rsid w:val="00040FD1"/>
    <w:rsid w:val="00040FDA"/>
    <w:rsid w:val="0004179D"/>
    <w:rsid w:val="00041B6B"/>
    <w:rsid w:val="00042682"/>
    <w:rsid w:val="000428A1"/>
    <w:rsid w:val="00043AC6"/>
    <w:rsid w:val="00043F14"/>
    <w:rsid w:val="0004426D"/>
    <w:rsid w:val="00044E36"/>
    <w:rsid w:val="00045424"/>
    <w:rsid w:val="0004565C"/>
    <w:rsid w:val="00045A7D"/>
    <w:rsid w:val="00045D98"/>
    <w:rsid w:val="000461B2"/>
    <w:rsid w:val="00046413"/>
    <w:rsid w:val="0004670B"/>
    <w:rsid w:val="00046859"/>
    <w:rsid w:val="000477F2"/>
    <w:rsid w:val="0005022A"/>
    <w:rsid w:val="000503AE"/>
    <w:rsid w:val="000508EA"/>
    <w:rsid w:val="00050AA5"/>
    <w:rsid w:val="00051CA0"/>
    <w:rsid w:val="00052435"/>
    <w:rsid w:val="00052729"/>
    <w:rsid w:val="00052AE0"/>
    <w:rsid w:val="00052CE9"/>
    <w:rsid w:val="0005302C"/>
    <w:rsid w:val="00054655"/>
    <w:rsid w:val="000546CA"/>
    <w:rsid w:val="00055E37"/>
    <w:rsid w:val="0005617E"/>
    <w:rsid w:val="00056EDA"/>
    <w:rsid w:val="000601FD"/>
    <w:rsid w:val="00060584"/>
    <w:rsid w:val="00060F4F"/>
    <w:rsid w:val="00061433"/>
    <w:rsid w:val="00061A4E"/>
    <w:rsid w:val="00061C4A"/>
    <w:rsid w:val="0006291C"/>
    <w:rsid w:val="00062DDC"/>
    <w:rsid w:val="00062FAD"/>
    <w:rsid w:val="00063A4B"/>
    <w:rsid w:val="0006456C"/>
    <w:rsid w:val="00064690"/>
    <w:rsid w:val="000646A8"/>
    <w:rsid w:val="00064B4A"/>
    <w:rsid w:val="00064F91"/>
    <w:rsid w:val="000651B2"/>
    <w:rsid w:val="0006736E"/>
    <w:rsid w:val="000700DF"/>
    <w:rsid w:val="000713B4"/>
    <w:rsid w:val="000713D1"/>
    <w:rsid w:val="0007172A"/>
    <w:rsid w:val="00071E4B"/>
    <w:rsid w:val="000720B7"/>
    <w:rsid w:val="000722CE"/>
    <w:rsid w:val="00072928"/>
    <w:rsid w:val="00072E5B"/>
    <w:rsid w:val="00074BC3"/>
    <w:rsid w:val="00074BFA"/>
    <w:rsid w:val="000756AC"/>
    <w:rsid w:val="000758F5"/>
    <w:rsid w:val="00076007"/>
    <w:rsid w:val="00076B1E"/>
    <w:rsid w:val="000775AD"/>
    <w:rsid w:val="00077B3E"/>
    <w:rsid w:val="000804EE"/>
    <w:rsid w:val="000804F2"/>
    <w:rsid w:val="00080D16"/>
    <w:rsid w:val="00081FF1"/>
    <w:rsid w:val="000823D5"/>
    <w:rsid w:val="00082959"/>
    <w:rsid w:val="00082A2C"/>
    <w:rsid w:val="00082AD0"/>
    <w:rsid w:val="000844A9"/>
    <w:rsid w:val="00084A63"/>
    <w:rsid w:val="00084B4B"/>
    <w:rsid w:val="00084D2C"/>
    <w:rsid w:val="000852A0"/>
    <w:rsid w:val="0008554C"/>
    <w:rsid w:val="0008555E"/>
    <w:rsid w:val="000858CE"/>
    <w:rsid w:val="00085F2F"/>
    <w:rsid w:val="000865E0"/>
    <w:rsid w:val="000869D3"/>
    <w:rsid w:val="0008720A"/>
    <w:rsid w:val="000876FE"/>
    <w:rsid w:val="00087B0B"/>
    <w:rsid w:val="00087E1E"/>
    <w:rsid w:val="00087F48"/>
    <w:rsid w:val="0009028D"/>
    <w:rsid w:val="00092242"/>
    <w:rsid w:val="000922D2"/>
    <w:rsid w:val="000925A4"/>
    <w:rsid w:val="00092D1D"/>
    <w:rsid w:val="0009325B"/>
    <w:rsid w:val="000935D3"/>
    <w:rsid w:val="00093E2B"/>
    <w:rsid w:val="00093FA4"/>
    <w:rsid w:val="00094094"/>
    <w:rsid w:val="000941CB"/>
    <w:rsid w:val="00094597"/>
    <w:rsid w:val="00094F34"/>
    <w:rsid w:val="00095FB0"/>
    <w:rsid w:val="000963BB"/>
    <w:rsid w:val="000971F0"/>
    <w:rsid w:val="000977F9"/>
    <w:rsid w:val="000978E5"/>
    <w:rsid w:val="00097EE1"/>
    <w:rsid w:val="000A08F7"/>
    <w:rsid w:val="000A0CA9"/>
    <w:rsid w:val="000A0F42"/>
    <w:rsid w:val="000A15DC"/>
    <w:rsid w:val="000A1FFA"/>
    <w:rsid w:val="000A206E"/>
    <w:rsid w:val="000A2362"/>
    <w:rsid w:val="000A26A1"/>
    <w:rsid w:val="000A296E"/>
    <w:rsid w:val="000A2B72"/>
    <w:rsid w:val="000A3269"/>
    <w:rsid w:val="000A3CBE"/>
    <w:rsid w:val="000A3ED4"/>
    <w:rsid w:val="000A428A"/>
    <w:rsid w:val="000A5177"/>
    <w:rsid w:val="000A51A2"/>
    <w:rsid w:val="000A5635"/>
    <w:rsid w:val="000A5B07"/>
    <w:rsid w:val="000A5D88"/>
    <w:rsid w:val="000A5DBE"/>
    <w:rsid w:val="000A62D0"/>
    <w:rsid w:val="000A685A"/>
    <w:rsid w:val="000A68E0"/>
    <w:rsid w:val="000A7279"/>
    <w:rsid w:val="000A769B"/>
    <w:rsid w:val="000A76AE"/>
    <w:rsid w:val="000A788B"/>
    <w:rsid w:val="000A794E"/>
    <w:rsid w:val="000A7B5C"/>
    <w:rsid w:val="000B09CF"/>
    <w:rsid w:val="000B0CC5"/>
    <w:rsid w:val="000B12F8"/>
    <w:rsid w:val="000B1822"/>
    <w:rsid w:val="000B1CB0"/>
    <w:rsid w:val="000B215F"/>
    <w:rsid w:val="000B2295"/>
    <w:rsid w:val="000B315D"/>
    <w:rsid w:val="000B33DA"/>
    <w:rsid w:val="000B3BAD"/>
    <w:rsid w:val="000B3BE9"/>
    <w:rsid w:val="000B3FA6"/>
    <w:rsid w:val="000B46A1"/>
    <w:rsid w:val="000B5607"/>
    <w:rsid w:val="000B59BE"/>
    <w:rsid w:val="000B5B0B"/>
    <w:rsid w:val="000B5BEC"/>
    <w:rsid w:val="000B5D1C"/>
    <w:rsid w:val="000B5F4D"/>
    <w:rsid w:val="000B6137"/>
    <w:rsid w:val="000B69E8"/>
    <w:rsid w:val="000B6E8C"/>
    <w:rsid w:val="000B7659"/>
    <w:rsid w:val="000B76C6"/>
    <w:rsid w:val="000C0409"/>
    <w:rsid w:val="000C0517"/>
    <w:rsid w:val="000C07FE"/>
    <w:rsid w:val="000C0CF1"/>
    <w:rsid w:val="000C16E8"/>
    <w:rsid w:val="000C295A"/>
    <w:rsid w:val="000C2D5B"/>
    <w:rsid w:val="000C2F46"/>
    <w:rsid w:val="000C3885"/>
    <w:rsid w:val="000C4997"/>
    <w:rsid w:val="000C4EDB"/>
    <w:rsid w:val="000C4F4D"/>
    <w:rsid w:val="000C501B"/>
    <w:rsid w:val="000C5473"/>
    <w:rsid w:val="000C5E0B"/>
    <w:rsid w:val="000C6E18"/>
    <w:rsid w:val="000C70B2"/>
    <w:rsid w:val="000C7E4B"/>
    <w:rsid w:val="000D03DC"/>
    <w:rsid w:val="000D08D6"/>
    <w:rsid w:val="000D1049"/>
    <w:rsid w:val="000D12B1"/>
    <w:rsid w:val="000D135E"/>
    <w:rsid w:val="000D1EBC"/>
    <w:rsid w:val="000D2941"/>
    <w:rsid w:val="000D2CFA"/>
    <w:rsid w:val="000D2D33"/>
    <w:rsid w:val="000D379F"/>
    <w:rsid w:val="000D39AE"/>
    <w:rsid w:val="000D3BA6"/>
    <w:rsid w:val="000D4A8A"/>
    <w:rsid w:val="000D4D7C"/>
    <w:rsid w:val="000D4E60"/>
    <w:rsid w:val="000D5175"/>
    <w:rsid w:val="000D5AD9"/>
    <w:rsid w:val="000D5AF3"/>
    <w:rsid w:val="000D70A9"/>
    <w:rsid w:val="000D7BBE"/>
    <w:rsid w:val="000E060A"/>
    <w:rsid w:val="000E095E"/>
    <w:rsid w:val="000E1743"/>
    <w:rsid w:val="000E20B4"/>
    <w:rsid w:val="000E3F2F"/>
    <w:rsid w:val="000E4460"/>
    <w:rsid w:val="000E4CC2"/>
    <w:rsid w:val="000E52BA"/>
    <w:rsid w:val="000E59A7"/>
    <w:rsid w:val="000E5D2E"/>
    <w:rsid w:val="000E5D9A"/>
    <w:rsid w:val="000E601C"/>
    <w:rsid w:val="000E6118"/>
    <w:rsid w:val="000E6697"/>
    <w:rsid w:val="000E7594"/>
    <w:rsid w:val="000E787A"/>
    <w:rsid w:val="000E797C"/>
    <w:rsid w:val="000F0B4C"/>
    <w:rsid w:val="000F0D4C"/>
    <w:rsid w:val="000F219C"/>
    <w:rsid w:val="000F24F4"/>
    <w:rsid w:val="000F28AC"/>
    <w:rsid w:val="000F2AD7"/>
    <w:rsid w:val="000F2E0B"/>
    <w:rsid w:val="000F302B"/>
    <w:rsid w:val="000F3462"/>
    <w:rsid w:val="000F3509"/>
    <w:rsid w:val="000F352E"/>
    <w:rsid w:val="000F37DA"/>
    <w:rsid w:val="000F3B4B"/>
    <w:rsid w:val="000F46AC"/>
    <w:rsid w:val="000F4815"/>
    <w:rsid w:val="000F4DB1"/>
    <w:rsid w:val="000F4DC8"/>
    <w:rsid w:val="000F62AF"/>
    <w:rsid w:val="000F63FE"/>
    <w:rsid w:val="000F649B"/>
    <w:rsid w:val="000F69EF"/>
    <w:rsid w:val="000F70D6"/>
    <w:rsid w:val="000F715D"/>
    <w:rsid w:val="000F73A9"/>
    <w:rsid w:val="000F7408"/>
    <w:rsid w:val="000F75D8"/>
    <w:rsid w:val="001004E8"/>
    <w:rsid w:val="00100C32"/>
    <w:rsid w:val="00101224"/>
    <w:rsid w:val="001014A8"/>
    <w:rsid w:val="0010226C"/>
    <w:rsid w:val="00102DB5"/>
    <w:rsid w:val="001030D4"/>
    <w:rsid w:val="00103238"/>
    <w:rsid w:val="0010411D"/>
    <w:rsid w:val="00104928"/>
    <w:rsid w:val="00104E34"/>
    <w:rsid w:val="00105E23"/>
    <w:rsid w:val="0010690C"/>
    <w:rsid w:val="00106B84"/>
    <w:rsid w:val="0010707D"/>
    <w:rsid w:val="00107D36"/>
    <w:rsid w:val="00110118"/>
    <w:rsid w:val="00110A21"/>
    <w:rsid w:val="001110D0"/>
    <w:rsid w:val="001111E3"/>
    <w:rsid w:val="001117A0"/>
    <w:rsid w:val="0011200B"/>
    <w:rsid w:val="00112A0E"/>
    <w:rsid w:val="00112C12"/>
    <w:rsid w:val="00112F87"/>
    <w:rsid w:val="001135D0"/>
    <w:rsid w:val="00113BF1"/>
    <w:rsid w:val="0011445F"/>
    <w:rsid w:val="001146B1"/>
    <w:rsid w:val="00114FBE"/>
    <w:rsid w:val="00115220"/>
    <w:rsid w:val="00115278"/>
    <w:rsid w:val="0011590E"/>
    <w:rsid w:val="00115DB8"/>
    <w:rsid w:val="00116536"/>
    <w:rsid w:val="00116BE9"/>
    <w:rsid w:val="00116E20"/>
    <w:rsid w:val="00117045"/>
    <w:rsid w:val="0011783C"/>
    <w:rsid w:val="00120092"/>
    <w:rsid w:val="00120477"/>
    <w:rsid w:val="00120984"/>
    <w:rsid w:val="00121137"/>
    <w:rsid w:val="00121F48"/>
    <w:rsid w:val="001220A1"/>
    <w:rsid w:val="001220AF"/>
    <w:rsid w:val="001221BD"/>
    <w:rsid w:val="0012282B"/>
    <w:rsid w:val="00122C24"/>
    <w:rsid w:val="00124684"/>
    <w:rsid w:val="0012489F"/>
    <w:rsid w:val="00124ECF"/>
    <w:rsid w:val="00124F73"/>
    <w:rsid w:val="001250CC"/>
    <w:rsid w:val="00125CF1"/>
    <w:rsid w:val="00126762"/>
    <w:rsid w:val="00127308"/>
    <w:rsid w:val="00127707"/>
    <w:rsid w:val="001302CF"/>
    <w:rsid w:val="001303C3"/>
    <w:rsid w:val="00130D86"/>
    <w:rsid w:val="00130EF4"/>
    <w:rsid w:val="00131A33"/>
    <w:rsid w:val="00131AAB"/>
    <w:rsid w:val="00131E6D"/>
    <w:rsid w:val="001327C0"/>
    <w:rsid w:val="00132BFA"/>
    <w:rsid w:val="00132C04"/>
    <w:rsid w:val="00132C29"/>
    <w:rsid w:val="001331C7"/>
    <w:rsid w:val="001337A4"/>
    <w:rsid w:val="001338BD"/>
    <w:rsid w:val="00134802"/>
    <w:rsid w:val="00135EC1"/>
    <w:rsid w:val="0013613D"/>
    <w:rsid w:val="001365A9"/>
    <w:rsid w:val="0013679E"/>
    <w:rsid w:val="00136B32"/>
    <w:rsid w:val="00137956"/>
    <w:rsid w:val="001404AE"/>
    <w:rsid w:val="00140AE1"/>
    <w:rsid w:val="00140B59"/>
    <w:rsid w:val="00141C9C"/>
    <w:rsid w:val="00141D26"/>
    <w:rsid w:val="00142490"/>
    <w:rsid w:val="0014259E"/>
    <w:rsid w:val="0014263B"/>
    <w:rsid w:val="00142BF7"/>
    <w:rsid w:val="00142FD7"/>
    <w:rsid w:val="001430D3"/>
    <w:rsid w:val="001430D7"/>
    <w:rsid w:val="00143294"/>
    <w:rsid w:val="001439CD"/>
    <w:rsid w:val="00143B99"/>
    <w:rsid w:val="00144319"/>
    <w:rsid w:val="00144C89"/>
    <w:rsid w:val="00144E83"/>
    <w:rsid w:val="00145B1E"/>
    <w:rsid w:val="00145D7E"/>
    <w:rsid w:val="0014607C"/>
    <w:rsid w:val="001467FC"/>
    <w:rsid w:val="00146D8A"/>
    <w:rsid w:val="00147260"/>
    <w:rsid w:val="00147370"/>
    <w:rsid w:val="00147918"/>
    <w:rsid w:val="00147BBF"/>
    <w:rsid w:val="00147E7D"/>
    <w:rsid w:val="0015065D"/>
    <w:rsid w:val="00150B78"/>
    <w:rsid w:val="00150DAA"/>
    <w:rsid w:val="00150E86"/>
    <w:rsid w:val="00150FA9"/>
    <w:rsid w:val="0015101A"/>
    <w:rsid w:val="00151454"/>
    <w:rsid w:val="00151706"/>
    <w:rsid w:val="00152487"/>
    <w:rsid w:val="00152C0E"/>
    <w:rsid w:val="00153FAF"/>
    <w:rsid w:val="00155617"/>
    <w:rsid w:val="00155C1F"/>
    <w:rsid w:val="0016023C"/>
    <w:rsid w:val="00160505"/>
    <w:rsid w:val="00160C4E"/>
    <w:rsid w:val="00160CB0"/>
    <w:rsid w:val="001610A7"/>
    <w:rsid w:val="00161B81"/>
    <w:rsid w:val="00161B98"/>
    <w:rsid w:val="00161EFA"/>
    <w:rsid w:val="00162254"/>
    <w:rsid w:val="0016266C"/>
    <w:rsid w:val="0016356D"/>
    <w:rsid w:val="0016382B"/>
    <w:rsid w:val="00163831"/>
    <w:rsid w:val="00163B33"/>
    <w:rsid w:val="00163F7D"/>
    <w:rsid w:val="0016406C"/>
    <w:rsid w:val="00164816"/>
    <w:rsid w:val="00165176"/>
    <w:rsid w:val="001654A3"/>
    <w:rsid w:val="001655AF"/>
    <w:rsid w:val="0016584D"/>
    <w:rsid w:val="00165B81"/>
    <w:rsid w:val="0016632A"/>
    <w:rsid w:val="001663B6"/>
    <w:rsid w:val="00166D9C"/>
    <w:rsid w:val="001672CD"/>
    <w:rsid w:val="0016791D"/>
    <w:rsid w:val="00167B15"/>
    <w:rsid w:val="00167EBA"/>
    <w:rsid w:val="00170446"/>
    <w:rsid w:val="00170619"/>
    <w:rsid w:val="00170D7D"/>
    <w:rsid w:val="00170DFD"/>
    <w:rsid w:val="0017136D"/>
    <w:rsid w:val="00171A13"/>
    <w:rsid w:val="00171EBB"/>
    <w:rsid w:val="001724FA"/>
    <w:rsid w:val="00172596"/>
    <w:rsid w:val="001728F1"/>
    <w:rsid w:val="00172CE7"/>
    <w:rsid w:val="00172D8B"/>
    <w:rsid w:val="00172F17"/>
    <w:rsid w:val="00173550"/>
    <w:rsid w:val="0017445D"/>
    <w:rsid w:val="001746C1"/>
    <w:rsid w:val="00174C47"/>
    <w:rsid w:val="00174E8E"/>
    <w:rsid w:val="001750AC"/>
    <w:rsid w:val="001755A7"/>
    <w:rsid w:val="0017586D"/>
    <w:rsid w:val="001761E3"/>
    <w:rsid w:val="00176576"/>
    <w:rsid w:val="00177013"/>
    <w:rsid w:val="0017706F"/>
    <w:rsid w:val="0017780D"/>
    <w:rsid w:val="00180C94"/>
    <w:rsid w:val="00181386"/>
    <w:rsid w:val="0018156F"/>
    <w:rsid w:val="001822F3"/>
    <w:rsid w:val="0018336F"/>
    <w:rsid w:val="0018366B"/>
    <w:rsid w:val="00184C24"/>
    <w:rsid w:val="001851E4"/>
    <w:rsid w:val="001855A6"/>
    <w:rsid w:val="0018615C"/>
    <w:rsid w:val="0018638D"/>
    <w:rsid w:val="00186831"/>
    <w:rsid w:val="0018684B"/>
    <w:rsid w:val="00187055"/>
    <w:rsid w:val="00187CB8"/>
    <w:rsid w:val="00190263"/>
    <w:rsid w:val="00190422"/>
    <w:rsid w:val="0019045B"/>
    <w:rsid w:val="00190791"/>
    <w:rsid w:val="0019095D"/>
    <w:rsid w:val="00190B9D"/>
    <w:rsid w:val="00190EFA"/>
    <w:rsid w:val="001918D6"/>
    <w:rsid w:val="00191B00"/>
    <w:rsid w:val="00192692"/>
    <w:rsid w:val="00192738"/>
    <w:rsid w:val="00193E28"/>
    <w:rsid w:val="00193FA4"/>
    <w:rsid w:val="00194500"/>
    <w:rsid w:val="00194C0A"/>
    <w:rsid w:val="00195380"/>
    <w:rsid w:val="001954C6"/>
    <w:rsid w:val="00195541"/>
    <w:rsid w:val="00195ACA"/>
    <w:rsid w:val="00195C33"/>
    <w:rsid w:val="00196145"/>
    <w:rsid w:val="001961CE"/>
    <w:rsid w:val="0019624F"/>
    <w:rsid w:val="001962F3"/>
    <w:rsid w:val="0019719D"/>
    <w:rsid w:val="001971EE"/>
    <w:rsid w:val="001977D8"/>
    <w:rsid w:val="001A0937"/>
    <w:rsid w:val="001A0BDF"/>
    <w:rsid w:val="001A0D0B"/>
    <w:rsid w:val="001A0FB6"/>
    <w:rsid w:val="001A28AE"/>
    <w:rsid w:val="001A33B6"/>
    <w:rsid w:val="001A37E0"/>
    <w:rsid w:val="001A53E9"/>
    <w:rsid w:val="001A5F2A"/>
    <w:rsid w:val="001A646C"/>
    <w:rsid w:val="001A6858"/>
    <w:rsid w:val="001A6DC0"/>
    <w:rsid w:val="001A6E0F"/>
    <w:rsid w:val="001A6F87"/>
    <w:rsid w:val="001A744E"/>
    <w:rsid w:val="001A74B6"/>
    <w:rsid w:val="001B0477"/>
    <w:rsid w:val="001B06DD"/>
    <w:rsid w:val="001B0A95"/>
    <w:rsid w:val="001B1201"/>
    <w:rsid w:val="001B12A8"/>
    <w:rsid w:val="001B18AB"/>
    <w:rsid w:val="001B1ECD"/>
    <w:rsid w:val="001B2043"/>
    <w:rsid w:val="001B24F4"/>
    <w:rsid w:val="001B38D1"/>
    <w:rsid w:val="001B3B9B"/>
    <w:rsid w:val="001B4051"/>
    <w:rsid w:val="001B4098"/>
    <w:rsid w:val="001B4D02"/>
    <w:rsid w:val="001B4E1C"/>
    <w:rsid w:val="001B5496"/>
    <w:rsid w:val="001B5544"/>
    <w:rsid w:val="001B5B60"/>
    <w:rsid w:val="001B6309"/>
    <w:rsid w:val="001B690C"/>
    <w:rsid w:val="001B6A16"/>
    <w:rsid w:val="001B6AAA"/>
    <w:rsid w:val="001B6BB0"/>
    <w:rsid w:val="001B6DBD"/>
    <w:rsid w:val="001B6DF6"/>
    <w:rsid w:val="001C0178"/>
    <w:rsid w:val="001C0AAB"/>
    <w:rsid w:val="001C11BC"/>
    <w:rsid w:val="001C1D64"/>
    <w:rsid w:val="001C1E13"/>
    <w:rsid w:val="001C1FB7"/>
    <w:rsid w:val="001C3B64"/>
    <w:rsid w:val="001C3E83"/>
    <w:rsid w:val="001C4689"/>
    <w:rsid w:val="001C471E"/>
    <w:rsid w:val="001C512A"/>
    <w:rsid w:val="001C5EFF"/>
    <w:rsid w:val="001C70A2"/>
    <w:rsid w:val="001C734D"/>
    <w:rsid w:val="001C7BCA"/>
    <w:rsid w:val="001C7E10"/>
    <w:rsid w:val="001D046F"/>
    <w:rsid w:val="001D0623"/>
    <w:rsid w:val="001D0797"/>
    <w:rsid w:val="001D0BEA"/>
    <w:rsid w:val="001D1E19"/>
    <w:rsid w:val="001D1FF1"/>
    <w:rsid w:val="001D3050"/>
    <w:rsid w:val="001D3404"/>
    <w:rsid w:val="001D38E6"/>
    <w:rsid w:val="001D3947"/>
    <w:rsid w:val="001D4FB3"/>
    <w:rsid w:val="001D506B"/>
    <w:rsid w:val="001D519E"/>
    <w:rsid w:val="001D5474"/>
    <w:rsid w:val="001D617F"/>
    <w:rsid w:val="001D6E15"/>
    <w:rsid w:val="001D6E79"/>
    <w:rsid w:val="001D721E"/>
    <w:rsid w:val="001E1A59"/>
    <w:rsid w:val="001E1CB8"/>
    <w:rsid w:val="001E2331"/>
    <w:rsid w:val="001E25E9"/>
    <w:rsid w:val="001E33BA"/>
    <w:rsid w:val="001E3580"/>
    <w:rsid w:val="001E37E5"/>
    <w:rsid w:val="001E4F4D"/>
    <w:rsid w:val="001E5749"/>
    <w:rsid w:val="001E604D"/>
    <w:rsid w:val="001E71EE"/>
    <w:rsid w:val="001E72BA"/>
    <w:rsid w:val="001E770D"/>
    <w:rsid w:val="001E7727"/>
    <w:rsid w:val="001F02BD"/>
    <w:rsid w:val="001F086E"/>
    <w:rsid w:val="001F0EF3"/>
    <w:rsid w:val="001F0FA0"/>
    <w:rsid w:val="001F146B"/>
    <w:rsid w:val="001F1B2E"/>
    <w:rsid w:val="001F1C8D"/>
    <w:rsid w:val="001F1DAC"/>
    <w:rsid w:val="001F1FD7"/>
    <w:rsid w:val="001F292B"/>
    <w:rsid w:val="001F3314"/>
    <w:rsid w:val="001F374A"/>
    <w:rsid w:val="001F3855"/>
    <w:rsid w:val="001F3BA8"/>
    <w:rsid w:val="001F437D"/>
    <w:rsid w:val="001F4820"/>
    <w:rsid w:val="001F4855"/>
    <w:rsid w:val="001F4A9B"/>
    <w:rsid w:val="001F4E8E"/>
    <w:rsid w:val="001F4EDA"/>
    <w:rsid w:val="001F502E"/>
    <w:rsid w:val="001F5052"/>
    <w:rsid w:val="001F5FE9"/>
    <w:rsid w:val="001F6797"/>
    <w:rsid w:val="001F7170"/>
    <w:rsid w:val="001F736D"/>
    <w:rsid w:val="002000B5"/>
    <w:rsid w:val="00200CB7"/>
    <w:rsid w:val="00201354"/>
    <w:rsid w:val="0020138C"/>
    <w:rsid w:val="00202D34"/>
    <w:rsid w:val="00203887"/>
    <w:rsid w:val="002038F3"/>
    <w:rsid w:val="00203B9C"/>
    <w:rsid w:val="00203BE4"/>
    <w:rsid w:val="002041C7"/>
    <w:rsid w:val="002049A4"/>
    <w:rsid w:val="002049AE"/>
    <w:rsid w:val="002058B9"/>
    <w:rsid w:val="00205D3C"/>
    <w:rsid w:val="002060B2"/>
    <w:rsid w:val="002062E1"/>
    <w:rsid w:val="002063C1"/>
    <w:rsid w:val="00207D7D"/>
    <w:rsid w:val="00207E99"/>
    <w:rsid w:val="00210190"/>
    <w:rsid w:val="00210726"/>
    <w:rsid w:val="00210781"/>
    <w:rsid w:val="00212531"/>
    <w:rsid w:val="00213639"/>
    <w:rsid w:val="002137DE"/>
    <w:rsid w:val="00214563"/>
    <w:rsid w:val="00214CCB"/>
    <w:rsid w:val="00214E60"/>
    <w:rsid w:val="00215151"/>
    <w:rsid w:val="002152DB"/>
    <w:rsid w:val="00215B08"/>
    <w:rsid w:val="00215E75"/>
    <w:rsid w:val="00216328"/>
    <w:rsid w:val="00216628"/>
    <w:rsid w:val="002167B3"/>
    <w:rsid w:val="00216C69"/>
    <w:rsid w:val="00216D15"/>
    <w:rsid w:val="00216FCA"/>
    <w:rsid w:val="0021736B"/>
    <w:rsid w:val="002178B1"/>
    <w:rsid w:val="00217F9A"/>
    <w:rsid w:val="00220FE8"/>
    <w:rsid w:val="00221114"/>
    <w:rsid w:val="00221EFC"/>
    <w:rsid w:val="00222786"/>
    <w:rsid w:val="00223A19"/>
    <w:rsid w:val="0022493A"/>
    <w:rsid w:val="00224F6D"/>
    <w:rsid w:val="00225182"/>
    <w:rsid w:val="00225729"/>
    <w:rsid w:val="00225DBB"/>
    <w:rsid w:val="00225E22"/>
    <w:rsid w:val="00226213"/>
    <w:rsid w:val="00226705"/>
    <w:rsid w:val="00226C15"/>
    <w:rsid w:val="00227AE1"/>
    <w:rsid w:val="00230217"/>
    <w:rsid w:val="002304D4"/>
    <w:rsid w:val="00230A4B"/>
    <w:rsid w:val="00230B42"/>
    <w:rsid w:val="002311C9"/>
    <w:rsid w:val="002314A2"/>
    <w:rsid w:val="0023172C"/>
    <w:rsid w:val="00232620"/>
    <w:rsid w:val="00232661"/>
    <w:rsid w:val="00232887"/>
    <w:rsid w:val="00232C80"/>
    <w:rsid w:val="00232CF6"/>
    <w:rsid w:val="0023333D"/>
    <w:rsid w:val="00233576"/>
    <w:rsid w:val="0023481F"/>
    <w:rsid w:val="002351D3"/>
    <w:rsid w:val="00235EA5"/>
    <w:rsid w:val="00237191"/>
    <w:rsid w:val="00237258"/>
    <w:rsid w:val="002374FC"/>
    <w:rsid w:val="00237947"/>
    <w:rsid w:val="00237FB8"/>
    <w:rsid w:val="002402C9"/>
    <w:rsid w:val="00240535"/>
    <w:rsid w:val="00240AA8"/>
    <w:rsid w:val="00242706"/>
    <w:rsid w:val="00242747"/>
    <w:rsid w:val="00243314"/>
    <w:rsid w:val="00243464"/>
    <w:rsid w:val="0024373F"/>
    <w:rsid w:val="0024397A"/>
    <w:rsid w:val="00244556"/>
    <w:rsid w:val="00244746"/>
    <w:rsid w:val="00244940"/>
    <w:rsid w:val="00245D2F"/>
    <w:rsid w:val="002463D0"/>
    <w:rsid w:val="00247165"/>
    <w:rsid w:val="0024778E"/>
    <w:rsid w:val="002477CE"/>
    <w:rsid w:val="00247A5B"/>
    <w:rsid w:val="00247AB0"/>
    <w:rsid w:val="00247D53"/>
    <w:rsid w:val="00250235"/>
    <w:rsid w:val="00250E53"/>
    <w:rsid w:val="002517FD"/>
    <w:rsid w:val="002519DB"/>
    <w:rsid w:val="00251C75"/>
    <w:rsid w:val="00252385"/>
    <w:rsid w:val="00253527"/>
    <w:rsid w:val="00253748"/>
    <w:rsid w:val="00253AB9"/>
    <w:rsid w:val="00253E3B"/>
    <w:rsid w:val="00253E96"/>
    <w:rsid w:val="0025403E"/>
    <w:rsid w:val="002540DC"/>
    <w:rsid w:val="00254362"/>
    <w:rsid w:val="00254CCD"/>
    <w:rsid w:val="00256027"/>
    <w:rsid w:val="002562EA"/>
    <w:rsid w:val="00257139"/>
    <w:rsid w:val="00257240"/>
    <w:rsid w:val="00257523"/>
    <w:rsid w:val="00257659"/>
    <w:rsid w:val="0025768A"/>
    <w:rsid w:val="00257906"/>
    <w:rsid w:val="00257AFA"/>
    <w:rsid w:val="00260BC4"/>
    <w:rsid w:val="00260DEB"/>
    <w:rsid w:val="00261791"/>
    <w:rsid w:val="002619A0"/>
    <w:rsid w:val="00261E04"/>
    <w:rsid w:val="00262178"/>
    <w:rsid w:val="0026219E"/>
    <w:rsid w:val="002622F5"/>
    <w:rsid w:val="002637CF"/>
    <w:rsid w:val="00263937"/>
    <w:rsid w:val="0026435E"/>
    <w:rsid w:val="00264592"/>
    <w:rsid w:val="002649D8"/>
    <w:rsid w:val="00264C09"/>
    <w:rsid w:val="002651EC"/>
    <w:rsid w:val="0026544A"/>
    <w:rsid w:val="00266519"/>
    <w:rsid w:val="00266A05"/>
    <w:rsid w:val="00266A51"/>
    <w:rsid w:val="00266F7E"/>
    <w:rsid w:val="002671DB"/>
    <w:rsid w:val="00267493"/>
    <w:rsid w:val="00267993"/>
    <w:rsid w:val="002701F2"/>
    <w:rsid w:val="002709C8"/>
    <w:rsid w:val="00270C8A"/>
    <w:rsid w:val="002713A2"/>
    <w:rsid w:val="00271655"/>
    <w:rsid w:val="00271658"/>
    <w:rsid w:val="002721DA"/>
    <w:rsid w:val="0027229D"/>
    <w:rsid w:val="00272597"/>
    <w:rsid w:val="00273765"/>
    <w:rsid w:val="00273C09"/>
    <w:rsid w:val="00274282"/>
    <w:rsid w:val="00274922"/>
    <w:rsid w:val="00274A94"/>
    <w:rsid w:val="00276530"/>
    <w:rsid w:val="00276871"/>
    <w:rsid w:val="00276E05"/>
    <w:rsid w:val="0027723E"/>
    <w:rsid w:val="00277421"/>
    <w:rsid w:val="0027762F"/>
    <w:rsid w:val="0027767F"/>
    <w:rsid w:val="00277E37"/>
    <w:rsid w:val="00281D58"/>
    <w:rsid w:val="00282318"/>
    <w:rsid w:val="002825B6"/>
    <w:rsid w:val="00282C0C"/>
    <w:rsid w:val="0028350E"/>
    <w:rsid w:val="00283642"/>
    <w:rsid w:val="0028395C"/>
    <w:rsid w:val="00284383"/>
    <w:rsid w:val="00284A23"/>
    <w:rsid w:val="002851EB"/>
    <w:rsid w:val="002855C0"/>
    <w:rsid w:val="00286052"/>
    <w:rsid w:val="00286A9E"/>
    <w:rsid w:val="002878D0"/>
    <w:rsid w:val="00287D3C"/>
    <w:rsid w:val="00287EB4"/>
    <w:rsid w:val="0029000F"/>
    <w:rsid w:val="002905B2"/>
    <w:rsid w:val="00290676"/>
    <w:rsid w:val="0029087D"/>
    <w:rsid w:val="00290C82"/>
    <w:rsid w:val="002917EA"/>
    <w:rsid w:val="00291D6C"/>
    <w:rsid w:val="0029235E"/>
    <w:rsid w:val="00292503"/>
    <w:rsid w:val="0029359D"/>
    <w:rsid w:val="00293B71"/>
    <w:rsid w:val="00293BB5"/>
    <w:rsid w:val="00293FC2"/>
    <w:rsid w:val="0029430F"/>
    <w:rsid w:val="00294A99"/>
    <w:rsid w:val="00294DF8"/>
    <w:rsid w:val="00294EDB"/>
    <w:rsid w:val="00295570"/>
    <w:rsid w:val="00295DFA"/>
    <w:rsid w:val="0029655A"/>
    <w:rsid w:val="00296699"/>
    <w:rsid w:val="00296B99"/>
    <w:rsid w:val="002978F2"/>
    <w:rsid w:val="002A0068"/>
    <w:rsid w:val="002A02C2"/>
    <w:rsid w:val="002A04BD"/>
    <w:rsid w:val="002A1721"/>
    <w:rsid w:val="002A1A3F"/>
    <w:rsid w:val="002A1AFC"/>
    <w:rsid w:val="002A21DA"/>
    <w:rsid w:val="002A2727"/>
    <w:rsid w:val="002A3D87"/>
    <w:rsid w:val="002A45F6"/>
    <w:rsid w:val="002A4B27"/>
    <w:rsid w:val="002A5309"/>
    <w:rsid w:val="002A56CE"/>
    <w:rsid w:val="002A6154"/>
    <w:rsid w:val="002A6C27"/>
    <w:rsid w:val="002A73B7"/>
    <w:rsid w:val="002A766E"/>
    <w:rsid w:val="002A7A79"/>
    <w:rsid w:val="002A7EC1"/>
    <w:rsid w:val="002B0A56"/>
    <w:rsid w:val="002B0D0C"/>
    <w:rsid w:val="002B10FA"/>
    <w:rsid w:val="002B1338"/>
    <w:rsid w:val="002B163C"/>
    <w:rsid w:val="002B1846"/>
    <w:rsid w:val="002B1BD2"/>
    <w:rsid w:val="002B2073"/>
    <w:rsid w:val="002B216C"/>
    <w:rsid w:val="002B23FC"/>
    <w:rsid w:val="002B2746"/>
    <w:rsid w:val="002B3A9B"/>
    <w:rsid w:val="002B3E33"/>
    <w:rsid w:val="002B3FF3"/>
    <w:rsid w:val="002B41FD"/>
    <w:rsid w:val="002B4522"/>
    <w:rsid w:val="002B519B"/>
    <w:rsid w:val="002B5436"/>
    <w:rsid w:val="002B5AA0"/>
    <w:rsid w:val="002B6259"/>
    <w:rsid w:val="002B6648"/>
    <w:rsid w:val="002B676A"/>
    <w:rsid w:val="002B68D7"/>
    <w:rsid w:val="002B6E7B"/>
    <w:rsid w:val="002B7C1D"/>
    <w:rsid w:val="002B7DC0"/>
    <w:rsid w:val="002C09A5"/>
    <w:rsid w:val="002C144C"/>
    <w:rsid w:val="002C1B3D"/>
    <w:rsid w:val="002C1FE2"/>
    <w:rsid w:val="002C2134"/>
    <w:rsid w:val="002C26C9"/>
    <w:rsid w:val="002C27F2"/>
    <w:rsid w:val="002C2804"/>
    <w:rsid w:val="002C295A"/>
    <w:rsid w:val="002C2CC4"/>
    <w:rsid w:val="002C3239"/>
    <w:rsid w:val="002C33C9"/>
    <w:rsid w:val="002C50D8"/>
    <w:rsid w:val="002C5140"/>
    <w:rsid w:val="002C57A8"/>
    <w:rsid w:val="002C5A52"/>
    <w:rsid w:val="002C5AC8"/>
    <w:rsid w:val="002C61A4"/>
    <w:rsid w:val="002C6709"/>
    <w:rsid w:val="002C6E73"/>
    <w:rsid w:val="002C6F06"/>
    <w:rsid w:val="002C73EA"/>
    <w:rsid w:val="002C7764"/>
    <w:rsid w:val="002C7C57"/>
    <w:rsid w:val="002D0245"/>
    <w:rsid w:val="002D0260"/>
    <w:rsid w:val="002D0682"/>
    <w:rsid w:val="002D08AF"/>
    <w:rsid w:val="002D0E94"/>
    <w:rsid w:val="002D11B3"/>
    <w:rsid w:val="002D1CE9"/>
    <w:rsid w:val="002D1D0A"/>
    <w:rsid w:val="002D26EE"/>
    <w:rsid w:val="002D2733"/>
    <w:rsid w:val="002D2B35"/>
    <w:rsid w:val="002D30BA"/>
    <w:rsid w:val="002D3F19"/>
    <w:rsid w:val="002D44DD"/>
    <w:rsid w:val="002D56D2"/>
    <w:rsid w:val="002D5924"/>
    <w:rsid w:val="002D5DF1"/>
    <w:rsid w:val="002D6D8F"/>
    <w:rsid w:val="002D6F44"/>
    <w:rsid w:val="002D74E3"/>
    <w:rsid w:val="002D7B89"/>
    <w:rsid w:val="002E01BF"/>
    <w:rsid w:val="002E01FE"/>
    <w:rsid w:val="002E0A1C"/>
    <w:rsid w:val="002E0AD8"/>
    <w:rsid w:val="002E0B5A"/>
    <w:rsid w:val="002E112C"/>
    <w:rsid w:val="002E11AD"/>
    <w:rsid w:val="002E1699"/>
    <w:rsid w:val="002E19B9"/>
    <w:rsid w:val="002E1B70"/>
    <w:rsid w:val="002E2567"/>
    <w:rsid w:val="002E2905"/>
    <w:rsid w:val="002E2D7E"/>
    <w:rsid w:val="002E3B6D"/>
    <w:rsid w:val="002E3EC5"/>
    <w:rsid w:val="002E4B89"/>
    <w:rsid w:val="002E6B58"/>
    <w:rsid w:val="002E6DF7"/>
    <w:rsid w:val="002E6E53"/>
    <w:rsid w:val="002E6FA8"/>
    <w:rsid w:val="002E7211"/>
    <w:rsid w:val="002E7274"/>
    <w:rsid w:val="002F006D"/>
    <w:rsid w:val="002F0822"/>
    <w:rsid w:val="002F1ACC"/>
    <w:rsid w:val="002F1BC9"/>
    <w:rsid w:val="002F1EDE"/>
    <w:rsid w:val="002F2189"/>
    <w:rsid w:val="002F27FF"/>
    <w:rsid w:val="002F2D16"/>
    <w:rsid w:val="002F30B2"/>
    <w:rsid w:val="002F33EE"/>
    <w:rsid w:val="002F352E"/>
    <w:rsid w:val="002F36C4"/>
    <w:rsid w:val="002F3A41"/>
    <w:rsid w:val="002F42F5"/>
    <w:rsid w:val="002F4376"/>
    <w:rsid w:val="002F43AA"/>
    <w:rsid w:val="002F480C"/>
    <w:rsid w:val="002F4A82"/>
    <w:rsid w:val="002F54B9"/>
    <w:rsid w:val="002F54F8"/>
    <w:rsid w:val="002F5B01"/>
    <w:rsid w:val="002F5BC4"/>
    <w:rsid w:val="002F5E1D"/>
    <w:rsid w:val="002F5EE3"/>
    <w:rsid w:val="002F6420"/>
    <w:rsid w:val="002F70DA"/>
    <w:rsid w:val="002F710A"/>
    <w:rsid w:val="00300A46"/>
    <w:rsid w:val="00300E7D"/>
    <w:rsid w:val="003010EB"/>
    <w:rsid w:val="00301353"/>
    <w:rsid w:val="0030195C"/>
    <w:rsid w:val="00301C7B"/>
    <w:rsid w:val="00302B3F"/>
    <w:rsid w:val="00302FBC"/>
    <w:rsid w:val="00303685"/>
    <w:rsid w:val="00303D1C"/>
    <w:rsid w:val="00306AF2"/>
    <w:rsid w:val="00306E5B"/>
    <w:rsid w:val="00306ED0"/>
    <w:rsid w:val="00307350"/>
    <w:rsid w:val="0031010A"/>
    <w:rsid w:val="0031071F"/>
    <w:rsid w:val="00310A03"/>
    <w:rsid w:val="00310F86"/>
    <w:rsid w:val="00310FDC"/>
    <w:rsid w:val="00311789"/>
    <w:rsid w:val="00311941"/>
    <w:rsid w:val="0031215A"/>
    <w:rsid w:val="00312250"/>
    <w:rsid w:val="00312961"/>
    <w:rsid w:val="00312F04"/>
    <w:rsid w:val="0031321E"/>
    <w:rsid w:val="003132E6"/>
    <w:rsid w:val="0031403A"/>
    <w:rsid w:val="003146E9"/>
    <w:rsid w:val="00314E9B"/>
    <w:rsid w:val="003152D3"/>
    <w:rsid w:val="0031557B"/>
    <w:rsid w:val="00315647"/>
    <w:rsid w:val="00315B56"/>
    <w:rsid w:val="00316441"/>
    <w:rsid w:val="00316AC4"/>
    <w:rsid w:val="003170FB"/>
    <w:rsid w:val="00317E2D"/>
    <w:rsid w:val="003204A1"/>
    <w:rsid w:val="003205F8"/>
    <w:rsid w:val="003213B2"/>
    <w:rsid w:val="003218B5"/>
    <w:rsid w:val="003225F3"/>
    <w:rsid w:val="0032263E"/>
    <w:rsid w:val="00322649"/>
    <w:rsid w:val="003228D5"/>
    <w:rsid w:val="00322A4E"/>
    <w:rsid w:val="00323108"/>
    <w:rsid w:val="00323897"/>
    <w:rsid w:val="00323C83"/>
    <w:rsid w:val="00323FE5"/>
    <w:rsid w:val="0032406C"/>
    <w:rsid w:val="00324216"/>
    <w:rsid w:val="0032434D"/>
    <w:rsid w:val="00324515"/>
    <w:rsid w:val="00324905"/>
    <w:rsid w:val="00325094"/>
    <w:rsid w:val="003252A2"/>
    <w:rsid w:val="003253C4"/>
    <w:rsid w:val="00325B54"/>
    <w:rsid w:val="003266C6"/>
    <w:rsid w:val="00326959"/>
    <w:rsid w:val="00326990"/>
    <w:rsid w:val="00326A66"/>
    <w:rsid w:val="0032765C"/>
    <w:rsid w:val="00327B0F"/>
    <w:rsid w:val="00327F52"/>
    <w:rsid w:val="003316D5"/>
    <w:rsid w:val="003316F2"/>
    <w:rsid w:val="00331F07"/>
    <w:rsid w:val="0033243C"/>
    <w:rsid w:val="00333889"/>
    <w:rsid w:val="00334978"/>
    <w:rsid w:val="00334C38"/>
    <w:rsid w:val="00335726"/>
    <w:rsid w:val="0033637C"/>
    <w:rsid w:val="003363D8"/>
    <w:rsid w:val="0033641F"/>
    <w:rsid w:val="00336677"/>
    <w:rsid w:val="003366FE"/>
    <w:rsid w:val="00337431"/>
    <w:rsid w:val="00337BFF"/>
    <w:rsid w:val="00337D24"/>
    <w:rsid w:val="003404FF"/>
    <w:rsid w:val="0034085D"/>
    <w:rsid w:val="00340881"/>
    <w:rsid w:val="00341C50"/>
    <w:rsid w:val="00343C11"/>
    <w:rsid w:val="003440D8"/>
    <w:rsid w:val="003442EE"/>
    <w:rsid w:val="003443B6"/>
    <w:rsid w:val="003445FA"/>
    <w:rsid w:val="00344D33"/>
    <w:rsid w:val="0034517E"/>
    <w:rsid w:val="00345BAC"/>
    <w:rsid w:val="00345BE3"/>
    <w:rsid w:val="003469B7"/>
    <w:rsid w:val="0035062A"/>
    <w:rsid w:val="0035068A"/>
    <w:rsid w:val="003508CB"/>
    <w:rsid w:val="00350EA4"/>
    <w:rsid w:val="00351114"/>
    <w:rsid w:val="003513EB"/>
    <w:rsid w:val="00351961"/>
    <w:rsid w:val="00351994"/>
    <w:rsid w:val="0035280E"/>
    <w:rsid w:val="003533EC"/>
    <w:rsid w:val="00354116"/>
    <w:rsid w:val="00354510"/>
    <w:rsid w:val="003558E5"/>
    <w:rsid w:val="00355A9F"/>
    <w:rsid w:val="00355B08"/>
    <w:rsid w:val="003565F8"/>
    <w:rsid w:val="00356729"/>
    <w:rsid w:val="00356B0A"/>
    <w:rsid w:val="00360341"/>
    <w:rsid w:val="003606DF"/>
    <w:rsid w:val="00360734"/>
    <w:rsid w:val="00361104"/>
    <w:rsid w:val="0036151C"/>
    <w:rsid w:val="003621C5"/>
    <w:rsid w:val="00362336"/>
    <w:rsid w:val="00362F25"/>
    <w:rsid w:val="00363612"/>
    <w:rsid w:val="003640DA"/>
    <w:rsid w:val="00364202"/>
    <w:rsid w:val="003642AB"/>
    <w:rsid w:val="00365173"/>
    <w:rsid w:val="00365C70"/>
    <w:rsid w:val="00365E0C"/>
    <w:rsid w:val="00365F70"/>
    <w:rsid w:val="00366A86"/>
    <w:rsid w:val="00366FC1"/>
    <w:rsid w:val="003675A7"/>
    <w:rsid w:val="00367906"/>
    <w:rsid w:val="00367E09"/>
    <w:rsid w:val="0037006F"/>
    <w:rsid w:val="00370460"/>
    <w:rsid w:val="00370491"/>
    <w:rsid w:val="00370757"/>
    <w:rsid w:val="00370A4B"/>
    <w:rsid w:val="00370D19"/>
    <w:rsid w:val="00370E34"/>
    <w:rsid w:val="00370E93"/>
    <w:rsid w:val="003712CA"/>
    <w:rsid w:val="00371644"/>
    <w:rsid w:val="00371DCF"/>
    <w:rsid w:val="003723BC"/>
    <w:rsid w:val="003723C8"/>
    <w:rsid w:val="00372D90"/>
    <w:rsid w:val="0037339F"/>
    <w:rsid w:val="003739E4"/>
    <w:rsid w:val="0037419B"/>
    <w:rsid w:val="00374260"/>
    <w:rsid w:val="00374393"/>
    <w:rsid w:val="00374439"/>
    <w:rsid w:val="00374780"/>
    <w:rsid w:val="003747B7"/>
    <w:rsid w:val="00374F8A"/>
    <w:rsid w:val="00375645"/>
    <w:rsid w:val="00375820"/>
    <w:rsid w:val="003765D4"/>
    <w:rsid w:val="00376631"/>
    <w:rsid w:val="0037676C"/>
    <w:rsid w:val="003769D6"/>
    <w:rsid w:val="00377AA6"/>
    <w:rsid w:val="00377B10"/>
    <w:rsid w:val="00380344"/>
    <w:rsid w:val="003807F5"/>
    <w:rsid w:val="00380A6A"/>
    <w:rsid w:val="00380BF2"/>
    <w:rsid w:val="00380E7F"/>
    <w:rsid w:val="0038111D"/>
    <w:rsid w:val="0038148F"/>
    <w:rsid w:val="00381AA8"/>
    <w:rsid w:val="00381DBE"/>
    <w:rsid w:val="003821CA"/>
    <w:rsid w:val="00382BCD"/>
    <w:rsid w:val="00382C27"/>
    <w:rsid w:val="00382D39"/>
    <w:rsid w:val="00383A0B"/>
    <w:rsid w:val="00384576"/>
    <w:rsid w:val="003848A9"/>
    <w:rsid w:val="00384D89"/>
    <w:rsid w:val="0038536F"/>
    <w:rsid w:val="003858B2"/>
    <w:rsid w:val="00385990"/>
    <w:rsid w:val="00385EC7"/>
    <w:rsid w:val="00386363"/>
    <w:rsid w:val="00386697"/>
    <w:rsid w:val="003867AC"/>
    <w:rsid w:val="00386B77"/>
    <w:rsid w:val="00386BE5"/>
    <w:rsid w:val="00387F07"/>
    <w:rsid w:val="00390504"/>
    <w:rsid w:val="0039077A"/>
    <w:rsid w:val="0039288E"/>
    <w:rsid w:val="00392C33"/>
    <w:rsid w:val="00392C8A"/>
    <w:rsid w:val="00392D71"/>
    <w:rsid w:val="00392DD0"/>
    <w:rsid w:val="00392E0B"/>
    <w:rsid w:val="00392F16"/>
    <w:rsid w:val="00393495"/>
    <w:rsid w:val="003935C5"/>
    <w:rsid w:val="00393A94"/>
    <w:rsid w:val="0039427E"/>
    <w:rsid w:val="0039465D"/>
    <w:rsid w:val="00394B34"/>
    <w:rsid w:val="00395F52"/>
    <w:rsid w:val="00396030"/>
    <w:rsid w:val="003963FA"/>
    <w:rsid w:val="0039676E"/>
    <w:rsid w:val="0039713A"/>
    <w:rsid w:val="00397635"/>
    <w:rsid w:val="003A0204"/>
    <w:rsid w:val="003A0336"/>
    <w:rsid w:val="003A0A50"/>
    <w:rsid w:val="003A0CB8"/>
    <w:rsid w:val="003A0EEC"/>
    <w:rsid w:val="003A1524"/>
    <w:rsid w:val="003A16A4"/>
    <w:rsid w:val="003A17B1"/>
    <w:rsid w:val="003A1919"/>
    <w:rsid w:val="003A2580"/>
    <w:rsid w:val="003A2817"/>
    <w:rsid w:val="003A2935"/>
    <w:rsid w:val="003A29DA"/>
    <w:rsid w:val="003A2A2E"/>
    <w:rsid w:val="003A33A4"/>
    <w:rsid w:val="003A3667"/>
    <w:rsid w:val="003A57F1"/>
    <w:rsid w:val="003A5BC1"/>
    <w:rsid w:val="003A5C94"/>
    <w:rsid w:val="003A6189"/>
    <w:rsid w:val="003A66B2"/>
    <w:rsid w:val="003A6E1B"/>
    <w:rsid w:val="003A701E"/>
    <w:rsid w:val="003A72A2"/>
    <w:rsid w:val="003A7A88"/>
    <w:rsid w:val="003A7DE6"/>
    <w:rsid w:val="003B0439"/>
    <w:rsid w:val="003B111B"/>
    <w:rsid w:val="003B1648"/>
    <w:rsid w:val="003B188C"/>
    <w:rsid w:val="003B1E71"/>
    <w:rsid w:val="003B1FDE"/>
    <w:rsid w:val="003B23A6"/>
    <w:rsid w:val="003B2794"/>
    <w:rsid w:val="003B288B"/>
    <w:rsid w:val="003B3E63"/>
    <w:rsid w:val="003B40B6"/>
    <w:rsid w:val="003B4331"/>
    <w:rsid w:val="003B460A"/>
    <w:rsid w:val="003B4CBD"/>
    <w:rsid w:val="003B4D8C"/>
    <w:rsid w:val="003B5276"/>
    <w:rsid w:val="003B5A5E"/>
    <w:rsid w:val="003B5D83"/>
    <w:rsid w:val="003B6352"/>
    <w:rsid w:val="003B7C32"/>
    <w:rsid w:val="003B7D8A"/>
    <w:rsid w:val="003C09DB"/>
    <w:rsid w:val="003C107F"/>
    <w:rsid w:val="003C1394"/>
    <w:rsid w:val="003C13D1"/>
    <w:rsid w:val="003C1F3F"/>
    <w:rsid w:val="003C1FEF"/>
    <w:rsid w:val="003C2E1F"/>
    <w:rsid w:val="003C31F3"/>
    <w:rsid w:val="003C3519"/>
    <w:rsid w:val="003C3D83"/>
    <w:rsid w:val="003C3DC0"/>
    <w:rsid w:val="003C4439"/>
    <w:rsid w:val="003C4D04"/>
    <w:rsid w:val="003C4F90"/>
    <w:rsid w:val="003C6134"/>
    <w:rsid w:val="003C61E2"/>
    <w:rsid w:val="003C6406"/>
    <w:rsid w:val="003C6681"/>
    <w:rsid w:val="003C6A32"/>
    <w:rsid w:val="003C6E00"/>
    <w:rsid w:val="003C6FF1"/>
    <w:rsid w:val="003C7C96"/>
    <w:rsid w:val="003C7D05"/>
    <w:rsid w:val="003C7DF2"/>
    <w:rsid w:val="003D1724"/>
    <w:rsid w:val="003D1E21"/>
    <w:rsid w:val="003D22A4"/>
    <w:rsid w:val="003D2E8B"/>
    <w:rsid w:val="003D2FBA"/>
    <w:rsid w:val="003D30EF"/>
    <w:rsid w:val="003D3A59"/>
    <w:rsid w:val="003D3AB3"/>
    <w:rsid w:val="003D3CD2"/>
    <w:rsid w:val="003D465B"/>
    <w:rsid w:val="003D4A07"/>
    <w:rsid w:val="003D4E13"/>
    <w:rsid w:val="003D571A"/>
    <w:rsid w:val="003D5A0D"/>
    <w:rsid w:val="003D5C9A"/>
    <w:rsid w:val="003D6668"/>
    <w:rsid w:val="003D71C5"/>
    <w:rsid w:val="003D736B"/>
    <w:rsid w:val="003D7AB3"/>
    <w:rsid w:val="003D7C7B"/>
    <w:rsid w:val="003D7F9A"/>
    <w:rsid w:val="003E0246"/>
    <w:rsid w:val="003E02C4"/>
    <w:rsid w:val="003E0863"/>
    <w:rsid w:val="003E0C98"/>
    <w:rsid w:val="003E326C"/>
    <w:rsid w:val="003E37D9"/>
    <w:rsid w:val="003E3AD1"/>
    <w:rsid w:val="003E3B52"/>
    <w:rsid w:val="003E3D2C"/>
    <w:rsid w:val="003E51D9"/>
    <w:rsid w:val="003E6327"/>
    <w:rsid w:val="003E68A6"/>
    <w:rsid w:val="003E6B49"/>
    <w:rsid w:val="003E6E59"/>
    <w:rsid w:val="003E6F98"/>
    <w:rsid w:val="003E7221"/>
    <w:rsid w:val="003E7C3C"/>
    <w:rsid w:val="003F03E1"/>
    <w:rsid w:val="003F063A"/>
    <w:rsid w:val="003F13FA"/>
    <w:rsid w:val="003F19BA"/>
    <w:rsid w:val="003F1AA1"/>
    <w:rsid w:val="003F2608"/>
    <w:rsid w:val="003F2834"/>
    <w:rsid w:val="003F5298"/>
    <w:rsid w:val="003F52AD"/>
    <w:rsid w:val="003F5511"/>
    <w:rsid w:val="003F562A"/>
    <w:rsid w:val="003F6F2E"/>
    <w:rsid w:val="003F73FE"/>
    <w:rsid w:val="003F740A"/>
    <w:rsid w:val="003F763F"/>
    <w:rsid w:val="003F765B"/>
    <w:rsid w:val="003F7B0B"/>
    <w:rsid w:val="003F7C91"/>
    <w:rsid w:val="003F7D1E"/>
    <w:rsid w:val="00401BE0"/>
    <w:rsid w:val="00401E34"/>
    <w:rsid w:val="00402E96"/>
    <w:rsid w:val="004037F5"/>
    <w:rsid w:val="00403A4E"/>
    <w:rsid w:val="00403BAD"/>
    <w:rsid w:val="00404708"/>
    <w:rsid w:val="00404C7D"/>
    <w:rsid w:val="00404EB2"/>
    <w:rsid w:val="004055F9"/>
    <w:rsid w:val="004056C3"/>
    <w:rsid w:val="00405C16"/>
    <w:rsid w:val="0040609D"/>
    <w:rsid w:val="00406156"/>
    <w:rsid w:val="004062B0"/>
    <w:rsid w:val="00406441"/>
    <w:rsid w:val="0040674C"/>
    <w:rsid w:val="00406DA1"/>
    <w:rsid w:val="004077B6"/>
    <w:rsid w:val="00407EB6"/>
    <w:rsid w:val="00407FCC"/>
    <w:rsid w:val="0041026B"/>
    <w:rsid w:val="00411191"/>
    <w:rsid w:val="00411219"/>
    <w:rsid w:val="00411D14"/>
    <w:rsid w:val="0041221C"/>
    <w:rsid w:val="00412A0D"/>
    <w:rsid w:val="0041331B"/>
    <w:rsid w:val="00413E49"/>
    <w:rsid w:val="00413F19"/>
    <w:rsid w:val="00414642"/>
    <w:rsid w:val="00414DF9"/>
    <w:rsid w:val="00415029"/>
    <w:rsid w:val="0041630F"/>
    <w:rsid w:val="004163A8"/>
    <w:rsid w:val="004163EE"/>
    <w:rsid w:val="00416680"/>
    <w:rsid w:val="0041678E"/>
    <w:rsid w:val="00416894"/>
    <w:rsid w:val="004172AB"/>
    <w:rsid w:val="0041738E"/>
    <w:rsid w:val="00417E47"/>
    <w:rsid w:val="004208AF"/>
    <w:rsid w:val="004214CB"/>
    <w:rsid w:val="00421731"/>
    <w:rsid w:val="00421BEB"/>
    <w:rsid w:val="0042269C"/>
    <w:rsid w:val="00422FF7"/>
    <w:rsid w:val="0042451D"/>
    <w:rsid w:val="00424A78"/>
    <w:rsid w:val="00424FF3"/>
    <w:rsid w:val="00425DF3"/>
    <w:rsid w:val="00425F17"/>
    <w:rsid w:val="00426ECA"/>
    <w:rsid w:val="00427107"/>
    <w:rsid w:val="00427454"/>
    <w:rsid w:val="00427DD7"/>
    <w:rsid w:val="00427F61"/>
    <w:rsid w:val="004307EF"/>
    <w:rsid w:val="004308CF"/>
    <w:rsid w:val="004312C6"/>
    <w:rsid w:val="00431689"/>
    <w:rsid w:val="00431D83"/>
    <w:rsid w:val="004327AB"/>
    <w:rsid w:val="00432A7C"/>
    <w:rsid w:val="00433FDB"/>
    <w:rsid w:val="00434235"/>
    <w:rsid w:val="0043545C"/>
    <w:rsid w:val="0043596E"/>
    <w:rsid w:val="00435AAB"/>
    <w:rsid w:val="00436CCF"/>
    <w:rsid w:val="00436D2D"/>
    <w:rsid w:val="00437A6B"/>
    <w:rsid w:val="00440096"/>
    <w:rsid w:val="004403E3"/>
    <w:rsid w:val="0044114D"/>
    <w:rsid w:val="0044139A"/>
    <w:rsid w:val="0044151B"/>
    <w:rsid w:val="00442297"/>
    <w:rsid w:val="004423A3"/>
    <w:rsid w:val="00442710"/>
    <w:rsid w:val="0044339B"/>
    <w:rsid w:val="00444EFD"/>
    <w:rsid w:val="0044592F"/>
    <w:rsid w:val="00445DE5"/>
    <w:rsid w:val="004463D6"/>
    <w:rsid w:val="00446BC2"/>
    <w:rsid w:val="00446C7E"/>
    <w:rsid w:val="00446C8C"/>
    <w:rsid w:val="00447269"/>
    <w:rsid w:val="00447588"/>
    <w:rsid w:val="00447A96"/>
    <w:rsid w:val="004509E3"/>
    <w:rsid w:val="00451866"/>
    <w:rsid w:val="00451AC4"/>
    <w:rsid w:val="00451B53"/>
    <w:rsid w:val="00451FF0"/>
    <w:rsid w:val="00452423"/>
    <w:rsid w:val="0045264E"/>
    <w:rsid w:val="004526D3"/>
    <w:rsid w:val="00452ADC"/>
    <w:rsid w:val="00452F20"/>
    <w:rsid w:val="004532C8"/>
    <w:rsid w:val="004532CE"/>
    <w:rsid w:val="00453D01"/>
    <w:rsid w:val="00453FBB"/>
    <w:rsid w:val="00454483"/>
    <w:rsid w:val="004547D6"/>
    <w:rsid w:val="00455501"/>
    <w:rsid w:val="0045571B"/>
    <w:rsid w:val="004562C4"/>
    <w:rsid w:val="00456369"/>
    <w:rsid w:val="0045648A"/>
    <w:rsid w:val="00456B3F"/>
    <w:rsid w:val="00456CEB"/>
    <w:rsid w:val="00457198"/>
    <w:rsid w:val="00460E73"/>
    <w:rsid w:val="00460FA3"/>
    <w:rsid w:val="00461A3E"/>
    <w:rsid w:val="00461B47"/>
    <w:rsid w:val="00461C03"/>
    <w:rsid w:val="00462511"/>
    <w:rsid w:val="00463337"/>
    <w:rsid w:val="004638CE"/>
    <w:rsid w:val="00463B4E"/>
    <w:rsid w:val="00463D41"/>
    <w:rsid w:val="00463F73"/>
    <w:rsid w:val="00464776"/>
    <w:rsid w:val="00464BC2"/>
    <w:rsid w:val="004650B1"/>
    <w:rsid w:val="00465360"/>
    <w:rsid w:val="004655AB"/>
    <w:rsid w:val="00465F05"/>
    <w:rsid w:val="0046731B"/>
    <w:rsid w:val="0046737B"/>
    <w:rsid w:val="00467E9B"/>
    <w:rsid w:val="004703B8"/>
    <w:rsid w:val="00470754"/>
    <w:rsid w:val="004707F6"/>
    <w:rsid w:val="004708B0"/>
    <w:rsid w:val="004727EA"/>
    <w:rsid w:val="0047362F"/>
    <w:rsid w:val="004737B5"/>
    <w:rsid w:val="00474133"/>
    <w:rsid w:val="00474364"/>
    <w:rsid w:val="00474944"/>
    <w:rsid w:val="004749B9"/>
    <w:rsid w:val="004755F6"/>
    <w:rsid w:val="00475840"/>
    <w:rsid w:val="00476404"/>
    <w:rsid w:val="0047643B"/>
    <w:rsid w:val="004764DD"/>
    <w:rsid w:val="00476532"/>
    <w:rsid w:val="00476719"/>
    <w:rsid w:val="004769BD"/>
    <w:rsid w:val="00477E2F"/>
    <w:rsid w:val="00480B63"/>
    <w:rsid w:val="00480C0D"/>
    <w:rsid w:val="0048120C"/>
    <w:rsid w:val="0048166F"/>
    <w:rsid w:val="00481F91"/>
    <w:rsid w:val="00482017"/>
    <w:rsid w:val="0048225E"/>
    <w:rsid w:val="0048253A"/>
    <w:rsid w:val="00482616"/>
    <w:rsid w:val="0048289C"/>
    <w:rsid w:val="00482B8C"/>
    <w:rsid w:val="004835C4"/>
    <w:rsid w:val="0048383F"/>
    <w:rsid w:val="004839F4"/>
    <w:rsid w:val="00484356"/>
    <w:rsid w:val="00485275"/>
    <w:rsid w:val="00485A99"/>
    <w:rsid w:val="00485D56"/>
    <w:rsid w:val="004866B2"/>
    <w:rsid w:val="00486BB2"/>
    <w:rsid w:val="00486D5E"/>
    <w:rsid w:val="004871C4"/>
    <w:rsid w:val="004903FC"/>
    <w:rsid w:val="0049057D"/>
    <w:rsid w:val="00490B39"/>
    <w:rsid w:val="00490D25"/>
    <w:rsid w:val="004910EE"/>
    <w:rsid w:val="004910F1"/>
    <w:rsid w:val="00491130"/>
    <w:rsid w:val="00491F7D"/>
    <w:rsid w:val="004921FB"/>
    <w:rsid w:val="00492264"/>
    <w:rsid w:val="00492428"/>
    <w:rsid w:val="00493251"/>
    <w:rsid w:val="004932A4"/>
    <w:rsid w:val="00493C20"/>
    <w:rsid w:val="00493CC6"/>
    <w:rsid w:val="00493E3B"/>
    <w:rsid w:val="004945A1"/>
    <w:rsid w:val="0049469D"/>
    <w:rsid w:val="0049501D"/>
    <w:rsid w:val="004952E7"/>
    <w:rsid w:val="004956AF"/>
    <w:rsid w:val="004958A4"/>
    <w:rsid w:val="004958E2"/>
    <w:rsid w:val="00495C12"/>
    <w:rsid w:val="00495C4E"/>
    <w:rsid w:val="0049648D"/>
    <w:rsid w:val="004965F2"/>
    <w:rsid w:val="00496603"/>
    <w:rsid w:val="0049697E"/>
    <w:rsid w:val="00496994"/>
    <w:rsid w:val="00496ACC"/>
    <w:rsid w:val="00496AFF"/>
    <w:rsid w:val="00496B6D"/>
    <w:rsid w:val="00496BEE"/>
    <w:rsid w:val="00496D8D"/>
    <w:rsid w:val="00497504"/>
    <w:rsid w:val="004A0090"/>
    <w:rsid w:val="004A0A93"/>
    <w:rsid w:val="004A174C"/>
    <w:rsid w:val="004A19DB"/>
    <w:rsid w:val="004A1CD2"/>
    <w:rsid w:val="004A1CF4"/>
    <w:rsid w:val="004A2055"/>
    <w:rsid w:val="004A212A"/>
    <w:rsid w:val="004A2B20"/>
    <w:rsid w:val="004A3C7C"/>
    <w:rsid w:val="004A40D2"/>
    <w:rsid w:val="004A4AAC"/>
    <w:rsid w:val="004A5149"/>
    <w:rsid w:val="004A52AD"/>
    <w:rsid w:val="004A6018"/>
    <w:rsid w:val="004A6281"/>
    <w:rsid w:val="004A6356"/>
    <w:rsid w:val="004A6445"/>
    <w:rsid w:val="004A741E"/>
    <w:rsid w:val="004A78D1"/>
    <w:rsid w:val="004B02A7"/>
    <w:rsid w:val="004B04C8"/>
    <w:rsid w:val="004B0782"/>
    <w:rsid w:val="004B0E98"/>
    <w:rsid w:val="004B0EAB"/>
    <w:rsid w:val="004B1208"/>
    <w:rsid w:val="004B17D7"/>
    <w:rsid w:val="004B2428"/>
    <w:rsid w:val="004B27EA"/>
    <w:rsid w:val="004B2AC4"/>
    <w:rsid w:val="004B32EE"/>
    <w:rsid w:val="004B4349"/>
    <w:rsid w:val="004B443F"/>
    <w:rsid w:val="004B510D"/>
    <w:rsid w:val="004B608D"/>
    <w:rsid w:val="004B64F5"/>
    <w:rsid w:val="004B6D4F"/>
    <w:rsid w:val="004B7053"/>
    <w:rsid w:val="004B7587"/>
    <w:rsid w:val="004B7D73"/>
    <w:rsid w:val="004C0F97"/>
    <w:rsid w:val="004C1892"/>
    <w:rsid w:val="004C18BD"/>
    <w:rsid w:val="004C1ABF"/>
    <w:rsid w:val="004C2127"/>
    <w:rsid w:val="004C2186"/>
    <w:rsid w:val="004C36F3"/>
    <w:rsid w:val="004C37A7"/>
    <w:rsid w:val="004C396C"/>
    <w:rsid w:val="004C3B43"/>
    <w:rsid w:val="004C3E71"/>
    <w:rsid w:val="004C5369"/>
    <w:rsid w:val="004C5386"/>
    <w:rsid w:val="004C55E9"/>
    <w:rsid w:val="004C56C6"/>
    <w:rsid w:val="004C5891"/>
    <w:rsid w:val="004C5E9E"/>
    <w:rsid w:val="004C60D9"/>
    <w:rsid w:val="004C69F3"/>
    <w:rsid w:val="004C7359"/>
    <w:rsid w:val="004C77B3"/>
    <w:rsid w:val="004D0055"/>
    <w:rsid w:val="004D0C1D"/>
    <w:rsid w:val="004D1536"/>
    <w:rsid w:val="004D1BBC"/>
    <w:rsid w:val="004D1D23"/>
    <w:rsid w:val="004D2E7D"/>
    <w:rsid w:val="004D2E9B"/>
    <w:rsid w:val="004D2ECC"/>
    <w:rsid w:val="004D3664"/>
    <w:rsid w:val="004D367A"/>
    <w:rsid w:val="004D3B1D"/>
    <w:rsid w:val="004D3B96"/>
    <w:rsid w:val="004D4CF0"/>
    <w:rsid w:val="004D4E1C"/>
    <w:rsid w:val="004D504E"/>
    <w:rsid w:val="004D5629"/>
    <w:rsid w:val="004D60BC"/>
    <w:rsid w:val="004D647E"/>
    <w:rsid w:val="004D6593"/>
    <w:rsid w:val="004D6712"/>
    <w:rsid w:val="004D6760"/>
    <w:rsid w:val="004D67F3"/>
    <w:rsid w:val="004D6981"/>
    <w:rsid w:val="004D6BEA"/>
    <w:rsid w:val="004D7167"/>
    <w:rsid w:val="004D7C80"/>
    <w:rsid w:val="004DB774"/>
    <w:rsid w:val="004E0277"/>
    <w:rsid w:val="004E10C3"/>
    <w:rsid w:val="004E15DD"/>
    <w:rsid w:val="004E1C02"/>
    <w:rsid w:val="004E1F1E"/>
    <w:rsid w:val="004E209A"/>
    <w:rsid w:val="004E240E"/>
    <w:rsid w:val="004E2D6A"/>
    <w:rsid w:val="004E3C9A"/>
    <w:rsid w:val="004E3E8C"/>
    <w:rsid w:val="004E432C"/>
    <w:rsid w:val="004E4BD9"/>
    <w:rsid w:val="004E4C41"/>
    <w:rsid w:val="004E537C"/>
    <w:rsid w:val="004E5829"/>
    <w:rsid w:val="004E5F29"/>
    <w:rsid w:val="004E5FEC"/>
    <w:rsid w:val="004E6F2C"/>
    <w:rsid w:val="004E7139"/>
    <w:rsid w:val="004E74FA"/>
    <w:rsid w:val="004E7664"/>
    <w:rsid w:val="004E7CBA"/>
    <w:rsid w:val="004E7E79"/>
    <w:rsid w:val="004F00C9"/>
    <w:rsid w:val="004F0418"/>
    <w:rsid w:val="004F21E9"/>
    <w:rsid w:val="004F23A6"/>
    <w:rsid w:val="004F28B5"/>
    <w:rsid w:val="004F2D3F"/>
    <w:rsid w:val="004F316D"/>
    <w:rsid w:val="004F37A1"/>
    <w:rsid w:val="004F39C9"/>
    <w:rsid w:val="004F3E0A"/>
    <w:rsid w:val="004F3F17"/>
    <w:rsid w:val="004F408C"/>
    <w:rsid w:val="004F412C"/>
    <w:rsid w:val="004F4AB0"/>
    <w:rsid w:val="004F4D44"/>
    <w:rsid w:val="004F4ED4"/>
    <w:rsid w:val="004F542F"/>
    <w:rsid w:val="004F5B2D"/>
    <w:rsid w:val="004F5C80"/>
    <w:rsid w:val="004F5C86"/>
    <w:rsid w:val="004F5C8A"/>
    <w:rsid w:val="004F638E"/>
    <w:rsid w:val="004F64F1"/>
    <w:rsid w:val="004F6614"/>
    <w:rsid w:val="004F6852"/>
    <w:rsid w:val="004F69B4"/>
    <w:rsid w:val="004F739D"/>
    <w:rsid w:val="004F74AE"/>
    <w:rsid w:val="004F75B0"/>
    <w:rsid w:val="004F7E70"/>
    <w:rsid w:val="00500045"/>
    <w:rsid w:val="0050005D"/>
    <w:rsid w:val="005007BB"/>
    <w:rsid w:val="00501430"/>
    <w:rsid w:val="0050169C"/>
    <w:rsid w:val="00501C09"/>
    <w:rsid w:val="00501EED"/>
    <w:rsid w:val="00502033"/>
    <w:rsid w:val="005021BE"/>
    <w:rsid w:val="005023A1"/>
    <w:rsid w:val="00502BD4"/>
    <w:rsid w:val="0050327C"/>
    <w:rsid w:val="00503C25"/>
    <w:rsid w:val="00503DCE"/>
    <w:rsid w:val="0050456B"/>
    <w:rsid w:val="00504661"/>
    <w:rsid w:val="00504A12"/>
    <w:rsid w:val="00505643"/>
    <w:rsid w:val="005059A2"/>
    <w:rsid w:val="00505AF2"/>
    <w:rsid w:val="00505BF7"/>
    <w:rsid w:val="00506F07"/>
    <w:rsid w:val="00506FD4"/>
    <w:rsid w:val="0050729C"/>
    <w:rsid w:val="0050750B"/>
    <w:rsid w:val="00507959"/>
    <w:rsid w:val="00507C99"/>
    <w:rsid w:val="005100EB"/>
    <w:rsid w:val="00510234"/>
    <w:rsid w:val="0051082E"/>
    <w:rsid w:val="00510C50"/>
    <w:rsid w:val="00510F3A"/>
    <w:rsid w:val="00511272"/>
    <w:rsid w:val="00511445"/>
    <w:rsid w:val="005114E3"/>
    <w:rsid w:val="00511841"/>
    <w:rsid w:val="00512C3A"/>
    <w:rsid w:val="0051326F"/>
    <w:rsid w:val="00513660"/>
    <w:rsid w:val="00513948"/>
    <w:rsid w:val="0051398D"/>
    <w:rsid w:val="00513DCB"/>
    <w:rsid w:val="00514128"/>
    <w:rsid w:val="00514174"/>
    <w:rsid w:val="0051448D"/>
    <w:rsid w:val="00514552"/>
    <w:rsid w:val="00514555"/>
    <w:rsid w:val="00514684"/>
    <w:rsid w:val="00514954"/>
    <w:rsid w:val="00515217"/>
    <w:rsid w:val="005155C2"/>
    <w:rsid w:val="00516197"/>
    <w:rsid w:val="00516D55"/>
    <w:rsid w:val="00516F24"/>
    <w:rsid w:val="00516F72"/>
    <w:rsid w:val="00516F8D"/>
    <w:rsid w:val="005173B3"/>
    <w:rsid w:val="00517745"/>
    <w:rsid w:val="00520165"/>
    <w:rsid w:val="005204E1"/>
    <w:rsid w:val="00520790"/>
    <w:rsid w:val="00520ABD"/>
    <w:rsid w:val="00520E22"/>
    <w:rsid w:val="005219A3"/>
    <w:rsid w:val="00521C6B"/>
    <w:rsid w:val="00521CC6"/>
    <w:rsid w:val="0052299C"/>
    <w:rsid w:val="00522B3D"/>
    <w:rsid w:val="00523018"/>
    <w:rsid w:val="00523391"/>
    <w:rsid w:val="00523B35"/>
    <w:rsid w:val="0052450D"/>
    <w:rsid w:val="00524C3D"/>
    <w:rsid w:val="00524D87"/>
    <w:rsid w:val="005258A2"/>
    <w:rsid w:val="00525CD2"/>
    <w:rsid w:val="00525E59"/>
    <w:rsid w:val="00526034"/>
    <w:rsid w:val="0052638E"/>
    <w:rsid w:val="0052640D"/>
    <w:rsid w:val="005264A6"/>
    <w:rsid w:val="005269AF"/>
    <w:rsid w:val="00526E1B"/>
    <w:rsid w:val="00526F03"/>
    <w:rsid w:val="00527DD2"/>
    <w:rsid w:val="00527ED0"/>
    <w:rsid w:val="00527F2F"/>
    <w:rsid w:val="0053017B"/>
    <w:rsid w:val="005306CA"/>
    <w:rsid w:val="00530759"/>
    <w:rsid w:val="005309D6"/>
    <w:rsid w:val="00531611"/>
    <w:rsid w:val="00531E82"/>
    <w:rsid w:val="00531E99"/>
    <w:rsid w:val="00532075"/>
    <w:rsid w:val="005324E1"/>
    <w:rsid w:val="00532B6A"/>
    <w:rsid w:val="00532D48"/>
    <w:rsid w:val="00532D5D"/>
    <w:rsid w:val="00532ED3"/>
    <w:rsid w:val="00532F89"/>
    <w:rsid w:val="00533B7C"/>
    <w:rsid w:val="00533C06"/>
    <w:rsid w:val="00533FA0"/>
    <w:rsid w:val="005348CA"/>
    <w:rsid w:val="00534DB3"/>
    <w:rsid w:val="00535CA8"/>
    <w:rsid w:val="00536AEE"/>
    <w:rsid w:val="005371E9"/>
    <w:rsid w:val="00537E5D"/>
    <w:rsid w:val="00537EE8"/>
    <w:rsid w:val="0054008F"/>
    <w:rsid w:val="0054036C"/>
    <w:rsid w:val="00540BDA"/>
    <w:rsid w:val="00541741"/>
    <w:rsid w:val="00541CB2"/>
    <w:rsid w:val="00542792"/>
    <w:rsid w:val="0054451E"/>
    <w:rsid w:val="00544C1A"/>
    <w:rsid w:val="005450B8"/>
    <w:rsid w:val="00545161"/>
    <w:rsid w:val="005457C3"/>
    <w:rsid w:val="00545933"/>
    <w:rsid w:val="0054660E"/>
    <w:rsid w:val="00546B77"/>
    <w:rsid w:val="00546D4A"/>
    <w:rsid w:val="005478C6"/>
    <w:rsid w:val="00550831"/>
    <w:rsid w:val="00550D18"/>
    <w:rsid w:val="00550EBF"/>
    <w:rsid w:val="00551D48"/>
    <w:rsid w:val="00551F2B"/>
    <w:rsid w:val="0055210A"/>
    <w:rsid w:val="00552561"/>
    <w:rsid w:val="00552CA8"/>
    <w:rsid w:val="005534D1"/>
    <w:rsid w:val="0055380C"/>
    <w:rsid w:val="00553BF9"/>
    <w:rsid w:val="00553E45"/>
    <w:rsid w:val="00554229"/>
    <w:rsid w:val="00554E6F"/>
    <w:rsid w:val="00554F74"/>
    <w:rsid w:val="00555578"/>
    <w:rsid w:val="00555612"/>
    <w:rsid w:val="005558C3"/>
    <w:rsid w:val="00555AE7"/>
    <w:rsid w:val="005560F1"/>
    <w:rsid w:val="00556369"/>
    <w:rsid w:val="00556851"/>
    <w:rsid w:val="00557645"/>
    <w:rsid w:val="005606FC"/>
    <w:rsid w:val="00560F8E"/>
    <w:rsid w:val="0056142F"/>
    <w:rsid w:val="005614A9"/>
    <w:rsid w:val="00561647"/>
    <w:rsid w:val="00561893"/>
    <w:rsid w:val="00561904"/>
    <w:rsid w:val="00561E46"/>
    <w:rsid w:val="00561F68"/>
    <w:rsid w:val="005622F1"/>
    <w:rsid w:val="00562760"/>
    <w:rsid w:val="00562788"/>
    <w:rsid w:val="00562EAA"/>
    <w:rsid w:val="00563A4E"/>
    <w:rsid w:val="0056510B"/>
    <w:rsid w:val="0056511A"/>
    <w:rsid w:val="005652B6"/>
    <w:rsid w:val="00566781"/>
    <w:rsid w:val="005667ED"/>
    <w:rsid w:val="00566EE2"/>
    <w:rsid w:val="00567620"/>
    <w:rsid w:val="0056798B"/>
    <w:rsid w:val="005708C2"/>
    <w:rsid w:val="00571240"/>
    <w:rsid w:val="00571543"/>
    <w:rsid w:val="00573003"/>
    <w:rsid w:val="005749B1"/>
    <w:rsid w:val="00574E87"/>
    <w:rsid w:val="0057532A"/>
    <w:rsid w:val="00575341"/>
    <w:rsid w:val="005753B2"/>
    <w:rsid w:val="00575538"/>
    <w:rsid w:val="005757B8"/>
    <w:rsid w:val="005757C4"/>
    <w:rsid w:val="00575977"/>
    <w:rsid w:val="00575A1E"/>
    <w:rsid w:val="005761E4"/>
    <w:rsid w:val="005763B9"/>
    <w:rsid w:val="005763E0"/>
    <w:rsid w:val="00576483"/>
    <w:rsid w:val="005772E5"/>
    <w:rsid w:val="00577416"/>
    <w:rsid w:val="00577AB0"/>
    <w:rsid w:val="005805DD"/>
    <w:rsid w:val="00580E36"/>
    <w:rsid w:val="005810DF"/>
    <w:rsid w:val="005823CF"/>
    <w:rsid w:val="005824E7"/>
    <w:rsid w:val="00582901"/>
    <w:rsid w:val="00582B1B"/>
    <w:rsid w:val="00582B22"/>
    <w:rsid w:val="0058353A"/>
    <w:rsid w:val="005839D2"/>
    <w:rsid w:val="005845CF"/>
    <w:rsid w:val="005847FB"/>
    <w:rsid w:val="00585DF7"/>
    <w:rsid w:val="00585EBE"/>
    <w:rsid w:val="00586244"/>
    <w:rsid w:val="00586356"/>
    <w:rsid w:val="00586383"/>
    <w:rsid w:val="005865B5"/>
    <w:rsid w:val="00586E04"/>
    <w:rsid w:val="00586E61"/>
    <w:rsid w:val="00586EEF"/>
    <w:rsid w:val="00587262"/>
    <w:rsid w:val="00587645"/>
    <w:rsid w:val="005903C6"/>
    <w:rsid w:val="00590412"/>
    <w:rsid w:val="00590783"/>
    <w:rsid w:val="00590D2E"/>
    <w:rsid w:val="00591DF5"/>
    <w:rsid w:val="005924B4"/>
    <w:rsid w:val="00592711"/>
    <w:rsid w:val="005927DA"/>
    <w:rsid w:val="00592DB2"/>
    <w:rsid w:val="00592E3F"/>
    <w:rsid w:val="00593CD3"/>
    <w:rsid w:val="005940C4"/>
    <w:rsid w:val="00594202"/>
    <w:rsid w:val="00594292"/>
    <w:rsid w:val="00594533"/>
    <w:rsid w:val="00594A9C"/>
    <w:rsid w:val="0059540F"/>
    <w:rsid w:val="005956F2"/>
    <w:rsid w:val="00595E04"/>
    <w:rsid w:val="0059602C"/>
    <w:rsid w:val="0059680F"/>
    <w:rsid w:val="00596B7C"/>
    <w:rsid w:val="00596D94"/>
    <w:rsid w:val="00597577"/>
    <w:rsid w:val="0059762C"/>
    <w:rsid w:val="005A0384"/>
    <w:rsid w:val="005A1600"/>
    <w:rsid w:val="005A16D4"/>
    <w:rsid w:val="005A1F21"/>
    <w:rsid w:val="005A205D"/>
    <w:rsid w:val="005A2C8A"/>
    <w:rsid w:val="005A3E17"/>
    <w:rsid w:val="005A401C"/>
    <w:rsid w:val="005A4170"/>
    <w:rsid w:val="005A4A2E"/>
    <w:rsid w:val="005A4A4D"/>
    <w:rsid w:val="005A527D"/>
    <w:rsid w:val="005A57A5"/>
    <w:rsid w:val="005A587E"/>
    <w:rsid w:val="005A62EA"/>
    <w:rsid w:val="005A6868"/>
    <w:rsid w:val="005A6B6A"/>
    <w:rsid w:val="005A7087"/>
    <w:rsid w:val="005A734F"/>
    <w:rsid w:val="005A772B"/>
    <w:rsid w:val="005A7D17"/>
    <w:rsid w:val="005A7E3D"/>
    <w:rsid w:val="005B00BB"/>
    <w:rsid w:val="005B07E0"/>
    <w:rsid w:val="005B0A0A"/>
    <w:rsid w:val="005B0E2D"/>
    <w:rsid w:val="005B109F"/>
    <w:rsid w:val="005B1244"/>
    <w:rsid w:val="005B225B"/>
    <w:rsid w:val="005B2429"/>
    <w:rsid w:val="005B3CD8"/>
    <w:rsid w:val="005B4B7A"/>
    <w:rsid w:val="005B4F5D"/>
    <w:rsid w:val="005B511B"/>
    <w:rsid w:val="005B5B33"/>
    <w:rsid w:val="005B6806"/>
    <w:rsid w:val="005B72E0"/>
    <w:rsid w:val="005B739A"/>
    <w:rsid w:val="005B7DF3"/>
    <w:rsid w:val="005C01B7"/>
    <w:rsid w:val="005C1650"/>
    <w:rsid w:val="005C1AA4"/>
    <w:rsid w:val="005C1F55"/>
    <w:rsid w:val="005C1F61"/>
    <w:rsid w:val="005C20CA"/>
    <w:rsid w:val="005C23DF"/>
    <w:rsid w:val="005C368A"/>
    <w:rsid w:val="005C39A1"/>
    <w:rsid w:val="005C3A02"/>
    <w:rsid w:val="005C3A29"/>
    <w:rsid w:val="005C3F95"/>
    <w:rsid w:val="005C4068"/>
    <w:rsid w:val="005C4419"/>
    <w:rsid w:val="005C5708"/>
    <w:rsid w:val="005C5BEE"/>
    <w:rsid w:val="005C6272"/>
    <w:rsid w:val="005C645C"/>
    <w:rsid w:val="005C7056"/>
    <w:rsid w:val="005C7E67"/>
    <w:rsid w:val="005CF56A"/>
    <w:rsid w:val="005D08EB"/>
    <w:rsid w:val="005D0E3F"/>
    <w:rsid w:val="005D2ABB"/>
    <w:rsid w:val="005D2E69"/>
    <w:rsid w:val="005D31E4"/>
    <w:rsid w:val="005D38E8"/>
    <w:rsid w:val="005D3CC3"/>
    <w:rsid w:val="005D4782"/>
    <w:rsid w:val="005D48E3"/>
    <w:rsid w:val="005D4AE5"/>
    <w:rsid w:val="005D52B2"/>
    <w:rsid w:val="005D5C11"/>
    <w:rsid w:val="005D5D51"/>
    <w:rsid w:val="005D613E"/>
    <w:rsid w:val="005D7AE9"/>
    <w:rsid w:val="005E0183"/>
    <w:rsid w:val="005E0485"/>
    <w:rsid w:val="005E09A8"/>
    <w:rsid w:val="005E0B43"/>
    <w:rsid w:val="005E0B48"/>
    <w:rsid w:val="005E1045"/>
    <w:rsid w:val="005E1178"/>
    <w:rsid w:val="005E17E5"/>
    <w:rsid w:val="005E1A4D"/>
    <w:rsid w:val="005E2420"/>
    <w:rsid w:val="005E26AC"/>
    <w:rsid w:val="005E292E"/>
    <w:rsid w:val="005E2A5B"/>
    <w:rsid w:val="005E2F5D"/>
    <w:rsid w:val="005E3970"/>
    <w:rsid w:val="005E39F5"/>
    <w:rsid w:val="005E3F07"/>
    <w:rsid w:val="005E413B"/>
    <w:rsid w:val="005E4646"/>
    <w:rsid w:val="005E4F52"/>
    <w:rsid w:val="005E5D2A"/>
    <w:rsid w:val="005E69A7"/>
    <w:rsid w:val="005E6A58"/>
    <w:rsid w:val="005E6B41"/>
    <w:rsid w:val="005E725F"/>
    <w:rsid w:val="005E7713"/>
    <w:rsid w:val="005E7BDB"/>
    <w:rsid w:val="005F0BD1"/>
    <w:rsid w:val="005F1C99"/>
    <w:rsid w:val="005F1F00"/>
    <w:rsid w:val="005F2AF3"/>
    <w:rsid w:val="005F3C37"/>
    <w:rsid w:val="005F3D10"/>
    <w:rsid w:val="005F50FA"/>
    <w:rsid w:val="005F541C"/>
    <w:rsid w:val="005F6015"/>
    <w:rsid w:val="005F6681"/>
    <w:rsid w:val="005F6738"/>
    <w:rsid w:val="005F6971"/>
    <w:rsid w:val="005F70F2"/>
    <w:rsid w:val="005F74F7"/>
    <w:rsid w:val="005F7DA4"/>
    <w:rsid w:val="0060003F"/>
    <w:rsid w:val="006002B5"/>
    <w:rsid w:val="00601FF3"/>
    <w:rsid w:val="00602174"/>
    <w:rsid w:val="006027C6"/>
    <w:rsid w:val="00602A38"/>
    <w:rsid w:val="00602CED"/>
    <w:rsid w:val="00603F57"/>
    <w:rsid w:val="00604351"/>
    <w:rsid w:val="0060452A"/>
    <w:rsid w:val="00604B43"/>
    <w:rsid w:val="00604C42"/>
    <w:rsid w:val="00604D45"/>
    <w:rsid w:val="006050AE"/>
    <w:rsid w:val="006056B2"/>
    <w:rsid w:val="006062E4"/>
    <w:rsid w:val="00606D9B"/>
    <w:rsid w:val="00607090"/>
    <w:rsid w:val="0060709A"/>
    <w:rsid w:val="0060739B"/>
    <w:rsid w:val="006073AB"/>
    <w:rsid w:val="006073D8"/>
    <w:rsid w:val="00607FCF"/>
    <w:rsid w:val="00610766"/>
    <w:rsid w:val="0061081C"/>
    <w:rsid w:val="0061099E"/>
    <w:rsid w:val="00610AD7"/>
    <w:rsid w:val="00610FB0"/>
    <w:rsid w:val="00611A3C"/>
    <w:rsid w:val="00611F4D"/>
    <w:rsid w:val="00611F85"/>
    <w:rsid w:val="006120DA"/>
    <w:rsid w:val="006122B2"/>
    <w:rsid w:val="00612654"/>
    <w:rsid w:val="0061364F"/>
    <w:rsid w:val="00613941"/>
    <w:rsid w:val="00613D4A"/>
    <w:rsid w:val="00614D68"/>
    <w:rsid w:val="00614EA7"/>
    <w:rsid w:val="00615607"/>
    <w:rsid w:val="00615764"/>
    <w:rsid w:val="00615E68"/>
    <w:rsid w:val="0061615B"/>
    <w:rsid w:val="006165A4"/>
    <w:rsid w:val="00616A00"/>
    <w:rsid w:val="00616E97"/>
    <w:rsid w:val="00617B37"/>
    <w:rsid w:val="00617C34"/>
    <w:rsid w:val="00620749"/>
    <w:rsid w:val="006216EA"/>
    <w:rsid w:val="00621B0C"/>
    <w:rsid w:val="006236B2"/>
    <w:rsid w:val="00623C59"/>
    <w:rsid w:val="00624A2D"/>
    <w:rsid w:val="00624DD0"/>
    <w:rsid w:val="00625390"/>
    <w:rsid w:val="00625410"/>
    <w:rsid w:val="006257B2"/>
    <w:rsid w:val="00626079"/>
    <w:rsid w:val="00626364"/>
    <w:rsid w:val="006266C5"/>
    <w:rsid w:val="0062675B"/>
    <w:rsid w:val="006273D0"/>
    <w:rsid w:val="00627C14"/>
    <w:rsid w:val="00631A0B"/>
    <w:rsid w:val="00631B82"/>
    <w:rsid w:val="00631C1E"/>
    <w:rsid w:val="00631D0C"/>
    <w:rsid w:val="00631FB4"/>
    <w:rsid w:val="00631FDF"/>
    <w:rsid w:val="00632189"/>
    <w:rsid w:val="006323D6"/>
    <w:rsid w:val="00632A95"/>
    <w:rsid w:val="00632C47"/>
    <w:rsid w:val="00632DD2"/>
    <w:rsid w:val="00632E23"/>
    <w:rsid w:val="0063378F"/>
    <w:rsid w:val="00633BD3"/>
    <w:rsid w:val="006344AD"/>
    <w:rsid w:val="006344E5"/>
    <w:rsid w:val="006344EA"/>
    <w:rsid w:val="00634689"/>
    <w:rsid w:val="00634B92"/>
    <w:rsid w:val="0063554B"/>
    <w:rsid w:val="006355CD"/>
    <w:rsid w:val="0063591D"/>
    <w:rsid w:val="0063614B"/>
    <w:rsid w:val="00636E96"/>
    <w:rsid w:val="00637588"/>
    <w:rsid w:val="006378D7"/>
    <w:rsid w:val="00637C6C"/>
    <w:rsid w:val="00637D9C"/>
    <w:rsid w:val="00640E80"/>
    <w:rsid w:val="00641294"/>
    <w:rsid w:val="006413B6"/>
    <w:rsid w:val="0064167A"/>
    <w:rsid w:val="00641E78"/>
    <w:rsid w:val="006422E0"/>
    <w:rsid w:val="006427B6"/>
    <w:rsid w:val="006429B0"/>
    <w:rsid w:val="006431CF"/>
    <w:rsid w:val="006433FD"/>
    <w:rsid w:val="00644AAC"/>
    <w:rsid w:val="00644AB7"/>
    <w:rsid w:val="00644B79"/>
    <w:rsid w:val="00644F24"/>
    <w:rsid w:val="00645AE6"/>
    <w:rsid w:val="00646416"/>
    <w:rsid w:val="0064643E"/>
    <w:rsid w:val="00646ABC"/>
    <w:rsid w:val="00646F29"/>
    <w:rsid w:val="0064711A"/>
    <w:rsid w:val="0064787A"/>
    <w:rsid w:val="00647FF9"/>
    <w:rsid w:val="00650014"/>
    <w:rsid w:val="00650522"/>
    <w:rsid w:val="0065092A"/>
    <w:rsid w:val="00651014"/>
    <w:rsid w:val="0065289C"/>
    <w:rsid w:val="00652971"/>
    <w:rsid w:val="00653798"/>
    <w:rsid w:val="006537C2"/>
    <w:rsid w:val="00653995"/>
    <w:rsid w:val="00653D72"/>
    <w:rsid w:val="006540BD"/>
    <w:rsid w:val="00654AF5"/>
    <w:rsid w:val="00654CF3"/>
    <w:rsid w:val="00654FB8"/>
    <w:rsid w:val="006550B7"/>
    <w:rsid w:val="006551B6"/>
    <w:rsid w:val="00655252"/>
    <w:rsid w:val="0065588B"/>
    <w:rsid w:val="006558C2"/>
    <w:rsid w:val="00655A68"/>
    <w:rsid w:val="00656155"/>
    <w:rsid w:val="00656793"/>
    <w:rsid w:val="0065694B"/>
    <w:rsid w:val="0065724E"/>
    <w:rsid w:val="006573AA"/>
    <w:rsid w:val="00657444"/>
    <w:rsid w:val="00657D98"/>
    <w:rsid w:val="00657D9F"/>
    <w:rsid w:val="00660D63"/>
    <w:rsid w:val="00661505"/>
    <w:rsid w:val="006618F1"/>
    <w:rsid w:val="00661F8E"/>
    <w:rsid w:val="006621C9"/>
    <w:rsid w:val="00662A2A"/>
    <w:rsid w:val="00662C9C"/>
    <w:rsid w:val="006631AA"/>
    <w:rsid w:val="006631FC"/>
    <w:rsid w:val="00663257"/>
    <w:rsid w:val="00663532"/>
    <w:rsid w:val="00663960"/>
    <w:rsid w:val="00663A2A"/>
    <w:rsid w:val="00663A38"/>
    <w:rsid w:val="00664A49"/>
    <w:rsid w:val="00664B71"/>
    <w:rsid w:val="00664BD8"/>
    <w:rsid w:val="00664C64"/>
    <w:rsid w:val="00664F5B"/>
    <w:rsid w:val="00665219"/>
    <w:rsid w:val="00665821"/>
    <w:rsid w:val="006666D3"/>
    <w:rsid w:val="006679AD"/>
    <w:rsid w:val="00667DDF"/>
    <w:rsid w:val="00670215"/>
    <w:rsid w:val="0067042D"/>
    <w:rsid w:val="0067062F"/>
    <w:rsid w:val="006706A0"/>
    <w:rsid w:val="00670C96"/>
    <w:rsid w:val="00670DB2"/>
    <w:rsid w:val="006711A3"/>
    <w:rsid w:val="00671749"/>
    <w:rsid w:val="0067364E"/>
    <w:rsid w:val="0067387F"/>
    <w:rsid w:val="00673A97"/>
    <w:rsid w:val="00674005"/>
    <w:rsid w:val="00674482"/>
    <w:rsid w:val="006744E3"/>
    <w:rsid w:val="00674FDC"/>
    <w:rsid w:val="00675071"/>
    <w:rsid w:val="0067510C"/>
    <w:rsid w:val="00675FA9"/>
    <w:rsid w:val="00676978"/>
    <w:rsid w:val="0067712E"/>
    <w:rsid w:val="0067720B"/>
    <w:rsid w:val="0067761B"/>
    <w:rsid w:val="006804A6"/>
    <w:rsid w:val="00680C5D"/>
    <w:rsid w:val="00680EBE"/>
    <w:rsid w:val="00680EEE"/>
    <w:rsid w:val="00681002"/>
    <w:rsid w:val="006812D4"/>
    <w:rsid w:val="00681BD4"/>
    <w:rsid w:val="00681E51"/>
    <w:rsid w:val="00682909"/>
    <w:rsid w:val="00682AA9"/>
    <w:rsid w:val="00682C13"/>
    <w:rsid w:val="00682C38"/>
    <w:rsid w:val="00683671"/>
    <w:rsid w:val="006837E4"/>
    <w:rsid w:val="00683804"/>
    <w:rsid w:val="00683930"/>
    <w:rsid w:val="006839FC"/>
    <w:rsid w:val="006840FB"/>
    <w:rsid w:val="0068413B"/>
    <w:rsid w:val="00684384"/>
    <w:rsid w:val="00684865"/>
    <w:rsid w:val="00684C73"/>
    <w:rsid w:val="00684DD3"/>
    <w:rsid w:val="006850FA"/>
    <w:rsid w:val="00685162"/>
    <w:rsid w:val="00685B03"/>
    <w:rsid w:val="00685E2C"/>
    <w:rsid w:val="00686DA1"/>
    <w:rsid w:val="00686F50"/>
    <w:rsid w:val="006874C8"/>
    <w:rsid w:val="00687D97"/>
    <w:rsid w:val="00690B6D"/>
    <w:rsid w:val="00690CF4"/>
    <w:rsid w:val="00691085"/>
    <w:rsid w:val="00691A22"/>
    <w:rsid w:val="00692809"/>
    <w:rsid w:val="00693154"/>
    <w:rsid w:val="006941FB"/>
    <w:rsid w:val="006952B5"/>
    <w:rsid w:val="006958E4"/>
    <w:rsid w:val="00695923"/>
    <w:rsid w:val="00695D29"/>
    <w:rsid w:val="00695E05"/>
    <w:rsid w:val="00695F8F"/>
    <w:rsid w:val="00696129"/>
    <w:rsid w:val="00696959"/>
    <w:rsid w:val="00696B8D"/>
    <w:rsid w:val="00696D1A"/>
    <w:rsid w:val="00697091"/>
    <w:rsid w:val="006972BA"/>
    <w:rsid w:val="006A0711"/>
    <w:rsid w:val="006A11BE"/>
    <w:rsid w:val="006A1292"/>
    <w:rsid w:val="006A16B9"/>
    <w:rsid w:val="006A18C2"/>
    <w:rsid w:val="006A2712"/>
    <w:rsid w:val="006A2B51"/>
    <w:rsid w:val="006A3666"/>
    <w:rsid w:val="006A4632"/>
    <w:rsid w:val="006A473A"/>
    <w:rsid w:val="006A4938"/>
    <w:rsid w:val="006A4AF2"/>
    <w:rsid w:val="006A536F"/>
    <w:rsid w:val="006A55D5"/>
    <w:rsid w:val="006A56D5"/>
    <w:rsid w:val="006A594E"/>
    <w:rsid w:val="006A5A45"/>
    <w:rsid w:val="006A5A85"/>
    <w:rsid w:val="006A5B78"/>
    <w:rsid w:val="006A5D46"/>
    <w:rsid w:val="006A6299"/>
    <w:rsid w:val="006A66DF"/>
    <w:rsid w:val="006A6AA2"/>
    <w:rsid w:val="006A6C63"/>
    <w:rsid w:val="006A71A1"/>
    <w:rsid w:val="006B1817"/>
    <w:rsid w:val="006B1949"/>
    <w:rsid w:val="006B1C67"/>
    <w:rsid w:val="006B1D4C"/>
    <w:rsid w:val="006B26A2"/>
    <w:rsid w:val="006B2845"/>
    <w:rsid w:val="006B29FA"/>
    <w:rsid w:val="006B2B75"/>
    <w:rsid w:val="006B2DF8"/>
    <w:rsid w:val="006B3106"/>
    <w:rsid w:val="006B3664"/>
    <w:rsid w:val="006B38DF"/>
    <w:rsid w:val="006B4036"/>
    <w:rsid w:val="006B561F"/>
    <w:rsid w:val="006B5A0B"/>
    <w:rsid w:val="006B6710"/>
    <w:rsid w:val="006B671C"/>
    <w:rsid w:val="006B6B4A"/>
    <w:rsid w:val="006B6D26"/>
    <w:rsid w:val="006B7210"/>
    <w:rsid w:val="006B7406"/>
    <w:rsid w:val="006C0EF5"/>
    <w:rsid w:val="006C127F"/>
    <w:rsid w:val="006C1B73"/>
    <w:rsid w:val="006C1E71"/>
    <w:rsid w:val="006C1F26"/>
    <w:rsid w:val="006C25F9"/>
    <w:rsid w:val="006C2A5D"/>
    <w:rsid w:val="006C2C79"/>
    <w:rsid w:val="006C4424"/>
    <w:rsid w:val="006C48C2"/>
    <w:rsid w:val="006C58B3"/>
    <w:rsid w:val="006C5D1B"/>
    <w:rsid w:val="006C5F69"/>
    <w:rsid w:val="006C645A"/>
    <w:rsid w:val="006C663B"/>
    <w:rsid w:val="006C71C9"/>
    <w:rsid w:val="006C7CF2"/>
    <w:rsid w:val="006C7D57"/>
    <w:rsid w:val="006C7E70"/>
    <w:rsid w:val="006D0216"/>
    <w:rsid w:val="006D0B07"/>
    <w:rsid w:val="006D0F11"/>
    <w:rsid w:val="006D0FBD"/>
    <w:rsid w:val="006D1295"/>
    <w:rsid w:val="006D16AC"/>
    <w:rsid w:val="006D2589"/>
    <w:rsid w:val="006D2659"/>
    <w:rsid w:val="006D306A"/>
    <w:rsid w:val="006D376B"/>
    <w:rsid w:val="006D3911"/>
    <w:rsid w:val="006D3A3B"/>
    <w:rsid w:val="006D4138"/>
    <w:rsid w:val="006D4A62"/>
    <w:rsid w:val="006D4C63"/>
    <w:rsid w:val="006D51BB"/>
    <w:rsid w:val="006D51FF"/>
    <w:rsid w:val="006D5341"/>
    <w:rsid w:val="006D581E"/>
    <w:rsid w:val="006D5DEB"/>
    <w:rsid w:val="006D648B"/>
    <w:rsid w:val="006D7F2D"/>
    <w:rsid w:val="006E0250"/>
    <w:rsid w:val="006E050D"/>
    <w:rsid w:val="006E05D6"/>
    <w:rsid w:val="006E06D2"/>
    <w:rsid w:val="006E0D9C"/>
    <w:rsid w:val="006E10F0"/>
    <w:rsid w:val="006E1369"/>
    <w:rsid w:val="006E28CE"/>
    <w:rsid w:val="006E2D09"/>
    <w:rsid w:val="006E3114"/>
    <w:rsid w:val="006E34A7"/>
    <w:rsid w:val="006E34E5"/>
    <w:rsid w:val="006E3C76"/>
    <w:rsid w:val="006E3D95"/>
    <w:rsid w:val="006E4872"/>
    <w:rsid w:val="006E4ECB"/>
    <w:rsid w:val="006E4F7F"/>
    <w:rsid w:val="006E57B8"/>
    <w:rsid w:val="006E6057"/>
    <w:rsid w:val="006E65B1"/>
    <w:rsid w:val="006E679E"/>
    <w:rsid w:val="006E6AD1"/>
    <w:rsid w:val="006E6C84"/>
    <w:rsid w:val="006E700F"/>
    <w:rsid w:val="006E7CE7"/>
    <w:rsid w:val="006F1DB4"/>
    <w:rsid w:val="006F27EF"/>
    <w:rsid w:val="006F30A7"/>
    <w:rsid w:val="006F35CD"/>
    <w:rsid w:val="006F36B3"/>
    <w:rsid w:val="006F3783"/>
    <w:rsid w:val="006F3C00"/>
    <w:rsid w:val="006F422B"/>
    <w:rsid w:val="006F4779"/>
    <w:rsid w:val="006F48D2"/>
    <w:rsid w:val="006F4A93"/>
    <w:rsid w:val="006F4C78"/>
    <w:rsid w:val="006F4D88"/>
    <w:rsid w:val="006F5273"/>
    <w:rsid w:val="006F563A"/>
    <w:rsid w:val="006F61DE"/>
    <w:rsid w:val="006F633F"/>
    <w:rsid w:val="006F65E3"/>
    <w:rsid w:val="006F66CF"/>
    <w:rsid w:val="006F6F6C"/>
    <w:rsid w:val="006F717C"/>
    <w:rsid w:val="006F71A6"/>
    <w:rsid w:val="006F7B0B"/>
    <w:rsid w:val="0070032C"/>
    <w:rsid w:val="00700462"/>
    <w:rsid w:val="007004CA"/>
    <w:rsid w:val="007014AA"/>
    <w:rsid w:val="00701601"/>
    <w:rsid w:val="00701762"/>
    <w:rsid w:val="00701A5E"/>
    <w:rsid w:val="007028CF"/>
    <w:rsid w:val="00702B62"/>
    <w:rsid w:val="007031A7"/>
    <w:rsid w:val="007036EE"/>
    <w:rsid w:val="007037E9"/>
    <w:rsid w:val="00703BA2"/>
    <w:rsid w:val="00704684"/>
    <w:rsid w:val="00704E54"/>
    <w:rsid w:val="00705835"/>
    <w:rsid w:val="00705DF1"/>
    <w:rsid w:val="00706187"/>
    <w:rsid w:val="007066A9"/>
    <w:rsid w:val="0070709D"/>
    <w:rsid w:val="00707326"/>
    <w:rsid w:val="007076C1"/>
    <w:rsid w:val="00707834"/>
    <w:rsid w:val="0070794C"/>
    <w:rsid w:val="00707A97"/>
    <w:rsid w:val="00707C9F"/>
    <w:rsid w:val="00710147"/>
    <w:rsid w:val="00710460"/>
    <w:rsid w:val="007106DF"/>
    <w:rsid w:val="00710B86"/>
    <w:rsid w:val="00710DA3"/>
    <w:rsid w:val="00710E03"/>
    <w:rsid w:val="0071171E"/>
    <w:rsid w:val="00711810"/>
    <w:rsid w:val="007127C5"/>
    <w:rsid w:val="007127D0"/>
    <w:rsid w:val="00713225"/>
    <w:rsid w:val="00713334"/>
    <w:rsid w:val="0071355F"/>
    <w:rsid w:val="00713B87"/>
    <w:rsid w:val="00713C89"/>
    <w:rsid w:val="0071435F"/>
    <w:rsid w:val="007145E9"/>
    <w:rsid w:val="0071491E"/>
    <w:rsid w:val="007153EA"/>
    <w:rsid w:val="00715F35"/>
    <w:rsid w:val="00715F4D"/>
    <w:rsid w:val="00716224"/>
    <w:rsid w:val="00716996"/>
    <w:rsid w:val="00716EA9"/>
    <w:rsid w:val="00716F52"/>
    <w:rsid w:val="00716F79"/>
    <w:rsid w:val="00717659"/>
    <w:rsid w:val="00717BA4"/>
    <w:rsid w:val="007202F4"/>
    <w:rsid w:val="00720CB6"/>
    <w:rsid w:val="00720EAD"/>
    <w:rsid w:val="00720FC7"/>
    <w:rsid w:val="007211D1"/>
    <w:rsid w:val="0072146C"/>
    <w:rsid w:val="00721FF4"/>
    <w:rsid w:val="00722F62"/>
    <w:rsid w:val="00723DFC"/>
    <w:rsid w:val="00724334"/>
    <w:rsid w:val="007243ED"/>
    <w:rsid w:val="0072441F"/>
    <w:rsid w:val="007248E1"/>
    <w:rsid w:val="00724F3F"/>
    <w:rsid w:val="007250A4"/>
    <w:rsid w:val="007255B4"/>
    <w:rsid w:val="007266CA"/>
    <w:rsid w:val="0072784C"/>
    <w:rsid w:val="00727F31"/>
    <w:rsid w:val="007301AD"/>
    <w:rsid w:val="00730851"/>
    <w:rsid w:val="00730BBA"/>
    <w:rsid w:val="00730C59"/>
    <w:rsid w:val="0073114C"/>
    <w:rsid w:val="00731834"/>
    <w:rsid w:val="007322B5"/>
    <w:rsid w:val="0073285D"/>
    <w:rsid w:val="007329A5"/>
    <w:rsid w:val="00733094"/>
    <w:rsid w:val="00734610"/>
    <w:rsid w:val="00734C56"/>
    <w:rsid w:val="00734E01"/>
    <w:rsid w:val="007357A3"/>
    <w:rsid w:val="007357E6"/>
    <w:rsid w:val="00736361"/>
    <w:rsid w:val="00736F63"/>
    <w:rsid w:val="0073718F"/>
    <w:rsid w:val="007372AF"/>
    <w:rsid w:val="0073787E"/>
    <w:rsid w:val="00740A25"/>
    <w:rsid w:val="00740C79"/>
    <w:rsid w:val="00740E89"/>
    <w:rsid w:val="007412DC"/>
    <w:rsid w:val="00741AB9"/>
    <w:rsid w:val="00741B7D"/>
    <w:rsid w:val="00741F8B"/>
    <w:rsid w:val="00741F9C"/>
    <w:rsid w:val="00742570"/>
    <w:rsid w:val="0074293C"/>
    <w:rsid w:val="007435C2"/>
    <w:rsid w:val="00744290"/>
    <w:rsid w:val="007442E0"/>
    <w:rsid w:val="007443D5"/>
    <w:rsid w:val="0074461B"/>
    <w:rsid w:val="0074473E"/>
    <w:rsid w:val="00744802"/>
    <w:rsid w:val="0074496C"/>
    <w:rsid w:val="007449D1"/>
    <w:rsid w:val="00745255"/>
    <w:rsid w:val="007453BB"/>
    <w:rsid w:val="00745ECF"/>
    <w:rsid w:val="00746A02"/>
    <w:rsid w:val="00747E46"/>
    <w:rsid w:val="00747F8F"/>
    <w:rsid w:val="007500AA"/>
    <w:rsid w:val="007502B7"/>
    <w:rsid w:val="00750A1A"/>
    <w:rsid w:val="00750CB5"/>
    <w:rsid w:val="00750E3B"/>
    <w:rsid w:val="00751293"/>
    <w:rsid w:val="0075165C"/>
    <w:rsid w:val="007518A1"/>
    <w:rsid w:val="007520EB"/>
    <w:rsid w:val="00752477"/>
    <w:rsid w:val="00752658"/>
    <w:rsid w:val="007529ED"/>
    <w:rsid w:val="00752B1C"/>
    <w:rsid w:val="007530FB"/>
    <w:rsid w:val="0075325F"/>
    <w:rsid w:val="00753695"/>
    <w:rsid w:val="00753B04"/>
    <w:rsid w:val="00753B37"/>
    <w:rsid w:val="00753E75"/>
    <w:rsid w:val="007546EF"/>
    <w:rsid w:val="0075471D"/>
    <w:rsid w:val="00754D27"/>
    <w:rsid w:val="00754F97"/>
    <w:rsid w:val="00755604"/>
    <w:rsid w:val="00755903"/>
    <w:rsid w:val="0075656C"/>
    <w:rsid w:val="00756A07"/>
    <w:rsid w:val="00756D82"/>
    <w:rsid w:val="00756DD7"/>
    <w:rsid w:val="00756E4C"/>
    <w:rsid w:val="00757C89"/>
    <w:rsid w:val="00760C8C"/>
    <w:rsid w:val="00761556"/>
    <w:rsid w:val="00761A29"/>
    <w:rsid w:val="00761CA7"/>
    <w:rsid w:val="00761D68"/>
    <w:rsid w:val="00762906"/>
    <w:rsid w:val="00762A54"/>
    <w:rsid w:val="00762F68"/>
    <w:rsid w:val="00763D74"/>
    <w:rsid w:val="00763DFE"/>
    <w:rsid w:val="007658D8"/>
    <w:rsid w:val="00766442"/>
    <w:rsid w:val="00766A98"/>
    <w:rsid w:val="00766DAB"/>
    <w:rsid w:val="00766E77"/>
    <w:rsid w:val="0076730B"/>
    <w:rsid w:val="007679AC"/>
    <w:rsid w:val="00770883"/>
    <w:rsid w:val="00771767"/>
    <w:rsid w:val="007717E7"/>
    <w:rsid w:val="00771DBE"/>
    <w:rsid w:val="007723BE"/>
    <w:rsid w:val="00772883"/>
    <w:rsid w:val="007728F5"/>
    <w:rsid w:val="007739C1"/>
    <w:rsid w:val="00773B0B"/>
    <w:rsid w:val="00773DF9"/>
    <w:rsid w:val="007742C4"/>
    <w:rsid w:val="00774410"/>
    <w:rsid w:val="007744BF"/>
    <w:rsid w:val="0077462C"/>
    <w:rsid w:val="00774DBB"/>
    <w:rsid w:val="00775274"/>
    <w:rsid w:val="00776A07"/>
    <w:rsid w:val="00776B29"/>
    <w:rsid w:val="007773F5"/>
    <w:rsid w:val="00777627"/>
    <w:rsid w:val="00777F9F"/>
    <w:rsid w:val="00780112"/>
    <w:rsid w:val="00780411"/>
    <w:rsid w:val="00781781"/>
    <w:rsid w:val="00781E30"/>
    <w:rsid w:val="0078382E"/>
    <w:rsid w:val="00783AF1"/>
    <w:rsid w:val="00783C1E"/>
    <w:rsid w:val="007842BB"/>
    <w:rsid w:val="0078431A"/>
    <w:rsid w:val="007851F1"/>
    <w:rsid w:val="00785A91"/>
    <w:rsid w:val="00786B64"/>
    <w:rsid w:val="00786C81"/>
    <w:rsid w:val="00787426"/>
    <w:rsid w:val="0078765A"/>
    <w:rsid w:val="00787D7E"/>
    <w:rsid w:val="00787E01"/>
    <w:rsid w:val="0079006A"/>
    <w:rsid w:val="00791E96"/>
    <w:rsid w:val="0079219B"/>
    <w:rsid w:val="007922E1"/>
    <w:rsid w:val="00792513"/>
    <w:rsid w:val="007936A3"/>
    <w:rsid w:val="00793876"/>
    <w:rsid w:val="00793907"/>
    <w:rsid w:val="00794022"/>
    <w:rsid w:val="007947E6"/>
    <w:rsid w:val="00794923"/>
    <w:rsid w:val="00794E47"/>
    <w:rsid w:val="007950E0"/>
    <w:rsid w:val="007950FC"/>
    <w:rsid w:val="0079614B"/>
    <w:rsid w:val="007962CF"/>
    <w:rsid w:val="00796A63"/>
    <w:rsid w:val="0079701F"/>
    <w:rsid w:val="00797051"/>
    <w:rsid w:val="007975B0"/>
    <w:rsid w:val="007977A2"/>
    <w:rsid w:val="007A0ADA"/>
    <w:rsid w:val="007A0D79"/>
    <w:rsid w:val="007A10F9"/>
    <w:rsid w:val="007A359E"/>
    <w:rsid w:val="007A3795"/>
    <w:rsid w:val="007A38BC"/>
    <w:rsid w:val="007A3CFC"/>
    <w:rsid w:val="007A4184"/>
    <w:rsid w:val="007A4973"/>
    <w:rsid w:val="007A52BB"/>
    <w:rsid w:val="007A54C9"/>
    <w:rsid w:val="007A55A6"/>
    <w:rsid w:val="007A5F1F"/>
    <w:rsid w:val="007A7071"/>
    <w:rsid w:val="007A74E4"/>
    <w:rsid w:val="007A79DC"/>
    <w:rsid w:val="007A7B65"/>
    <w:rsid w:val="007A7CE7"/>
    <w:rsid w:val="007B01B9"/>
    <w:rsid w:val="007B1582"/>
    <w:rsid w:val="007B1EDC"/>
    <w:rsid w:val="007B3049"/>
    <w:rsid w:val="007B329E"/>
    <w:rsid w:val="007B391E"/>
    <w:rsid w:val="007B3F3A"/>
    <w:rsid w:val="007B418D"/>
    <w:rsid w:val="007B48F1"/>
    <w:rsid w:val="007B4A44"/>
    <w:rsid w:val="007B4DFD"/>
    <w:rsid w:val="007B565B"/>
    <w:rsid w:val="007B5A07"/>
    <w:rsid w:val="007B62DB"/>
    <w:rsid w:val="007B6492"/>
    <w:rsid w:val="007B66DD"/>
    <w:rsid w:val="007B6719"/>
    <w:rsid w:val="007B69A9"/>
    <w:rsid w:val="007B6EBC"/>
    <w:rsid w:val="007B7438"/>
    <w:rsid w:val="007B756E"/>
    <w:rsid w:val="007B7692"/>
    <w:rsid w:val="007C06C1"/>
    <w:rsid w:val="007C09C0"/>
    <w:rsid w:val="007C1008"/>
    <w:rsid w:val="007C11D5"/>
    <w:rsid w:val="007C174B"/>
    <w:rsid w:val="007C193F"/>
    <w:rsid w:val="007C1D0B"/>
    <w:rsid w:val="007C2573"/>
    <w:rsid w:val="007C29A4"/>
    <w:rsid w:val="007C33AC"/>
    <w:rsid w:val="007C349C"/>
    <w:rsid w:val="007C4EB3"/>
    <w:rsid w:val="007C4FF5"/>
    <w:rsid w:val="007C55C8"/>
    <w:rsid w:val="007C5ACC"/>
    <w:rsid w:val="007C615B"/>
    <w:rsid w:val="007C636F"/>
    <w:rsid w:val="007C6605"/>
    <w:rsid w:val="007C6A3B"/>
    <w:rsid w:val="007C6AF0"/>
    <w:rsid w:val="007C707A"/>
    <w:rsid w:val="007C7EE7"/>
    <w:rsid w:val="007C7FBA"/>
    <w:rsid w:val="007D05C5"/>
    <w:rsid w:val="007D1125"/>
    <w:rsid w:val="007D1248"/>
    <w:rsid w:val="007D1484"/>
    <w:rsid w:val="007D1C9C"/>
    <w:rsid w:val="007D2B28"/>
    <w:rsid w:val="007D319C"/>
    <w:rsid w:val="007D3BEB"/>
    <w:rsid w:val="007D467F"/>
    <w:rsid w:val="007D4EEE"/>
    <w:rsid w:val="007D5120"/>
    <w:rsid w:val="007D5291"/>
    <w:rsid w:val="007D5542"/>
    <w:rsid w:val="007D58C7"/>
    <w:rsid w:val="007D67AE"/>
    <w:rsid w:val="007D743F"/>
    <w:rsid w:val="007D754A"/>
    <w:rsid w:val="007D7C2C"/>
    <w:rsid w:val="007E0170"/>
    <w:rsid w:val="007E0492"/>
    <w:rsid w:val="007E060D"/>
    <w:rsid w:val="007E166B"/>
    <w:rsid w:val="007E1E26"/>
    <w:rsid w:val="007E217A"/>
    <w:rsid w:val="007E21FF"/>
    <w:rsid w:val="007E226E"/>
    <w:rsid w:val="007E294A"/>
    <w:rsid w:val="007E2AC2"/>
    <w:rsid w:val="007E2E90"/>
    <w:rsid w:val="007E3304"/>
    <w:rsid w:val="007E34BA"/>
    <w:rsid w:val="007E4195"/>
    <w:rsid w:val="007E46E0"/>
    <w:rsid w:val="007E4DD9"/>
    <w:rsid w:val="007E4ED0"/>
    <w:rsid w:val="007E51C8"/>
    <w:rsid w:val="007E5E76"/>
    <w:rsid w:val="007E748F"/>
    <w:rsid w:val="007E74A1"/>
    <w:rsid w:val="007E74D8"/>
    <w:rsid w:val="007E761E"/>
    <w:rsid w:val="007E775D"/>
    <w:rsid w:val="007E7C03"/>
    <w:rsid w:val="007E7C99"/>
    <w:rsid w:val="007F0E79"/>
    <w:rsid w:val="007F11E6"/>
    <w:rsid w:val="007F1344"/>
    <w:rsid w:val="007F15B4"/>
    <w:rsid w:val="007F1F10"/>
    <w:rsid w:val="007F26B0"/>
    <w:rsid w:val="007F2768"/>
    <w:rsid w:val="007F27AE"/>
    <w:rsid w:val="007F366B"/>
    <w:rsid w:val="007F3CC0"/>
    <w:rsid w:val="007F419F"/>
    <w:rsid w:val="007F442E"/>
    <w:rsid w:val="007F478E"/>
    <w:rsid w:val="007F4898"/>
    <w:rsid w:val="007F4E4F"/>
    <w:rsid w:val="007F5326"/>
    <w:rsid w:val="007F536F"/>
    <w:rsid w:val="007F6D9B"/>
    <w:rsid w:val="007F7159"/>
    <w:rsid w:val="007F71C3"/>
    <w:rsid w:val="007F75DC"/>
    <w:rsid w:val="007F7AF5"/>
    <w:rsid w:val="0080036E"/>
    <w:rsid w:val="00801217"/>
    <w:rsid w:val="008013C6"/>
    <w:rsid w:val="00802BD2"/>
    <w:rsid w:val="008037FF"/>
    <w:rsid w:val="00803855"/>
    <w:rsid w:val="00803DBD"/>
    <w:rsid w:val="00804718"/>
    <w:rsid w:val="0080499B"/>
    <w:rsid w:val="00805013"/>
    <w:rsid w:val="00805567"/>
    <w:rsid w:val="00805876"/>
    <w:rsid w:val="008058BF"/>
    <w:rsid w:val="00805CC7"/>
    <w:rsid w:val="008066C3"/>
    <w:rsid w:val="0080686C"/>
    <w:rsid w:val="008074CE"/>
    <w:rsid w:val="008076BB"/>
    <w:rsid w:val="00807E95"/>
    <w:rsid w:val="008100DF"/>
    <w:rsid w:val="008102CD"/>
    <w:rsid w:val="008102FE"/>
    <w:rsid w:val="00810AE1"/>
    <w:rsid w:val="00810F9B"/>
    <w:rsid w:val="008114F3"/>
    <w:rsid w:val="008116AC"/>
    <w:rsid w:val="00811EA5"/>
    <w:rsid w:val="00812A18"/>
    <w:rsid w:val="00812B88"/>
    <w:rsid w:val="00813183"/>
    <w:rsid w:val="00814C46"/>
    <w:rsid w:val="00814CCF"/>
    <w:rsid w:val="008154E1"/>
    <w:rsid w:val="00816D35"/>
    <w:rsid w:val="00817715"/>
    <w:rsid w:val="00817CC6"/>
    <w:rsid w:val="00821269"/>
    <w:rsid w:val="008215B6"/>
    <w:rsid w:val="00821789"/>
    <w:rsid w:val="00821B4B"/>
    <w:rsid w:val="00822341"/>
    <w:rsid w:val="00822EC1"/>
    <w:rsid w:val="008235B6"/>
    <w:rsid w:val="008248DA"/>
    <w:rsid w:val="00824D6B"/>
    <w:rsid w:val="00825563"/>
    <w:rsid w:val="008257B3"/>
    <w:rsid w:val="00825B9E"/>
    <w:rsid w:val="00825CFB"/>
    <w:rsid w:val="00825E7D"/>
    <w:rsid w:val="008265A2"/>
    <w:rsid w:val="00826C29"/>
    <w:rsid w:val="00826EFF"/>
    <w:rsid w:val="00827A65"/>
    <w:rsid w:val="00827C8D"/>
    <w:rsid w:val="00827E89"/>
    <w:rsid w:val="0083047E"/>
    <w:rsid w:val="008304FA"/>
    <w:rsid w:val="00830792"/>
    <w:rsid w:val="0083081B"/>
    <w:rsid w:val="00831CB0"/>
    <w:rsid w:val="008321E6"/>
    <w:rsid w:val="008324F7"/>
    <w:rsid w:val="00833A53"/>
    <w:rsid w:val="00833C32"/>
    <w:rsid w:val="008340B8"/>
    <w:rsid w:val="0083518F"/>
    <w:rsid w:val="0083563B"/>
    <w:rsid w:val="008358BA"/>
    <w:rsid w:val="00835D31"/>
    <w:rsid w:val="00835E24"/>
    <w:rsid w:val="00836789"/>
    <w:rsid w:val="008367E4"/>
    <w:rsid w:val="00836FAC"/>
    <w:rsid w:val="00837944"/>
    <w:rsid w:val="00837B51"/>
    <w:rsid w:val="008407E0"/>
    <w:rsid w:val="00840CC6"/>
    <w:rsid w:val="0084133D"/>
    <w:rsid w:val="00841913"/>
    <w:rsid w:val="00841B1C"/>
    <w:rsid w:val="00841E16"/>
    <w:rsid w:val="00841FE3"/>
    <w:rsid w:val="0084214C"/>
    <w:rsid w:val="00842183"/>
    <w:rsid w:val="008424E2"/>
    <w:rsid w:val="00842D20"/>
    <w:rsid w:val="00842E18"/>
    <w:rsid w:val="00843B84"/>
    <w:rsid w:val="0084445E"/>
    <w:rsid w:val="00844FC7"/>
    <w:rsid w:val="008456F4"/>
    <w:rsid w:val="0084581E"/>
    <w:rsid w:val="00845B91"/>
    <w:rsid w:val="00845EA7"/>
    <w:rsid w:val="00845FA3"/>
    <w:rsid w:val="0084613E"/>
    <w:rsid w:val="008465C6"/>
    <w:rsid w:val="008467F1"/>
    <w:rsid w:val="00846889"/>
    <w:rsid w:val="00846E22"/>
    <w:rsid w:val="0084722C"/>
    <w:rsid w:val="00847F38"/>
    <w:rsid w:val="008505F3"/>
    <w:rsid w:val="00850F14"/>
    <w:rsid w:val="0085124C"/>
    <w:rsid w:val="008516A5"/>
    <w:rsid w:val="0085183C"/>
    <w:rsid w:val="00851B4A"/>
    <w:rsid w:val="00851FD8"/>
    <w:rsid w:val="0085226C"/>
    <w:rsid w:val="008537BF"/>
    <w:rsid w:val="00853991"/>
    <w:rsid w:val="00854DD4"/>
    <w:rsid w:val="00855DBB"/>
    <w:rsid w:val="008560E0"/>
    <w:rsid w:val="00856533"/>
    <w:rsid w:val="00856727"/>
    <w:rsid w:val="00856A3F"/>
    <w:rsid w:val="00856B61"/>
    <w:rsid w:val="0085765C"/>
    <w:rsid w:val="00857D10"/>
    <w:rsid w:val="00860A3F"/>
    <w:rsid w:val="00861384"/>
    <w:rsid w:val="00861528"/>
    <w:rsid w:val="00861631"/>
    <w:rsid w:val="00861926"/>
    <w:rsid w:val="00861A0E"/>
    <w:rsid w:val="008629C3"/>
    <w:rsid w:val="0086308B"/>
    <w:rsid w:val="00863C23"/>
    <w:rsid w:val="00864550"/>
    <w:rsid w:val="008650A1"/>
    <w:rsid w:val="00865BC7"/>
    <w:rsid w:val="00866718"/>
    <w:rsid w:val="00866C85"/>
    <w:rsid w:val="00867041"/>
    <w:rsid w:val="008672A0"/>
    <w:rsid w:val="00870164"/>
    <w:rsid w:val="00870881"/>
    <w:rsid w:val="0087095C"/>
    <w:rsid w:val="00870DBB"/>
    <w:rsid w:val="00870E7F"/>
    <w:rsid w:val="008715A1"/>
    <w:rsid w:val="0087168D"/>
    <w:rsid w:val="008722AD"/>
    <w:rsid w:val="008724E6"/>
    <w:rsid w:val="008728D7"/>
    <w:rsid w:val="00872A57"/>
    <w:rsid w:val="008736B5"/>
    <w:rsid w:val="008738ED"/>
    <w:rsid w:val="00873C0B"/>
    <w:rsid w:val="00873DE2"/>
    <w:rsid w:val="00874F8D"/>
    <w:rsid w:val="00875733"/>
    <w:rsid w:val="0087599B"/>
    <w:rsid w:val="00875A01"/>
    <w:rsid w:val="00875E77"/>
    <w:rsid w:val="0087605E"/>
    <w:rsid w:val="0087628E"/>
    <w:rsid w:val="0087699E"/>
    <w:rsid w:val="00876E20"/>
    <w:rsid w:val="00876EC0"/>
    <w:rsid w:val="00877D6B"/>
    <w:rsid w:val="00877E29"/>
    <w:rsid w:val="008805D1"/>
    <w:rsid w:val="00880E83"/>
    <w:rsid w:val="0088177F"/>
    <w:rsid w:val="00881CE0"/>
    <w:rsid w:val="00882000"/>
    <w:rsid w:val="00882323"/>
    <w:rsid w:val="00882684"/>
    <w:rsid w:val="008828E4"/>
    <w:rsid w:val="00883A13"/>
    <w:rsid w:val="008841DA"/>
    <w:rsid w:val="008842BA"/>
    <w:rsid w:val="008842BB"/>
    <w:rsid w:val="00884C51"/>
    <w:rsid w:val="008852A7"/>
    <w:rsid w:val="00885AB9"/>
    <w:rsid w:val="00885C2B"/>
    <w:rsid w:val="00885E57"/>
    <w:rsid w:val="0088695E"/>
    <w:rsid w:val="00886D3F"/>
    <w:rsid w:val="0088779B"/>
    <w:rsid w:val="00887E6B"/>
    <w:rsid w:val="00887FC9"/>
    <w:rsid w:val="008901BD"/>
    <w:rsid w:val="008901DA"/>
    <w:rsid w:val="0089080E"/>
    <w:rsid w:val="0089143A"/>
    <w:rsid w:val="00891494"/>
    <w:rsid w:val="008918AF"/>
    <w:rsid w:val="00891950"/>
    <w:rsid w:val="008922B7"/>
    <w:rsid w:val="008926E6"/>
    <w:rsid w:val="00892990"/>
    <w:rsid w:val="00892EA1"/>
    <w:rsid w:val="00893041"/>
    <w:rsid w:val="00893E60"/>
    <w:rsid w:val="008947CE"/>
    <w:rsid w:val="0089598F"/>
    <w:rsid w:val="00895D3F"/>
    <w:rsid w:val="00896501"/>
    <w:rsid w:val="00897BBC"/>
    <w:rsid w:val="008A0319"/>
    <w:rsid w:val="008A1845"/>
    <w:rsid w:val="008A1F65"/>
    <w:rsid w:val="008A21F8"/>
    <w:rsid w:val="008A2EFD"/>
    <w:rsid w:val="008A34BD"/>
    <w:rsid w:val="008A3C10"/>
    <w:rsid w:val="008A3C23"/>
    <w:rsid w:val="008A4470"/>
    <w:rsid w:val="008A5027"/>
    <w:rsid w:val="008A53C7"/>
    <w:rsid w:val="008A5AAB"/>
    <w:rsid w:val="008A6005"/>
    <w:rsid w:val="008A6525"/>
    <w:rsid w:val="008A68BF"/>
    <w:rsid w:val="008A6F1C"/>
    <w:rsid w:val="008A7485"/>
    <w:rsid w:val="008A74BA"/>
    <w:rsid w:val="008A75C2"/>
    <w:rsid w:val="008A7AF1"/>
    <w:rsid w:val="008A7E84"/>
    <w:rsid w:val="008B04AD"/>
    <w:rsid w:val="008B07EE"/>
    <w:rsid w:val="008B130F"/>
    <w:rsid w:val="008B14A7"/>
    <w:rsid w:val="008B16B5"/>
    <w:rsid w:val="008B239A"/>
    <w:rsid w:val="008B2F82"/>
    <w:rsid w:val="008B3002"/>
    <w:rsid w:val="008B316B"/>
    <w:rsid w:val="008B3B6F"/>
    <w:rsid w:val="008B3C21"/>
    <w:rsid w:val="008B453E"/>
    <w:rsid w:val="008B5510"/>
    <w:rsid w:val="008B5601"/>
    <w:rsid w:val="008B5725"/>
    <w:rsid w:val="008B5782"/>
    <w:rsid w:val="008B63BE"/>
    <w:rsid w:val="008B63C5"/>
    <w:rsid w:val="008B644A"/>
    <w:rsid w:val="008B6929"/>
    <w:rsid w:val="008B6D64"/>
    <w:rsid w:val="008B7C0B"/>
    <w:rsid w:val="008B7D6B"/>
    <w:rsid w:val="008C00F5"/>
    <w:rsid w:val="008C02D2"/>
    <w:rsid w:val="008C0623"/>
    <w:rsid w:val="008C0841"/>
    <w:rsid w:val="008C0D7D"/>
    <w:rsid w:val="008C18D7"/>
    <w:rsid w:val="008C1D24"/>
    <w:rsid w:val="008C319F"/>
    <w:rsid w:val="008C340E"/>
    <w:rsid w:val="008C3901"/>
    <w:rsid w:val="008C3C7D"/>
    <w:rsid w:val="008C4744"/>
    <w:rsid w:val="008C59D5"/>
    <w:rsid w:val="008C5C73"/>
    <w:rsid w:val="008C634A"/>
    <w:rsid w:val="008C65AF"/>
    <w:rsid w:val="008C6868"/>
    <w:rsid w:val="008C6959"/>
    <w:rsid w:val="008C6CC4"/>
    <w:rsid w:val="008C701D"/>
    <w:rsid w:val="008C7769"/>
    <w:rsid w:val="008D00AF"/>
    <w:rsid w:val="008D0644"/>
    <w:rsid w:val="008D06FD"/>
    <w:rsid w:val="008D0901"/>
    <w:rsid w:val="008D0BA3"/>
    <w:rsid w:val="008D0E92"/>
    <w:rsid w:val="008D158C"/>
    <w:rsid w:val="008D1E21"/>
    <w:rsid w:val="008D2103"/>
    <w:rsid w:val="008D2792"/>
    <w:rsid w:val="008D2F3C"/>
    <w:rsid w:val="008D3196"/>
    <w:rsid w:val="008D3BDC"/>
    <w:rsid w:val="008D402A"/>
    <w:rsid w:val="008D4A1A"/>
    <w:rsid w:val="008D4D82"/>
    <w:rsid w:val="008D5018"/>
    <w:rsid w:val="008D571D"/>
    <w:rsid w:val="008D5D0E"/>
    <w:rsid w:val="008D5F75"/>
    <w:rsid w:val="008D629F"/>
    <w:rsid w:val="008D6F11"/>
    <w:rsid w:val="008D70D7"/>
    <w:rsid w:val="008D7304"/>
    <w:rsid w:val="008D7873"/>
    <w:rsid w:val="008D7FA0"/>
    <w:rsid w:val="008E09EE"/>
    <w:rsid w:val="008E0DF7"/>
    <w:rsid w:val="008E1543"/>
    <w:rsid w:val="008E19FF"/>
    <w:rsid w:val="008E1C63"/>
    <w:rsid w:val="008E2664"/>
    <w:rsid w:val="008E26E5"/>
    <w:rsid w:val="008E28C8"/>
    <w:rsid w:val="008E3131"/>
    <w:rsid w:val="008E320E"/>
    <w:rsid w:val="008E4261"/>
    <w:rsid w:val="008E48D0"/>
    <w:rsid w:val="008E4969"/>
    <w:rsid w:val="008E4A37"/>
    <w:rsid w:val="008E4AC3"/>
    <w:rsid w:val="008E4CF7"/>
    <w:rsid w:val="008E52F7"/>
    <w:rsid w:val="008E5A2E"/>
    <w:rsid w:val="008E60D8"/>
    <w:rsid w:val="008E6274"/>
    <w:rsid w:val="008E662C"/>
    <w:rsid w:val="008E6E01"/>
    <w:rsid w:val="008E72CA"/>
    <w:rsid w:val="008E777C"/>
    <w:rsid w:val="008E7EBE"/>
    <w:rsid w:val="008F000C"/>
    <w:rsid w:val="008F0203"/>
    <w:rsid w:val="008F0534"/>
    <w:rsid w:val="008F0A60"/>
    <w:rsid w:val="008F0C22"/>
    <w:rsid w:val="008F1876"/>
    <w:rsid w:val="008F1F0C"/>
    <w:rsid w:val="008F23D6"/>
    <w:rsid w:val="008F2C68"/>
    <w:rsid w:val="008F31AB"/>
    <w:rsid w:val="008F366C"/>
    <w:rsid w:val="008F369C"/>
    <w:rsid w:val="008F4203"/>
    <w:rsid w:val="008F44B1"/>
    <w:rsid w:val="008F4F7F"/>
    <w:rsid w:val="008F5BFB"/>
    <w:rsid w:val="008F6D7B"/>
    <w:rsid w:val="008F6F42"/>
    <w:rsid w:val="008F7243"/>
    <w:rsid w:val="008F7441"/>
    <w:rsid w:val="008F763A"/>
    <w:rsid w:val="008F76D5"/>
    <w:rsid w:val="008F7AE8"/>
    <w:rsid w:val="008F7F9E"/>
    <w:rsid w:val="0090043F"/>
    <w:rsid w:val="009004D1"/>
    <w:rsid w:val="00900B32"/>
    <w:rsid w:val="00900F0E"/>
    <w:rsid w:val="00902181"/>
    <w:rsid w:val="0090232C"/>
    <w:rsid w:val="009024C5"/>
    <w:rsid w:val="009025E1"/>
    <w:rsid w:val="0090302E"/>
    <w:rsid w:val="009032C0"/>
    <w:rsid w:val="00903DA4"/>
    <w:rsid w:val="00903DA8"/>
    <w:rsid w:val="00903F31"/>
    <w:rsid w:val="009040F3"/>
    <w:rsid w:val="009065DB"/>
    <w:rsid w:val="009070F3"/>
    <w:rsid w:val="009073A2"/>
    <w:rsid w:val="009075DF"/>
    <w:rsid w:val="0091006A"/>
    <w:rsid w:val="00910F44"/>
    <w:rsid w:val="0091154A"/>
    <w:rsid w:val="00911E7B"/>
    <w:rsid w:val="0091279C"/>
    <w:rsid w:val="00913292"/>
    <w:rsid w:val="0091340D"/>
    <w:rsid w:val="00913AC4"/>
    <w:rsid w:val="00914426"/>
    <w:rsid w:val="00914BD6"/>
    <w:rsid w:val="00914E5F"/>
    <w:rsid w:val="00915838"/>
    <w:rsid w:val="009162DB"/>
    <w:rsid w:val="00916934"/>
    <w:rsid w:val="00916E17"/>
    <w:rsid w:val="00916EE7"/>
    <w:rsid w:val="00917069"/>
    <w:rsid w:val="009172AD"/>
    <w:rsid w:val="00917EF2"/>
    <w:rsid w:val="00917F41"/>
    <w:rsid w:val="00917F5D"/>
    <w:rsid w:val="00920014"/>
    <w:rsid w:val="00920FB8"/>
    <w:rsid w:val="00921879"/>
    <w:rsid w:val="00921E37"/>
    <w:rsid w:val="009227B8"/>
    <w:rsid w:val="00923210"/>
    <w:rsid w:val="00923426"/>
    <w:rsid w:val="0092367E"/>
    <w:rsid w:val="00923B5F"/>
    <w:rsid w:val="00924527"/>
    <w:rsid w:val="0092457C"/>
    <w:rsid w:val="00924597"/>
    <w:rsid w:val="0092465F"/>
    <w:rsid w:val="009249DD"/>
    <w:rsid w:val="00924C31"/>
    <w:rsid w:val="00925320"/>
    <w:rsid w:val="009254E4"/>
    <w:rsid w:val="0092634A"/>
    <w:rsid w:val="009274B4"/>
    <w:rsid w:val="009275FB"/>
    <w:rsid w:val="00927BEA"/>
    <w:rsid w:val="00927F3C"/>
    <w:rsid w:val="00930E6A"/>
    <w:rsid w:val="00931104"/>
    <w:rsid w:val="009314EC"/>
    <w:rsid w:val="00931A12"/>
    <w:rsid w:val="009323E1"/>
    <w:rsid w:val="00933FBE"/>
    <w:rsid w:val="009348CE"/>
    <w:rsid w:val="00934B0A"/>
    <w:rsid w:val="00934BE7"/>
    <w:rsid w:val="00935358"/>
    <w:rsid w:val="009353D2"/>
    <w:rsid w:val="00935565"/>
    <w:rsid w:val="00935A59"/>
    <w:rsid w:val="00935D71"/>
    <w:rsid w:val="00935F4A"/>
    <w:rsid w:val="009363E7"/>
    <w:rsid w:val="0093686B"/>
    <w:rsid w:val="00936A81"/>
    <w:rsid w:val="00937D27"/>
    <w:rsid w:val="00937D87"/>
    <w:rsid w:val="00940A01"/>
    <w:rsid w:val="00940DB6"/>
    <w:rsid w:val="00940DE7"/>
    <w:rsid w:val="00941C73"/>
    <w:rsid w:val="009426DB"/>
    <w:rsid w:val="00942DE6"/>
    <w:rsid w:val="00944055"/>
    <w:rsid w:val="00944512"/>
    <w:rsid w:val="009446E7"/>
    <w:rsid w:val="00944B44"/>
    <w:rsid w:val="00944E24"/>
    <w:rsid w:val="009451BF"/>
    <w:rsid w:val="009454D4"/>
    <w:rsid w:val="00945F86"/>
    <w:rsid w:val="009460CC"/>
    <w:rsid w:val="0094635B"/>
    <w:rsid w:val="009474A5"/>
    <w:rsid w:val="009475D4"/>
    <w:rsid w:val="0094768F"/>
    <w:rsid w:val="00947CC3"/>
    <w:rsid w:val="0095009A"/>
    <w:rsid w:val="00950A79"/>
    <w:rsid w:val="00950ADD"/>
    <w:rsid w:val="00950E91"/>
    <w:rsid w:val="00950EB9"/>
    <w:rsid w:val="009513E2"/>
    <w:rsid w:val="009517FA"/>
    <w:rsid w:val="00951B14"/>
    <w:rsid w:val="00951DCA"/>
    <w:rsid w:val="00951E3F"/>
    <w:rsid w:val="009522E7"/>
    <w:rsid w:val="009528DD"/>
    <w:rsid w:val="00952BDB"/>
    <w:rsid w:val="009530D2"/>
    <w:rsid w:val="00953654"/>
    <w:rsid w:val="009543FD"/>
    <w:rsid w:val="009547DA"/>
    <w:rsid w:val="00954C3E"/>
    <w:rsid w:val="00954FD0"/>
    <w:rsid w:val="00955039"/>
    <w:rsid w:val="00955744"/>
    <w:rsid w:val="009559E0"/>
    <w:rsid w:val="00955A5E"/>
    <w:rsid w:val="00956407"/>
    <w:rsid w:val="00956996"/>
    <w:rsid w:val="009569AE"/>
    <w:rsid w:val="00956B03"/>
    <w:rsid w:val="00957195"/>
    <w:rsid w:val="00957F0A"/>
    <w:rsid w:val="00961CF5"/>
    <w:rsid w:val="00961EDE"/>
    <w:rsid w:val="00961FEF"/>
    <w:rsid w:val="00962738"/>
    <w:rsid w:val="00962C15"/>
    <w:rsid w:val="00963010"/>
    <w:rsid w:val="009631A3"/>
    <w:rsid w:val="0096325C"/>
    <w:rsid w:val="0096426B"/>
    <w:rsid w:val="0096582D"/>
    <w:rsid w:val="00965AFC"/>
    <w:rsid w:val="00965F2F"/>
    <w:rsid w:val="009661C7"/>
    <w:rsid w:val="00966351"/>
    <w:rsid w:val="009668B7"/>
    <w:rsid w:val="00966C47"/>
    <w:rsid w:val="00966E35"/>
    <w:rsid w:val="00967FD9"/>
    <w:rsid w:val="009702E7"/>
    <w:rsid w:val="009703D5"/>
    <w:rsid w:val="009705E0"/>
    <w:rsid w:val="009706E1"/>
    <w:rsid w:val="00970A10"/>
    <w:rsid w:val="00970B11"/>
    <w:rsid w:val="009722E3"/>
    <w:rsid w:val="00973178"/>
    <w:rsid w:val="009732F9"/>
    <w:rsid w:val="00973F0D"/>
    <w:rsid w:val="00974F64"/>
    <w:rsid w:val="009768C2"/>
    <w:rsid w:val="009769FD"/>
    <w:rsid w:val="00977967"/>
    <w:rsid w:val="00977D01"/>
    <w:rsid w:val="00977D28"/>
    <w:rsid w:val="00977FBB"/>
    <w:rsid w:val="0098124E"/>
    <w:rsid w:val="00981B9F"/>
    <w:rsid w:val="00981E81"/>
    <w:rsid w:val="009820A9"/>
    <w:rsid w:val="00982549"/>
    <w:rsid w:val="00982748"/>
    <w:rsid w:val="009828AA"/>
    <w:rsid w:val="00982C89"/>
    <w:rsid w:val="00982CE0"/>
    <w:rsid w:val="009839C4"/>
    <w:rsid w:val="009849B7"/>
    <w:rsid w:val="00984EBE"/>
    <w:rsid w:val="00985654"/>
    <w:rsid w:val="009863EE"/>
    <w:rsid w:val="009865A4"/>
    <w:rsid w:val="0098725E"/>
    <w:rsid w:val="00987521"/>
    <w:rsid w:val="00987FA3"/>
    <w:rsid w:val="00990213"/>
    <w:rsid w:val="009902DC"/>
    <w:rsid w:val="00990A90"/>
    <w:rsid w:val="009918AA"/>
    <w:rsid w:val="00991CE0"/>
    <w:rsid w:val="00992469"/>
    <w:rsid w:val="00992D1A"/>
    <w:rsid w:val="00993B99"/>
    <w:rsid w:val="00994312"/>
    <w:rsid w:val="00994C1F"/>
    <w:rsid w:val="00994DD9"/>
    <w:rsid w:val="00995650"/>
    <w:rsid w:val="0099583C"/>
    <w:rsid w:val="0099588A"/>
    <w:rsid w:val="00995BB6"/>
    <w:rsid w:val="00995C7D"/>
    <w:rsid w:val="00996621"/>
    <w:rsid w:val="009966D7"/>
    <w:rsid w:val="00996D2B"/>
    <w:rsid w:val="00996DB7"/>
    <w:rsid w:val="00997291"/>
    <w:rsid w:val="009977FB"/>
    <w:rsid w:val="009A0266"/>
    <w:rsid w:val="009A0483"/>
    <w:rsid w:val="009A16FE"/>
    <w:rsid w:val="009A2C8B"/>
    <w:rsid w:val="009A3732"/>
    <w:rsid w:val="009A3ECC"/>
    <w:rsid w:val="009A3F6E"/>
    <w:rsid w:val="009A3FA1"/>
    <w:rsid w:val="009A46B4"/>
    <w:rsid w:val="009A4908"/>
    <w:rsid w:val="009A4C31"/>
    <w:rsid w:val="009A4F47"/>
    <w:rsid w:val="009A4F94"/>
    <w:rsid w:val="009A6155"/>
    <w:rsid w:val="009B04A8"/>
    <w:rsid w:val="009B0C2A"/>
    <w:rsid w:val="009B1027"/>
    <w:rsid w:val="009B2742"/>
    <w:rsid w:val="009B29C9"/>
    <w:rsid w:val="009B320C"/>
    <w:rsid w:val="009B4092"/>
    <w:rsid w:val="009B4AAB"/>
    <w:rsid w:val="009B5264"/>
    <w:rsid w:val="009B5930"/>
    <w:rsid w:val="009B5ED4"/>
    <w:rsid w:val="009B62C2"/>
    <w:rsid w:val="009B6868"/>
    <w:rsid w:val="009B68E8"/>
    <w:rsid w:val="009B6992"/>
    <w:rsid w:val="009B781B"/>
    <w:rsid w:val="009C0135"/>
    <w:rsid w:val="009C1383"/>
    <w:rsid w:val="009C1700"/>
    <w:rsid w:val="009C1C35"/>
    <w:rsid w:val="009C1C4C"/>
    <w:rsid w:val="009C2356"/>
    <w:rsid w:val="009C2385"/>
    <w:rsid w:val="009C267A"/>
    <w:rsid w:val="009C33C7"/>
    <w:rsid w:val="009C3EC7"/>
    <w:rsid w:val="009C3FA8"/>
    <w:rsid w:val="009C45A9"/>
    <w:rsid w:val="009C4957"/>
    <w:rsid w:val="009C57E9"/>
    <w:rsid w:val="009C58EE"/>
    <w:rsid w:val="009C5B71"/>
    <w:rsid w:val="009C6092"/>
    <w:rsid w:val="009C71C8"/>
    <w:rsid w:val="009C7750"/>
    <w:rsid w:val="009C7973"/>
    <w:rsid w:val="009D079D"/>
    <w:rsid w:val="009D0C0E"/>
    <w:rsid w:val="009D17C4"/>
    <w:rsid w:val="009D1AD5"/>
    <w:rsid w:val="009D2124"/>
    <w:rsid w:val="009D222B"/>
    <w:rsid w:val="009D27EB"/>
    <w:rsid w:val="009D3C8E"/>
    <w:rsid w:val="009D467A"/>
    <w:rsid w:val="009D58F2"/>
    <w:rsid w:val="009D62AB"/>
    <w:rsid w:val="009D6EB1"/>
    <w:rsid w:val="009D6FB4"/>
    <w:rsid w:val="009D70F0"/>
    <w:rsid w:val="009D70F7"/>
    <w:rsid w:val="009D7379"/>
    <w:rsid w:val="009D7666"/>
    <w:rsid w:val="009D7ACC"/>
    <w:rsid w:val="009E0088"/>
    <w:rsid w:val="009E07CF"/>
    <w:rsid w:val="009E081E"/>
    <w:rsid w:val="009E0A56"/>
    <w:rsid w:val="009E0CA5"/>
    <w:rsid w:val="009E17F8"/>
    <w:rsid w:val="009E26D7"/>
    <w:rsid w:val="009E2B0D"/>
    <w:rsid w:val="009E3133"/>
    <w:rsid w:val="009E31A7"/>
    <w:rsid w:val="009E39D6"/>
    <w:rsid w:val="009E39E9"/>
    <w:rsid w:val="009E409B"/>
    <w:rsid w:val="009E483F"/>
    <w:rsid w:val="009E49DD"/>
    <w:rsid w:val="009E50FF"/>
    <w:rsid w:val="009E5858"/>
    <w:rsid w:val="009E5E42"/>
    <w:rsid w:val="009E605D"/>
    <w:rsid w:val="009E60FE"/>
    <w:rsid w:val="009E643F"/>
    <w:rsid w:val="009E6AA4"/>
    <w:rsid w:val="009E6D0F"/>
    <w:rsid w:val="009E6EE4"/>
    <w:rsid w:val="009E75A0"/>
    <w:rsid w:val="009E791A"/>
    <w:rsid w:val="009E7CAA"/>
    <w:rsid w:val="009F09FA"/>
    <w:rsid w:val="009F1B0A"/>
    <w:rsid w:val="009F2AF1"/>
    <w:rsid w:val="009F47FC"/>
    <w:rsid w:val="009F4B54"/>
    <w:rsid w:val="009F4D7F"/>
    <w:rsid w:val="009F4F5F"/>
    <w:rsid w:val="009F53F6"/>
    <w:rsid w:val="009F58C8"/>
    <w:rsid w:val="009F5AE8"/>
    <w:rsid w:val="009F5B2B"/>
    <w:rsid w:val="009F5DE0"/>
    <w:rsid w:val="009F6F08"/>
    <w:rsid w:val="009F7048"/>
    <w:rsid w:val="009F764B"/>
    <w:rsid w:val="009F7DD0"/>
    <w:rsid w:val="00A0014E"/>
    <w:rsid w:val="00A00623"/>
    <w:rsid w:val="00A00D00"/>
    <w:rsid w:val="00A01599"/>
    <w:rsid w:val="00A02006"/>
    <w:rsid w:val="00A02453"/>
    <w:rsid w:val="00A037D2"/>
    <w:rsid w:val="00A03EBA"/>
    <w:rsid w:val="00A0441F"/>
    <w:rsid w:val="00A04613"/>
    <w:rsid w:val="00A0554E"/>
    <w:rsid w:val="00A05673"/>
    <w:rsid w:val="00A0581F"/>
    <w:rsid w:val="00A059E7"/>
    <w:rsid w:val="00A071CE"/>
    <w:rsid w:val="00A07E47"/>
    <w:rsid w:val="00A07FC4"/>
    <w:rsid w:val="00A10067"/>
    <w:rsid w:val="00A1012C"/>
    <w:rsid w:val="00A101A7"/>
    <w:rsid w:val="00A101BE"/>
    <w:rsid w:val="00A103AB"/>
    <w:rsid w:val="00A105D9"/>
    <w:rsid w:val="00A10A2D"/>
    <w:rsid w:val="00A11C79"/>
    <w:rsid w:val="00A11E50"/>
    <w:rsid w:val="00A11FDC"/>
    <w:rsid w:val="00A12473"/>
    <w:rsid w:val="00A13404"/>
    <w:rsid w:val="00A136F7"/>
    <w:rsid w:val="00A142C1"/>
    <w:rsid w:val="00A1438F"/>
    <w:rsid w:val="00A1454F"/>
    <w:rsid w:val="00A147CE"/>
    <w:rsid w:val="00A14963"/>
    <w:rsid w:val="00A14EE2"/>
    <w:rsid w:val="00A14FA1"/>
    <w:rsid w:val="00A15095"/>
    <w:rsid w:val="00A15AF2"/>
    <w:rsid w:val="00A1618C"/>
    <w:rsid w:val="00A16B48"/>
    <w:rsid w:val="00A16B9D"/>
    <w:rsid w:val="00A16DDC"/>
    <w:rsid w:val="00A170DC"/>
    <w:rsid w:val="00A17982"/>
    <w:rsid w:val="00A17B98"/>
    <w:rsid w:val="00A206C5"/>
    <w:rsid w:val="00A207A0"/>
    <w:rsid w:val="00A20CC9"/>
    <w:rsid w:val="00A20F60"/>
    <w:rsid w:val="00A213F8"/>
    <w:rsid w:val="00A215BA"/>
    <w:rsid w:val="00A217C8"/>
    <w:rsid w:val="00A217F5"/>
    <w:rsid w:val="00A21C01"/>
    <w:rsid w:val="00A21FA2"/>
    <w:rsid w:val="00A22079"/>
    <w:rsid w:val="00A227AB"/>
    <w:rsid w:val="00A22984"/>
    <w:rsid w:val="00A2364E"/>
    <w:rsid w:val="00A23DCC"/>
    <w:rsid w:val="00A23E69"/>
    <w:rsid w:val="00A2400C"/>
    <w:rsid w:val="00A24589"/>
    <w:rsid w:val="00A24AC1"/>
    <w:rsid w:val="00A253FC"/>
    <w:rsid w:val="00A254B6"/>
    <w:rsid w:val="00A25CCB"/>
    <w:rsid w:val="00A27846"/>
    <w:rsid w:val="00A27AC2"/>
    <w:rsid w:val="00A27DBD"/>
    <w:rsid w:val="00A30383"/>
    <w:rsid w:val="00A31FD7"/>
    <w:rsid w:val="00A33FE1"/>
    <w:rsid w:val="00A34276"/>
    <w:rsid w:val="00A3469B"/>
    <w:rsid w:val="00A3473E"/>
    <w:rsid w:val="00A3530E"/>
    <w:rsid w:val="00A360C7"/>
    <w:rsid w:val="00A36119"/>
    <w:rsid w:val="00A36A82"/>
    <w:rsid w:val="00A36D6F"/>
    <w:rsid w:val="00A37465"/>
    <w:rsid w:val="00A37B10"/>
    <w:rsid w:val="00A37B48"/>
    <w:rsid w:val="00A37B88"/>
    <w:rsid w:val="00A37D2B"/>
    <w:rsid w:val="00A37F52"/>
    <w:rsid w:val="00A40219"/>
    <w:rsid w:val="00A4040B"/>
    <w:rsid w:val="00A4094A"/>
    <w:rsid w:val="00A40D54"/>
    <w:rsid w:val="00A4142E"/>
    <w:rsid w:val="00A416CA"/>
    <w:rsid w:val="00A4245A"/>
    <w:rsid w:val="00A430B6"/>
    <w:rsid w:val="00A435E6"/>
    <w:rsid w:val="00A43F49"/>
    <w:rsid w:val="00A44458"/>
    <w:rsid w:val="00A4449B"/>
    <w:rsid w:val="00A4560F"/>
    <w:rsid w:val="00A45D68"/>
    <w:rsid w:val="00A4698C"/>
    <w:rsid w:val="00A46BF3"/>
    <w:rsid w:val="00A50492"/>
    <w:rsid w:val="00A50C02"/>
    <w:rsid w:val="00A51585"/>
    <w:rsid w:val="00A520BD"/>
    <w:rsid w:val="00A5270A"/>
    <w:rsid w:val="00A52A78"/>
    <w:rsid w:val="00A52D9E"/>
    <w:rsid w:val="00A52DB7"/>
    <w:rsid w:val="00A53020"/>
    <w:rsid w:val="00A53202"/>
    <w:rsid w:val="00A535AC"/>
    <w:rsid w:val="00A53EF4"/>
    <w:rsid w:val="00A54141"/>
    <w:rsid w:val="00A5471F"/>
    <w:rsid w:val="00A5492D"/>
    <w:rsid w:val="00A55FF9"/>
    <w:rsid w:val="00A56951"/>
    <w:rsid w:val="00A576C8"/>
    <w:rsid w:val="00A577F1"/>
    <w:rsid w:val="00A57BAF"/>
    <w:rsid w:val="00A57F96"/>
    <w:rsid w:val="00A602E0"/>
    <w:rsid w:val="00A60B32"/>
    <w:rsid w:val="00A60E99"/>
    <w:rsid w:val="00A622A7"/>
    <w:rsid w:val="00A625D2"/>
    <w:rsid w:val="00A62FF9"/>
    <w:rsid w:val="00A63072"/>
    <w:rsid w:val="00A630EC"/>
    <w:rsid w:val="00A63190"/>
    <w:rsid w:val="00A640EA"/>
    <w:rsid w:val="00A6431B"/>
    <w:rsid w:val="00A644DA"/>
    <w:rsid w:val="00A649C8"/>
    <w:rsid w:val="00A64EB6"/>
    <w:rsid w:val="00A64EEA"/>
    <w:rsid w:val="00A66217"/>
    <w:rsid w:val="00A671CF"/>
    <w:rsid w:val="00A677D0"/>
    <w:rsid w:val="00A70351"/>
    <w:rsid w:val="00A72276"/>
    <w:rsid w:val="00A726E7"/>
    <w:rsid w:val="00A73856"/>
    <w:rsid w:val="00A73D06"/>
    <w:rsid w:val="00A73E47"/>
    <w:rsid w:val="00A74049"/>
    <w:rsid w:val="00A7432B"/>
    <w:rsid w:val="00A747C0"/>
    <w:rsid w:val="00A7492C"/>
    <w:rsid w:val="00A74E22"/>
    <w:rsid w:val="00A753FB"/>
    <w:rsid w:val="00A754AD"/>
    <w:rsid w:val="00A75CDE"/>
    <w:rsid w:val="00A76153"/>
    <w:rsid w:val="00A761D5"/>
    <w:rsid w:val="00A761E7"/>
    <w:rsid w:val="00A76C32"/>
    <w:rsid w:val="00A76DDF"/>
    <w:rsid w:val="00A776DE"/>
    <w:rsid w:val="00A7777A"/>
    <w:rsid w:val="00A777DA"/>
    <w:rsid w:val="00A77D06"/>
    <w:rsid w:val="00A8027D"/>
    <w:rsid w:val="00A80C1E"/>
    <w:rsid w:val="00A80F1A"/>
    <w:rsid w:val="00A821EC"/>
    <w:rsid w:val="00A82473"/>
    <w:rsid w:val="00A82906"/>
    <w:rsid w:val="00A83B68"/>
    <w:rsid w:val="00A841FB"/>
    <w:rsid w:val="00A84B87"/>
    <w:rsid w:val="00A84E28"/>
    <w:rsid w:val="00A858C8"/>
    <w:rsid w:val="00A85909"/>
    <w:rsid w:val="00A86A63"/>
    <w:rsid w:val="00A86E58"/>
    <w:rsid w:val="00A87389"/>
    <w:rsid w:val="00A87937"/>
    <w:rsid w:val="00A90097"/>
    <w:rsid w:val="00A9041C"/>
    <w:rsid w:val="00A90905"/>
    <w:rsid w:val="00A909B6"/>
    <w:rsid w:val="00A90A75"/>
    <w:rsid w:val="00A90DB8"/>
    <w:rsid w:val="00A90F3D"/>
    <w:rsid w:val="00A9194F"/>
    <w:rsid w:val="00A91FBB"/>
    <w:rsid w:val="00A927AD"/>
    <w:rsid w:val="00A92895"/>
    <w:rsid w:val="00A92BB5"/>
    <w:rsid w:val="00A92F29"/>
    <w:rsid w:val="00A93900"/>
    <w:rsid w:val="00A94479"/>
    <w:rsid w:val="00A94849"/>
    <w:rsid w:val="00A94BD8"/>
    <w:rsid w:val="00A94FB0"/>
    <w:rsid w:val="00A95989"/>
    <w:rsid w:val="00A95D51"/>
    <w:rsid w:val="00A95E0F"/>
    <w:rsid w:val="00A9665B"/>
    <w:rsid w:val="00A97127"/>
    <w:rsid w:val="00A97464"/>
    <w:rsid w:val="00A97BC7"/>
    <w:rsid w:val="00A97C09"/>
    <w:rsid w:val="00AA0518"/>
    <w:rsid w:val="00AA0553"/>
    <w:rsid w:val="00AA1B34"/>
    <w:rsid w:val="00AA1E32"/>
    <w:rsid w:val="00AA281C"/>
    <w:rsid w:val="00AA286B"/>
    <w:rsid w:val="00AA2FB5"/>
    <w:rsid w:val="00AA353F"/>
    <w:rsid w:val="00AA3731"/>
    <w:rsid w:val="00AA37AA"/>
    <w:rsid w:val="00AA3A01"/>
    <w:rsid w:val="00AA3C2D"/>
    <w:rsid w:val="00AA3E13"/>
    <w:rsid w:val="00AA41F7"/>
    <w:rsid w:val="00AA4636"/>
    <w:rsid w:val="00AA481F"/>
    <w:rsid w:val="00AA4991"/>
    <w:rsid w:val="00AA4EE7"/>
    <w:rsid w:val="00AA62B0"/>
    <w:rsid w:val="00AA62C6"/>
    <w:rsid w:val="00AA68BD"/>
    <w:rsid w:val="00AA7044"/>
    <w:rsid w:val="00AA735F"/>
    <w:rsid w:val="00AA7991"/>
    <w:rsid w:val="00AA7ACD"/>
    <w:rsid w:val="00AA7C04"/>
    <w:rsid w:val="00AA7DA7"/>
    <w:rsid w:val="00AB00CB"/>
    <w:rsid w:val="00AB02D9"/>
    <w:rsid w:val="00AB0740"/>
    <w:rsid w:val="00AB0918"/>
    <w:rsid w:val="00AB0953"/>
    <w:rsid w:val="00AB0D3D"/>
    <w:rsid w:val="00AB150A"/>
    <w:rsid w:val="00AB16A7"/>
    <w:rsid w:val="00AB1BD0"/>
    <w:rsid w:val="00AB1F1F"/>
    <w:rsid w:val="00AB2610"/>
    <w:rsid w:val="00AB2953"/>
    <w:rsid w:val="00AB313F"/>
    <w:rsid w:val="00AB321A"/>
    <w:rsid w:val="00AB3927"/>
    <w:rsid w:val="00AB3990"/>
    <w:rsid w:val="00AB3B3F"/>
    <w:rsid w:val="00AB3C50"/>
    <w:rsid w:val="00AB3D8A"/>
    <w:rsid w:val="00AB4428"/>
    <w:rsid w:val="00AB45C4"/>
    <w:rsid w:val="00AB5489"/>
    <w:rsid w:val="00AB5D99"/>
    <w:rsid w:val="00AB614E"/>
    <w:rsid w:val="00AB7221"/>
    <w:rsid w:val="00AB75A3"/>
    <w:rsid w:val="00AB7BA0"/>
    <w:rsid w:val="00AC1815"/>
    <w:rsid w:val="00AC1EE2"/>
    <w:rsid w:val="00AC312F"/>
    <w:rsid w:val="00AC3993"/>
    <w:rsid w:val="00AC3AA6"/>
    <w:rsid w:val="00AC3E7D"/>
    <w:rsid w:val="00AC4A11"/>
    <w:rsid w:val="00AC5330"/>
    <w:rsid w:val="00AC552A"/>
    <w:rsid w:val="00AC5594"/>
    <w:rsid w:val="00AC595A"/>
    <w:rsid w:val="00AC5B6A"/>
    <w:rsid w:val="00AC6BDC"/>
    <w:rsid w:val="00AC6C71"/>
    <w:rsid w:val="00AC78BB"/>
    <w:rsid w:val="00AD014D"/>
    <w:rsid w:val="00AD0FFC"/>
    <w:rsid w:val="00AD11AF"/>
    <w:rsid w:val="00AD1802"/>
    <w:rsid w:val="00AD1929"/>
    <w:rsid w:val="00AD1EA2"/>
    <w:rsid w:val="00AD1F6D"/>
    <w:rsid w:val="00AD24E4"/>
    <w:rsid w:val="00AD2DFA"/>
    <w:rsid w:val="00AD3C94"/>
    <w:rsid w:val="00AD567B"/>
    <w:rsid w:val="00AD59AA"/>
    <w:rsid w:val="00AD5FE3"/>
    <w:rsid w:val="00AD6525"/>
    <w:rsid w:val="00AD67E2"/>
    <w:rsid w:val="00AD734D"/>
    <w:rsid w:val="00AD76EB"/>
    <w:rsid w:val="00AD77F0"/>
    <w:rsid w:val="00AE0A94"/>
    <w:rsid w:val="00AE0BE3"/>
    <w:rsid w:val="00AE1BFD"/>
    <w:rsid w:val="00AE1D27"/>
    <w:rsid w:val="00AE1F04"/>
    <w:rsid w:val="00AE218C"/>
    <w:rsid w:val="00AE2A3B"/>
    <w:rsid w:val="00AE2AEA"/>
    <w:rsid w:val="00AE2D7F"/>
    <w:rsid w:val="00AE332C"/>
    <w:rsid w:val="00AE3B22"/>
    <w:rsid w:val="00AE3EC3"/>
    <w:rsid w:val="00AE3FF3"/>
    <w:rsid w:val="00AE5805"/>
    <w:rsid w:val="00AE5958"/>
    <w:rsid w:val="00AE5D18"/>
    <w:rsid w:val="00AE6344"/>
    <w:rsid w:val="00AE653D"/>
    <w:rsid w:val="00AE68A3"/>
    <w:rsid w:val="00AE7236"/>
    <w:rsid w:val="00AE7266"/>
    <w:rsid w:val="00AF0A5A"/>
    <w:rsid w:val="00AF110F"/>
    <w:rsid w:val="00AF1311"/>
    <w:rsid w:val="00AF1EE5"/>
    <w:rsid w:val="00AF2867"/>
    <w:rsid w:val="00AF2EFF"/>
    <w:rsid w:val="00AF3561"/>
    <w:rsid w:val="00AF3653"/>
    <w:rsid w:val="00AF36C9"/>
    <w:rsid w:val="00AF3BD9"/>
    <w:rsid w:val="00AF48DA"/>
    <w:rsid w:val="00AF4E12"/>
    <w:rsid w:val="00AF5026"/>
    <w:rsid w:val="00AF584B"/>
    <w:rsid w:val="00AF595A"/>
    <w:rsid w:val="00AF5A61"/>
    <w:rsid w:val="00AF5CDB"/>
    <w:rsid w:val="00AF603F"/>
    <w:rsid w:val="00AF61CE"/>
    <w:rsid w:val="00AF6870"/>
    <w:rsid w:val="00AF6B28"/>
    <w:rsid w:val="00AF7121"/>
    <w:rsid w:val="00B00442"/>
    <w:rsid w:val="00B00928"/>
    <w:rsid w:val="00B0099B"/>
    <w:rsid w:val="00B00BC1"/>
    <w:rsid w:val="00B00E52"/>
    <w:rsid w:val="00B01660"/>
    <w:rsid w:val="00B01896"/>
    <w:rsid w:val="00B02086"/>
    <w:rsid w:val="00B023C4"/>
    <w:rsid w:val="00B03AAF"/>
    <w:rsid w:val="00B03C11"/>
    <w:rsid w:val="00B03E4B"/>
    <w:rsid w:val="00B03F7F"/>
    <w:rsid w:val="00B0481D"/>
    <w:rsid w:val="00B048E0"/>
    <w:rsid w:val="00B04FEE"/>
    <w:rsid w:val="00B05120"/>
    <w:rsid w:val="00B051E1"/>
    <w:rsid w:val="00B05394"/>
    <w:rsid w:val="00B0577D"/>
    <w:rsid w:val="00B05806"/>
    <w:rsid w:val="00B059FA"/>
    <w:rsid w:val="00B05B83"/>
    <w:rsid w:val="00B05FD7"/>
    <w:rsid w:val="00B060BF"/>
    <w:rsid w:val="00B076C9"/>
    <w:rsid w:val="00B07772"/>
    <w:rsid w:val="00B078FC"/>
    <w:rsid w:val="00B07C6B"/>
    <w:rsid w:val="00B100DB"/>
    <w:rsid w:val="00B10299"/>
    <w:rsid w:val="00B10669"/>
    <w:rsid w:val="00B10992"/>
    <w:rsid w:val="00B115E5"/>
    <w:rsid w:val="00B11628"/>
    <w:rsid w:val="00B11965"/>
    <w:rsid w:val="00B12453"/>
    <w:rsid w:val="00B126C2"/>
    <w:rsid w:val="00B1332D"/>
    <w:rsid w:val="00B13803"/>
    <w:rsid w:val="00B13FC9"/>
    <w:rsid w:val="00B140CB"/>
    <w:rsid w:val="00B1444D"/>
    <w:rsid w:val="00B15064"/>
    <w:rsid w:val="00B152E2"/>
    <w:rsid w:val="00B154F1"/>
    <w:rsid w:val="00B15CC8"/>
    <w:rsid w:val="00B16635"/>
    <w:rsid w:val="00B1676D"/>
    <w:rsid w:val="00B17281"/>
    <w:rsid w:val="00B1729D"/>
    <w:rsid w:val="00B17997"/>
    <w:rsid w:val="00B205CF"/>
    <w:rsid w:val="00B212AE"/>
    <w:rsid w:val="00B21702"/>
    <w:rsid w:val="00B21894"/>
    <w:rsid w:val="00B221BE"/>
    <w:rsid w:val="00B22D23"/>
    <w:rsid w:val="00B23775"/>
    <w:rsid w:val="00B23828"/>
    <w:rsid w:val="00B239DB"/>
    <w:rsid w:val="00B23B9F"/>
    <w:rsid w:val="00B245D3"/>
    <w:rsid w:val="00B24D2F"/>
    <w:rsid w:val="00B2555D"/>
    <w:rsid w:val="00B25831"/>
    <w:rsid w:val="00B26243"/>
    <w:rsid w:val="00B26285"/>
    <w:rsid w:val="00B262FA"/>
    <w:rsid w:val="00B26549"/>
    <w:rsid w:val="00B26CAF"/>
    <w:rsid w:val="00B27E17"/>
    <w:rsid w:val="00B30672"/>
    <w:rsid w:val="00B31BE8"/>
    <w:rsid w:val="00B31C94"/>
    <w:rsid w:val="00B31E89"/>
    <w:rsid w:val="00B3435F"/>
    <w:rsid w:val="00B34C86"/>
    <w:rsid w:val="00B35CEB"/>
    <w:rsid w:val="00B36237"/>
    <w:rsid w:val="00B3642C"/>
    <w:rsid w:val="00B3644E"/>
    <w:rsid w:val="00B3693D"/>
    <w:rsid w:val="00B36E9F"/>
    <w:rsid w:val="00B37379"/>
    <w:rsid w:val="00B37787"/>
    <w:rsid w:val="00B405C6"/>
    <w:rsid w:val="00B40C1F"/>
    <w:rsid w:val="00B40D8B"/>
    <w:rsid w:val="00B4156A"/>
    <w:rsid w:val="00B416F6"/>
    <w:rsid w:val="00B41958"/>
    <w:rsid w:val="00B41F8E"/>
    <w:rsid w:val="00B424CD"/>
    <w:rsid w:val="00B430A7"/>
    <w:rsid w:val="00B440ED"/>
    <w:rsid w:val="00B440F1"/>
    <w:rsid w:val="00B448EC"/>
    <w:rsid w:val="00B44E5D"/>
    <w:rsid w:val="00B44FC1"/>
    <w:rsid w:val="00B45097"/>
    <w:rsid w:val="00B45D84"/>
    <w:rsid w:val="00B46800"/>
    <w:rsid w:val="00B46B68"/>
    <w:rsid w:val="00B46E32"/>
    <w:rsid w:val="00B50B86"/>
    <w:rsid w:val="00B51135"/>
    <w:rsid w:val="00B51569"/>
    <w:rsid w:val="00B52658"/>
    <w:rsid w:val="00B5285F"/>
    <w:rsid w:val="00B52C8F"/>
    <w:rsid w:val="00B52D62"/>
    <w:rsid w:val="00B53473"/>
    <w:rsid w:val="00B53881"/>
    <w:rsid w:val="00B54908"/>
    <w:rsid w:val="00B54C72"/>
    <w:rsid w:val="00B55442"/>
    <w:rsid w:val="00B55A58"/>
    <w:rsid w:val="00B55D87"/>
    <w:rsid w:val="00B57A5B"/>
    <w:rsid w:val="00B60E46"/>
    <w:rsid w:val="00B61839"/>
    <w:rsid w:val="00B61D6B"/>
    <w:rsid w:val="00B625F3"/>
    <w:rsid w:val="00B6285B"/>
    <w:rsid w:val="00B62BE6"/>
    <w:rsid w:val="00B63023"/>
    <w:rsid w:val="00B6352C"/>
    <w:rsid w:val="00B635F9"/>
    <w:rsid w:val="00B63A83"/>
    <w:rsid w:val="00B643D3"/>
    <w:rsid w:val="00B64416"/>
    <w:rsid w:val="00B65033"/>
    <w:rsid w:val="00B65E44"/>
    <w:rsid w:val="00B66DE3"/>
    <w:rsid w:val="00B66E9F"/>
    <w:rsid w:val="00B67409"/>
    <w:rsid w:val="00B67934"/>
    <w:rsid w:val="00B67EAE"/>
    <w:rsid w:val="00B67EC1"/>
    <w:rsid w:val="00B7023C"/>
    <w:rsid w:val="00B70A19"/>
    <w:rsid w:val="00B70D83"/>
    <w:rsid w:val="00B710A5"/>
    <w:rsid w:val="00B71261"/>
    <w:rsid w:val="00B71B8C"/>
    <w:rsid w:val="00B7209B"/>
    <w:rsid w:val="00B72729"/>
    <w:rsid w:val="00B72950"/>
    <w:rsid w:val="00B730B9"/>
    <w:rsid w:val="00B7472A"/>
    <w:rsid w:val="00B74AE0"/>
    <w:rsid w:val="00B74B2D"/>
    <w:rsid w:val="00B74C2E"/>
    <w:rsid w:val="00B74DE4"/>
    <w:rsid w:val="00B751A8"/>
    <w:rsid w:val="00B75290"/>
    <w:rsid w:val="00B7605D"/>
    <w:rsid w:val="00B764B4"/>
    <w:rsid w:val="00B7660F"/>
    <w:rsid w:val="00B76777"/>
    <w:rsid w:val="00B774C4"/>
    <w:rsid w:val="00B77956"/>
    <w:rsid w:val="00B81F1C"/>
    <w:rsid w:val="00B82565"/>
    <w:rsid w:val="00B82AE8"/>
    <w:rsid w:val="00B83E22"/>
    <w:rsid w:val="00B843E5"/>
    <w:rsid w:val="00B847B9"/>
    <w:rsid w:val="00B85BE7"/>
    <w:rsid w:val="00B86BE7"/>
    <w:rsid w:val="00B86CDE"/>
    <w:rsid w:val="00B86DBD"/>
    <w:rsid w:val="00B87609"/>
    <w:rsid w:val="00B9036C"/>
    <w:rsid w:val="00B90DE3"/>
    <w:rsid w:val="00B91000"/>
    <w:rsid w:val="00B91FC1"/>
    <w:rsid w:val="00B91FC4"/>
    <w:rsid w:val="00B920F4"/>
    <w:rsid w:val="00B92543"/>
    <w:rsid w:val="00B9265D"/>
    <w:rsid w:val="00B92AB7"/>
    <w:rsid w:val="00B94B82"/>
    <w:rsid w:val="00B94C38"/>
    <w:rsid w:val="00B95DFD"/>
    <w:rsid w:val="00B9643C"/>
    <w:rsid w:val="00B96611"/>
    <w:rsid w:val="00B9674B"/>
    <w:rsid w:val="00B96807"/>
    <w:rsid w:val="00B968A7"/>
    <w:rsid w:val="00B97083"/>
    <w:rsid w:val="00B97547"/>
    <w:rsid w:val="00BA06E5"/>
    <w:rsid w:val="00BA0E6D"/>
    <w:rsid w:val="00BA1E7D"/>
    <w:rsid w:val="00BA267A"/>
    <w:rsid w:val="00BA33FA"/>
    <w:rsid w:val="00BA3BC1"/>
    <w:rsid w:val="00BA42AE"/>
    <w:rsid w:val="00BA4506"/>
    <w:rsid w:val="00BA4A25"/>
    <w:rsid w:val="00BA4B5E"/>
    <w:rsid w:val="00BA4E7C"/>
    <w:rsid w:val="00BA5088"/>
    <w:rsid w:val="00BA52B3"/>
    <w:rsid w:val="00BA5D9D"/>
    <w:rsid w:val="00BA63CC"/>
    <w:rsid w:val="00BA6659"/>
    <w:rsid w:val="00BA666F"/>
    <w:rsid w:val="00BA6C2B"/>
    <w:rsid w:val="00BA6F67"/>
    <w:rsid w:val="00BA728F"/>
    <w:rsid w:val="00BA79DD"/>
    <w:rsid w:val="00BB01C9"/>
    <w:rsid w:val="00BB027C"/>
    <w:rsid w:val="00BB0AF9"/>
    <w:rsid w:val="00BB1440"/>
    <w:rsid w:val="00BB15C0"/>
    <w:rsid w:val="00BB16F8"/>
    <w:rsid w:val="00BB1C7D"/>
    <w:rsid w:val="00BB2370"/>
    <w:rsid w:val="00BB2569"/>
    <w:rsid w:val="00BB2FD8"/>
    <w:rsid w:val="00BB31FA"/>
    <w:rsid w:val="00BB3D06"/>
    <w:rsid w:val="00BB3E95"/>
    <w:rsid w:val="00BB4E1C"/>
    <w:rsid w:val="00BB545F"/>
    <w:rsid w:val="00BB5B5A"/>
    <w:rsid w:val="00BB6AC1"/>
    <w:rsid w:val="00BB6C3F"/>
    <w:rsid w:val="00BB6E80"/>
    <w:rsid w:val="00BC0B10"/>
    <w:rsid w:val="00BC107A"/>
    <w:rsid w:val="00BC13AE"/>
    <w:rsid w:val="00BC2CED"/>
    <w:rsid w:val="00BC2D37"/>
    <w:rsid w:val="00BC2E8A"/>
    <w:rsid w:val="00BC2E9C"/>
    <w:rsid w:val="00BC33FD"/>
    <w:rsid w:val="00BC35FC"/>
    <w:rsid w:val="00BC3A47"/>
    <w:rsid w:val="00BC44FD"/>
    <w:rsid w:val="00BC4BA9"/>
    <w:rsid w:val="00BC53E6"/>
    <w:rsid w:val="00BC5D48"/>
    <w:rsid w:val="00BC60B4"/>
    <w:rsid w:val="00BC6171"/>
    <w:rsid w:val="00BC63E8"/>
    <w:rsid w:val="00BC643B"/>
    <w:rsid w:val="00BC6456"/>
    <w:rsid w:val="00BC6DED"/>
    <w:rsid w:val="00BC6DEE"/>
    <w:rsid w:val="00BC6F80"/>
    <w:rsid w:val="00BC78B1"/>
    <w:rsid w:val="00BC7C1C"/>
    <w:rsid w:val="00BC7C2E"/>
    <w:rsid w:val="00BD0051"/>
    <w:rsid w:val="00BD05CB"/>
    <w:rsid w:val="00BD0D68"/>
    <w:rsid w:val="00BD0F85"/>
    <w:rsid w:val="00BD1276"/>
    <w:rsid w:val="00BD14F3"/>
    <w:rsid w:val="00BD1943"/>
    <w:rsid w:val="00BD1AED"/>
    <w:rsid w:val="00BD1AEE"/>
    <w:rsid w:val="00BD1E5F"/>
    <w:rsid w:val="00BD2EC6"/>
    <w:rsid w:val="00BD3190"/>
    <w:rsid w:val="00BD3421"/>
    <w:rsid w:val="00BD383C"/>
    <w:rsid w:val="00BD393C"/>
    <w:rsid w:val="00BD3A97"/>
    <w:rsid w:val="00BD4083"/>
    <w:rsid w:val="00BD61A9"/>
    <w:rsid w:val="00BD65A0"/>
    <w:rsid w:val="00BD6B0C"/>
    <w:rsid w:val="00BD6BA6"/>
    <w:rsid w:val="00BD7BF7"/>
    <w:rsid w:val="00BE0094"/>
    <w:rsid w:val="00BE0965"/>
    <w:rsid w:val="00BE0AE2"/>
    <w:rsid w:val="00BE0BDE"/>
    <w:rsid w:val="00BE0CC7"/>
    <w:rsid w:val="00BE11AD"/>
    <w:rsid w:val="00BE160B"/>
    <w:rsid w:val="00BE1A48"/>
    <w:rsid w:val="00BE1FAA"/>
    <w:rsid w:val="00BE1FEB"/>
    <w:rsid w:val="00BE210D"/>
    <w:rsid w:val="00BE23C0"/>
    <w:rsid w:val="00BE2816"/>
    <w:rsid w:val="00BE36A1"/>
    <w:rsid w:val="00BE3DB0"/>
    <w:rsid w:val="00BE42CE"/>
    <w:rsid w:val="00BE4740"/>
    <w:rsid w:val="00BE51B5"/>
    <w:rsid w:val="00BE5981"/>
    <w:rsid w:val="00BE66F6"/>
    <w:rsid w:val="00BE798D"/>
    <w:rsid w:val="00BE79B4"/>
    <w:rsid w:val="00BE7FF1"/>
    <w:rsid w:val="00BF0383"/>
    <w:rsid w:val="00BF052B"/>
    <w:rsid w:val="00BF0C50"/>
    <w:rsid w:val="00BF0DE8"/>
    <w:rsid w:val="00BF0F6C"/>
    <w:rsid w:val="00BF1EA4"/>
    <w:rsid w:val="00BF29B1"/>
    <w:rsid w:val="00BF2BB9"/>
    <w:rsid w:val="00BF38E8"/>
    <w:rsid w:val="00BF3AA3"/>
    <w:rsid w:val="00BF447B"/>
    <w:rsid w:val="00BF45CC"/>
    <w:rsid w:val="00BF4C8C"/>
    <w:rsid w:val="00BF5031"/>
    <w:rsid w:val="00BF52CB"/>
    <w:rsid w:val="00BF559D"/>
    <w:rsid w:val="00BF5CA9"/>
    <w:rsid w:val="00BF5D04"/>
    <w:rsid w:val="00BF617C"/>
    <w:rsid w:val="00BF641B"/>
    <w:rsid w:val="00BF6821"/>
    <w:rsid w:val="00BF6DFF"/>
    <w:rsid w:val="00BF7753"/>
    <w:rsid w:val="00C00EF0"/>
    <w:rsid w:val="00C015DF"/>
    <w:rsid w:val="00C01A62"/>
    <w:rsid w:val="00C01BD0"/>
    <w:rsid w:val="00C01D08"/>
    <w:rsid w:val="00C0221E"/>
    <w:rsid w:val="00C02E8B"/>
    <w:rsid w:val="00C02EE2"/>
    <w:rsid w:val="00C03066"/>
    <w:rsid w:val="00C03250"/>
    <w:rsid w:val="00C04701"/>
    <w:rsid w:val="00C04D31"/>
    <w:rsid w:val="00C04F07"/>
    <w:rsid w:val="00C05944"/>
    <w:rsid w:val="00C05BF6"/>
    <w:rsid w:val="00C0697F"/>
    <w:rsid w:val="00C06CB4"/>
    <w:rsid w:val="00C07C58"/>
    <w:rsid w:val="00C07CF3"/>
    <w:rsid w:val="00C105F9"/>
    <w:rsid w:val="00C10B2A"/>
    <w:rsid w:val="00C10D5B"/>
    <w:rsid w:val="00C11251"/>
    <w:rsid w:val="00C11AD5"/>
    <w:rsid w:val="00C11BD6"/>
    <w:rsid w:val="00C11C97"/>
    <w:rsid w:val="00C11D16"/>
    <w:rsid w:val="00C121C0"/>
    <w:rsid w:val="00C123B1"/>
    <w:rsid w:val="00C1279E"/>
    <w:rsid w:val="00C12FD8"/>
    <w:rsid w:val="00C14291"/>
    <w:rsid w:val="00C14312"/>
    <w:rsid w:val="00C143D4"/>
    <w:rsid w:val="00C14FBE"/>
    <w:rsid w:val="00C15067"/>
    <w:rsid w:val="00C151AB"/>
    <w:rsid w:val="00C154A8"/>
    <w:rsid w:val="00C15AC7"/>
    <w:rsid w:val="00C15B5E"/>
    <w:rsid w:val="00C1665A"/>
    <w:rsid w:val="00C1683C"/>
    <w:rsid w:val="00C16A14"/>
    <w:rsid w:val="00C16C3C"/>
    <w:rsid w:val="00C1746A"/>
    <w:rsid w:val="00C17DA5"/>
    <w:rsid w:val="00C202BE"/>
    <w:rsid w:val="00C209B7"/>
    <w:rsid w:val="00C20B7C"/>
    <w:rsid w:val="00C20BDB"/>
    <w:rsid w:val="00C20C6F"/>
    <w:rsid w:val="00C219D1"/>
    <w:rsid w:val="00C21C57"/>
    <w:rsid w:val="00C2287F"/>
    <w:rsid w:val="00C22A70"/>
    <w:rsid w:val="00C22E45"/>
    <w:rsid w:val="00C23503"/>
    <w:rsid w:val="00C23609"/>
    <w:rsid w:val="00C237A5"/>
    <w:rsid w:val="00C24AED"/>
    <w:rsid w:val="00C24C4A"/>
    <w:rsid w:val="00C24E01"/>
    <w:rsid w:val="00C24FA9"/>
    <w:rsid w:val="00C25B59"/>
    <w:rsid w:val="00C26075"/>
    <w:rsid w:val="00C262FC"/>
    <w:rsid w:val="00C26C3F"/>
    <w:rsid w:val="00C26D92"/>
    <w:rsid w:val="00C272BB"/>
    <w:rsid w:val="00C279DD"/>
    <w:rsid w:val="00C301CA"/>
    <w:rsid w:val="00C30F1D"/>
    <w:rsid w:val="00C31030"/>
    <w:rsid w:val="00C32570"/>
    <w:rsid w:val="00C32807"/>
    <w:rsid w:val="00C32A5E"/>
    <w:rsid w:val="00C32D0B"/>
    <w:rsid w:val="00C34C86"/>
    <w:rsid w:val="00C3517F"/>
    <w:rsid w:val="00C352F8"/>
    <w:rsid w:val="00C35D8F"/>
    <w:rsid w:val="00C35EC7"/>
    <w:rsid w:val="00C37488"/>
    <w:rsid w:val="00C3795F"/>
    <w:rsid w:val="00C40B11"/>
    <w:rsid w:val="00C40F32"/>
    <w:rsid w:val="00C4137A"/>
    <w:rsid w:val="00C41598"/>
    <w:rsid w:val="00C43292"/>
    <w:rsid w:val="00C44BE7"/>
    <w:rsid w:val="00C46635"/>
    <w:rsid w:val="00C46A16"/>
    <w:rsid w:val="00C47F8C"/>
    <w:rsid w:val="00C5005E"/>
    <w:rsid w:val="00C50B69"/>
    <w:rsid w:val="00C50E33"/>
    <w:rsid w:val="00C510CB"/>
    <w:rsid w:val="00C51159"/>
    <w:rsid w:val="00C511CD"/>
    <w:rsid w:val="00C520A8"/>
    <w:rsid w:val="00C5213B"/>
    <w:rsid w:val="00C5271D"/>
    <w:rsid w:val="00C52A5D"/>
    <w:rsid w:val="00C533B6"/>
    <w:rsid w:val="00C53875"/>
    <w:rsid w:val="00C541E6"/>
    <w:rsid w:val="00C54D0F"/>
    <w:rsid w:val="00C54EE0"/>
    <w:rsid w:val="00C5613D"/>
    <w:rsid w:val="00C56A08"/>
    <w:rsid w:val="00C57375"/>
    <w:rsid w:val="00C60015"/>
    <w:rsid w:val="00C601B4"/>
    <w:rsid w:val="00C603FA"/>
    <w:rsid w:val="00C60657"/>
    <w:rsid w:val="00C6065D"/>
    <w:rsid w:val="00C60C96"/>
    <w:rsid w:val="00C60EF7"/>
    <w:rsid w:val="00C611EF"/>
    <w:rsid w:val="00C61576"/>
    <w:rsid w:val="00C61A7B"/>
    <w:rsid w:val="00C61AD9"/>
    <w:rsid w:val="00C61B3E"/>
    <w:rsid w:val="00C61BE2"/>
    <w:rsid w:val="00C61F89"/>
    <w:rsid w:val="00C623BF"/>
    <w:rsid w:val="00C62E4D"/>
    <w:rsid w:val="00C62E9D"/>
    <w:rsid w:val="00C63E1C"/>
    <w:rsid w:val="00C64501"/>
    <w:rsid w:val="00C64659"/>
    <w:rsid w:val="00C649A6"/>
    <w:rsid w:val="00C64E8E"/>
    <w:rsid w:val="00C650D7"/>
    <w:rsid w:val="00C652B5"/>
    <w:rsid w:val="00C65438"/>
    <w:rsid w:val="00C6601C"/>
    <w:rsid w:val="00C66509"/>
    <w:rsid w:val="00C669DE"/>
    <w:rsid w:val="00C66F37"/>
    <w:rsid w:val="00C67339"/>
    <w:rsid w:val="00C67785"/>
    <w:rsid w:val="00C679A8"/>
    <w:rsid w:val="00C7064D"/>
    <w:rsid w:val="00C70650"/>
    <w:rsid w:val="00C707DB"/>
    <w:rsid w:val="00C7184E"/>
    <w:rsid w:val="00C719F5"/>
    <w:rsid w:val="00C7265F"/>
    <w:rsid w:val="00C72721"/>
    <w:rsid w:val="00C72725"/>
    <w:rsid w:val="00C72D6E"/>
    <w:rsid w:val="00C73679"/>
    <w:rsid w:val="00C7368A"/>
    <w:rsid w:val="00C73C56"/>
    <w:rsid w:val="00C7488E"/>
    <w:rsid w:val="00C74CE5"/>
    <w:rsid w:val="00C74E11"/>
    <w:rsid w:val="00C7527A"/>
    <w:rsid w:val="00C75934"/>
    <w:rsid w:val="00C75BC9"/>
    <w:rsid w:val="00C763CB"/>
    <w:rsid w:val="00C76512"/>
    <w:rsid w:val="00C7655F"/>
    <w:rsid w:val="00C766DD"/>
    <w:rsid w:val="00C76DCD"/>
    <w:rsid w:val="00C76DE3"/>
    <w:rsid w:val="00C76FF8"/>
    <w:rsid w:val="00C776EC"/>
    <w:rsid w:val="00C805FE"/>
    <w:rsid w:val="00C815FE"/>
    <w:rsid w:val="00C8185B"/>
    <w:rsid w:val="00C81CFC"/>
    <w:rsid w:val="00C822C9"/>
    <w:rsid w:val="00C8241F"/>
    <w:rsid w:val="00C827DD"/>
    <w:rsid w:val="00C82D48"/>
    <w:rsid w:val="00C8406B"/>
    <w:rsid w:val="00C84A6B"/>
    <w:rsid w:val="00C856E5"/>
    <w:rsid w:val="00C85979"/>
    <w:rsid w:val="00C85F42"/>
    <w:rsid w:val="00C86488"/>
    <w:rsid w:val="00C8693F"/>
    <w:rsid w:val="00C86D0C"/>
    <w:rsid w:val="00C86D1A"/>
    <w:rsid w:val="00C86DB3"/>
    <w:rsid w:val="00C87EB7"/>
    <w:rsid w:val="00C9006B"/>
    <w:rsid w:val="00C90854"/>
    <w:rsid w:val="00C91FDE"/>
    <w:rsid w:val="00C92056"/>
    <w:rsid w:val="00C93C72"/>
    <w:rsid w:val="00C944FF"/>
    <w:rsid w:val="00C95021"/>
    <w:rsid w:val="00C95825"/>
    <w:rsid w:val="00C95B44"/>
    <w:rsid w:val="00C96125"/>
    <w:rsid w:val="00C9612A"/>
    <w:rsid w:val="00C96921"/>
    <w:rsid w:val="00C96E46"/>
    <w:rsid w:val="00C97710"/>
    <w:rsid w:val="00C97C83"/>
    <w:rsid w:val="00C97EF2"/>
    <w:rsid w:val="00CA1759"/>
    <w:rsid w:val="00CA18AC"/>
    <w:rsid w:val="00CA1F1D"/>
    <w:rsid w:val="00CA1FE3"/>
    <w:rsid w:val="00CA21A6"/>
    <w:rsid w:val="00CA2537"/>
    <w:rsid w:val="00CA2719"/>
    <w:rsid w:val="00CA3AB9"/>
    <w:rsid w:val="00CA3B40"/>
    <w:rsid w:val="00CA3FFA"/>
    <w:rsid w:val="00CA4091"/>
    <w:rsid w:val="00CA4DF1"/>
    <w:rsid w:val="00CA5D50"/>
    <w:rsid w:val="00CA66BF"/>
    <w:rsid w:val="00CA6772"/>
    <w:rsid w:val="00CA6CD3"/>
    <w:rsid w:val="00CA6F7D"/>
    <w:rsid w:val="00CA749B"/>
    <w:rsid w:val="00CA76C7"/>
    <w:rsid w:val="00CA7FCA"/>
    <w:rsid w:val="00CACC6A"/>
    <w:rsid w:val="00CB03C9"/>
    <w:rsid w:val="00CB056C"/>
    <w:rsid w:val="00CB1301"/>
    <w:rsid w:val="00CB148D"/>
    <w:rsid w:val="00CB34DD"/>
    <w:rsid w:val="00CB36E0"/>
    <w:rsid w:val="00CB3974"/>
    <w:rsid w:val="00CB41A7"/>
    <w:rsid w:val="00CB52F8"/>
    <w:rsid w:val="00CB5B95"/>
    <w:rsid w:val="00CB601A"/>
    <w:rsid w:val="00CB6050"/>
    <w:rsid w:val="00CB607D"/>
    <w:rsid w:val="00CB646E"/>
    <w:rsid w:val="00CB74C7"/>
    <w:rsid w:val="00CB7A50"/>
    <w:rsid w:val="00CB7C1F"/>
    <w:rsid w:val="00CB7E7E"/>
    <w:rsid w:val="00CC026E"/>
    <w:rsid w:val="00CC0AB6"/>
    <w:rsid w:val="00CC0EB4"/>
    <w:rsid w:val="00CC0F43"/>
    <w:rsid w:val="00CC1121"/>
    <w:rsid w:val="00CC16C5"/>
    <w:rsid w:val="00CC28DE"/>
    <w:rsid w:val="00CC2A0C"/>
    <w:rsid w:val="00CC4128"/>
    <w:rsid w:val="00CC42EE"/>
    <w:rsid w:val="00CC464D"/>
    <w:rsid w:val="00CC49F6"/>
    <w:rsid w:val="00CC546A"/>
    <w:rsid w:val="00CC548B"/>
    <w:rsid w:val="00CC58B4"/>
    <w:rsid w:val="00CC5E7D"/>
    <w:rsid w:val="00CC60C1"/>
    <w:rsid w:val="00CC6E44"/>
    <w:rsid w:val="00CD00B7"/>
    <w:rsid w:val="00CD141F"/>
    <w:rsid w:val="00CD1E2C"/>
    <w:rsid w:val="00CD2130"/>
    <w:rsid w:val="00CD2FAC"/>
    <w:rsid w:val="00CD31EE"/>
    <w:rsid w:val="00CD3458"/>
    <w:rsid w:val="00CD390E"/>
    <w:rsid w:val="00CD3B93"/>
    <w:rsid w:val="00CD4ADA"/>
    <w:rsid w:val="00CD4F85"/>
    <w:rsid w:val="00CD5413"/>
    <w:rsid w:val="00CD59FB"/>
    <w:rsid w:val="00CD5A4B"/>
    <w:rsid w:val="00CD5C3C"/>
    <w:rsid w:val="00CD5E40"/>
    <w:rsid w:val="00CD5F0A"/>
    <w:rsid w:val="00CD6138"/>
    <w:rsid w:val="00CD7ADF"/>
    <w:rsid w:val="00CD7B34"/>
    <w:rsid w:val="00CD7BD0"/>
    <w:rsid w:val="00CD7C67"/>
    <w:rsid w:val="00CD7E48"/>
    <w:rsid w:val="00CE04AE"/>
    <w:rsid w:val="00CE1400"/>
    <w:rsid w:val="00CE1677"/>
    <w:rsid w:val="00CE16B0"/>
    <w:rsid w:val="00CE1AC0"/>
    <w:rsid w:val="00CE1C58"/>
    <w:rsid w:val="00CE2000"/>
    <w:rsid w:val="00CE20F1"/>
    <w:rsid w:val="00CE2343"/>
    <w:rsid w:val="00CE2578"/>
    <w:rsid w:val="00CE29B8"/>
    <w:rsid w:val="00CE2B0F"/>
    <w:rsid w:val="00CE2D6D"/>
    <w:rsid w:val="00CE2D83"/>
    <w:rsid w:val="00CE2F31"/>
    <w:rsid w:val="00CE3A33"/>
    <w:rsid w:val="00CE3C5D"/>
    <w:rsid w:val="00CE4201"/>
    <w:rsid w:val="00CE4509"/>
    <w:rsid w:val="00CE4EF1"/>
    <w:rsid w:val="00CE50A4"/>
    <w:rsid w:val="00CE535B"/>
    <w:rsid w:val="00CE5A8F"/>
    <w:rsid w:val="00CE6386"/>
    <w:rsid w:val="00CE6905"/>
    <w:rsid w:val="00CE6C66"/>
    <w:rsid w:val="00CE79BD"/>
    <w:rsid w:val="00CE7ABB"/>
    <w:rsid w:val="00CE7BB8"/>
    <w:rsid w:val="00CE7C94"/>
    <w:rsid w:val="00CF07C2"/>
    <w:rsid w:val="00CF0BE9"/>
    <w:rsid w:val="00CF1450"/>
    <w:rsid w:val="00CF1EA6"/>
    <w:rsid w:val="00CF3051"/>
    <w:rsid w:val="00CF35CA"/>
    <w:rsid w:val="00CF4CC2"/>
    <w:rsid w:val="00CF4F6C"/>
    <w:rsid w:val="00CF5EF8"/>
    <w:rsid w:val="00CF6133"/>
    <w:rsid w:val="00CF6A20"/>
    <w:rsid w:val="00CF6E8C"/>
    <w:rsid w:val="00D00311"/>
    <w:rsid w:val="00D0079B"/>
    <w:rsid w:val="00D0097F"/>
    <w:rsid w:val="00D00BB5"/>
    <w:rsid w:val="00D015DF"/>
    <w:rsid w:val="00D01B84"/>
    <w:rsid w:val="00D02592"/>
    <w:rsid w:val="00D0308F"/>
    <w:rsid w:val="00D03A7C"/>
    <w:rsid w:val="00D04F34"/>
    <w:rsid w:val="00D06A1E"/>
    <w:rsid w:val="00D06B9B"/>
    <w:rsid w:val="00D07863"/>
    <w:rsid w:val="00D07A63"/>
    <w:rsid w:val="00D07A6F"/>
    <w:rsid w:val="00D07AEB"/>
    <w:rsid w:val="00D07AF9"/>
    <w:rsid w:val="00D115F7"/>
    <w:rsid w:val="00D1220E"/>
    <w:rsid w:val="00D122FD"/>
    <w:rsid w:val="00D12433"/>
    <w:rsid w:val="00D13314"/>
    <w:rsid w:val="00D14201"/>
    <w:rsid w:val="00D1424C"/>
    <w:rsid w:val="00D147C1"/>
    <w:rsid w:val="00D14EC2"/>
    <w:rsid w:val="00D151E3"/>
    <w:rsid w:val="00D152E7"/>
    <w:rsid w:val="00D15744"/>
    <w:rsid w:val="00D158A3"/>
    <w:rsid w:val="00D158B8"/>
    <w:rsid w:val="00D16A26"/>
    <w:rsid w:val="00D16B55"/>
    <w:rsid w:val="00D2075C"/>
    <w:rsid w:val="00D21122"/>
    <w:rsid w:val="00D21468"/>
    <w:rsid w:val="00D2158C"/>
    <w:rsid w:val="00D22955"/>
    <w:rsid w:val="00D2295C"/>
    <w:rsid w:val="00D232FD"/>
    <w:rsid w:val="00D23920"/>
    <w:rsid w:val="00D23B9B"/>
    <w:rsid w:val="00D23F7B"/>
    <w:rsid w:val="00D23FD2"/>
    <w:rsid w:val="00D24C33"/>
    <w:rsid w:val="00D24CA4"/>
    <w:rsid w:val="00D24D99"/>
    <w:rsid w:val="00D2510D"/>
    <w:rsid w:val="00D25751"/>
    <w:rsid w:val="00D25B06"/>
    <w:rsid w:val="00D26144"/>
    <w:rsid w:val="00D262E0"/>
    <w:rsid w:val="00D263BF"/>
    <w:rsid w:val="00D2655C"/>
    <w:rsid w:val="00D27319"/>
    <w:rsid w:val="00D27FAD"/>
    <w:rsid w:val="00D302FE"/>
    <w:rsid w:val="00D3099C"/>
    <w:rsid w:val="00D30B1C"/>
    <w:rsid w:val="00D31A0B"/>
    <w:rsid w:val="00D31F7A"/>
    <w:rsid w:val="00D32083"/>
    <w:rsid w:val="00D3265D"/>
    <w:rsid w:val="00D326B1"/>
    <w:rsid w:val="00D32C72"/>
    <w:rsid w:val="00D32D92"/>
    <w:rsid w:val="00D32F1B"/>
    <w:rsid w:val="00D3372A"/>
    <w:rsid w:val="00D3377F"/>
    <w:rsid w:val="00D340AD"/>
    <w:rsid w:val="00D3430A"/>
    <w:rsid w:val="00D35281"/>
    <w:rsid w:val="00D352CC"/>
    <w:rsid w:val="00D35D1C"/>
    <w:rsid w:val="00D35E15"/>
    <w:rsid w:val="00D36058"/>
    <w:rsid w:val="00D37050"/>
    <w:rsid w:val="00D40008"/>
    <w:rsid w:val="00D40512"/>
    <w:rsid w:val="00D40B7E"/>
    <w:rsid w:val="00D40C5F"/>
    <w:rsid w:val="00D41C8D"/>
    <w:rsid w:val="00D4216A"/>
    <w:rsid w:val="00D42744"/>
    <w:rsid w:val="00D42B2D"/>
    <w:rsid w:val="00D439AB"/>
    <w:rsid w:val="00D43F30"/>
    <w:rsid w:val="00D4427C"/>
    <w:rsid w:val="00D443DC"/>
    <w:rsid w:val="00D444C4"/>
    <w:rsid w:val="00D444EE"/>
    <w:rsid w:val="00D44608"/>
    <w:rsid w:val="00D44C32"/>
    <w:rsid w:val="00D44CF4"/>
    <w:rsid w:val="00D457EA"/>
    <w:rsid w:val="00D458B4"/>
    <w:rsid w:val="00D45D69"/>
    <w:rsid w:val="00D47363"/>
    <w:rsid w:val="00D476D0"/>
    <w:rsid w:val="00D4785F"/>
    <w:rsid w:val="00D47948"/>
    <w:rsid w:val="00D509A2"/>
    <w:rsid w:val="00D50D05"/>
    <w:rsid w:val="00D511AC"/>
    <w:rsid w:val="00D51269"/>
    <w:rsid w:val="00D514DE"/>
    <w:rsid w:val="00D51690"/>
    <w:rsid w:val="00D51709"/>
    <w:rsid w:val="00D51C02"/>
    <w:rsid w:val="00D51DCC"/>
    <w:rsid w:val="00D51E9C"/>
    <w:rsid w:val="00D51EFC"/>
    <w:rsid w:val="00D52080"/>
    <w:rsid w:val="00D52A7B"/>
    <w:rsid w:val="00D53184"/>
    <w:rsid w:val="00D533BE"/>
    <w:rsid w:val="00D53435"/>
    <w:rsid w:val="00D534E9"/>
    <w:rsid w:val="00D53560"/>
    <w:rsid w:val="00D5403C"/>
    <w:rsid w:val="00D54655"/>
    <w:rsid w:val="00D5469A"/>
    <w:rsid w:val="00D54FCA"/>
    <w:rsid w:val="00D5500A"/>
    <w:rsid w:val="00D55A20"/>
    <w:rsid w:val="00D55AFA"/>
    <w:rsid w:val="00D55B66"/>
    <w:rsid w:val="00D55BC5"/>
    <w:rsid w:val="00D55C8B"/>
    <w:rsid w:val="00D55FE2"/>
    <w:rsid w:val="00D5755B"/>
    <w:rsid w:val="00D57BC0"/>
    <w:rsid w:val="00D57E49"/>
    <w:rsid w:val="00D60A75"/>
    <w:rsid w:val="00D611D2"/>
    <w:rsid w:val="00D61590"/>
    <w:rsid w:val="00D61C4E"/>
    <w:rsid w:val="00D61EFB"/>
    <w:rsid w:val="00D6238E"/>
    <w:rsid w:val="00D625D0"/>
    <w:rsid w:val="00D62E8F"/>
    <w:rsid w:val="00D62FC1"/>
    <w:rsid w:val="00D63531"/>
    <w:rsid w:val="00D64084"/>
    <w:rsid w:val="00D64519"/>
    <w:rsid w:val="00D64672"/>
    <w:rsid w:val="00D64F47"/>
    <w:rsid w:val="00D65A82"/>
    <w:rsid w:val="00D66002"/>
    <w:rsid w:val="00D66266"/>
    <w:rsid w:val="00D66AF8"/>
    <w:rsid w:val="00D66E74"/>
    <w:rsid w:val="00D67A36"/>
    <w:rsid w:val="00D67AAA"/>
    <w:rsid w:val="00D67EB7"/>
    <w:rsid w:val="00D702A9"/>
    <w:rsid w:val="00D702B3"/>
    <w:rsid w:val="00D70E98"/>
    <w:rsid w:val="00D71A7B"/>
    <w:rsid w:val="00D729B5"/>
    <w:rsid w:val="00D73435"/>
    <w:rsid w:val="00D73CAD"/>
    <w:rsid w:val="00D73FA2"/>
    <w:rsid w:val="00D74023"/>
    <w:rsid w:val="00D74036"/>
    <w:rsid w:val="00D74788"/>
    <w:rsid w:val="00D74917"/>
    <w:rsid w:val="00D74CFC"/>
    <w:rsid w:val="00D75947"/>
    <w:rsid w:val="00D75C8C"/>
    <w:rsid w:val="00D764AE"/>
    <w:rsid w:val="00D767EB"/>
    <w:rsid w:val="00D77A54"/>
    <w:rsid w:val="00D77AF9"/>
    <w:rsid w:val="00D77B18"/>
    <w:rsid w:val="00D812E1"/>
    <w:rsid w:val="00D817B1"/>
    <w:rsid w:val="00D82046"/>
    <w:rsid w:val="00D8237B"/>
    <w:rsid w:val="00D823A6"/>
    <w:rsid w:val="00D8262D"/>
    <w:rsid w:val="00D828B0"/>
    <w:rsid w:val="00D83847"/>
    <w:rsid w:val="00D8487A"/>
    <w:rsid w:val="00D8495D"/>
    <w:rsid w:val="00D84F0D"/>
    <w:rsid w:val="00D85A57"/>
    <w:rsid w:val="00D86161"/>
    <w:rsid w:val="00D8635B"/>
    <w:rsid w:val="00D86A55"/>
    <w:rsid w:val="00D878C8"/>
    <w:rsid w:val="00D87B65"/>
    <w:rsid w:val="00D87BE9"/>
    <w:rsid w:val="00D87E8F"/>
    <w:rsid w:val="00D9034D"/>
    <w:rsid w:val="00D90F53"/>
    <w:rsid w:val="00D916E3"/>
    <w:rsid w:val="00D91BA9"/>
    <w:rsid w:val="00D9266A"/>
    <w:rsid w:val="00D92910"/>
    <w:rsid w:val="00D92BE1"/>
    <w:rsid w:val="00D92DC5"/>
    <w:rsid w:val="00D939B6"/>
    <w:rsid w:val="00D93E13"/>
    <w:rsid w:val="00D94308"/>
    <w:rsid w:val="00D94A12"/>
    <w:rsid w:val="00D94EC0"/>
    <w:rsid w:val="00D96A89"/>
    <w:rsid w:val="00D96FB9"/>
    <w:rsid w:val="00D97001"/>
    <w:rsid w:val="00D973DB"/>
    <w:rsid w:val="00D9794A"/>
    <w:rsid w:val="00DA000A"/>
    <w:rsid w:val="00DA051C"/>
    <w:rsid w:val="00DA0866"/>
    <w:rsid w:val="00DA0911"/>
    <w:rsid w:val="00DA0C89"/>
    <w:rsid w:val="00DA1072"/>
    <w:rsid w:val="00DA1300"/>
    <w:rsid w:val="00DA1A1B"/>
    <w:rsid w:val="00DA1B01"/>
    <w:rsid w:val="00DA24A2"/>
    <w:rsid w:val="00DA27CA"/>
    <w:rsid w:val="00DA31EF"/>
    <w:rsid w:val="00DA36F4"/>
    <w:rsid w:val="00DA4A4B"/>
    <w:rsid w:val="00DA4E66"/>
    <w:rsid w:val="00DA4FCC"/>
    <w:rsid w:val="00DA50EA"/>
    <w:rsid w:val="00DA532A"/>
    <w:rsid w:val="00DA5A5D"/>
    <w:rsid w:val="00DA5D79"/>
    <w:rsid w:val="00DA6427"/>
    <w:rsid w:val="00DA6884"/>
    <w:rsid w:val="00DA6A44"/>
    <w:rsid w:val="00DA6EF4"/>
    <w:rsid w:val="00DA75DB"/>
    <w:rsid w:val="00DA794A"/>
    <w:rsid w:val="00DA7A31"/>
    <w:rsid w:val="00DA7C17"/>
    <w:rsid w:val="00DB04D5"/>
    <w:rsid w:val="00DB0500"/>
    <w:rsid w:val="00DB054A"/>
    <w:rsid w:val="00DB0C89"/>
    <w:rsid w:val="00DB0CEE"/>
    <w:rsid w:val="00DB154F"/>
    <w:rsid w:val="00DB2423"/>
    <w:rsid w:val="00DB275B"/>
    <w:rsid w:val="00DB2A0F"/>
    <w:rsid w:val="00DB3341"/>
    <w:rsid w:val="00DB3B97"/>
    <w:rsid w:val="00DB3F06"/>
    <w:rsid w:val="00DB3FF5"/>
    <w:rsid w:val="00DB477C"/>
    <w:rsid w:val="00DB4BAC"/>
    <w:rsid w:val="00DB5A8D"/>
    <w:rsid w:val="00DB5A93"/>
    <w:rsid w:val="00DB5E05"/>
    <w:rsid w:val="00DB5EDC"/>
    <w:rsid w:val="00DB6BD3"/>
    <w:rsid w:val="00DB763E"/>
    <w:rsid w:val="00DB7BFA"/>
    <w:rsid w:val="00DC02CA"/>
    <w:rsid w:val="00DC112A"/>
    <w:rsid w:val="00DC16C0"/>
    <w:rsid w:val="00DC2749"/>
    <w:rsid w:val="00DC2C9F"/>
    <w:rsid w:val="00DC38C5"/>
    <w:rsid w:val="00DC39E3"/>
    <w:rsid w:val="00DC4760"/>
    <w:rsid w:val="00DC47FD"/>
    <w:rsid w:val="00DC4C49"/>
    <w:rsid w:val="00DC5020"/>
    <w:rsid w:val="00DC6464"/>
    <w:rsid w:val="00DC66CB"/>
    <w:rsid w:val="00DC6926"/>
    <w:rsid w:val="00DC6A46"/>
    <w:rsid w:val="00DC6B20"/>
    <w:rsid w:val="00DC726C"/>
    <w:rsid w:val="00DD0426"/>
    <w:rsid w:val="00DD04D4"/>
    <w:rsid w:val="00DD0FE3"/>
    <w:rsid w:val="00DD1249"/>
    <w:rsid w:val="00DD17F8"/>
    <w:rsid w:val="00DD2455"/>
    <w:rsid w:val="00DD2597"/>
    <w:rsid w:val="00DD274B"/>
    <w:rsid w:val="00DD2F41"/>
    <w:rsid w:val="00DD3218"/>
    <w:rsid w:val="00DD3A81"/>
    <w:rsid w:val="00DD3ABA"/>
    <w:rsid w:val="00DD4D54"/>
    <w:rsid w:val="00DD4F42"/>
    <w:rsid w:val="00DD52CB"/>
    <w:rsid w:val="00DD706D"/>
    <w:rsid w:val="00DD7259"/>
    <w:rsid w:val="00DD7516"/>
    <w:rsid w:val="00DE0E95"/>
    <w:rsid w:val="00DE0F9B"/>
    <w:rsid w:val="00DE12A1"/>
    <w:rsid w:val="00DE14E3"/>
    <w:rsid w:val="00DE1ECB"/>
    <w:rsid w:val="00DE203B"/>
    <w:rsid w:val="00DE2702"/>
    <w:rsid w:val="00DE2AF5"/>
    <w:rsid w:val="00DE2F9E"/>
    <w:rsid w:val="00DE360E"/>
    <w:rsid w:val="00DE3EF7"/>
    <w:rsid w:val="00DE41C6"/>
    <w:rsid w:val="00DE45E0"/>
    <w:rsid w:val="00DE4891"/>
    <w:rsid w:val="00DE4D5A"/>
    <w:rsid w:val="00DE5892"/>
    <w:rsid w:val="00DE59A0"/>
    <w:rsid w:val="00DE59A1"/>
    <w:rsid w:val="00DE5BFD"/>
    <w:rsid w:val="00DE6183"/>
    <w:rsid w:val="00DE63FD"/>
    <w:rsid w:val="00DE6582"/>
    <w:rsid w:val="00DE68BB"/>
    <w:rsid w:val="00DE6903"/>
    <w:rsid w:val="00DE6B83"/>
    <w:rsid w:val="00DE7635"/>
    <w:rsid w:val="00DE7692"/>
    <w:rsid w:val="00DE7711"/>
    <w:rsid w:val="00DE7B0B"/>
    <w:rsid w:val="00DE7E5D"/>
    <w:rsid w:val="00DE7F0B"/>
    <w:rsid w:val="00DF0212"/>
    <w:rsid w:val="00DF055C"/>
    <w:rsid w:val="00DF1443"/>
    <w:rsid w:val="00DF2413"/>
    <w:rsid w:val="00DF2DDA"/>
    <w:rsid w:val="00DF34A1"/>
    <w:rsid w:val="00DF3CC1"/>
    <w:rsid w:val="00DF3D8B"/>
    <w:rsid w:val="00DF43A5"/>
    <w:rsid w:val="00DF43AD"/>
    <w:rsid w:val="00DF447A"/>
    <w:rsid w:val="00DF4B82"/>
    <w:rsid w:val="00DF5135"/>
    <w:rsid w:val="00DF52E4"/>
    <w:rsid w:val="00DF5728"/>
    <w:rsid w:val="00DF6277"/>
    <w:rsid w:val="00DF6692"/>
    <w:rsid w:val="00DF6744"/>
    <w:rsid w:val="00DF6FFA"/>
    <w:rsid w:val="00DF734F"/>
    <w:rsid w:val="00DF7DAB"/>
    <w:rsid w:val="00DF7F27"/>
    <w:rsid w:val="00DF7F4D"/>
    <w:rsid w:val="00E0020B"/>
    <w:rsid w:val="00E003CF"/>
    <w:rsid w:val="00E003EB"/>
    <w:rsid w:val="00E006B1"/>
    <w:rsid w:val="00E00CFD"/>
    <w:rsid w:val="00E01428"/>
    <w:rsid w:val="00E01DEC"/>
    <w:rsid w:val="00E023CD"/>
    <w:rsid w:val="00E02AE2"/>
    <w:rsid w:val="00E02C37"/>
    <w:rsid w:val="00E0524A"/>
    <w:rsid w:val="00E0544E"/>
    <w:rsid w:val="00E0558B"/>
    <w:rsid w:val="00E0574F"/>
    <w:rsid w:val="00E06152"/>
    <w:rsid w:val="00E06861"/>
    <w:rsid w:val="00E06C16"/>
    <w:rsid w:val="00E07423"/>
    <w:rsid w:val="00E07514"/>
    <w:rsid w:val="00E07C01"/>
    <w:rsid w:val="00E07D30"/>
    <w:rsid w:val="00E1024B"/>
    <w:rsid w:val="00E10DDB"/>
    <w:rsid w:val="00E11103"/>
    <w:rsid w:val="00E113E4"/>
    <w:rsid w:val="00E113FB"/>
    <w:rsid w:val="00E1170D"/>
    <w:rsid w:val="00E11FB6"/>
    <w:rsid w:val="00E12600"/>
    <w:rsid w:val="00E127C5"/>
    <w:rsid w:val="00E12F2A"/>
    <w:rsid w:val="00E1371C"/>
    <w:rsid w:val="00E13A1D"/>
    <w:rsid w:val="00E13D6B"/>
    <w:rsid w:val="00E14903"/>
    <w:rsid w:val="00E154D1"/>
    <w:rsid w:val="00E15A7E"/>
    <w:rsid w:val="00E15FA1"/>
    <w:rsid w:val="00E1667D"/>
    <w:rsid w:val="00E16A29"/>
    <w:rsid w:val="00E1720A"/>
    <w:rsid w:val="00E1721C"/>
    <w:rsid w:val="00E176CB"/>
    <w:rsid w:val="00E17763"/>
    <w:rsid w:val="00E17BCD"/>
    <w:rsid w:val="00E206AE"/>
    <w:rsid w:val="00E20D33"/>
    <w:rsid w:val="00E212D1"/>
    <w:rsid w:val="00E217D5"/>
    <w:rsid w:val="00E22FBA"/>
    <w:rsid w:val="00E23288"/>
    <w:rsid w:val="00E23860"/>
    <w:rsid w:val="00E23C3C"/>
    <w:rsid w:val="00E240A1"/>
    <w:rsid w:val="00E2414D"/>
    <w:rsid w:val="00E241A1"/>
    <w:rsid w:val="00E245BC"/>
    <w:rsid w:val="00E247E0"/>
    <w:rsid w:val="00E25453"/>
    <w:rsid w:val="00E2548A"/>
    <w:rsid w:val="00E25B6E"/>
    <w:rsid w:val="00E25FB7"/>
    <w:rsid w:val="00E264F7"/>
    <w:rsid w:val="00E26642"/>
    <w:rsid w:val="00E26B8D"/>
    <w:rsid w:val="00E30767"/>
    <w:rsid w:val="00E3076E"/>
    <w:rsid w:val="00E31B0A"/>
    <w:rsid w:val="00E31F5E"/>
    <w:rsid w:val="00E32660"/>
    <w:rsid w:val="00E32ABC"/>
    <w:rsid w:val="00E32F53"/>
    <w:rsid w:val="00E32FDC"/>
    <w:rsid w:val="00E33206"/>
    <w:rsid w:val="00E3334C"/>
    <w:rsid w:val="00E33568"/>
    <w:rsid w:val="00E338A7"/>
    <w:rsid w:val="00E33F88"/>
    <w:rsid w:val="00E33FBE"/>
    <w:rsid w:val="00E3425F"/>
    <w:rsid w:val="00E349DE"/>
    <w:rsid w:val="00E3536C"/>
    <w:rsid w:val="00E359DA"/>
    <w:rsid w:val="00E37518"/>
    <w:rsid w:val="00E37CA2"/>
    <w:rsid w:val="00E37DB5"/>
    <w:rsid w:val="00E4025F"/>
    <w:rsid w:val="00E405C9"/>
    <w:rsid w:val="00E41238"/>
    <w:rsid w:val="00E417F2"/>
    <w:rsid w:val="00E421A9"/>
    <w:rsid w:val="00E424F7"/>
    <w:rsid w:val="00E42AE6"/>
    <w:rsid w:val="00E4304E"/>
    <w:rsid w:val="00E4364E"/>
    <w:rsid w:val="00E4411F"/>
    <w:rsid w:val="00E4499D"/>
    <w:rsid w:val="00E4622C"/>
    <w:rsid w:val="00E46EC2"/>
    <w:rsid w:val="00E47049"/>
    <w:rsid w:val="00E47704"/>
    <w:rsid w:val="00E47852"/>
    <w:rsid w:val="00E47BA1"/>
    <w:rsid w:val="00E50FDD"/>
    <w:rsid w:val="00E51746"/>
    <w:rsid w:val="00E5196D"/>
    <w:rsid w:val="00E52631"/>
    <w:rsid w:val="00E52778"/>
    <w:rsid w:val="00E52DF1"/>
    <w:rsid w:val="00E53C4F"/>
    <w:rsid w:val="00E543C2"/>
    <w:rsid w:val="00E544E3"/>
    <w:rsid w:val="00E554EC"/>
    <w:rsid w:val="00E5609B"/>
    <w:rsid w:val="00E564AA"/>
    <w:rsid w:val="00E57922"/>
    <w:rsid w:val="00E60043"/>
    <w:rsid w:val="00E60129"/>
    <w:rsid w:val="00E601A2"/>
    <w:rsid w:val="00E60F81"/>
    <w:rsid w:val="00E61BC1"/>
    <w:rsid w:val="00E61C75"/>
    <w:rsid w:val="00E6269F"/>
    <w:rsid w:val="00E62E76"/>
    <w:rsid w:val="00E632D7"/>
    <w:rsid w:val="00E63349"/>
    <w:rsid w:val="00E63613"/>
    <w:rsid w:val="00E63637"/>
    <w:rsid w:val="00E63B40"/>
    <w:rsid w:val="00E63F38"/>
    <w:rsid w:val="00E65014"/>
    <w:rsid w:val="00E6551E"/>
    <w:rsid w:val="00E6620C"/>
    <w:rsid w:val="00E6638F"/>
    <w:rsid w:val="00E66437"/>
    <w:rsid w:val="00E67268"/>
    <w:rsid w:val="00E675F8"/>
    <w:rsid w:val="00E67625"/>
    <w:rsid w:val="00E67B4E"/>
    <w:rsid w:val="00E67E61"/>
    <w:rsid w:val="00E7014B"/>
    <w:rsid w:val="00E7019E"/>
    <w:rsid w:val="00E70DD6"/>
    <w:rsid w:val="00E70E2F"/>
    <w:rsid w:val="00E7174C"/>
    <w:rsid w:val="00E71CE3"/>
    <w:rsid w:val="00E727A6"/>
    <w:rsid w:val="00E72836"/>
    <w:rsid w:val="00E72DAA"/>
    <w:rsid w:val="00E7312A"/>
    <w:rsid w:val="00E73422"/>
    <w:rsid w:val="00E7342F"/>
    <w:rsid w:val="00E734BC"/>
    <w:rsid w:val="00E73560"/>
    <w:rsid w:val="00E736EC"/>
    <w:rsid w:val="00E736ED"/>
    <w:rsid w:val="00E737F9"/>
    <w:rsid w:val="00E7396B"/>
    <w:rsid w:val="00E74209"/>
    <w:rsid w:val="00E7441D"/>
    <w:rsid w:val="00E748C9"/>
    <w:rsid w:val="00E74DF5"/>
    <w:rsid w:val="00E75051"/>
    <w:rsid w:val="00E750C9"/>
    <w:rsid w:val="00E7566D"/>
    <w:rsid w:val="00E75D52"/>
    <w:rsid w:val="00E75E1C"/>
    <w:rsid w:val="00E75FB7"/>
    <w:rsid w:val="00E760F1"/>
    <w:rsid w:val="00E76F3A"/>
    <w:rsid w:val="00E76FC1"/>
    <w:rsid w:val="00E7764C"/>
    <w:rsid w:val="00E800BA"/>
    <w:rsid w:val="00E80EFC"/>
    <w:rsid w:val="00E81016"/>
    <w:rsid w:val="00E8147E"/>
    <w:rsid w:val="00E818AA"/>
    <w:rsid w:val="00E81D8A"/>
    <w:rsid w:val="00E82440"/>
    <w:rsid w:val="00E825B6"/>
    <w:rsid w:val="00E82D36"/>
    <w:rsid w:val="00E82F8F"/>
    <w:rsid w:val="00E83E1E"/>
    <w:rsid w:val="00E84378"/>
    <w:rsid w:val="00E84548"/>
    <w:rsid w:val="00E8456E"/>
    <w:rsid w:val="00E845AA"/>
    <w:rsid w:val="00E84DEA"/>
    <w:rsid w:val="00E853D9"/>
    <w:rsid w:val="00E85BCD"/>
    <w:rsid w:val="00E86633"/>
    <w:rsid w:val="00E86D66"/>
    <w:rsid w:val="00E86EE7"/>
    <w:rsid w:val="00E871F2"/>
    <w:rsid w:val="00E87751"/>
    <w:rsid w:val="00E87C40"/>
    <w:rsid w:val="00E87D1B"/>
    <w:rsid w:val="00E87E30"/>
    <w:rsid w:val="00E91264"/>
    <w:rsid w:val="00E91C19"/>
    <w:rsid w:val="00E92834"/>
    <w:rsid w:val="00E92B91"/>
    <w:rsid w:val="00E92FB5"/>
    <w:rsid w:val="00E935B9"/>
    <w:rsid w:val="00E93E56"/>
    <w:rsid w:val="00E945C1"/>
    <w:rsid w:val="00E9486E"/>
    <w:rsid w:val="00E94944"/>
    <w:rsid w:val="00E94CF9"/>
    <w:rsid w:val="00E95F07"/>
    <w:rsid w:val="00E95F67"/>
    <w:rsid w:val="00E96635"/>
    <w:rsid w:val="00E96EAA"/>
    <w:rsid w:val="00E970CD"/>
    <w:rsid w:val="00E97839"/>
    <w:rsid w:val="00E97EF9"/>
    <w:rsid w:val="00EA083D"/>
    <w:rsid w:val="00EA09B6"/>
    <w:rsid w:val="00EA11C1"/>
    <w:rsid w:val="00EA1D7D"/>
    <w:rsid w:val="00EA1EC8"/>
    <w:rsid w:val="00EA448A"/>
    <w:rsid w:val="00EA473A"/>
    <w:rsid w:val="00EA4C15"/>
    <w:rsid w:val="00EA52E2"/>
    <w:rsid w:val="00EA57F7"/>
    <w:rsid w:val="00EA5DB3"/>
    <w:rsid w:val="00EA5DF1"/>
    <w:rsid w:val="00EA6303"/>
    <w:rsid w:val="00EA6E98"/>
    <w:rsid w:val="00EA77CB"/>
    <w:rsid w:val="00EB04F8"/>
    <w:rsid w:val="00EB0E4A"/>
    <w:rsid w:val="00EB1803"/>
    <w:rsid w:val="00EB1818"/>
    <w:rsid w:val="00EB1D62"/>
    <w:rsid w:val="00EB2271"/>
    <w:rsid w:val="00EB2757"/>
    <w:rsid w:val="00EB418B"/>
    <w:rsid w:val="00EB41C5"/>
    <w:rsid w:val="00EB45C7"/>
    <w:rsid w:val="00EB50AA"/>
    <w:rsid w:val="00EB5E8C"/>
    <w:rsid w:val="00EB631F"/>
    <w:rsid w:val="00EB6AB4"/>
    <w:rsid w:val="00EB6C78"/>
    <w:rsid w:val="00EB73C7"/>
    <w:rsid w:val="00EB77DD"/>
    <w:rsid w:val="00EB7DB2"/>
    <w:rsid w:val="00EC006D"/>
    <w:rsid w:val="00EC081D"/>
    <w:rsid w:val="00EC1FBF"/>
    <w:rsid w:val="00EC2841"/>
    <w:rsid w:val="00EC377A"/>
    <w:rsid w:val="00EC37DF"/>
    <w:rsid w:val="00EC4862"/>
    <w:rsid w:val="00EC4B0E"/>
    <w:rsid w:val="00EC4F81"/>
    <w:rsid w:val="00EC5918"/>
    <w:rsid w:val="00EC62AC"/>
    <w:rsid w:val="00EC6E3D"/>
    <w:rsid w:val="00EC7A48"/>
    <w:rsid w:val="00EC7FBB"/>
    <w:rsid w:val="00ED095F"/>
    <w:rsid w:val="00ED0E37"/>
    <w:rsid w:val="00ED0FDD"/>
    <w:rsid w:val="00ED1F10"/>
    <w:rsid w:val="00ED216E"/>
    <w:rsid w:val="00ED270F"/>
    <w:rsid w:val="00ED27C2"/>
    <w:rsid w:val="00ED2909"/>
    <w:rsid w:val="00ED29B0"/>
    <w:rsid w:val="00ED2E6A"/>
    <w:rsid w:val="00ED3103"/>
    <w:rsid w:val="00ED349A"/>
    <w:rsid w:val="00ED374B"/>
    <w:rsid w:val="00ED38D4"/>
    <w:rsid w:val="00ED3C1F"/>
    <w:rsid w:val="00ED3CCE"/>
    <w:rsid w:val="00ED3E07"/>
    <w:rsid w:val="00ED3F9C"/>
    <w:rsid w:val="00ED428D"/>
    <w:rsid w:val="00ED4356"/>
    <w:rsid w:val="00ED4439"/>
    <w:rsid w:val="00ED4519"/>
    <w:rsid w:val="00ED4B30"/>
    <w:rsid w:val="00ED59EB"/>
    <w:rsid w:val="00ED5B30"/>
    <w:rsid w:val="00ED60CF"/>
    <w:rsid w:val="00ED628A"/>
    <w:rsid w:val="00ED662B"/>
    <w:rsid w:val="00ED6A45"/>
    <w:rsid w:val="00ED7D1E"/>
    <w:rsid w:val="00EE0364"/>
    <w:rsid w:val="00EE0C9C"/>
    <w:rsid w:val="00EE15A7"/>
    <w:rsid w:val="00EE1685"/>
    <w:rsid w:val="00EE185B"/>
    <w:rsid w:val="00EE216D"/>
    <w:rsid w:val="00EE2214"/>
    <w:rsid w:val="00EE26CC"/>
    <w:rsid w:val="00EE2B0F"/>
    <w:rsid w:val="00EE2DB2"/>
    <w:rsid w:val="00EE304C"/>
    <w:rsid w:val="00EE3A26"/>
    <w:rsid w:val="00EE4219"/>
    <w:rsid w:val="00EE4B31"/>
    <w:rsid w:val="00EE57D7"/>
    <w:rsid w:val="00EE5A1D"/>
    <w:rsid w:val="00EE625D"/>
    <w:rsid w:val="00EE6E79"/>
    <w:rsid w:val="00EE6FD5"/>
    <w:rsid w:val="00EE740F"/>
    <w:rsid w:val="00EE7F89"/>
    <w:rsid w:val="00EF00DE"/>
    <w:rsid w:val="00EF1EFA"/>
    <w:rsid w:val="00EF23A5"/>
    <w:rsid w:val="00EF245E"/>
    <w:rsid w:val="00EF299B"/>
    <w:rsid w:val="00EF2DA2"/>
    <w:rsid w:val="00EF368C"/>
    <w:rsid w:val="00EF4132"/>
    <w:rsid w:val="00EF49F9"/>
    <w:rsid w:val="00EF4FE0"/>
    <w:rsid w:val="00EF56AA"/>
    <w:rsid w:val="00EF587B"/>
    <w:rsid w:val="00EF58CB"/>
    <w:rsid w:val="00EF5F0C"/>
    <w:rsid w:val="00EF64DB"/>
    <w:rsid w:val="00EF6EBE"/>
    <w:rsid w:val="00EF7841"/>
    <w:rsid w:val="00F00DE5"/>
    <w:rsid w:val="00F0144D"/>
    <w:rsid w:val="00F016CF"/>
    <w:rsid w:val="00F022A8"/>
    <w:rsid w:val="00F025AC"/>
    <w:rsid w:val="00F025DD"/>
    <w:rsid w:val="00F02835"/>
    <w:rsid w:val="00F02DFC"/>
    <w:rsid w:val="00F02E5A"/>
    <w:rsid w:val="00F03220"/>
    <w:rsid w:val="00F03CC4"/>
    <w:rsid w:val="00F03EC6"/>
    <w:rsid w:val="00F0426F"/>
    <w:rsid w:val="00F0475C"/>
    <w:rsid w:val="00F04C1E"/>
    <w:rsid w:val="00F0524E"/>
    <w:rsid w:val="00F06F41"/>
    <w:rsid w:val="00F073B7"/>
    <w:rsid w:val="00F07816"/>
    <w:rsid w:val="00F1004D"/>
    <w:rsid w:val="00F104D3"/>
    <w:rsid w:val="00F10737"/>
    <w:rsid w:val="00F10DDE"/>
    <w:rsid w:val="00F10FCA"/>
    <w:rsid w:val="00F11222"/>
    <w:rsid w:val="00F11738"/>
    <w:rsid w:val="00F11810"/>
    <w:rsid w:val="00F1197D"/>
    <w:rsid w:val="00F128E9"/>
    <w:rsid w:val="00F12E93"/>
    <w:rsid w:val="00F12FAF"/>
    <w:rsid w:val="00F132F3"/>
    <w:rsid w:val="00F13A91"/>
    <w:rsid w:val="00F13BEB"/>
    <w:rsid w:val="00F145C0"/>
    <w:rsid w:val="00F14CE4"/>
    <w:rsid w:val="00F15139"/>
    <w:rsid w:val="00F16453"/>
    <w:rsid w:val="00F16AC2"/>
    <w:rsid w:val="00F16D81"/>
    <w:rsid w:val="00F17518"/>
    <w:rsid w:val="00F17555"/>
    <w:rsid w:val="00F176EE"/>
    <w:rsid w:val="00F17936"/>
    <w:rsid w:val="00F17B19"/>
    <w:rsid w:val="00F17EEA"/>
    <w:rsid w:val="00F21218"/>
    <w:rsid w:val="00F21613"/>
    <w:rsid w:val="00F221A3"/>
    <w:rsid w:val="00F22A27"/>
    <w:rsid w:val="00F22E1B"/>
    <w:rsid w:val="00F231DF"/>
    <w:rsid w:val="00F2320A"/>
    <w:rsid w:val="00F2369C"/>
    <w:rsid w:val="00F2376F"/>
    <w:rsid w:val="00F23D3C"/>
    <w:rsid w:val="00F23FF9"/>
    <w:rsid w:val="00F24006"/>
    <w:rsid w:val="00F24027"/>
    <w:rsid w:val="00F2420B"/>
    <w:rsid w:val="00F24223"/>
    <w:rsid w:val="00F2517D"/>
    <w:rsid w:val="00F25A1E"/>
    <w:rsid w:val="00F26614"/>
    <w:rsid w:val="00F2677A"/>
    <w:rsid w:val="00F26B67"/>
    <w:rsid w:val="00F27065"/>
    <w:rsid w:val="00F27B58"/>
    <w:rsid w:val="00F27B99"/>
    <w:rsid w:val="00F3065C"/>
    <w:rsid w:val="00F30903"/>
    <w:rsid w:val="00F30BA0"/>
    <w:rsid w:val="00F313A0"/>
    <w:rsid w:val="00F31F6B"/>
    <w:rsid w:val="00F320C3"/>
    <w:rsid w:val="00F32581"/>
    <w:rsid w:val="00F336D6"/>
    <w:rsid w:val="00F339F4"/>
    <w:rsid w:val="00F35365"/>
    <w:rsid w:val="00F35553"/>
    <w:rsid w:val="00F356F1"/>
    <w:rsid w:val="00F35DAC"/>
    <w:rsid w:val="00F36250"/>
    <w:rsid w:val="00F368A5"/>
    <w:rsid w:val="00F3700B"/>
    <w:rsid w:val="00F375A2"/>
    <w:rsid w:val="00F37680"/>
    <w:rsid w:val="00F37B33"/>
    <w:rsid w:val="00F40478"/>
    <w:rsid w:val="00F40E0F"/>
    <w:rsid w:val="00F40F50"/>
    <w:rsid w:val="00F40FC0"/>
    <w:rsid w:val="00F411F3"/>
    <w:rsid w:val="00F4205A"/>
    <w:rsid w:val="00F42235"/>
    <w:rsid w:val="00F424FA"/>
    <w:rsid w:val="00F434D4"/>
    <w:rsid w:val="00F43930"/>
    <w:rsid w:val="00F4443A"/>
    <w:rsid w:val="00F446EA"/>
    <w:rsid w:val="00F44B8F"/>
    <w:rsid w:val="00F45B55"/>
    <w:rsid w:val="00F45E73"/>
    <w:rsid w:val="00F467A7"/>
    <w:rsid w:val="00F46AA6"/>
    <w:rsid w:val="00F46C23"/>
    <w:rsid w:val="00F47A83"/>
    <w:rsid w:val="00F50118"/>
    <w:rsid w:val="00F514C7"/>
    <w:rsid w:val="00F515DD"/>
    <w:rsid w:val="00F51A39"/>
    <w:rsid w:val="00F51C81"/>
    <w:rsid w:val="00F51D21"/>
    <w:rsid w:val="00F520F8"/>
    <w:rsid w:val="00F52492"/>
    <w:rsid w:val="00F52944"/>
    <w:rsid w:val="00F52B49"/>
    <w:rsid w:val="00F53D8C"/>
    <w:rsid w:val="00F53E77"/>
    <w:rsid w:val="00F53EA2"/>
    <w:rsid w:val="00F53EF8"/>
    <w:rsid w:val="00F544A9"/>
    <w:rsid w:val="00F544F3"/>
    <w:rsid w:val="00F545EE"/>
    <w:rsid w:val="00F54BBF"/>
    <w:rsid w:val="00F557A7"/>
    <w:rsid w:val="00F55B99"/>
    <w:rsid w:val="00F55C10"/>
    <w:rsid w:val="00F56148"/>
    <w:rsid w:val="00F56F17"/>
    <w:rsid w:val="00F5761C"/>
    <w:rsid w:val="00F57D2C"/>
    <w:rsid w:val="00F604FE"/>
    <w:rsid w:val="00F60A55"/>
    <w:rsid w:val="00F6194F"/>
    <w:rsid w:val="00F619EF"/>
    <w:rsid w:val="00F61B08"/>
    <w:rsid w:val="00F628CF"/>
    <w:rsid w:val="00F632C6"/>
    <w:rsid w:val="00F636E1"/>
    <w:rsid w:val="00F63F1A"/>
    <w:rsid w:val="00F63F66"/>
    <w:rsid w:val="00F63F87"/>
    <w:rsid w:val="00F647CF"/>
    <w:rsid w:val="00F64C5F"/>
    <w:rsid w:val="00F65389"/>
    <w:rsid w:val="00F65EC7"/>
    <w:rsid w:val="00F66464"/>
    <w:rsid w:val="00F66841"/>
    <w:rsid w:val="00F66F8B"/>
    <w:rsid w:val="00F67BBA"/>
    <w:rsid w:val="00F70050"/>
    <w:rsid w:val="00F70058"/>
    <w:rsid w:val="00F70118"/>
    <w:rsid w:val="00F708E2"/>
    <w:rsid w:val="00F7182C"/>
    <w:rsid w:val="00F71F79"/>
    <w:rsid w:val="00F720FE"/>
    <w:rsid w:val="00F722A1"/>
    <w:rsid w:val="00F72894"/>
    <w:rsid w:val="00F72A02"/>
    <w:rsid w:val="00F73477"/>
    <w:rsid w:val="00F73D5D"/>
    <w:rsid w:val="00F7409D"/>
    <w:rsid w:val="00F748B4"/>
    <w:rsid w:val="00F74B7D"/>
    <w:rsid w:val="00F74CB8"/>
    <w:rsid w:val="00F757AF"/>
    <w:rsid w:val="00F757D8"/>
    <w:rsid w:val="00F75A0D"/>
    <w:rsid w:val="00F7659D"/>
    <w:rsid w:val="00F76791"/>
    <w:rsid w:val="00F76BEE"/>
    <w:rsid w:val="00F773A1"/>
    <w:rsid w:val="00F77654"/>
    <w:rsid w:val="00F80D1B"/>
    <w:rsid w:val="00F80EC2"/>
    <w:rsid w:val="00F80F61"/>
    <w:rsid w:val="00F81C45"/>
    <w:rsid w:val="00F8254B"/>
    <w:rsid w:val="00F83160"/>
    <w:rsid w:val="00F834CC"/>
    <w:rsid w:val="00F83683"/>
    <w:rsid w:val="00F8373D"/>
    <w:rsid w:val="00F8438D"/>
    <w:rsid w:val="00F8467E"/>
    <w:rsid w:val="00F84D5D"/>
    <w:rsid w:val="00F85067"/>
    <w:rsid w:val="00F85C02"/>
    <w:rsid w:val="00F85C85"/>
    <w:rsid w:val="00F86012"/>
    <w:rsid w:val="00F86032"/>
    <w:rsid w:val="00F87311"/>
    <w:rsid w:val="00F87399"/>
    <w:rsid w:val="00F87920"/>
    <w:rsid w:val="00F879BB"/>
    <w:rsid w:val="00F87ACE"/>
    <w:rsid w:val="00F87D13"/>
    <w:rsid w:val="00F89909"/>
    <w:rsid w:val="00F905BE"/>
    <w:rsid w:val="00F9088B"/>
    <w:rsid w:val="00F90A34"/>
    <w:rsid w:val="00F91642"/>
    <w:rsid w:val="00F91EC4"/>
    <w:rsid w:val="00F92277"/>
    <w:rsid w:val="00F92312"/>
    <w:rsid w:val="00F92648"/>
    <w:rsid w:val="00F926B6"/>
    <w:rsid w:val="00F92F2D"/>
    <w:rsid w:val="00F930C3"/>
    <w:rsid w:val="00F93C9F"/>
    <w:rsid w:val="00F93CDB"/>
    <w:rsid w:val="00F93E95"/>
    <w:rsid w:val="00F93F8D"/>
    <w:rsid w:val="00F94566"/>
    <w:rsid w:val="00F95DE4"/>
    <w:rsid w:val="00F95FFF"/>
    <w:rsid w:val="00F9687C"/>
    <w:rsid w:val="00F97160"/>
    <w:rsid w:val="00F97538"/>
    <w:rsid w:val="00F97753"/>
    <w:rsid w:val="00FA0822"/>
    <w:rsid w:val="00FA12B9"/>
    <w:rsid w:val="00FA1E7B"/>
    <w:rsid w:val="00FA209D"/>
    <w:rsid w:val="00FA2561"/>
    <w:rsid w:val="00FA37C1"/>
    <w:rsid w:val="00FA3AB5"/>
    <w:rsid w:val="00FA3C7A"/>
    <w:rsid w:val="00FA3DB3"/>
    <w:rsid w:val="00FA40F0"/>
    <w:rsid w:val="00FA417B"/>
    <w:rsid w:val="00FA512A"/>
    <w:rsid w:val="00FA51A5"/>
    <w:rsid w:val="00FA6067"/>
    <w:rsid w:val="00FA623F"/>
    <w:rsid w:val="00FA660A"/>
    <w:rsid w:val="00FA66BE"/>
    <w:rsid w:val="00FA75A3"/>
    <w:rsid w:val="00FA7DE8"/>
    <w:rsid w:val="00FA7F7B"/>
    <w:rsid w:val="00FB0572"/>
    <w:rsid w:val="00FB082B"/>
    <w:rsid w:val="00FB15CE"/>
    <w:rsid w:val="00FB363F"/>
    <w:rsid w:val="00FB3A6D"/>
    <w:rsid w:val="00FB3CC7"/>
    <w:rsid w:val="00FB3DB8"/>
    <w:rsid w:val="00FB4893"/>
    <w:rsid w:val="00FB4EBA"/>
    <w:rsid w:val="00FB50E8"/>
    <w:rsid w:val="00FB54E7"/>
    <w:rsid w:val="00FB6197"/>
    <w:rsid w:val="00FB6745"/>
    <w:rsid w:val="00FB6780"/>
    <w:rsid w:val="00FB7294"/>
    <w:rsid w:val="00FB72C0"/>
    <w:rsid w:val="00FB7620"/>
    <w:rsid w:val="00FB781B"/>
    <w:rsid w:val="00FB790A"/>
    <w:rsid w:val="00FC03F3"/>
    <w:rsid w:val="00FC060C"/>
    <w:rsid w:val="00FC07C0"/>
    <w:rsid w:val="00FC0A65"/>
    <w:rsid w:val="00FC0DF9"/>
    <w:rsid w:val="00FC0EDE"/>
    <w:rsid w:val="00FC0FEA"/>
    <w:rsid w:val="00FC151F"/>
    <w:rsid w:val="00FC16CF"/>
    <w:rsid w:val="00FC1D98"/>
    <w:rsid w:val="00FC1F1B"/>
    <w:rsid w:val="00FC373B"/>
    <w:rsid w:val="00FC37D3"/>
    <w:rsid w:val="00FC4D62"/>
    <w:rsid w:val="00FC4D98"/>
    <w:rsid w:val="00FC4DAD"/>
    <w:rsid w:val="00FC55EA"/>
    <w:rsid w:val="00FC5C13"/>
    <w:rsid w:val="00FC673A"/>
    <w:rsid w:val="00FC67D6"/>
    <w:rsid w:val="00FC6BC3"/>
    <w:rsid w:val="00FC7094"/>
    <w:rsid w:val="00FC795A"/>
    <w:rsid w:val="00FD03F4"/>
    <w:rsid w:val="00FD0683"/>
    <w:rsid w:val="00FD075F"/>
    <w:rsid w:val="00FD0F8C"/>
    <w:rsid w:val="00FD1897"/>
    <w:rsid w:val="00FD1FD9"/>
    <w:rsid w:val="00FD20C5"/>
    <w:rsid w:val="00FD2152"/>
    <w:rsid w:val="00FD2648"/>
    <w:rsid w:val="00FD3483"/>
    <w:rsid w:val="00FD395E"/>
    <w:rsid w:val="00FD40E4"/>
    <w:rsid w:val="00FD4A86"/>
    <w:rsid w:val="00FD5649"/>
    <w:rsid w:val="00FD5835"/>
    <w:rsid w:val="00FD5A07"/>
    <w:rsid w:val="00FD5FBC"/>
    <w:rsid w:val="00FD6C81"/>
    <w:rsid w:val="00FD6F6A"/>
    <w:rsid w:val="00FD75CE"/>
    <w:rsid w:val="00FD7BFB"/>
    <w:rsid w:val="00FD7C58"/>
    <w:rsid w:val="00FD7E46"/>
    <w:rsid w:val="00FE099F"/>
    <w:rsid w:val="00FE0C42"/>
    <w:rsid w:val="00FE115B"/>
    <w:rsid w:val="00FE13EC"/>
    <w:rsid w:val="00FE142E"/>
    <w:rsid w:val="00FE196B"/>
    <w:rsid w:val="00FE19AC"/>
    <w:rsid w:val="00FE1F00"/>
    <w:rsid w:val="00FE21CD"/>
    <w:rsid w:val="00FE2402"/>
    <w:rsid w:val="00FE2705"/>
    <w:rsid w:val="00FE30A1"/>
    <w:rsid w:val="00FE36A9"/>
    <w:rsid w:val="00FE3700"/>
    <w:rsid w:val="00FE4708"/>
    <w:rsid w:val="00FE4A12"/>
    <w:rsid w:val="00FE6951"/>
    <w:rsid w:val="00FE752E"/>
    <w:rsid w:val="00FE7586"/>
    <w:rsid w:val="00FE7716"/>
    <w:rsid w:val="00FF1024"/>
    <w:rsid w:val="00FF14EE"/>
    <w:rsid w:val="00FF21B7"/>
    <w:rsid w:val="00FF22BC"/>
    <w:rsid w:val="00FF286E"/>
    <w:rsid w:val="00FF2D8E"/>
    <w:rsid w:val="00FF32B7"/>
    <w:rsid w:val="00FF3EB0"/>
    <w:rsid w:val="00FF3F79"/>
    <w:rsid w:val="00FF4076"/>
    <w:rsid w:val="00FF431C"/>
    <w:rsid w:val="00FF4548"/>
    <w:rsid w:val="00FF4689"/>
    <w:rsid w:val="00FF4B27"/>
    <w:rsid w:val="00FF4DE3"/>
    <w:rsid w:val="00FF5173"/>
    <w:rsid w:val="00FF53DC"/>
    <w:rsid w:val="00FF5603"/>
    <w:rsid w:val="00FF5CF3"/>
    <w:rsid w:val="00FF6861"/>
    <w:rsid w:val="00FF6BDD"/>
    <w:rsid w:val="00FF7611"/>
    <w:rsid w:val="00FF76B7"/>
    <w:rsid w:val="00FF79D1"/>
    <w:rsid w:val="00FF7DC0"/>
    <w:rsid w:val="00FF7EB6"/>
    <w:rsid w:val="00FF7FBA"/>
    <w:rsid w:val="012286BD"/>
    <w:rsid w:val="012DCC3D"/>
    <w:rsid w:val="017BF97D"/>
    <w:rsid w:val="0181110D"/>
    <w:rsid w:val="01C42732"/>
    <w:rsid w:val="01C77902"/>
    <w:rsid w:val="01E4E2F8"/>
    <w:rsid w:val="01EDB7EE"/>
    <w:rsid w:val="01F59E9D"/>
    <w:rsid w:val="0203DF22"/>
    <w:rsid w:val="023CCEA4"/>
    <w:rsid w:val="02461C20"/>
    <w:rsid w:val="0248448E"/>
    <w:rsid w:val="0250668B"/>
    <w:rsid w:val="02610749"/>
    <w:rsid w:val="02B3CB2E"/>
    <w:rsid w:val="02BAEB50"/>
    <w:rsid w:val="02DF5CB3"/>
    <w:rsid w:val="02EE8B94"/>
    <w:rsid w:val="02FE54D5"/>
    <w:rsid w:val="0311C200"/>
    <w:rsid w:val="03344B9A"/>
    <w:rsid w:val="034AE478"/>
    <w:rsid w:val="03501B4E"/>
    <w:rsid w:val="036F6428"/>
    <w:rsid w:val="03AA89C6"/>
    <w:rsid w:val="03C07059"/>
    <w:rsid w:val="03C96FED"/>
    <w:rsid w:val="03D6185A"/>
    <w:rsid w:val="03EE3063"/>
    <w:rsid w:val="03F03AE9"/>
    <w:rsid w:val="040148D6"/>
    <w:rsid w:val="04881D87"/>
    <w:rsid w:val="04882F38"/>
    <w:rsid w:val="04BE6BE4"/>
    <w:rsid w:val="04FE3615"/>
    <w:rsid w:val="0535B653"/>
    <w:rsid w:val="054E7A37"/>
    <w:rsid w:val="05B2649B"/>
    <w:rsid w:val="05C2B3D1"/>
    <w:rsid w:val="05D6BED8"/>
    <w:rsid w:val="05EFA8BD"/>
    <w:rsid w:val="05FBC561"/>
    <w:rsid w:val="062C160B"/>
    <w:rsid w:val="065E451A"/>
    <w:rsid w:val="0663544C"/>
    <w:rsid w:val="06801315"/>
    <w:rsid w:val="068E633C"/>
    <w:rsid w:val="06AC7C94"/>
    <w:rsid w:val="06C3AF0F"/>
    <w:rsid w:val="0718899E"/>
    <w:rsid w:val="072E4470"/>
    <w:rsid w:val="07414630"/>
    <w:rsid w:val="075398DC"/>
    <w:rsid w:val="07760840"/>
    <w:rsid w:val="07DEA949"/>
    <w:rsid w:val="07EFEF46"/>
    <w:rsid w:val="07F9C436"/>
    <w:rsid w:val="07FC659A"/>
    <w:rsid w:val="07FE0D9D"/>
    <w:rsid w:val="07FE6430"/>
    <w:rsid w:val="080F5645"/>
    <w:rsid w:val="082479D2"/>
    <w:rsid w:val="0824D6C8"/>
    <w:rsid w:val="08894616"/>
    <w:rsid w:val="08AB3C79"/>
    <w:rsid w:val="08B25EED"/>
    <w:rsid w:val="08B6D8EE"/>
    <w:rsid w:val="08EC27E7"/>
    <w:rsid w:val="09238C12"/>
    <w:rsid w:val="0944A78B"/>
    <w:rsid w:val="098D4BC9"/>
    <w:rsid w:val="09A476E5"/>
    <w:rsid w:val="09C4773E"/>
    <w:rsid w:val="09D55CB0"/>
    <w:rsid w:val="0A0237EC"/>
    <w:rsid w:val="0A0A02A8"/>
    <w:rsid w:val="0A25240C"/>
    <w:rsid w:val="0A35EA9C"/>
    <w:rsid w:val="0AA42F3E"/>
    <w:rsid w:val="0AAB48FB"/>
    <w:rsid w:val="0ABBFF39"/>
    <w:rsid w:val="0B132A7D"/>
    <w:rsid w:val="0B50FF78"/>
    <w:rsid w:val="0B780B3E"/>
    <w:rsid w:val="0B836F2B"/>
    <w:rsid w:val="0B987C5F"/>
    <w:rsid w:val="0BAF7BEA"/>
    <w:rsid w:val="0C0EE0D2"/>
    <w:rsid w:val="0C110BE1"/>
    <w:rsid w:val="0C114514"/>
    <w:rsid w:val="0C12E3DD"/>
    <w:rsid w:val="0C204E7A"/>
    <w:rsid w:val="0CBEA21E"/>
    <w:rsid w:val="0CBF260C"/>
    <w:rsid w:val="0CEC091C"/>
    <w:rsid w:val="0D3275AE"/>
    <w:rsid w:val="0D46FF89"/>
    <w:rsid w:val="0DC723CA"/>
    <w:rsid w:val="0E2972B6"/>
    <w:rsid w:val="0E4A6D62"/>
    <w:rsid w:val="0E4D0BA0"/>
    <w:rsid w:val="0E672803"/>
    <w:rsid w:val="0E886C20"/>
    <w:rsid w:val="0EA29B34"/>
    <w:rsid w:val="0EB2D9EC"/>
    <w:rsid w:val="0EC76524"/>
    <w:rsid w:val="0F1F6053"/>
    <w:rsid w:val="0F27A253"/>
    <w:rsid w:val="0F6AC16B"/>
    <w:rsid w:val="0F6FFF0A"/>
    <w:rsid w:val="0F9F5407"/>
    <w:rsid w:val="0FF482AD"/>
    <w:rsid w:val="10071783"/>
    <w:rsid w:val="10426859"/>
    <w:rsid w:val="108F4154"/>
    <w:rsid w:val="109567A4"/>
    <w:rsid w:val="10A0A7F6"/>
    <w:rsid w:val="10CAD1DE"/>
    <w:rsid w:val="110C35EE"/>
    <w:rsid w:val="111F4FCC"/>
    <w:rsid w:val="1149F166"/>
    <w:rsid w:val="116615B8"/>
    <w:rsid w:val="116F1D72"/>
    <w:rsid w:val="119A329D"/>
    <w:rsid w:val="119A8AAA"/>
    <w:rsid w:val="11B9EF78"/>
    <w:rsid w:val="11D2B6B3"/>
    <w:rsid w:val="11D7D7F1"/>
    <w:rsid w:val="11F56368"/>
    <w:rsid w:val="1207A1BB"/>
    <w:rsid w:val="123439CE"/>
    <w:rsid w:val="125B10FA"/>
    <w:rsid w:val="127415BD"/>
    <w:rsid w:val="12A32009"/>
    <w:rsid w:val="130B3B23"/>
    <w:rsid w:val="139DF66C"/>
    <w:rsid w:val="13A39C72"/>
    <w:rsid w:val="13A759A4"/>
    <w:rsid w:val="13C68D75"/>
    <w:rsid w:val="14132712"/>
    <w:rsid w:val="143DB22A"/>
    <w:rsid w:val="145331A9"/>
    <w:rsid w:val="1465A741"/>
    <w:rsid w:val="1493D3B3"/>
    <w:rsid w:val="14ABC80E"/>
    <w:rsid w:val="14E2CD65"/>
    <w:rsid w:val="153DD25C"/>
    <w:rsid w:val="15504EB9"/>
    <w:rsid w:val="1589DE7A"/>
    <w:rsid w:val="1589F5D7"/>
    <w:rsid w:val="15C2867E"/>
    <w:rsid w:val="15FEA444"/>
    <w:rsid w:val="1640D35D"/>
    <w:rsid w:val="1656D8A3"/>
    <w:rsid w:val="167ABB4A"/>
    <w:rsid w:val="16987633"/>
    <w:rsid w:val="171AB033"/>
    <w:rsid w:val="17499E94"/>
    <w:rsid w:val="17570B78"/>
    <w:rsid w:val="17CAAB27"/>
    <w:rsid w:val="17EA180C"/>
    <w:rsid w:val="1802C6C9"/>
    <w:rsid w:val="183A9BCC"/>
    <w:rsid w:val="1845C175"/>
    <w:rsid w:val="1868D1E6"/>
    <w:rsid w:val="187B2F89"/>
    <w:rsid w:val="18801B60"/>
    <w:rsid w:val="188A4684"/>
    <w:rsid w:val="18CA80A1"/>
    <w:rsid w:val="1908B512"/>
    <w:rsid w:val="1917921C"/>
    <w:rsid w:val="191B3A21"/>
    <w:rsid w:val="1934AA9F"/>
    <w:rsid w:val="193BE248"/>
    <w:rsid w:val="19451C28"/>
    <w:rsid w:val="19484B7F"/>
    <w:rsid w:val="19D3AA86"/>
    <w:rsid w:val="1A0A37D7"/>
    <w:rsid w:val="1A204EAF"/>
    <w:rsid w:val="1A3AB4D1"/>
    <w:rsid w:val="1A593985"/>
    <w:rsid w:val="1A644906"/>
    <w:rsid w:val="1A717D1F"/>
    <w:rsid w:val="1ABF83BB"/>
    <w:rsid w:val="1ACCE5E8"/>
    <w:rsid w:val="1AD839E6"/>
    <w:rsid w:val="1AE3745C"/>
    <w:rsid w:val="1AFA1BCC"/>
    <w:rsid w:val="1B043718"/>
    <w:rsid w:val="1B4A3ECE"/>
    <w:rsid w:val="1B835022"/>
    <w:rsid w:val="1BAED14A"/>
    <w:rsid w:val="1BB18341"/>
    <w:rsid w:val="1BC29196"/>
    <w:rsid w:val="1BCAAF89"/>
    <w:rsid w:val="1C0340EE"/>
    <w:rsid w:val="1C18884B"/>
    <w:rsid w:val="1C897AA8"/>
    <w:rsid w:val="1D132FEC"/>
    <w:rsid w:val="1D15D237"/>
    <w:rsid w:val="1D3F6546"/>
    <w:rsid w:val="1D4E02D2"/>
    <w:rsid w:val="1D54FB97"/>
    <w:rsid w:val="1E08BE47"/>
    <w:rsid w:val="1E097D83"/>
    <w:rsid w:val="1E3E8179"/>
    <w:rsid w:val="1EA72221"/>
    <w:rsid w:val="1ED7710C"/>
    <w:rsid w:val="1F2941D9"/>
    <w:rsid w:val="1F4FF249"/>
    <w:rsid w:val="1F6B7C79"/>
    <w:rsid w:val="1F6FC4E9"/>
    <w:rsid w:val="1F9CDAB1"/>
    <w:rsid w:val="1F9DD24B"/>
    <w:rsid w:val="1FA914CE"/>
    <w:rsid w:val="1FB2E8C5"/>
    <w:rsid w:val="1FCC88D7"/>
    <w:rsid w:val="1FCD9F7C"/>
    <w:rsid w:val="2014BD7A"/>
    <w:rsid w:val="2078D9A9"/>
    <w:rsid w:val="208CF7CB"/>
    <w:rsid w:val="20B21733"/>
    <w:rsid w:val="20E8D4E1"/>
    <w:rsid w:val="20F9A1B2"/>
    <w:rsid w:val="20FA9B68"/>
    <w:rsid w:val="20FE7B57"/>
    <w:rsid w:val="21650684"/>
    <w:rsid w:val="21AE7AFC"/>
    <w:rsid w:val="21D113E1"/>
    <w:rsid w:val="222500BF"/>
    <w:rsid w:val="2235114F"/>
    <w:rsid w:val="223C7F3F"/>
    <w:rsid w:val="225B01BF"/>
    <w:rsid w:val="2294BC08"/>
    <w:rsid w:val="22B49C52"/>
    <w:rsid w:val="22C27292"/>
    <w:rsid w:val="22D71200"/>
    <w:rsid w:val="22ECFD1E"/>
    <w:rsid w:val="2333AB1F"/>
    <w:rsid w:val="23340702"/>
    <w:rsid w:val="2336C2AF"/>
    <w:rsid w:val="23507056"/>
    <w:rsid w:val="23C00071"/>
    <w:rsid w:val="23DE4931"/>
    <w:rsid w:val="23F371BF"/>
    <w:rsid w:val="240023A7"/>
    <w:rsid w:val="24861CD3"/>
    <w:rsid w:val="24CE3E2B"/>
    <w:rsid w:val="24DE4810"/>
    <w:rsid w:val="24E7E8BE"/>
    <w:rsid w:val="250F3DEE"/>
    <w:rsid w:val="258319A6"/>
    <w:rsid w:val="2587EAC8"/>
    <w:rsid w:val="258C6791"/>
    <w:rsid w:val="25B8E109"/>
    <w:rsid w:val="25BF0427"/>
    <w:rsid w:val="268C650C"/>
    <w:rsid w:val="26AE4D8E"/>
    <w:rsid w:val="274FEDAA"/>
    <w:rsid w:val="277903CC"/>
    <w:rsid w:val="278078C5"/>
    <w:rsid w:val="2793B7EF"/>
    <w:rsid w:val="27D7AC9F"/>
    <w:rsid w:val="27DA7326"/>
    <w:rsid w:val="282162F6"/>
    <w:rsid w:val="28329131"/>
    <w:rsid w:val="285128F4"/>
    <w:rsid w:val="28888345"/>
    <w:rsid w:val="28A9CEFB"/>
    <w:rsid w:val="29074A0B"/>
    <w:rsid w:val="2911FA18"/>
    <w:rsid w:val="2987D875"/>
    <w:rsid w:val="298B68D8"/>
    <w:rsid w:val="299EE0F6"/>
    <w:rsid w:val="2A1C8D64"/>
    <w:rsid w:val="2A260B84"/>
    <w:rsid w:val="2A352561"/>
    <w:rsid w:val="2A4C7E0A"/>
    <w:rsid w:val="2A784807"/>
    <w:rsid w:val="2ACD1CD3"/>
    <w:rsid w:val="2B18E200"/>
    <w:rsid w:val="2B360BF4"/>
    <w:rsid w:val="2B37EED0"/>
    <w:rsid w:val="2B494A27"/>
    <w:rsid w:val="2B571B41"/>
    <w:rsid w:val="2B886AEB"/>
    <w:rsid w:val="2BA63A83"/>
    <w:rsid w:val="2BC591F8"/>
    <w:rsid w:val="2BDB738F"/>
    <w:rsid w:val="2BE58E18"/>
    <w:rsid w:val="2BF31C02"/>
    <w:rsid w:val="2C1E9A39"/>
    <w:rsid w:val="2C518765"/>
    <w:rsid w:val="2C564C9A"/>
    <w:rsid w:val="2CAD560A"/>
    <w:rsid w:val="2CC2E838"/>
    <w:rsid w:val="2CCFF8B5"/>
    <w:rsid w:val="2CEA89AE"/>
    <w:rsid w:val="2D08F111"/>
    <w:rsid w:val="2D0B3E43"/>
    <w:rsid w:val="2D2C28D2"/>
    <w:rsid w:val="2D41F398"/>
    <w:rsid w:val="2D9D20D9"/>
    <w:rsid w:val="2DB7D427"/>
    <w:rsid w:val="2DC23120"/>
    <w:rsid w:val="2DC795BD"/>
    <w:rsid w:val="2DD90856"/>
    <w:rsid w:val="2E1C9281"/>
    <w:rsid w:val="2E3644CF"/>
    <w:rsid w:val="2E7A5E16"/>
    <w:rsid w:val="2E9FD5EC"/>
    <w:rsid w:val="2EDC9DD8"/>
    <w:rsid w:val="2F19A4A1"/>
    <w:rsid w:val="2F8A6C36"/>
    <w:rsid w:val="2F980619"/>
    <w:rsid w:val="2FBC7134"/>
    <w:rsid w:val="2FBD5A55"/>
    <w:rsid w:val="300DBDD3"/>
    <w:rsid w:val="30228F17"/>
    <w:rsid w:val="3029E45C"/>
    <w:rsid w:val="30489C65"/>
    <w:rsid w:val="304E2B0A"/>
    <w:rsid w:val="306DB5BA"/>
    <w:rsid w:val="30700026"/>
    <w:rsid w:val="30C8DD2B"/>
    <w:rsid w:val="3102B4B0"/>
    <w:rsid w:val="31141223"/>
    <w:rsid w:val="313A0FE6"/>
    <w:rsid w:val="314BBB4F"/>
    <w:rsid w:val="315A4FFB"/>
    <w:rsid w:val="316206C6"/>
    <w:rsid w:val="31D9EF84"/>
    <w:rsid w:val="31F1B1F9"/>
    <w:rsid w:val="3281403E"/>
    <w:rsid w:val="329B7EE9"/>
    <w:rsid w:val="32A05CE8"/>
    <w:rsid w:val="32A3AA1B"/>
    <w:rsid w:val="32A5F523"/>
    <w:rsid w:val="32D05A56"/>
    <w:rsid w:val="32ED8C72"/>
    <w:rsid w:val="332D97F9"/>
    <w:rsid w:val="33351407"/>
    <w:rsid w:val="33721BB1"/>
    <w:rsid w:val="33AF661B"/>
    <w:rsid w:val="33E0F8E0"/>
    <w:rsid w:val="33E1A8FA"/>
    <w:rsid w:val="3408FA68"/>
    <w:rsid w:val="3447965A"/>
    <w:rsid w:val="3452909B"/>
    <w:rsid w:val="34601D28"/>
    <w:rsid w:val="347AC1B2"/>
    <w:rsid w:val="34A6930B"/>
    <w:rsid w:val="34BF5C91"/>
    <w:rsid w:val="34C6B29F"/>
    <w:rsid w:val="34CD43D2"/>
    <w:rsid w:val="34E630A2"/>
    <w:rsid w:val="351323DD"/>
    <w:rsid w:val="35210F47"/>
    <w:rsid w:val="3576A862"/>
    <w:rsid w:val="35A26AB6"/>
    <w:rsid w:val="35C70314"/>
    <w:rsid w:val="35CC5F56"/>
    <w:rsid w:val="35D9B2A3"/>
    <w:rsid w:val="35E1F478"/>
    <w:rsid w:val="35E9C168"/>
    <w:rsid w:val="361D7AA2"/>
    <w:rsid w:val="3620378E"/>
    <w:rsid w:val="363F44E5"/>
    <w:rsid w:val="365DD776"/>
    <w:rsid w:val="36B2EB78"/>
    <w:rsid w:val="36DB29BC"/>
    <w:rsid w:val="36E327EF"/>
    <w:rsid w:val="3700BCC4"/>
    <w:rsid w:val="37043344"/>
    <w:rsid w:val="375799ED"/>
    <w:rsid w:val="375D56C6"/>
    <w:rsid w:val="378038D9"/>
    <w:rsid w:val="37A81608"/>
    <w:rsid w:val="37E7E0BF"/>
    <w:rsid w:val="3826A2FB"/>
    <w:rsid w:val="38330B93"/>
    <w:rsid w:val="3892C696"/>
    <w:rsid w:val="3896D3BE"/>
    <w:rsid w:val="38FA5617"/>
    <w:rsid w:val="39278D62"/>
    <w:rsid w:val="3962D49B"/>
    <w:rsid w:val="397917F6"/>
    <w:rsid w:val="399B1BAB"/>
    <w:rsid w:val="39B76162"/>
    <w:rsid w:val="39E9257F"/>
    <w:rsid w:val="3A05825D"/>
    <w:rsid w:val="3A122CE7"/>
    <w:rsid w:val="3A1E3496"/>
    <w:rsid w:val="3A2A3CB0"/>
    <w:rsid w:val="3A336F56"/>
    <w:rsid w:val="3A3744B5"/>
    <w:rsid w:val="3A73B0CA"/>
    <w:rsid w:val="3A773C9F"/>
    <w:rsid w:val="3A8389E0"/>
    <w:rsid w:val="3A9E7F66"/>
    <w:rsid w:val="3AAA3FDD"/>
    <w:rsid w:val="3AE2A9EE"/>
    <w:rsid w:val="3B1AFAC6"/>
    <w:rsid w:val="3B2BD8D0"/>
    <w:rsid w:val="3B4C8799"/>
    <w:rsid w:val="3B6161F3"/>
    <w:rsid w:val="3BF71832"/>
    <w:rsid w:val="3C0602AF"/>
    <w:rsid w:val="3C3E441A"/>
    <w:rsid w:val="3C5723AB"/>
    <w:rsid w:val="3C671F56"/>
    <w:rsid w:val="3C9C5EA4"/>
    <w:rsid w:val="3CA1761F"/>
    <w:rsid w:val="3CB0B8B8"/>
    <w:rsid w:val="3CC43B87"/>
    <w:rsid w:val="3CDFD00A"/>
    <w:rsid w:val="3D371EA1"/>
    <w:rsid w:val="3D6D1838"/>
    <w:rsid w:val="3DF5C014"/>
    <w:rsid w:val="3DFC5CF6"/>
    <w:rsid w:val="3E56F80B"/>
    <w:rsid w:val="3E7BC2BD"/>
    <w:rsid w:val="3E88B485"/>
    <w:rsid w:val="3E9148BE"/>
    <w:rsid w:val="3F0DFAE4"/>
    <w:rsid w:val="3F309FEB"/>
    <w:rsid w:val="3F3CC754"/>
    <w:rsid w:val="3F566F08"/>
    <w:rsid w:val="3F70EF7D"/>
    <w:rsid w:val="3F832AAE"/>
    <w:rsid w:val="3F9332B1"/>
    <w:rsid w:val="3FC334CF"/>
    <w:rsid w:val="3FECDB01"/>
    <w:rsid w:val="3FEFA766"/>
    <w:rsid w:val="4000EEC5"/>
    <w:rsid w:val="4011806C"/>
    <w:rsid w:val="4012F91C"/>
    <w:rsid w:val="4027FDA8"/>
    <w:rsid w:val="403322BF"/>
    <w:rsid w:val="4036F12C"/>
    <w:rsid w:val="4049BAE4"/>
    <w:rsid w:val="4066848F"/>
    <w:rsid w:val="4076F806"/>
    <w:rsid w:val="409E3C6D"/>
    <w:rsid w:val="40E80B82"/>
    <w:rsid w:val="411B10C2"/>
    <w:rsid w:val="4179C85E"/>
    <w:rsid w:val="41837DB4"/>
    <w:rsid w:val="4199CC32"/>
    <w:rsid w:val="41A53171"/>
    <w:rsid w:val="41C2EC5A"/>
    <w:rsid w:val="420F06E9"/>
    <w:rsid w:val="4234A49B"/>
    <w:rsid w:val="423AD5B8"/>
    <w:rsid w:val="4260CB31"/>
    <w:rsid w:val="42986106"/>
    <w:rsid w:val="42B46047"/>
    <w:rsid w:val="42B58493"/>
    <w:rsid w:val="42B98FDD"/>
    <w:rsid w:val="431126FB"/>
    <w:rsid w:val="43522C7D"/>
    <w:rsid w:val="43573AD8"/>
    <w:rsid w:val="435B8E30"/>
    <w:rsid w:val="435FABA1"/>
    <w:rsid w:val="436CE867"/>
    <w:rsid w:val="43A0A9B6"/>
    <w:rsid w:val="43A359DB"/>
    <w:rsid w:val="44266BCF"/>
    <w:rsid w:val="445BC571"/>
    <w:rsid w:val="4496FD8A"/>
    <w:rsid w:val="4514724A"/>
    <w:rsid w:val="452F0A43"/>
    <w:rsid w:val="4543D325"/>
    <w:rsid w:val="45844A61"/>
    <w:rsid w:val="458BE03A"/>
    <w:rsid w:val="45AA553F"/>
    <w:rsid w:val="45CA5637"/>
    <w:rsid w:val="45EF3EF5"/>
    <w:rsid w:val="4619ACC1"/>
    <w:rsid w:val="4637FE8C"/>
    <w:rsid w:val="4652ECEC"/>
    <w:rsid w:val="46538907"/>
    <w:rsid w:val="46F0EA35"/>
    <w:rsid w:val="4729C522"/>
    <w:rsid w:val="472E19A3"/>
    <w:rsid w:val="472E75FC"/>
    <w:rsid w:val="479E2B60"/>
    <w:rsid w:val="47D09A63"/>
    <w:rsid w:val="47D60586"/>
    <w:rsid w:val="47F53EA7"/>
    <w:rsid w:val="484B8F82"/>
    <w:rsid w:val="4859B667"/>
    <w:rsid w:val="48B9DFFC"/>
    <w:rsid w:val="48DD1A79"/>
    <w:rsid w:val="490673B6"/>
    <w:rsid w:val="4930F01E"/>
    <w:rsid w:val="4982F109"/>
    <w:rsid w:val="49C88B3F"/>
    <w:rsid w:val="49DAE2A1"/>
    <w:rsid w:val="49E29B7B"/>
    <w:rsid w:val="4A3D53E7"/>
    <w:rsid w:val="4A4D27EB"/>
    <w:rsid w:val="4A5C1232"/>
    <w:rsid w:val="4A9CCAD2"/>
    <w:rsid w:val="4ADBFEA6"/>
    <w:rsid w:val="4AFF87AB"/>
    <w:rsid w:val="4B1779E5"/>
    <w:rsid w:val="4B1B7AF2"/>
    <w:rsid w:val="4B500869"/>
    <w:rsid w:val="4B666768"/>
    <w:rsid w:val="4B96CC22"/>
    <w:rsid w:val="4BC6AA90"/>
    <w:rsid w:val="4C21E8F0"/>
    <w:rsid w:val="4C75B191"/>
    <w:rsid w:val="4C9E8A97"/>
    <w:rsid w:val="4CEA2E6E"/>
    <w:rsid w:val="4D164A20"/>
    <w:rsid w:val="4D4C20F1"/>
    <w:rsid w:val="4D865CF8"/>
    <w:rsid w:val="4D8A8C92"/>
    <w:rsid w:val="4DBD53AF"/>
    <w:rsid w:val="4DFCD334"/>
    <w:rsid w:val="4E0B21BA"/>
    <w:rsid w:val="4E72F3DE"/>
    <w:rsid w:val="4E808012"/>
    <w:rsid w:val="4E852F0F"/>
    <w:rsid w:val="4EAE8F53"/>
    <w:rsid w:val="4EC6D7C7"/>
    <w:rsid w:val="4EC8F9E4"/>
    <w:rsid w:val="4EFC8664"/>
    <w:rsid w:val="4F178CDD"/>
    <w:rsid w:val="4F7DC701"/>
    <w:rsid w:val="4F9454F5"/>
    <w:rsid w:val="4FB0675B"/>
    <w:rsid w:val="4FDFB18D"/>
    <w:rsid w:val="4FE1D7FE"/>
    <w:rsid w:val="4FFA66AA"/>
    <w:rsid w:val="50179754"/>
    <w:rsid w:val="5035EAB0"/>
    <w:rsid w:val="5069854B"/>
    <w:rsid w:val="507BD46A"/>
    <w:rsid w:val="50973AC7"/>
    <w:rsid w:val="509DC2DD"/>
    <w:rsid w:val="50BDE0B2"/>
    <w:rsid w:val="50C9A9E6"/>
    <w:rsid w:val="50CB5524"/>
    <w:rsid w:val="50E7FC47"/>
    <w:rsid w:val="5107F65B"/>
    <w:rsid w:val="51341312"/>
    <w:rsid w:val="517059F2"/>
    <w:rsid w:val="51793D79"/>
    <w:rsid w:val="51A6EBD9"/>
    <w:rsid w:val="51C4ED47"/>
    <w:rsid w:val="51DBA410"/>
    <w:rsid w:val="5229B67A"/>
    <w:rsid w:val="525E3908"/>
    <w:rsid w:val="5273CEB1"/>
    <w:rsid w:val="5278C2E9"/>
    <w:rsid w:val="52DF450D"/>
    <w:rsid w:val="5321C27C"/>
    <w:rsid w:val="533EC47D"/>
    <w:rsid w:val="533F4768"/>
    <w:rsid w:val="533FB036"/>
    <w:rsid w:val="538A0A32"/>
    <w:rsid w:val="538F3436"/>
    <w:rsid w:val="540EB193"/>
    <w:rsid w:val="541E34CD"/>
    <w:rsid w:val="5439ACE1"/>
    <w:rsid w:val="546D64FE"/>
    <w:rsid w:val="5470B59B"/>
    <w:rsid w:val="54A042A0"/>
    <w:rsid w:val="54B9665E"/>
    <w:rsid w:val="551A15BE"/>
    <w:rsid w:val="5527E0B6"/>
    <w:rsid w:val="5574007F"/>
    <w:rsid w:val="55780296"/>
    <w:rsid w:val="5587C8F9"/>
    <w:rsid w:val="55A6993F"/>
    <w:rsid w:val="56169754"/>
    <w:rsid w:val="56203B9B"/>
    <w:rsid w:val="56317995"/>
    <w:rsid w:val="5632C50F"/>
    <w:rsid w:val="5642478B"/>
    <w:rsid w:val="566207DC"/>
    <w:rsid w:val="5669A851"/>
    <w:rsid w:val="5684D361"/>
    <w:rsid w:val="56B6B52E"/>
    <w:rsid w:val="56DC2669"/>
    <w:rsid w:val="5706AAAE"/>
    <w:rsid w:val="57520919"/>
    <w:rsid w:val="575ECB0A"/>
    <w:rsid w:val="57875145"/>
    <w:rsid w:val="578EB5ED"/>
    <w:rsid w:val="57C961D2"/>
    <w:rsid w:val="5819845F"/>
    <w:rsid w:val="584452F8"/>
    <w:rsid w:val="585636BF"/>
    <w:rsid w:val="5874AE53"/>
    <w:rsid w:val="5878092E"/>
    <w:rsid w:val="58B807A2"/>
    <w:rsid w:val="58DEF895"/>
    <w:rsid w:val="58E00CED"/>
    <w:rsid w:val="58E06B42"/>
    <w:rsid w:val="5904937B"/>
    <w:rsid w:val="5935AA9D"/>
    <w:rsid w:val="593C97A7"/>
    <w:rsid w:val="596A9243"/>
    <w:rsid w:val="5998BBFB"/>
    <w:rsid w:val="59A96214"/>
    <w:rsid w:val="59AC3C42"/>
    <w:rsid w:val="59E4840F"/>
    <w:rsid w:val="5A146D05"/>
    <w:rsid w:val="5A2EC24D"/>
    <w:rsid w:val="5A3CCA5D"/>
    <w:rsid w:val="5A665291"/>
    <w:rsid w:val="5A82BB36"/>
    <w:rsid w:val="5A95B3CF"/>
    <w:rsid w:val="5AAB9670"/>
    <w:rsid w:val="5ABD8B6A"/>
    <w:rsid w:val="5B35D60D"/>
    <w:rsid w:val="5B3ED761"/>
    <w:rsid w:val="5BB37CDB"/>
    <w:rsid w:val="5BBD664B"/>
    <w:rsid w:val="5BCEC81D"/>
    <w:rsid w:val="5C08714E"/>
    <w:rsid w:val="5C0E753C"/>
    <w:rsid w:val="5C2E51E9"/>
    <w:rsid w:val="5C7D6A7B"/>
    <w:rsid w:val="5C93E9D1"/>
    <w:rsid w:val="5C9BE4EC"/>
    <w:rsid w:val="5CBF8F7F"/>
    <w:rsid w:val="5D0F4018"/>
    <w:rsid w:val="5D0FDE67"/>
    <w:rsid w:val="5D1873C0"/>
    <w:rsid w:val="5D25B73C"/>
    <w:rsid w:val="5D712E7E"/>
    <w:rsid w:val="5DA631F6"/>
    <w:rsid w:val="5DE665A4"/>
    <w:rsid w:val="5DF16E68"/>
    <w:rsid w:val="5DFFCA48"/>
    <w:rsid w:val="5E01907A"/>
    <w:rsid w:val="5E339339"/>
    <w:rsid w:val="5E7B5311"/>
    <w:rsid w:val="5EBB8202"/>
    <w:rsid w:val="5EC19596"/>
    <w:rsid w:val="5ED1EDB4"/>
    <w:rsid w:val="5EE2FB54"/>
    <w:rsid w:val="5EE4C6CD"/>
    <w:rsid w:val="5F4AF0DB"/>
    <w:rsid w:val="5F4F54A9"/>
    <w:rsid w:val="5F571699"/>
    <w:rsid w:val="5F5F8CCD"/>
    <w:rsid w:val="6024FB74"/>
    <w:rsid w:val="60480FCA"/>
    <w:rsid w:val="6065A951"/>
    <w:rsid w:val="608E237E"/>
    <w:rsid w:val="60CBAA21"/>
    <w:rsid w:val="60E58081"/>
    <w:rsid w:val="60EF972F"/>
    <w:rsid w:val="60FE9312"/>
    <w:rsid w:val="6130F264"/>
    <w:rsid w:val="6155CC7E"/>
    <w:rsid w:val="615C79E1"/>
    <w:rsid w:val="618B1CE3"/>
    <w:rsid w:val="61C7580C"/>
    <w:rsid w:val="6233E456"/>
    <w:rsid w:val="62369B81"/>
    <w:rsid w:val="624D1DC8"/>
    <w:rsid w:val="62821944"/>
    <w:rsid w:val="6285E789"/>
    <w:rsid w:val="62F1CB42"/>
    <w:rsid w:val="636795BD"/>
    <w:rsid w:val="63A09746"/>
    <w:rsid w:val="63BB3AA9"/>
    <w:rsid w:val="63BBBDD6"/>
    <w:rsid w:val="64102D49"/>
    <w:rsid w:val="64219BB1"/>
    <w:rsid w:val="6474026C"/>
    <w:rsid w:val="647A4289"/>
    <w:rsid w:val="647A6DB9"/>
    <w:rsid w:val="6481F821"/>
    <w:rsid w:val="64D7E830"/>
    <w:rsid w:val="651756E2"/>
    <w:rsid w:val="652E7FFA"/>
    <w:rsid w:val="65340A9F"/>
    <w:rsid w:val="6535AC3D"/>
    <w:rsid w:val="65DAE629"/>
    <w:rsid w:val="65F74BC0"/>
    <w:rsid w:val="6623770C"/>
    <w:rsid w:val="6623C1C2"/>
    <w:rsid w:val="66E94109"/>
    <w:rsid w:val="66F9DB9D"/>
    <w:rsid w:val="66FCC38E"/>
    <w:rsid w:val="673CDF05"/>
    <w:rsid w:val="6740206C"/>
    <w:rsid w:val="67C2FC19"/>
    <w:rsid w:val="67CBF5E6"/>
    <w:rsid w:val="67CD2BDC"/>
    <w:rsid w:val="67D0A5CA"/>
    <w:rsid w:val="67DA6A24"/>
    <w:rsid w:val="67DAD824"/>
    <w:rsid w:val="67E383EB"/>
    <w:rsid w:val="67E5A79C"/>
    <w:rsid w:val="6804AA9E"/>
    <w:rsid w:val="687E20FE"/>
    <w:rsid w:val="68A95D23"/>
    <w:rsid w:val="68D1ECDA"/>
    <w:rsid w:val="68DC7584"/>
    <w:rsid w:val="692F1A99"/>
    <w:rsid w:val="6957F363"/>
    <w:rsid w:val="695C0A5C"/>
    <w:rsid w:val="6A24CBA2"/>
    <w:rsid w:val="6A3112EE"/>
    <w:rsid w:val="6A3AF93F"/>
    <w:rsid w:val="6A59971B"/>
    <w:rsid w:val="6A8B0E66"/>
    <w:rsid w:val="6AD67400"/>
    <w:rsid w:val="6B0B5A0D"/>
    <w:rsid w:val="6B100583"/>
    <w:rsid w:val="6B45DC81"/>
    <w:rsid w:val="6B6DA463"/>
    <w:rsid w:val="6B7CB36B"/>
    <w:rsid w:val="6B9FBF63"/>
    <w:rsid w:val="6BB2C40A"/>
    <w:rsid w:val="6BB9EB02"/>
    <w:rsid w:val="6BED9985"/>
    <w:rsid w:val="6C1C33C2"/>
    <w:rsid w:val="6C20B374"/>
    <w:rsid w:val="6C3B4DAA"/>
    <w:rsid w:val="6C48AFAC"/>
    <w:rsid w:val="6C8AC3D4"/>
    <w:rsid w:val="6C98F6F7"/>
    <w:rsid w:val="6CCF3FC6"/>
    <w:rsid w:val="6CD62CE4"/>
    <w:rsid w:val="6CE38030"/>
    <w:rsid w:val="6D310562"/>
    <w:rsid w:val="6D330C0B"/>
    <w:rsid w:val="6D55FE61"/>
    <w:rsid w:val="6D59100A"/>
    <w:rsid w:val="6D9D5478"/>
    <w:rsid w:val="6DAD8B58"/>
    <w:rsid w:val="6E0AEF39"/>
    <w:rsid w:val="6E26FF88"/>
    <w:rsid w:val="6E288901"/>
    <w:rsid w:val="6E7A2610"/>
    <w:rsid w:val="6E8D3F8F"/>
    <w:rsid w:val="6EAFCADC"/>
    <w:rsid w:val="6EC58F4E"/>
    <w:rsid w:val="6EF60BC1"/>
    <w:rsid w:val="6F265B4D"/>
    <w:rsid w:val="6F7C0CC4"/>
    <w:rsid w:val="6FD4705F"/>
    <w:rsid w:val="6FFBEB06"/>
    <w:rsid w:val="70831891"/>
    <w:rsid w:val="70AC9330"/>
    <w:rsid w:val="70B648CD"/>
    <w:rsid w:val="70F38D1F"/>
    <w:rsid w:val="70F5EA87"/>
    <w:rsid w:val="70FA36AF"/>
    <w:rsid w:val="71132C92"/>
    <w:rsid w:val="71187551"/>
    <w:rsid w:val="71679A97"/>
    <w:rsid w:val="71A40405"/>
    <w:rsid w:val="720CAC5E"/>
    <w:rsid w:val="72F27F4A"/>
    <w:rsid w:val="72F2DAD3"/>
    <w:rsid w:val="73221D57"/>
    <w:rsid w:val="73591D18"/>
    <w:rsid w:val="737A8B96"/>
    <w:rsid w:val="73910D56"/>
    <w:rsid w:val="73EED33B"/>
    <w:rsid w:val="742946F9"/>
    <w:rsid w:val="7440E95C"/>
    <w:rsid w:val="7449F90A"/>
    <w:rsid w:val="7460C634"/>
    <w:rsid w:val="746C5092"/>
    <w:rsid w:val="747EE73C"/>
    <w:rsid w:val="74BB92D5"/>
    <w:rsid w:val="74C59369"/>
    <w:rsid w:val="74CD51B3"/>
    <w:rsid w:val="74F67C03"/>
    <w:rsid w:val="74F8F0F4"/>
    <w:rsid w:val="74FC2F69"/>
    <w:rsid w:val="75434A46"/>
    <w:rsid w:val="7551D26D"/>
    <w:rsid w:val="75616963"/>
    <w:rsid w:val="75852744"/>
    <w:rsid w:val="75855836"/>
    <w:rsid w:val="75AE1B07"/>
    <w:rsid w:val="75C66C57"/>
    <w:rsid w:val="7603ED20"/>
    <w:rsid w:val="762EC718"/>
    <w:rsid w:val="7699EC62"/>
    <w:rsid w:val="76ACE6D9"/>
    <w:rsid w:val="76BDA840"/>
    <w:rsid w:val="76D64989"/>
    <w:rsid w:val="76DE0E94"/>
    <w:rsid w:val="76E5CE09"/>
    <w:rsid w:val="76E8CB39"/>
    <w:rsid w:val="76FC0AD4"/>
    <w:rsid w:val="77072274"/>
    <w:rsid w:val="7713BB5B"/>
    <w:rsid w:val="773C4837"/>
    <w:rsid w:val="77455DD6"/>
    <w:rsid w:val="77CD5952"/>
    <w:rsid w:val="77D48AB8"/>
    <w:rsid w:val="77E856B3"/>
    <w:rsid w:val="7812B1F4"/>
    <w:rsid w:val="783D48B9"/>
    <w:rsid w:val="78574730"/>
    <w:rsid w:val="78BB21E6"/>
    <w:rsid w:val="794050FB"/>
    <w:rsid w:val="79475AEF"/>
    <w:rsid w:val="79824539"/>
    <w:rsid w:val="7986D8CB"/>
    <w:rsid w:val="7989539F"/>
    <w:rsid w:val="79A292E2"/>
    <w:rsid w:val="79B112FD"/>
    <w:rsid w:val="7A17B74D"/>
    <w:rsid w:val="7A25FDFD"/>
    <w:rsid w:val="7A2EC034"/>
    <w:rsid w:val="7A461B52"/>
    <w:rsid w:val="7A737B77"/>
    <w:rsid w:val="7A858675"/>
    <w:rsid w:val="7ABF5247"/>
    <w:rsid w:val="7AC38CF8"/>
    <w:rsid w:val="7AE147CE"/>
    <w:rsid w:val="7AE22D53"/>
    <w:rsid w:val="7B0699E2"/>
    <w:rsid w:val="7B538284"/>
    <w:rsid w:val="7B703761"/>
    <w:rsid w:val="7B77F8E6"/>
    <w:rsid w:val="7B86E0E7"/>
    <w:rsid w:val="7B89EB13"/>
    <w:rsid w:val="7BA430DD"/>
    <w:rsid w:val="7BC7B667"/>
    <w:rsid w:val="7BDB021E"/>
    <w:rsid w:val="7BFD9D8E"/>
    <w:rsid w:val="7C0D47C6"/>
    <w:rsid w:val="7C26551D"/>
    <w:rsid w:val="7C3CD2C4"/>
    <w:rsid w:val="7C6E8131"/>
    <w:rsid w:val="7C7F027E"/>
    <w:rsid w:val="7CA7B7A5"/>
    <w:rsid w:val="7CC6A4BA"/>
    <w:rsid w:val="7D108D5E"/>
    <w:rsid w:val="7D11DD95"/>
    <w:rsid w:val="7D246816"/>
    <w:rsid w:val="7D6F3FD7"/>
    <w:rsid w:val="7D705ADD"/>
    <w:rsid w:val="7DB5C0B8"/>
    <w:rsid w:val="7DEABF2E"/>
    <w:rsid w:val="7E17BCB0"/>
    <w:rsid w:val="7E7A10B0"/>
    <w:rsid w:val="7EA3824E"/>
    <w:rsid w:val="7EDF12C2"/>
    <w:rsid w:val="7EED593C"/>
    <w:rsid w:val="7F49AAED"/>
    <w:rsid w:val="7FAE296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5BD4B6E8"/>
  <w15:docId w15:val="{C6F61F2F-0C88-4A68-8A53-B1B337D5F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3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17C"/>
    <w:pPr>
      <w:tabs>
        <w:tab w:val="left" w:pos="851"/>
      </w:tabs>
      <w:spacing w:before="240" w:after="120" w:line="360" w:lineRule="exact"/>
      <w:jc w:val="both"/>
    </w:pPr>
    <w:rPr>
      <w:rFonts w:asciiTheme="minorHAnsi" w:hAnsiTheme="minorHAnsi"/>
      <w:color w:val="002060"/>
      <w:sz w:val="24"/>
      <w:szCs w:val="24"/>
      <w:lang w:eastAsia="en-US"/>
    </w:rPr>
  </w:style>
  <w:style w:type="paragraph" w:styleId="Ttulo1">
    <w:name w:val="heading 1"/>
    <w:basedOn w:val="Normal"/>
    <w:next w:val="Normal"/>
    <w:link w:val="Ttulo1Char"/>
    <w:uiPriority w:val="99"/>
    <w:qFormat/>
    <w:rsid w:val="00CF1450"/>
    <w:pPr>
      <w:keepNext/>
      <w:pageBreakBefore/>
      <w:numPr>
        <w:numId w:val="1"/>
      </w:numPr>
      <w:tabs>
        <w:tab w:val="clear" w:pos="851"/>
      </w:tabs>
      <w:spacing w:after="480" w:line="240" w:lineRule="auto"/>
      <w:outlineLvl w:val="0"/>
    </w:pPr>
    <w:rPr>
      <w:rFonts w:ascii="Calibri" w:hAnsi="Calibri" w:cs="Arial"/>
      <w:b/>
      <w:bCs/>
      <w:kern w:val="32"/>
      <w:sz w:val="26"/>
    </w:rPr>
  </w:style>
  <w:style w:type="paragraph" w:styleId="Ttulo2">
    <w:name w:val="heading 2"/>
    <w:basedOn w:val="Normal"/>
    <w:next w:val="Normal"/>
    <w:link w:val="Ttulo2Char"/>
    <w:uiPriority w:val="99"/>
    <w:qFormat/>
    <w:rsid w:val="009227B8"/>
    <w:pPr>
      <w:keepNext/>
      <w:numPr>
        <w:ilvl w:val="1"/>
        <w:numId w:val="13"/>
      </w:numPr>
      <w:tabs>
        <w:tab w:val="clear" w:pos="851"/>
      </w:tabs>
      <w:spacing w:before="480" w:after="360" w:line="240" w:lineRule="auto"/>
      <w:outlineLvl w:val="1"/>
    </w:pPr>
    <w:rPr>
      <w:rFonts w:ascii="Calibri" w:hAnsi="Calibri" w:cs="Arial"/>
      <w:b/>
      <w:bCs/>
      <w:iCs/>
    </w:rPr>
  </w:style>
  <w:style w:type="paragraph" w:styleId="Ttulo3">
    <w:name w:val="heading 3"/>
    <w:basedOn w:val="Normal"/>
    <w:next w:val="Normal"/>
    <w:link w:val="Ttulo3Char"/>
    <w:uiPriority w:val="99"/>
    <w:qFormat/>
    <w:rsid w:val="009227B8"/>
    <w:pPr>
      <w:keepNext/>
      <w:numPr>
        <w:ilvl w:val="2"/>
        <w:numId w:val="13"/>
      </w:numPr>
      <w:tabs>
        <w:tab w:val="clear" w:pos="851"/>
      </w:tabs>
      <w:spacing w:before="480" w:after="360" w:line="240" w:lineRule="auto"/>
      <w:outlineLvl w:val="2"/>
    </w:pPr>
    <w:rPr>
      <w:rFonts w:cs="Arial"/>
      <w:b/>
      <w:bCs/>
      <w:szCs w:val="26"/>
    </w:rPr>
  </w:style>
  <w:style w:type="paragraph" w:styleId="Ttulo4">
    <w:name w:val="heading 4"/>
    <w:basedOn w:val="Normal"/>
    <w:next w:val="Normal"/>
    <w:link w:val="Ttulo4Char"/>
    <w:uiPriority w:val="99"/>
    <w:qFormat/>
    <w:rsid w:val="003513EB"/>
    <w:pPr>
      <w:keepNext/>
      <w:numPr>
        <w:ilvl w:val="3"/>
        <w:numId w:val="13"/>
      </w:numPr>
      <w:tabs>
        <w:tab w:val="clear" w:pos="851"/>
      </w:tabs>
      <w:spacing w:before="480" w:after="360" w:line="240" w:lineRule="auto"/>
      <w:outlineLvl w:val="3"/>
    </w:pPr>
    <w:rPr>
      <w:bCs/>
      <w:szCs w:val="28"/>
    </w:rPr>
  </w:style>
  <w:style w:type="paragraph" w:styleId="Ttulo5">
    <w:name w:val="heading 5"/>
    <w:basedOn w:val="Normal"/>
    <w:next w:val="Normal"/>
    <w:link w:val="Ttulo5Char"/>
    <w:uiPriority w:val="99"/>
    <w:qFormat/>
    <w:rsid w:val="003513EB"/>
    <w:pPr>
      <w:keepNext/>
      <w:numPr>
        <w:ilvl w:val="4"/>
        <w:numId w:val="13"/>
      </w:numPr>
      <w:tabs>
        <w:tab w:val="clear" w:pos="851"/>
      </w:tabs>
      <w:spacing w:before="480" w:after="360" w:line="240" w:lineRule="auto"/>
      <w:outlineLvl w:val="4"/>
    </w:pPr>
    <w:rPr>
      <w:bCs/>
      <w:iCs/>
      <w:szCs w:val="26"/>
    </w:rPr>
  </w:style>
  <w:style w:type="paragraph" w:styleId="Ttulo6">
    <w:name w:val="heading 6"/>
    <w:basedOn w:val="Normal"/>
    <w:next w:val="Normal"/>
    <w:link w:val="Ttulo6Char"/>
    <w:uiPriority w:val="99"/>
    <w:qFormat/>
    <w:rsid w:val="003513EB"/>
    <w:pPr>
      <w:keepNext/>
      <w:numPr>
        <w:ilvl w:val="5"/>
        <w:numId w:val="13"/>
      </w:numPr>
      <w:tabs>
        <w:tab w:val="clear" w:pos="851"/>
      </w:tabs>
      <w:spacing w:before="480" w:after="360" w:line="240" w:lineRule="auto"/>
      <w:outlineLvl w:val="5"/>
    </w:pPr>
    <w:rPr>
      <w:bCs/>
      <w:szCs w:val="22"/>
    </w:rPr>
  </w:style>
  <w:style w:type="paragraph" w:styleId="Ttulo7">
    <w:name w:val="heading 7"/>
    <w:basedOn w:val="Normal"/>
    <w:next w:val="Normal"/>
    <w:link w:val="Ttulo7Char"/>
    <w:uiPriority w:val="99"/>
    <w:qFormat/>
    <w:rsid w:val="003513EB"/>
    <w:pPr>
      <w:keepNext/>
      <w:numPr>
        <w:ilvl w:val="6"/>
        <w:numId w:val="13"/>
      </w:numPr>
      <w:tabs>
        <w:tab w:val="clear" w:pos="851"/>
      </w:tabs>
      <w:spacing w:before="480" w:after="360" w:line="240" w:lineRule="auto"/>
      <w:outlineLvl w:val="6"/>
    </w:pPr>
  </w:style>
  <w:style w:type="paragraph" w:styleId="Ttulo8">
    <w:name w:val="heading 8"/>
    <w:basedOn w:val="Normal"/>
    <w:next w:val="Normal"/>
    <w:link w:val="Ttulo8Char"/>
    <w:uiPriority w:val="99"/>
    <w:qFormat/>
    <w:rsid w:val="003513EB"/>
    <w:pPr>
      <w:keepNext/>
      <w:numPr>
        <w:ilvl w:val="7"/>
        <w:numId w:val="13"/>
      </w:numPr>
      <w:tabs>
        <w:tab w:val="clear" w:pos="851"/>
      </w:tabs>
      <w:spacing w:before="480" w:after="360" w:line="240" w:lineRule="auto"/>
      <w:outlineLvl w:val="7"/>
    </w:pPr>
    <w:rPr>
      <w:iCs/>
    </w:rPr>
  </w:style>
  <w:style w:type="paragraph" w:styleId="Ttulo9">
    <w:name w:val="heading 9"/>
    <w:basedOn w:val="Normal"/>
    <w:next w:val="Normal"/>
    <w:link w:val="Ttulo9Char"/>
    <w:uiPriority w:val="99"/>
    <w:qFormat/>
    <w:rsid w:val="003513EB"/>
    <w:pPr>
      <w:keepNext/>
      <w:numPr>
        <w:ilvl w:val="8"/>
        <w:numId w:val="13"/>
      </w:numPr>
      <w:tabs>
        <w:tab w:val="clear" w:pos="851"/>
      </w:tabs>
      <w:spacing w:before="480" w:after="360" w:line="240" w:lineRule="auto"/>
      <w:outlineLvl w:val="8"/>
    </w:pPr>
    <w:rPr>
      <w:rFonts w:cs="Arial"/>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CF1450"/>
    <w:rPr>
      <w:rFonts w:ascii="Calibri" w:hAnsi="Calibri" w:cs="Arial"/>
      <w:b/>
      <w:bCs/>
      <w:color w:val="002060"/>
      <w:kern w:val="32"/>
      <w:sz w:val="26"/>
      <w:szCs w:val="24"/>
      <w:lang w:eastAsia="en-US"/>
    </w:rPr>
  </w:style>
  <w:style w:type="character" w:customStyle="1" w:styleId="Ttulo2Char">
    <w:name w:val="Título 2 Char"/>
    <w:basedOn w:val="Fontepargpadro"/>
    <w:link w:val="Ttulo2"/>
    <w:uiPriority w:val="99"/>
    <w:locked/>
    <w:rsid w:val="009227B8"/>
    <w:rPr>
      <w:rFonts w:ascii="Calibri" w:hAnsi="Calibri" w:cs="Arial"/>
      <w:b/>
      <w:bCs/>
      <w:iCs/>
      <w:color w:val="002060"/>
      <w:sz w:val="24"/>
      <w:szCs w:val="24"/>
      <w:lang w:eastAsia="en-US"/>
    </w:rPr>
  </w:style>
  <w:style w:type="character" w:customStyle="1" w:styleId="Ttulo3Char">
    <w:name w:val="Título 3 Char"/>
    <w:basedOn w:val="Fontepargpadro"/>
    <w:link w:val="Ttulo3"/>
    <w:uiPriority w:val="99"/>
    <w:locked/>
    <w:rsid w:val="009227B8"/>
    <w:rPr>
      <w:rFonts w:asciiTheme="minorHAnsi" w:hAnsiTheme="minorHAnsi" w:cs="Arial"/>
      <w:b/>
      <w:bCs/>
      <w:color w:val="002060"/>
      <w:sz w:val="24"/>
      <w:szCs w:val="26"/>
      <w:lang w:eastAsia="en-US"/>
    </w:rPr>
  </w:style>
  <w:style w:type="character" w:customStyle="1" w:styleId="Ttulo4Char">
    <w:name w:val="Título 4 Char"/>
    <w:basedOn w:val="Fontepargpadro"/>
    <w:link w:val="Ttulo4"/>
    <w:uiPriority w:val="99"/>
    <w:locked/>
    <w:rsid w:val="000B3FA6"/>
    <w:rPr>
      <w:rFonts w:asciiTheme="minorHAnsi" w:hAnsiTheme="minorHAnsi"/>
      <w:bCs/>
      <w:color w:val="002060"/>
      <w:sz w:val="24"/>
      <w:szCs w:val="28"/>
      <w:lang w:eastAsia="en-US"/>
    </w:rPr>
  </w:style>
  <w:style w:type="character" w:customStyle="1" w:styleId="Ttulo5Char">
    <w:name w:val="Título 5 Char"/>
    <w:basedOn w:val="Fontepargpadro"/>
    <w:link w:val="Ttulo5"/>
    <w:uiPriority w:val="99"/>
    <w:locked/>
    <w:rsid w:val="000B3FA6"/>
    <w:rPr>
      <w:rFonts w:asciiTheme="minorHAnsi" w:hAnsiTheme="minorHAnsi"/>
      <w:bCs/>
      <w:iCs/>
      <w:color w:val="002060"/>
      <w:sz w:val="24"/>
      <w:szCs w:val="26"/>
      <w:lang w:eastAsia="en-US"/>
    </w:rPr>
  </w:style>
  <w:style w:type="character" w:customStyle="1" w:styleId="Ttulo6Char">
    <w:name w:val="Título 6 Char"/>
    <w:basedOn w:val="Fontepargpadro"/>
    <w:link w:val="Ttulo6"/>
    <w:uiPriority w:val="99"/>
    <w:locked/>
    <w:rsid w:val="000B3FA6"/>
    <w:rPr>
      <w:rFonts w:asciiTheme="minorHAnsi" w:hAnsiTheme="minorHAnsi"/>
      <w:bCs/>
      <w:color w:val="002060"/>
      <w:sz w:val="24"/>
      <w:szCs w:val="22"/>
      <w:lang w:eastAsia="en-US"/>
    </w:rPr>
  </w:style>
  <w:style w:type="character" w:customStyle="1" w:styleId="Ttulo7Char">
    <w:name w:val="Título 7 Char"/>
    <w:basedOn w:val="Fontepargpadro"/>
    <w:link w:val="Ttulo7"/>
    <w:uiPriority w:val="99"/>
    <w:locked/>
    <w:rsid w:val="000B3FA6"/>
    <w:rPr>
      <w:rFonts w:asciiTheme="minorHAnsi" w:hAnsiTheme="minorHAnsi"/>
      <w:color w:val="002060"/>
      <w:sz w:val="24"/>
      <w:szCs w:val="24"/>
      <w:lang w:eastAsia="en-US"/>
    </w:rPr>
  </w:style>
  <w:style w:type="character" w:customStyle="1" w:styleId="Ttulo8Char">
    <w:name w:val="Título 8 Char"/>
    <w:basedOn w:val="Fontepargpadro"/>
    <w:link w:val="Ttulo8"/>
    <w:uiPriority w:val="99"/>
    <w:locked/>
    <w:rsid w:val="000B3FA6"/>
    <w:rPr>
      <w:rFonts w:asciiTheme="minorHAnsi" w:hAnsiTheme="minorHAnsi"/>
      <w:iCs/>
      <w:color w:val="002060"/>
      <w:sz w:val="24"/>
      <w:szCs w:val="24"/>
      <w:lang w:eastAsia="en-US"/>
    </w:rPr>
  </w:style>
  <w:style w:type="character" w:customStyle="1" w:styleId="Ttulo9Char">
    <w:name w:val="Título 9 Char"/>
    <w:basedOn w:val="Fontepargpadro"/>
    <w:link w:val="Ttulo9"/>
    <w:uiPriority w:val="99"/>
    <w:locked/>
    <w:rsid w:val="000B3FA6"/>
    <w:rPr>
      <w:rFonts w:asciiTheme="minorHAnsi" w:hAnsiTheme="minorHAnsi" w:cs="Arial"/>
      <w:color w:val="002060"/>
      <w:sz w:val="24"/>
      <w:szCs w:val="22"/>
      <w:lang w:eastAsia="en-US"/>
    </w:rPr>
  </w:style>
  <w:style w:type="paragraph" w:styleId="Sumrio2">
    <w:name w:val="toc 2"/>
    <w:basedOn w:val="Normal"/>
    <w:next w:val="Normal"/>
    <w:link w:val="Sumrio2Char"/>
    <w:uiPriority w:val="39"/>
    <w:rsid w:val="00653D72"/>
    <w:pPr>
      <w:tabs>
        <w:tab w:val="clear" w:pos="851"/>
        <w:tab w:val="left" w:pos="601"/>
        <w:tab w:val="right" w:leader="dot" w:pos="9072"/>
      </w:tabs>
      <w:spacing w:line="240" w:lineRule="auto"/>
      <w:ind w:left="601" w:right="284" w:hanging="601"/>
      <w:jc w:val="left"/>
    </w:pPr>
  </w:style>
  <w:style w:type="paragraph" w:styleId="Sumrio1">
    <w:name w:val="toc 1"/>
    <w:basedOn w:val="Normal"/>
    <w:next w:val="Normal"/>
    <w:link w:val="Sumrio1Char"/>
    <w:autoRedefine/>
    <w:uiPriority w:val="39"/>
    <w:rsid w:val="005B225B"/>
    <w:pPr>
      <w:tabs>
        <w:tab w:val="clear" w:pos="851"/>
        <w:tab w:val="right" w:leader="dot" w:pos="9072"/>
      </w:tabs>
      <w:spacing w:before="0" w:line="240" w:lineRule="auto"/>
      <w:ind w:left="397" w:right="284" w:hanging="397"/>
      <w:jc w:val="left"/>
    </w:pPr>
    <w:rPr>
      <w:noProof/>
    </w:rPr>
  </w:style>
  <w:style w:type="paragraph" w:styleId="Sumrio3">
    <w:name w:val="toc 3"/>
    <w:basedOn w:val="Normal"/>
    <w:next w:val="Normal"/>
    <w:autoRedefine/>
    <w:uiPriority w:val="39"/>
    <w:rsid w:val="005B225B"/>
    <w:pPr>
      <w:tabs>
        <w:tab w:val="clear" w:pos="851"/>
        <w:tab w:val="left" w:pos="805"/>
        <w:tab w:val="right" w:leader="dot" w:pos="9072"/>
      </w:tabs>
      <w:spacing w:before="0" w:after="0" w:line="240" w:lineRule="auto"/>
      <w:ind w:left="805" w:right="284" w:hanging="805"/>
      <w:jc w:val="left"/>
    </w:pPr>
  </w:style>
  <w:style w:type="paragraph" w:styleId="Sumrio4">
    <w:name w:val="toc 4"/>
    <w:basedOn w:val="Normal"/>
    <w:next w:val="Normal"/>
    <w:autoRedefine/>
    <w:uiPriority w:val="99"/>
    <w:rsid w:val="008B5601"/>
    <w:pPr>
      <w:tabs>
        <w:tab w:val="clear" w:pos="851"/>
        <w:tab w:val="left" w:pos="1015"/>
        <w:tab w:val="right" w:leader="dot" w:pos="9072"/>
      </w:tabs>
      <w:spacing w:line="240" w:lineRule="auto"/>
      <w:ind w:left="1015" w:right="284" w:hanging="1015"/>
      <w:jc w:val="left"/>
    </w:pPr>
  </w:style>
  <w:style w:type="character" w:styleId="AcrnimoHTML">
    <w:name w:val="HTML Acronym"/>
    <w:basedOn w:val="Fontepargpadro"/>
    <w:uiPriority w:val="99"/>
    <w:semiHidden/>
    <w:rsid w:val="000E52BA"/>
    <w:rPr>
      <w:rFonts w:cs="Times New Roman"/>
    </w:rPr>
  </w:style>
  <w:style w:type="paragraph" w:styleId="Sumrio5">
    <w:name w:val="toc 5"/>
    <w:basedOn w:val="Normal"/>
    <w:next w:val="Normal"/>
    <w:autoRedefine/>
    <w:uiPriority w:val="99"/>
    <w:rsid w:val="008B5601"/>
    <w:pPr>
      <w:tabs>
        <w:tab w:val="clear" w:pos="851"/>
        <w:tab w:val="left" w:pos="1219"/>
        <w:tab w:val="right" w:leader="dot" w:pos="9072"/>
      </w:tabs>
      <w:spacing w:line="240" w:lineRule="auto"/>
      <w:ind w:left="1219" w:right="284" w:hanging="1219"/>
      <w:jc w:val="left"/>
    </w:pPr>
  </w:style>
  <w:style w:type="paragraph" w:styleId="Sumrio6">
    <w:name w:val="toc 6"/>
    <w:basedOn w:val="Normal"/>
    <w:next w:val="Normal"/>
    <w:autoRedefine/>
    <w:uiPriority w:val="99"/>
    <w:rsid w:val="008B5601"/>
    <w:pPr>
      <w:tabs>
        <w:tab w:val="clear" w:pos="851"/>
        <w:tab w:val="left" w:pos="1423"/>
        <w:tab w:val="right" w:leader="dot" w:pos="9072"/>
      </w:tabs>
      <w:spacing w:line="240" w:lineRule="auto"/>
      <w:ind w:left="1423" w:right="284" w:hanging="1423"/>
      <w:jc w:val="left"/>
    </w:pPr>
  </w:style>
  <w:style w:type="paragraph" w:styleId="Sumrio7">
    <w:name w:val="toc 7"/>
    <w:basedOn w:val="Normal"/>
    <w:next w:val="Normal"/>
    <w:autoRedefine/>
    <w:uiPriority w:val="99"/>
    <w:rsid w:val="008B5601"/>
    <w:pPr>
      <w:tabs>
        <w:tab w:val="clear" w:pos="851"/>
        <w:tab w:val="left" w:pos="1627"/>
        <w:tab w:val="right" w:leader="dot" w:pos="9072"/>
      </w:tabs>
      <w:spacing w:line="240" w:lineRule="auto"/>
      <w:ind w:left="1627" w:right="284" w:hanging="1627"/>
      <w:jc w:val="left"/>
    </w:pPr>
  </w:style>
  <w:style w:type="paragraph" w:styleId="Sumrio8">
    <w:name w:val="toc 8"/>
    <w:basedOn w:val="Normal"/>
    <w:next w:val="Normal"/>
    <w:autoRedefine/>
    <w:uiPriority w:val="99"/>
    <w:rsid w:val="008B5601"/>
    <w:pPr>
      <w:tabs>
        <w:tab w:val="clear" w:pos="851"/>
        <w:tab w:val="left" w:pos="1837"/>
        <w:tab w:val="right" w:leader="dot" w:pos="9072"/>
      </w:tabs>
      <w:spacing w:line="240" w:lineRule="auto"/>
      <w:ind w:left="1837" w:right="284" w:hanging="1837"/>
      <w:jc w:val="left"/>
    </w:pPr>
  </w:style>
  <w:style w:type="paragraph" w:styleId="Sumrio9">
    <w:name w:val="toc 9"/>
    <w:basedOn w:val="Normal"/>
    <w:next w:val="Normal"/>
    <w:autoRedefine/>
    <w:uiPriority w:val="39"/>
    <w:rsid w:val="00501430"/>
    <w:pPr>
      <w:tabs>
        <w:tab w:val="clear" w:pos="851"/>
        <w:tab w:val="left" w:pos="2041"/>
        <w:tab w:val="right" w:leader="dot" w:pos="9072"/>
      </w:tabs>
      <w:spacing w:line="240" w:lineRule="auto"/>
      <w:ind w:left="1701" w:right="284" w:hanging="1701"/>
      <w:jc w:val="left"/>
    </w:pPr>
    <w:rPr>
      <w:b/>
      <w:caps/>
    </w:rPr>
  </w:style>
  <w:style w:type="paragraph" w:styleId="Assinatura">
    <w:name w:val="Signature"/>
    <w:basedOn w:val="Normal"/>
    <w:link w:val="AssinaturaChar"/>
    <w:uiPriority w:val="99"/>
    <w:semiHidden/>
    <w:rsid w:val="000E52BA"/>
    <w:pPr>
      <w:ind w:left="4252"/>
    </w:pPr>
  </w:style>
  <w:style w:type="character" w:customStyle="1" w:styleId="AssinaturaChar">
    <w:name w:val="Assinatura Char"/>
    <w:basedOn w:val="Fontepargpadro"/>
    <w:link w:val="Assinatura"/>
    <w:uiPriority w:val="99"/>
    <w:semiHidden/>
    <w:locked/>
    <w:rsid w:val="000B3FA6"/>
    <w:rPr>
      <w:rFonts w:ascii="Arial" w:hAnsi="Arial" w:cs="Times New Roman"/>
      <w:sz w:val="24"/>
      <w:szCs w:val="24"/>
      <w:lang w:eastAsia="en-US"/>
    </w:rPr>
  </w:style>
  <w:style w:type="paragraph" w:styleId="AssinaturadeEmail">
    <w:name w:val="E-mail Signature"/>
    <w:basedOn w:val="Normal"/>
    <w:link w:val="AssinaturadeEmailChar"/>
    <w:uiPriority w:val="99"/>
    <w:semiHidden/>
    <w:rsid w:val="000E52BA"/>
  </w:style>
  <w:style w:type="character" w:customStyle="1" w:styleId="AssinaturadeEmailChar">
    <w:name w:val="Assinatura de Email Char"/>
    <w:basedOn w:val="Fontepargpadro"/>
    <w:link w:val="AssinaturadeEmail"/>
    <w:uiPriority w:val="99"/>
    <w:semiHidden/>
    <w:locked/>
    <w:rsid w:val="000B3FA6"/>
    <w:rPr>
      <w:rFonts w:ascii="Arial" w:hAnsi="Arial" w:cs="Times New Roman"/>
      <w:sz w:val="24"/>
      <w:szCs w:val="24"/>
      <w:lang w:eastAsia="en-US"/>
    </w:rPr>
  </w:style>
  <w:style w:type="paragraph" w:styleId="Cabealho">
    <w:name w:val="header"/>
    <w:basedOn w:val="Normal"/>
    <w:link w:val="CabealhoChar"/>
    <w:uiPriority w:val="99"/>
    <w:rsid w:val="000E52BA"/>
    <w:pPr>
      <w:tabs>
        <w:tab w:val="center" w:pos="4252"/>
        <w:tab w:val="right" w:pos="8504"/>
      </w:tabs>
    </w:pPr>
  </w:style>
  <w:style w:type="character" w:customStyle="1" w:styleId="CabealhoChar">
    <w:name w:val="Cabeçalho Char"/>
    <w:basedOn w:val="Fontepargpadro"/>
    <w:link w:val="Cabealho"/>
    <w:uiPriority w:val="99"/>
    <w:locked/>
    <w:rsid w:val="000B3FA6"/>
    <w:rPr>
      <w:rFonts w:ascii="Arial" w:hAnsi="Arial" w:cs="Times New Roman"/>
      <w:sz w:val="24"/>
      <w:szCs w:val="24"/>
      <w:lang w:eastAsia="en-US"/>
    </w:rPr>
  </w:style>
  <w:style w:type="paragraph" w:styleId="Cabealhodamensagem">
    <w:name w:val="Message Header"/>
    <w:basedOn w:val="Normal"/>
    <w:link w:val="CabealhodamensagemChar"/>
    <w:uiPriority w:val="99"/>
    <w:semiHidden/>
    <w:rsid w:val="000E52BA"/>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CabealhodamensagemChar">
    <w:name w:val="Cabeçalho da mensagem Char"/>
    <w:basedOn w:val="Fontepargpadro"/>
    <w:link w:val="Cabealhodamensagem"/>
    <w:uiPriority w:val="99"/>
    <w:semiHidden/>
    <w:locked/>
    <w:rsid w:val="000B3FA6"/>
    <w:rPr>
      <w:rFonts w:ascii="Cambria" w:hAnsi="Cambria" w:cs="Times New Roman"/>
      <w:sz w:val="24"/>
      <w:szCs w:val="24"/>
      <w:shd w:val="pct20" w:color="auto" w:fill="auto"/>
      <w:lang w:eastAsia="en-US"/>
    </w:rPr>
  </w:style>
  <w:style w:type="character" w:styleId="CitaoHTML">
    <w:name w:val="HTML Cite"/>
    <w:basedOn w:val="Fontepargpadro"/>
    <w:uiPriority w:val="99"/>
    <w:semiHidden/>
    <w:rsid w:val="000E52BA"/>
    <w:rPr>
      <w:rFonts w:cs="Times New Roman"/>
      <w:i/>
      <w:iCs/>
    </w:rPr>
  </w:style>
  <w:style w:type="character" w:styleId="CdigoHTML">
    <w:name w:val="HTML Code"/>
    <w:basedOn w:val="Fontepargpadro"/>
    <w:uiPriority w:val="99"/>
    <w:semiHidden/>
    <w:rsid w:val="000E52BA"/>
    <w:rPr>
      <w:rFonts w:ascii="Courier New" w:hAnsi="Courier New" w:cs="Courier New"/>
      <w:sz w:val="20"/>
      <w:szCs w:val="20"/>
    </w:rPr>
  </w:style>
  <w:style w:type="paragraph" w:styleId="Commarcadores">
    <w:name w:val="List Bullet"/>
    <w:basedOn w:val="Normal"/>
    <w:uiPriority w:val="99"/>
    <w:semiHidden/>
    <w:rsid w:val="000E52BA"/>
    <w:pPr>
      <w:tabs>
        <w:tab w:val="num" w:pos="360"/>
      </w:tabs>
      <w:ind w:left="360" w:hanging="360"/>
    </w:pPr>
  </w:style>
  <w:style w:type="paragraph" w:styleId="Commarcadores2">
    <w:name w:val="List Bullet 2"/>
    <w:basedOn w:val="Normal"/>
    <w:uiPriority w:val="99"/>
    <w:semiHidden/>
    <w:rsid w:val="000E52BA"/>
    <w:pPr>
      <w:tabs>
        <w:tab w:val="num" w:pos="643"/>
      </w:tabs>
      <w:ind w:left="643" w:hanging="360"/>
    </w:pPr>
  </w:style>
  <w:style w:type="paragraph" w:styleId="Commarcadores3">
    <w:name w:val="List Bullet 3"/>
    <w:basedOn w:val="Normal"/>
    <w:uiPriority w:val="99"/>
    <w:semiHidden/>
    <w:rsid w:val="000E52BA"/>
    <w:pPr>
      <w:tabs>
        <w:tab w:val="num" w:pos="926"/>
      </w:tabs>
      <w:ind w:left="926" w:hanging="360"/>
    </w:pPr>
  </w:style>
  <w:style w:type="paragraph" w:styleId="Commarcadores4">
    <w:name w:val="List Bullet 4"/>
    <w:basedOn w:val="Normal"/>
    <w:uiPriority w:val="99"/>
    <w:semiHidden/>
    <w:rsid w:val="000E52BA"/>
    <w:pPr>
      <w:tabs>
        <w:tab w:val="num" w:pos="1209"/>
      </w:tabs>
      <w:ind w:left="1209" w:hanging="360"/>
    </w:pPr>
  </w:style>
  <w:style w:type="paragraph" w:styleId="Commarcadores5">
    <w:name w:val="List Bullet 5"/>
    <w:basedOn w:val="Normal"/>
    <w:uiPriority w:val="99"/>
    <w:semiHidden/>
    <w:rsid w:val="000E52BA"/>
    <w:pPr>
      <w:tabs>
        <w:tab w:val="num" w:pos="1492"/>
      </w:tabs>
      <w:ind w:left="1492" w:hanging="360"/>
    </w:pPr>
  </w:style>
  <w:style w:type="paragraph" w:styleId="Corpodetexto">
    <w:name w:val="Body Text"/>
    <w:basedOn w:val="Normal"/>
    <w:link w:val="CorpodetextoChar"/>
    <w:uiPriority w:val="99"/>
    <w:rsid w:val="000E52BA"/>
  </w:style>
  <w:style w:type="character" w:customStyle="1" w:styleId="CorpodetextoChar">
    <w:name w:val="Corpo de texto Char"/>
    <w:basedOn w:val="Fontepargpadro"/>
    <w:link w:val="Corpodetexto"/>
    <w:uiPriority w:val="99"/>
    <w:locked/>
    <w:rsid w:val="000B3FA6"/>
    <w:rPr>
      <w:rFonts w:ascii="Arial" w:hAnsi="Arial" w:cs="Times New Roman"/>
      <w:sz w:val="24"/>
      <w:szCs w:val="24"/>
      <w:lang w:eastAsia="en-US"/>
    </w:rPr>
  </w:style>
  <w:style w:type="paragraph" w:styleId="Corpodetexto2">
    <w:name w:val="Body Text 2"/>
    <w:basedOn w:val="Normal"/>
    <w:link w:val="Corpodetexto2Char"/>
    <w:uiPriority w:val="99"/>
    <w:semiHidden/>
    <w:rsid w:val="000E52BA"/>
    <w:pPr>
      <w:spacing w:line="480" w:lineRule="auto"/>
    </w:pPr>
  </w:style>
  <w:style w:type="character" w:customStyle="1" w:styleId="Corpodetexto2Char">
    <w:name w:val="Corpo de texto 2 Char"/>
    <w:basedOn w:val="Fontepargpadro"/>
    <w:link w:val="Corpodetexto2"/>
    <w:uiPriority w:val="99"/>
    <w:semiHidden/>
    <w:locked/>
    <w:rsid w:val="000B3FA6"/>
    <w:rPr>
      <w:rFonts w:ascii="Arial" w:hAnsi="Arial" w:cs="Times New Roman"/>
      <w:sz w:val="24"/>
      <w:szCs w:val="24"/>
      <w:lang w:eastAsia="en-US"/>
    </w:rPr>
  </w:style>
  <w:style w:type="paragraph" w:styleId="Corpodetexto3">
    <w:name w:val="Body Text 3"/>
    <w:basedOn w:val="Normal"/>
    <w:link w:val="Corpodetexto3Char"/>
    <w:uiPriority w:val="99"/>
    <w:semiHidden/>
    <w:rsid w:val="000E52BA"/>
    <w:rPr>
      <w:sz w:val="16"/>
      <w:szCs w:val="16"/>
    </w:rPr>
  </w:style>
  <w:style w:type="character" w:customStyle="1" w:styleId="Corpodetexto3Char">
    <w:name w:val="Corpo de texto 3 Char"/>
    <w:basedOn w:val="Fontepargpadro"/>
    <w:link w:val="Corpodetexto3"/>
    <w:uiPriority w:val="99"/>
    <w:semiHidden/>
    <w:locked/>
    <w:rsid w:val="000B3FA6"/>
    <w:rPr>
      <w:rFonts w:ascii="Arial" w:hAnsi="Arial" w:cs="Times New Roman"/>
      <w:sz w:val="16"/>
      <w:szCs w:val="16"/>
      <w:lang w:eastAsia="en-US"/>
    </w:rPr>
  </w:style>
  <w:style w:type="paragraph" w:styleId="Data">
    <w:name w:val="Date"/>
    <w:basedOn w:val="Normal"/>
    <w:next w:val="Normal"/>
    <w:link w:val="DataChar"/>
    <w:uiPriority w:val="99"/>
    <w:semiHidden/>
    <w:rsid w:val="000E52BA"/>
  </w:style>
  <w:style w:type="character" w:customStyle="1" w:styleId="DataChar">
    <w:name w:val="Data Char"/>
    <w:basedOn w:val="Fontepargpadro"/>
    <w:link w:val="Data"/>
    <w:uiPriority w:val="99"/>
    <w:semiHidden/>
    <w:locked/>
    <w:rsid w:val="000B3FA6"/>
    <w:rPr>
      <w:rFonts w:ascii="Arial" w:hAnsi="Arial" w:cs="Times New Roman"/>
      <w:sz w:val="24"/>
      <w:szCs w:val="24"/>
      <w:lang w:eastAsia="en-US"/>
    </w:rPr>
  </w:style>
  <w:style w:type="character" w:styleId="DefinioHTML">
    <w:name w:val="HTML Definition"/>
    <w:basedOn w:val="Fontepargpadro"/>
    <w:uiPriority w:val="99"/>
    <w:semiHidden/>
    <w:rsid w:val="000E52BA"/>
    <w:rPr>
      <w:rFonts w:cs="Times New Roman"/>
      <w:i/>
      <w:iCs/>
    </w:rPr>
  </w:style>
  <w:style w:type="paragraph" w:styleId="Destinatrio">
    <w:name w:val="envelope address"/>
    <w:basedOn w:val="Normal"/>
    <w:uiPriority w:val="99"/>
    <w:semiHidden/>
    <w:rsid w:val="000E52BA"/>
    <w:pPr>
      <w:framePr w:w="7938" w:h="1984" w:hRule="exact" w:hSpace="141" w:wrap="auto" w:hAnchor="page" w:xAlign="center" w:yAlign="bottom"/>
      <w:ind w:left="2835"/>
    </w:pPr>
    <w:rPr>
      <w:rFonts w:cs="Arial"/>
    </w:rPr>
  </w:style>
  <w:style w:type="paragraph" w:styleId="Encerramento">
    <w:name w:val="Closing"/>
    <w:basedOn w:val="Normal"/>
    <w:link w:val="EncerramentoChar"/>
    <w:uiPriority w:val="99"/>
    <w:semiHidden/>
    <w:rsid w:val="000E52BA"/>
    <w:pPr>
      <w:ind w:left="4252"/>
    </w:pPr>
  </w:style>
  <w:style w:type="character" w:customStyle="1" w:styleId="EncerramentoChar">
    <w:name w:val="Encerramento Char"/>
    <w:basedOn w:val="Fontepargpadro"/>
    <w:link w:val="Encerramento"/>
    <w:uiPriority w:val="99"/>
    <w:semiHidden/>
    <w:locked/>
    <w:rsid w:val="000B3FA6"/>
    <w:rPr>
      <w:rFonts w:ascii="Arial" w:hAnsi="Arial" w:cs="Times New Roman"/>
      <w:sz w:val="24"/>
      <w:szCs w:val="24"/>
      <w:lang w:eastAsia="en-US"/>
    </w:rPr>
  </w:style>
  <w:style w:type="paragraph" w:styleId="EndereoHTML">
    <w:name w:val="HTML Address"/>
    <w:basedOn w:val="Normal"/>
    <w:link w:val="EndereoHTMLChar"/>
    <w:uiPriority w:val="99"/>
    <w:semiHidden/>
    <w:rsid w:val="000E52BA"/>
    <w:rPr>
      <w:i/>
      <w:iCs/>
    </w:rPr>
  </w:style>
  <w:style w:type="character" w:customStyle="1" w:styleId="EndereoHTMLChar">
    <w:name w:val="Endereço HTML Char"/>
    <w:basedOn w:val="Fontepargpadro"/>
    <w:link w:val="EndereoHTML"/>
    <w:uiPriority w:val="99"/>
    <w:semiHidden/>
    <w:locked/>
    <w:rsid w:val="000B3FA6"/>
    <w:rPr>
      <w:rFonts w:ascii="Arial" w:hAnsi="Arial" w:cs="Times New Roman"/>
      <w:i/>
      <w:iCs/>
      <w:sz w:val="24"/>
      <w:szCs w:val="24"/>
      <w:lang w:eastAsia="en-US"/>
    </w:rPr>
  </w:style>
  <w:style w:type="character" w:styleId="nfase">
    <w:name w:val="Emphasis"/>
    <w:basedOn w:val="Fontepargpadro"/>
    <w:uiPriority w:val="20"/>
    <w:qFormat/>
    <w:rsid w:val="000E52BA"/>
    <w:rPr>
      <w:rFonts w:cs="Times New Roman"/>
      <w:i/>
      <w:iCs/>
    </w:rPr>
  </w:style>
  <w:style w:type="character" w:styleId="ExemploHTML">
    <w:name w:val="HTML Sample"/>
    <w:basedOn w:val="Fontepargpadro"/>
    <w:uiPriority w:val="99"/>
    <w:semiHidden/>
    <w:rsid w:val="000E52BA"/>
    <w:rPr>
      <w:rFonts w:ascii="Courier New" w:hAnsi="Courier New" w:cs="Courier New"/>
    </w:rPr>
  </w:style>
  <w:style w:type="character" w:styleId="Forte">
    <w:name w:val="Strong"/>
    <w:basedOn w:val="Fontepargpadro"/>
    <w:uiPriority w:val="22"/>
    <w:qFormat/>
    <w:rsid w:val="000E52BA"/>
    <w:rPr>
      <w:rFonts w:cs="Times New Roman"/>
      <w:b/>
      <w:bCs/>
    </w:rPr>
  </w:style>
  <w:style w:type="character" w:styleId="HiperlinkVisitado">
    <w:name w:val="FollowedHyperlink"/>
    <w:basedOn w:val="Fontepargpadro"/>
    <w:uiPriority w:val="99"/>
    <w:semiHidden/>
    <w:rsid w:val="000E52BA"/>
    <w:rPr>
      <w:rFonts w:cs="Times New Roman"/>
      <w:color w:val="800080"/>
      <w:u w:val="single"/>
    </w:rPr>
  </w:style>
  <w:style w:type="character" w:styleId="Hyperlink">
    <w:name w:val="Hyperlink"/>
    <w:basedOn w:val="Fontepargpadro"/>
    <w:uiPriority w:val="99"/>
    <w:rsid w:val="000E52BA"/>
    <w:rPr>
      <w:rFonts w:cs="Times New Roman"/>
      <w:color w:val="0000FF"/>
      <w:u w:val="single"/>
    </w:rPr>
  </w:style>
  <w:style w:type="paragraph" w:styleId="Lista">
    <w:name w:val="List"/>
    <w:basedOn w:val="Normal"/>
    <w:uiPriority w:val="99"/>
    <w:semiHidden/>
    <w:rsid w:val="000E52BA"/>
    <w:pPr>
      <w:ind w:left="283" w:hanging="283"/>
    </w:pPr>
  </w:style>
  <w:style w:type="paragraph" w:styleId="Lista2">
    <w:name w:val="List 2"/>
    <w:basedOn w:val="Normal"/>
    <w:uiPriority w:val="99"/>
    <w:semiHidden/>
    <w:rsid w:val="000E52BA"/>
    <w:pPr>
      <w:ind w:left="566" w:hanging="283"/>
    </w:pPr>
  </w:style>
  <w:style w:type="paragraph" w:styleId="Lista3">
    <w:name w:val="List 3"/>
    <w:basedOn w:val="Normal"/>
    <w:uiPriority w:val="99"/>
    <w:semiHidden/>
    <w:rsid w:val="000E52BA"/>
    <w:pPr>
      <w:ind w:left="849" w:hanging="283"/>
    </w:pPr>
  </w:style>
  <w:style w:type="paragraph" w:styleId="Lista4">
    <w:name w:val="List 4"/>
    <w:basedOn w:val="Normal"/>
    <w:uiPriority w:val="99"/>
    <w:semiHidden/>
    <w:rsid w:val="000E52BA"/>
    <w:pPr>
      <w:ind w:left="1132" w:hanging="283"/>
    </w:pPr>
  </w:style>
  <w:style w:type="paragraph" w:styleId="Lista5">
    <w:name w:val="List 5"/>
    <w:basedOn w:val="Normal"/>
    <w:uiPriority w:val="99"/>
    <w:semiHidden/>
    <w:rsid w:val="000E52BA"/>
    <w:pPr>
      <w:ind w:left="1415" w:hanging="283"/>
    </w:pPr>
  </w:style>
  <w:style w:type="paragraph" w:styleId="Listadecontinuao">
    <w:name w:val="List Continue"/>
    <w:basedOn w:val="Normal"/>
    <w:uiPriority w:val="99"/>
    <w:semiHidden/>
    <w:rsid w:val="000E52BA"/>
    <w:pPr>
      <w:ind w:left="283"/>
    </w:pPr>
  </w:style>
  <w:style w:type="paragraph" w:styleId="Listadecontinuao2">
    <w:name w:val="List Continue 2"/>
    <w:basedOn w:val="Normal"/>
    <w:uiPriority w:val="99"/>
    <w:semiHidden/>
    <w:rsid w:val="000E52BA"/>
    <w:pPr>
      <w:ind w:left="566"/>
    </w:pPr>
  </w:style>
  <w:style w:type="paragraph" w:styleId="Listadecontinuao3">
    <w:name w:val="List Continue 3"/>
    <w:basedOn w:val="Normal"/>
    <w:uiPriority w:val="99"/>
    <w:semiHidden/>
    <w:rsid w:val="000E52BA"/>
    <w:pPr>
      <w:ind w:left="849"/>
    </w:pPr>
  </w:style>
  <w:style w:type="paragraph" w:styleId="Listadecontinuao4">
    <w:name w:val="List Continue 4"/>
    <w:basedOn w:val="Normal"/>
    <w:uiPriority w:val="99"/>
    <w:semiHidden/>
    <w:rsid w:val="000E52BA"/>
    <w:pPr>
      <w:ind w:left="1132"/>
    </w:pPr>
  </w:style>
  <w:style w:type="paragraph" w:styleId="Listadecontinuao5">
    <w:name w:val="List Continue 5"/>
    <w:basedOn w:val="Normal"/>
    <w:uiPriority w:val="99"/>
    <w:semiHidden/>
    <w:rsid w:val="000E52BA"/>
    <w:pPr>
      <w:ind w:left="1415"/>
    </w:pPr>
  </w:style>
  <w:style w:type="character" w:styleId="MquinadeescreverHTML">
    <w:name w:val="HTML Typewriter"/>
    <w:basedOn w:val="Fontepargpadro"/>
    <w:uiPriority w:val="99"/>
    <w:semiHidden/>
    <w:rsid w:val="000E52BA"/>
    <w:rPr>
      <w:rFonts w:ascii="Courier New" w:hAnsi="Courier New" w:cs="Courier New"/>
      <w:sz w:val="20"/>
      <w:szCs w:val="20"/>
    </w:rPr>
  </w:style>
  <w:style w:type="paragraph" w:styleId="NormalWeb">
    <w:name w:val="Normal (Web)"/>
    <w:basedOn w:val="Normal"/>
    <w:uiPriority w:val="99"/>
    <w:semiHidden/>
    <w:rsid w:val="000E52BA"/>
    <w:rPr>
      <w:rFonts w:ascii="Times New Roman" w:hAnsi="Times New Roman"/>
    </w:rPr>
  </w:style>
  <w:style w:type="paragraph" w:styleId="Numerada2">
    <w:name w:val="List Number 2"/>
    <w:basedOn w:val="Normal"/>
    <w:uiPriority w:val="99"/>
    <w:semiHidden/>
    <w:rsid w:val="00221114"/>
    <w:pPr>
      <w:tabs>
        <w:tab w:val="num" w:pos="643"/>
      </w:tabs>
      <w:ind w:left="643" w:hanging="360"/>
    </w:pPr>
  </w:style>
  <w:style w:type="paragraph" w:styleId="Numerada3">
    <w:name w:val="List Number 3"/>
    <w:basedOn w:val="Normal"/>
    <w:uiPriority w:val="99"/>
    <w:semiHidden/>
    <w:rsid w:val="00221114"/>
    <w:pPr>
      <w:tabs>
        <w:tab w:val="num" w:pos="926"/>
      </w:tabs>
      <w:ind w:left="926" w:hanging="360"/>
    </w:pPr>
  </w:style>
  <w:style w:type="paragraph" w:styleId="Numerada4">
    <w:name w:val="List Number 4"/>
    <w:basedOn w:val="Normal"/>
    <w:uiPriority w:val="99"/>
    <w:semiHidden/>
    <w:rsid w:val="00221114"/>
    <w:pPr>
      <w:tabs>
        <w:tab w:val="num" w:pos="1209"/>
      </w:tabs>
      <w:ind w:left="1209" w:hanging="360"/>
    </w:pPr>
  </w:style>
  <w:style w:type="paragraph" w:styleId="Numerada5">
    <w:name w:val="List Number 5"/>
    <w:basedOn w:val="Normal"/>
    <w:uiPriority w:val="99"/>
    <w:semiHidden/>
    <w:rsid w:val="00221114"/>
    <w:pPr>
      <w:tabs>
        <w:tab w:val="num" w:pos="1492"/>
      </w:tabs>
      <w:ind w:left="1492" w:hanging="360"/>
    </w:pPr>
  </w:style>
  <w:style w:type="character" w:styleId="Nmerodelinha">
    <w:name w:val="line number"/>
    <w:basedOn w:val="Fontepargpadro"/>
    <w:uiPriority w:val="99"/>
    <w:semiHidden/>
    <w:rsid w:val="00221114"/>
    <w:rPr>
      <w:rFonts w:cs="Times New Roman"/>
    </w:rPr>
  </w:style>
  <w:style w:type="paragraph" w:styleId="Pr-formataoHTML">
    <w:name w:val="HTML Preformatted"/>
    <w:basedOn w:val="Normal"/>
    <w:link w:val="Pr-formataoHTMLChar"/>
    <w:uiPriority w:val="99"/>
    <w:semiHidden/>
    <w:rsid w:val="00221114"/>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locked/>
    <w:rsid w:val="000B3FA6"/>
    <w:rPr>
      <w:rFonts w:ascii="Courier New" w:hAnsi="Courier New" w:cs="Courier New"/>
      <w:sz w:val="20"/>
      <w:szCs w:val="20"/>
      <w:lang w:eastAsia="en-US"/>
    </w:rPr>
  </w:style>
  <w:style w:type="paragraph" w:styleId="Primeirorecuodecorpodetexto">
    <w:name w:val="Body Text First Indent"/>
    <w:basedOn w:val="Corpodetexto"/>
    <w:link w:val="PrimeirorecuodecorpodetextoChar"/>
    <w:uiPriority w:val="99"/>
    <w:semiHidden/>
    <w:rsid w:val="00221114"/>
    <w:pPr>
      <w:ind w:firstLine="210"/>
    </w:pPr>
  </w:style>
  <w:style w:type="character" w:customStyle="1" w:styleId="PrimeirorecuodecorpodetextoChar">
    <w:name w:val="Primeiro recuo de corpo de texto Char"/>
    <w:basedOn w:val="CorpodetextoChar"/>
    <w:link w:val="Primeirorecuodecorpodetexto"/>
    <w:uiPriority w:val="99"/>
    <w:semiHidden/>
    <w:locked/>
    <w:rsid w:val="000B3FA6"/>
    <w:rPr>
      <w:rFonts w:ascii="Arial" w:hAnsi="Arial" w:cs="Times New Roman"/>
      <w:sz w:val="24"/>
      <w:szCs w:val="24"/>
      <w:lang w:eastAsia="en-US"/>
    </w:rPr>
  </w:style>
  <w:style w:type="paragraph" w:styleId="Recuodecorpodetexto">
    <w:name w:val="Body Text Indent"/>
    <w:basedOn w:val="Normal"/>
    <w:link w:val="RecuodecorpodetextoChar"/>
    <w:uiPriority w:val="99"/>
    <w:semiHidden/>
    <w:rsid w:val="00221114"/>
    <w:pPr>
      <w:ind w:left="283"/>
    </w:pPr>
  </w:style>
  <w:style w:type="character" w:customStyle="1" w:styleId="RecuodecorpodetextoChar">
    <w:name w:val="Recuo de corpo de texto Char"/>
    <w:basedOn w:val="Fontepargpadro"/>
    <w:link w:val="Recuodecorpodetexto"/>
    <w:uiPriority w:val="99"/>
    <w:semiHidden/>
    <w:locked/>
    <w:rsid w:val="000B3FA6"/>
    <w:rPr>
      <w:rFonts w:ascii="Arial" w:hAnsi="Arial" w:cs="Times New Roman"/>
      <w:sz w:val="24"/>
      <w:szCs w:val="24"/>
      <w:lang w:eastAsia="en-US"/>
    </w:rPr>
  </w:style>
  <w:style w:type="paragraph" w:styleId="Primeirorecuodecorpodetexto2">
    <w:name w:val="Body Text First Indent 2"/>
    <w:basedOn w:val="Recuodecorpodetexto"/>
    <w:link w:val="Primeirorecuodecorpodetexto2Char"/>
    <w:uiPriority w:val="99"/>
    <w:semiHidden/>
    <w:rsid w:val="00221114"/>
    <w:pPr>
      <w:ind w:firstLine="210"/>
    </w:pPr>
  </w:style>
  <w:style w:type="character" w:customStyle="1" w:styleId="Primeirorecuodecorpodetexto2Char">
    <w:name w:val="Primeiro recuo de corpo de texto 2 Char"/>
    <w:basedOn w:val="RecuodecorpodetextoChar"/>
    <w:link w:val="Primeirorecuodecorpodetexto2"/>
    <w:uiPriority w:val="99"/>
    <w:semiHidden/>
    <w:locked/>
    <w:rsid w:val="000B3FA6"/>
    <w:rPr>
      <w:rFonts w:ascii="Arial" w:hAnsi="Arial" w:cs="Times New Roman"/>
      <w:sz w:val="24"/>
      <w:szCs w:val="24"/>
      <w:lang w:eastAsia="en-US"/>
    </w:rPr>
  </w:style>
  <w:style w:type="paragraph" w:styleId="Recuodecorpodetexto2">
    <w:name w:val="Body Text Indent 2"/>
    <w:basedOn w:val="Normal"/>
    <w:link w:val="Recuodecorpodetexto2Char"/>
    <w:uiPriority w:val="99"/>
    <w:semiHidden/>
    <w:rsid w:val="00221114"/>
    <w:pPr>
      <w:spacing w:line="480" w:lineRule="auto"/>
      <w:ind w:left="283"/>
    </w:pPr>
  </w:style>
  <w:style w:type="character" w:customStyle="1" w:styleId="Recuodecorpodetexto2Char">
    <w:name w:val="Recuo de corpo de texto 2 Char"/>
    <w:basedOn w:val="Fontepargpadro"/>
    <w:link w:val="Recuodecorpodetexto2"/>
    <w:uiPriority w:val="99"/>
    <w:semiHidden/>
    <w:locked/>
    <w:rsid w:val="000B3FA6"/>
    <w:rPr>
      <w:rFonts w:ascii="Arial" w:hAnsi="Arial" w:cs="Times New Roman"/>
      <w:sz w:val="24"/>
      <w:szCs w:val="24"/>
      <w:lang w:eastAsia="en-US"/>
    </w:rPr>
  </w:style>
  <w:style w:type="paragraph" w:styleId="Recuodecorpodetexto3">
    <w:name w:val="Body Text Indent 3"/>
    <w:basedOn w:val="Normal"/>
    <w:link w:val="Recuodecorpodetexto3Char"/>
    <w:uiPriority w:val="99"/>
    <w:semiHidden/>
    <w:rsid w:val="00221114"/>
    <w:pPr>
      <w:ind w:left="283"/>
    </w:pPr>
    <w:rPr>
      <w:sz w:val="16"/>
      <w:szCs w:val="16"/>
    </w:rPr>
  </w:style>
  <w:style w:type="character" w:customStyle="1" w:styleId="Recuodecorpodetexto3Char">
    <w:name w:val="Recuo de corpo de texto 3 Char"/>
    <w:basedOn w:val="Fontepargpadro"/>
    <w:link w:val="Recuodecorpodetexto3"/>
    <w:uiPriority w:val="99"/>
    <w:semiHidden/>
    <w:locked/>
    <w:rsid w:val="000B3FA6"/>
    <w:rPr>
      <w:rFonts w:ascii="Arial" w:hAnsi="Arial" w:cs="Times New Roman"/>
      <w:sz w:val="16"/>
      <w:szCs w:val="16"/>
      <w:lang w:eastAsia="en-US"/>
    </w:rPr>
  </w:style>
  <w:style w:type="paragraph" w:styleId="Recuonormal">
    <w:name w:val="Normal Indent"/>
    <w:basedOn w:val="Normal"/>
    <w:uiPriority w:val="99"/>
    <w:semiHidden/>
    <w:rsid w:val="00221114"/>
    <w:pPr>
      <w:ind w:left="708"/>
    </w:pPr>
  </w:style>
  <w:style w:type="paragraph" w:styleId="Remetente">
    <w:name w:val="envelope return"/>
    <w:basedOn w:val="Normal"/>
    <w:uiPriority w:val="99"/>
    <w:semiHidden/>
    <w:rsid w:val="00221114"/>
    <w:rPr>
      <w:rFonts w:cs="Arial"/>
      <w:sz w:val="20"/>
      <w:szCs w:val="20"/>
    </w:rPr>
  </w:style>
  <w:style w:type="paragraph" w:styleId="Saudao">
    <w:name w:val="Salutation"/>
    <w:basedOn w:val="Normal"/>
    <w:next w:val="Normal"/>
    <w:link w:val="SaudaoChar"/>
    <w:uiPriority w:val="99"/>
    <w:semiHidden/>
    <w:rsid w:val="00221114"/>
  </w:style>
  <w:style w:type="character" w:customStyle="1" w:styleId="SaudaoChar">
    <w:name w:val="Saudação Char"/>
    <w:basedOn w:val="Fontepargpadro"/>
    <w:link w:val="Saudao"/>
    <w:uiPriority w:val="99"/>
    <w:semiHidden/>
    <w:locked/>
    <w:rsid w:val="000B3FA6"/>
    <w:rPr>
      <w:rFonts w:ascii="Arial" w:hAnsi="Arial" w:cs="Times New Roman"/>
      <w:sz w:val="24"/>
      <w:szCs w:val="24"/>
      <w:lang w:eastAsia="en-US"/>
    </w:rPr>
  </w:style>
  <w:style w:type="paragraph" w:styleId="Subttulo">
    <w:name w:val="Subtitle"/>
    <w:basedOn w:val="Normal"/>
    <w:link w:val="SubttuloChar"/>
    <w:uiPriority w:val="99"/>
    <w:qFormat/>
    <w:rsid w:val="00221114"/>
    <w:pPr>
      <w:spacing w:after="60"/>
      <w:jc w:val="center"/>
      <w:outlineLvl w:val="1"/>
    </w:pPr>
    <w:rPr>
      <w:rFonts w:cs="Arial"/>
    </w:rPr>
  </w:style>
  <w:style w:type="character" w:customStyle="1" w:styleId="SubttuloChar">
    <w:name w:val="Subtítulo Char"/>
    <w:basedOn w:val="Fontepargpadro"/>
    <w:link w:val="Subttulo"/>
    <w:uiPriority w:val="99"/>
    <w:locked/>
    <w:rsid w:val="000B3FA6"/>
    <w:rPr>
      <w:rFonts w:ascii="Cambria" w:hAnsi="Cambria" w:cs="Times New Roman"/>
      <w:sz w:val="24"/>
      <w:szCs w:val="24"/>
      <w:lang w:eastAsia="en-US"/>
    </w:rPr>
  </w:style>
  <w:style w:type="table" w:styleId="Tabelaclssica1">
    <w:name w:val="Table Classic 1"/>
    <w:basedOn w:val="Tabelanormal"/>
    <w:uiPriority w:val="99"/>
    <w:semiHidden/>
    <w:rsid w:val="00221114"/>
    <w:pPr>
      <w:tabs>
        <w:tab w:val="left" w:pos="709"/>
      </w:tabs>
      <w:spacing w:line="360" w:lineRule="auto"/>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clssica2">
    <w:name w:val="Table Classic 2"/>
    <w:basedOn w:val="Tabelanormal"/>
    <w:uiPriority w:val="99"/>
    <w:semiHidden/>
    <w:rsid w:val="00221114"/>
    <w:pPr>
      <w:tabs>
        <w:tab w:val="left" w:pos="709"/>
      </w:tabs>
      <w:spacing w:line="360" w:lineRule="auto"/>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aclssica3">
    <w:name w:val="Table Classic 3"/>
    <w:basedOn w:val="Tabelanormal"/>
    <w:uiPriority w:val="99"/>
    <w:semiHidden/>
    <w:rsid w:val="00221114"/>
    <w:pPr>
      <w:tabs>
        <w:tab w:val="left" w:pos="709"/>
      </w:tabs>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aclssica4">
    <w:name w:val="Table Classic 4"/>
    <w:basedOn w:val="Tabelanormal"/>
    <w:uiPriority w:val="99"/>
    <w:semiHidden/>
    <w:rsid w:val="00221114"/>
    <w:pPr>
      <w:tabs>
        <w:tab w:val="left" w:pos="709"/>
      </w:tabs>
      <w:spacing w:line="360" w:lineRule="auto"/>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acolorida1">
    <w:name w:val="Table Colorful 1"/>
    <w:basedOn w:val="Tabelanormal"/>
    <w:uiPriority w:val="99"/>
    <w:semiHidden/>
    <w:rsid w:val="00221114"/>
    <w:pPr>
      <w:tabs>
        <w:tab w:val="left" w:pos="709"/>
      </w:tabs>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acolorida2">
    <w:name w:val="Table Colorful 2"/>
    <w:basedOn w:val="Tabelanormal"/>
    <w:uiPriority w:val="99"/>
    <w:semiHidden/>
    <w:rsid w:val="00221114"/>
    <w:pPr>
      <w:tabs>
        <w:tab w:val="left" w:pos="709"/>
      </w:tabs>
      <w:spacing w:line="360" w:lineRule="auto"/>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acolorida3">
    <w:name w:val="Table Colorful 3"/>
    <w:basedOn w:val="Tabelanormal"/>
    <w:uiPriority w:val="99"/>
    <w:semiHidden/>
    <w:rsid w:val="00221114"/>
    <w:pPr>
      <w:tabs>
        <w:tab w:val="left" w:pos="709"/>
      </w:tabs>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acomefeitos3D1">
    <w:name w:val="Table 3D effects 1"/>
    <w:basedOn w:val="Tabelanormal"/>
    <w:uiPriority w:val="99"/>
    <w:semiHidden/>
    <w:rsid w:val="00221114"/>
    <w:pPr>
      <w:tabs>
        <w:tab w:val="left" w:pos="709"/>
      </w:tabs>
      <w:spacing w:line="360" w:lineRule="auto"/>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uiPriority w:val="99"/>
    <w:semiHidden/>
    <w:rsid w:val="00221114"/>
    <w:pPr>
      <w:tabs>
        <w:tab w:val="left" w:pos="709"/>
      </w:tabs>
      <w:spacing w:line="360" w:lineRule="auto"/>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comefeitos3D3">
    <w:name w:val="Table 3D effects 3"/>
    <w:basedOn w:val="Tabelanormal"/>
    <w:uiPriority w:val="99"/>
    <w:semiHidden/>
    <w:rsid w:val="00221114"/>
    <w:pPr>
      <w:tabs>
        <w:tab w:val="left" w:pos="709"/>
      </w:tabs>
      <w:spacing w:line="360" w:lineRule="auto"/>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comgrade">
    <w:name w:val="Table Grid"/>
    <w:basedOn w:val="Tabelanormal"/>
    <w:uiPriority w:val="59"/>
    <w:rsid w:val="00221114"/>
    <w:pPr>
      <w:tabs>
        <w:tab w:val="left" w:pos="709"/>
      </w:tabs>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2">
    <w:name w:val="Table Grid 2"/>
    <w:basedOn w:val="Tabelanormal"/>
    <w:uiPriority w:val="99"/>
    <w:semiHidden/>
    <w:rsid w:val="00221114"/>
    <w:pPr>
      <w:tabs>
        <w:tab w:val="left" w:pos="709"/>
      </w:tabs>
      <w:spacing w:line="360" w:lineRule="auto"/>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acomgrade3">
    <w:name w:val="Table Grid 3"/>
    <w:basedOn w:val="Tabelanormal"/>
    <w:uiPriority w:val="99"/>
    <w:semiHidden/>
    <w:rsid w:val="00221114"/>
    <w:pPr>
      <w:tabs>
        <w:tab w:val="left" w:pos="709"/>
      </w:tabs>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acomgrade4">
    <w:name w:val="Table Grid 4"/>
    <w:basedOn w:val="Tabelanormal"/>
    <w:uiPriority w:val="99"/>
    <w:semiHidden/>
    <w:rsid w:val="00221114"/>
    <w:pPr>
      <w:tabs>
        <w:tab w:val="left" w:pos="709"/>
      </w:tabs>
      <w:spacing w:line="360" w:lineRule="auto"/>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acomgrade5">
    <w:name w:val="Table Grid 5"/>
    <w:basedOn w:val="Tabelanormal"/>
    <w:uiPriority w:val="99"/>
    <w:semiHidden/>
    <w:rsid w:val="00221114"/>
    <w:pPr>
      <w:tabs>
        <w:tab w:val="left" w:pos="709"/>
      </w:tabs>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comgrade6">
    <w:name w:val="Table Grid 6"/>
    <w:basedOn w:val="Tabelanormal"/>
    <w:uiPriority w:val="99"/>
    <w:semiHidden/>
    <w:rsid w:val="00221114"/>
    <w:pPr>
      <w:tabs>
        <w:tab w:val="left" w:pos="709"/>
      </w:tabs>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comgrade7">
    <w:name w:val="Table Grid 7"/>
    <w:basedOn w:val="Tabelanormal"/>
    <w:uiPriority w:val="99"/>
    <w:semiHidden/>
    <w:rsid w:val="00221114"/>
    <w:pPr>
      <w:tabs>
        <w:tab w:val="left" w:pos="709"/>
      </w:tabs>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comgrade8">
    <w:name w:val="Table Grid 8"/>
    <w:basedOn w:val="Tabelanormal"/>
    <w:uiPriority w:val="99"/>
    <w:semiHidden/>
    <w:rsid w:val="00221114"/>
    <w:pPr>
      <w:tabs>
        <w:tab w:val="left" w:pos="709"/>
      </w:tabs>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acomtema">
    <w:name w:val="Table Theme"/>
    <w:basedOn w:val="Tabelanormal"/>
    <w:uiPriority w:val="99"/>
    <w:semiHidden/>
    <w:rsid w:val="00221114"/>
    <w:pPr>
      <w:tabs>
        <w:tab w:val="left" w:pos="709"/>
      </w:tabs>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ntempornea">
    <w:name w:val="Table Contemporary"/>
    <w:basedOn w:val="Tabelanormal"/>
    <w:uiPriority w:val="99"/>
    <w:semiHidden/>
    <w:rsid w:val="00221114"/>
    <w:pPr>
      <w:tabs>
        <w:tab w:val="left" w:pos="709"/>
      </w:tabs>
      <w:spacing w:line="360" w:lineRule="auto"/>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daWeb1">
    <w:name w:val="Table Web 1"/>
    <w:basedOn w:val="Tabelanormal"/>
    <w:uiPriority w:val="99"/>
    <w:semiHidden/>
    <w:rsid w:val="00221114"/>
    <w:pPr>
      <w:tabs>
        <w:tab w:val="left" w:pos="709"/>
      </w:tabs>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adaWeb2">
    <w:name w:val="Table Web 2"/>
    <w:basedOn w:val="Tabelanormal"/>
    <w:uiPriority w:val="99"/>
    <w:semiHidden/>
    <w:rsid w:val="00221114"/>
    <w:pPr>
      <w:tabs>
        <w:tab w:val="left" w:pos="709"/>
      </w:tabs>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adaWeb3">
    <w:name w:val="Table Web 3"/>
    <w:basedOn w:val="Tabelanormal"/>
    <w:uiPriority w:val="99"/>
    <w:semiHidden/>
    <w:rsid w:val="00221114"/>
    <w:pPr>
      <w:tabs>
        <w:tab w:val="left" w:pos="709"/>
      </w:tabs>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aelegante">
    <w:name w:val="Table Elegant"/>
    <w:basedOn w:val="Tabelanormal"/>
    <w:uiPriority w:val="99"/>
    <w:semiHidden/>
    <w:rsid w:val="00221114"/>
    <w:pPr>
      <w:tabs>
        <w:tab w:val="left" w:pos="709"/>
      </w:tabs>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aemcolunas1">
    <w:name w:val="Table Columns 1"/>
    <w:basedOn w:val="Tabelanormal"/>
    <w:uiPriority w:val="99"/>
    <w:semiHidden/>
    <w:rsid w:val="00221114"/>
    <w:pPr>
      <w:tabs>
        <w:tab w:val="left" w:pos="709"/>
      </w:tabs>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mcolunas2">
    <w:name w:val="Table Columns 2"/>
    <w:basedOn w:val="Tabelanormal"/>
    <w:uiPriority w:val="99"/>
    <w:semiHidden/>
    <w:rsid w:val="00221114"/>
    <w:pPr>
      <w:tabs>
        <w:tab w:val="left" w:pos="709"/>
      </w:tabs>
      <w:spacing w:line="360" w:lineRule="auto"/>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mcolunas3">
    <w:name w:val="Table Columns 3"/>
    <w:basedOn w:val="Tabelanormal"/>
    <w:uiPriority w:val="99"/>
    <w:semiHidden/>
    <w:rsid w:val="00221114"/>
    <w:pPr>
      <w:tabs>
        <w:tab w:val="left" w:pos="709"/>
      </w:tabs>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aemcolunas4">
    <w:name w:val="Table Columns 4"/>
    <w:basedOn w:val="Tabelanormal"/>
    <w:uiPriority w:val="99"/>
    <w:semiHidden/>
    <w:rsid w:val="00221114"/>
    <w:pPr>
      <w:tabs>
        <w:tab w:val="left" w:pos="709"/>
      </w:tabs>
      <w:spacing w:line="360" w:lineRule="auto"/>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aemcolunas5">
    <w:name w:val="Table Columns 5"/>
    <w:basedOn w:val="Tabelanormal"/>
    <w:uiPriority w:val="99"/>
    <w:semiHidden/>
    <w:rsid w:val="00221114"/>
    <w:pPr>
      <w:tabs>
        <w:tab w:val="left" w:pos="709"/>
      </w:tabs>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aemlista1">
    <w:name w:val="Table List 1"/>
    <w:basedOn w:val="Tabelanormal"/>
    <w:uiPriority w:val="99"/>
    <w:semiHidden/>
    <w:rsid w:val="00221114"/>
    <w:pPr>
      <w:tabs>
        <w:tab w:val="left" w:pos="709"/>
      </w:tabs>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mlista2">
    <w:name w:val="Table List 2"/>
    <w:basedOn w:val="Tabelanormal"/>
    <w:uiPriority w:val="99"/>
    <w:semiHidden/>
    <w:rsid w:val="00221114"/>
    <w:pPr>
      <w:tabs>
        <w:tab w:val="left" w:pos="709"/>
      </w:tabs>
      <w:spacing w:line="360" w:lineRule="auto"/>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mlista3">
    <w:name w:val="Table List 3"/>
    <w:basedOn w:val="Tabelanormal"/>
    <w:uiPriority w:val="99"/>
    <w:semiHidden/>
    <w:rsid w:val="00221114"/>
    <w:pPr>
      <w:tabs>
        <w:tab w:val="left" w:pos="709"/>
      </w:tabs>
      <w:spacing w:line="360" w:lineRule="auto"/>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aemlista4">
    <w:name w:val="Table List 4"/>
    <w:basedOn w:val="Tabelanormal"/>
    <w:uiPriority w:val="99"/>
    <w:semiHidden/>
    <w:rsid w:val="00221114"/>
    <w:pPr>
      <w:tabs>
        <w:tab w:val="left" w:pos="709"/>
      </w:tabs>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emlista5">
    <w:name w:val="Table List 5"/>
    <w:basedOn w:val="Tabelanormal"/>
    <w:uiPriority w:val="99"/>
    <w:semiHidden/>
    <w:rsid w:val="00221114"/>
    <w:pPr>
      <w:tabs>
        <w:tab w:val="left" w:pos="709"/>
      </w:tabs>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aemlista6">
    <w:name w:val="Table List 6"/>
    <w:basedOn w:val="Tabelanormal"/>
    <w:uiPriority w:val="99"/>
    <w:semiHidden/>
    <w:rsid w:val="00221114"/>
    <w:pPr>
      <w:tabs>
        <w:tab w:val="left" w:pos="709"/>
      </w:tabs>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aemlista7">
    <w:name w:val="Table List 7"/>
    <w:basedOn w:val="Tabelanormal"/>
    <w:uiPriority w:val="99"/>
    <w:semiHidden/>
    <w:rsid w:val="00221114"/>
    <w:pPr>
      <w:tabs>
        <w:tab w:val="left" w:pos="709"/>
      </w:tabs>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aemlista8">
    <w:name w:val="Table List 8"/>
    <w:basedOn w:val="Tabelanormal"/>
    <w:uiPriority w:val="99"/>
    <w:semiHidden/>
    <w:rsid w:val="00221114"/>
    <w:pPr>
      <w:tabs>
        <w:tab w:val="left" w:pos="709"/>
      </w:tabs>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aprofissional">
    <w:name w:val="Table Professional"/>
    <w:basedOn w:val="Tabelanormal"/>
    <w:uiPriority w:val="99"/>
    <w:semiHidden/>
    <w:rsid w:val="00221114"/>
    <w:pPr>
      <w:tabs>
        <w:tab w:val="left" w:pos="709"/>
      </w:tabs>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asimples1">
    <w:name w:val="Table Simple 1"/>
    <w:basedOn w:val="Tabelanormal"/>
    <w:uiPriority w:val="99"/>
    <w:semiHidden/>
    <w:rsid w:val="00221114"/>
    <w:pPr>
      <w:tabs>
        <w:tab w:val="left" w:pos="709"/>
      </w:tabs>
      <w:spacing w:line="360" w:lineRule="auto"/>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asimples2">
    <w:name w:val="Table Simple 2"/>
    <w:basedOn w:val="Tabelanormal"/>
    <w:uiPriority w:val="99"/>
    <w:semiHidden/>
    <w:rsid w:val="00221114"/>
    <w:pPr>
      <w:tabs>
        <w:tab w:val="left" w:pos="709"/>
      </w:tabs>
      <w:spacing w:line="360" w:lineRule="auto"/>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asimples3">
    <w:name w:val="Table Simple 3"/>
    <w:basedOn w:val="Tabelanormal"/>
    <w:uiPriority w:val="99"/>
    <w:semiHidden/>
    <w:rsid w:val="00221114"/>
    <w:pPr>
      <w:tabs>
        <w:tab w:val="left" w:pos="709"/>
      </w:tabs>
      <w:spacing w:line="360" w:lineRule="auto"/>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asutil1">
    <w:name w:val="Table Subtle 1"/>
    <w:basedOn w:val="Tabelanormal"/>
    <w:uiPriority w:val="99"/>
    <w:semiHidden/>
    <w:rsid w:val="00221114"/>
    <w:pPr>
      <w:tabs>
        <w:tab w:val="left" w:pos="709"/>
      </w:tabs>
      <w:spacing w:line="360" w:lineRule="auto"/>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sutil2">
    <w:name w:val="Table Subtle 2"/>
    <w:basedOn w:val="Tabelanormal"/>
    <w:uiPriority w:val="99"/>
    <w:semiHidden/>
    <w:rsid w:val="00221114"/>
    <w:pPr>
      <w:tabs>
        <w:tab w:val="left" w:pos="709"/>
      </w:tabs>
      <w:spacing w:line="360" w:lineRule="auto"/>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TecladoHTML">
    <w:name w:val="HTML Keyboard"/>
    <w:basedOn w:val="Fontepargpadro"/>
    <w:uiPriority w:val="99"/>
    <w:semiHidden/>
    <w:rsid w:val="00221114"/>
    <w:rPr>
      <w:rFonts w:ascii="Courier New" w:hAnsi="Courier New" w:cs="Courier New"/>
      <w:sz w:val="20"/>
      <w:szCs w:val="20"/>
    </w:rPr>
  </w:style>
  <w:style w:type="paragraph" w:styleId="Textoembloco">
    <w:name w:val="Block Text"/>
    <w:basedOn w:val="Normal"/>
    <w:uiPriority w:val="99"/>
    <w:semiHidden/>
    <w:rsid w:val="00221114"/>
    <w:pPr>
      <w:ind w:left="1440" w:right="1440"/>
    </w:pPr>
  </w:style>
  <w:style w:type="paragraph" w:styleId="TextosemFormatao">
    <w:name w:val="Plain Text"/>
    <w:basedOn w:val="Normal"/>
    <w:link w:val="TextosemFormataoChar"/>
    <w:uiPriority w:val="99"/>
    <w:semiHidden/>
    <w:rsid w:val="00221114"/>
    <w:rPr>
      <w:rFonts w:ascii="Courier New" w:hAnsi="Courier New" w:cs="Courier New"/>
      <w:sz w:val="20"/>
      <w:szCs w:val="20"/>
    </w:rPr>
  </w:style>
  <w:style w:type="character" w:customStyle="1" w:styleId="TextosemFormataoChar">
    <w:name w:val="Texto sem Formatação Char"/>
    <w:basedOn w:val="Fontepargpadro"/>
    <w:link w:val="TextosemFormatao"/>
    <w:uiPriority w:val="99"/>
    <w:semiHidden/>
    <w:locked/>
    <w:rsid w:val="000B3FA6"/>
    <w:rPr>
      <w:rFonts w:ascii="Courier New" w:hAnsi="Courier New" w:cs="Courier New"/>
      <w:sz w:val="20"/>
      <w:szCs w:val="20"/>
      <w:lang w:eastAsia="en-US"/>
    </w:rPr>
  </w:style>
  <w:style w:type="character" w:styleId="VarivelHTML">
    <w:name w:val="HTML Variable"/>
    <w:basedOn w:val="Fontepargpadro"/>
    <w:uiPriority w:val="99"/>
    <w:semiHidden/>
    <w:rsid w:val="00221114"/>
    <w:rPr>
      <w:rFonts w:cs="Times New Roman"/>
      <w:i/>
      <w:iCs/>
    </w:rPr>
  </w:style>
  <w:style w:type="paragraph" w:styleId="Ttulo">
    <w:name w:val="Title"/>
    <w:basedOn w:val="Normal"/>
    <w:link w:val="TtuloChar"/>
    <w:uiPriority w:val="99"/>
    <w:qFormat/>
    <w:rsid w:val="00E2548A"/>
    <w:pPr>
      <w:jc w:val="center"/>
      <w:outlineLvl w:val="0"/>
    </w:pPr>
    <w:rPr>
      <w:rFonts w:cs="Arial"/>
      <w:b/>
      <w:bCs/>
      <w:caps/>
      <w:kern w:val="28"/>
      <w:szCs w:val="32"/>
    </w:rPr>
  </w:style>
  <w:style w:type="character" w:customStyle="1" w:styleId="TtuloChar">
    <w:name w:val="Título Char"/>
    <w:basedOn w:val="Fontepargpadro"/>
    <w:link w:val="Ttulo"/>
    <w:uiPriority w:val="99"/>
    <w:locked/>
    <w:rsid w:val="000B3FA6"/>
    <w:rPr>
      <w:rFonts w:ascii="Cambria" w:hAnsi="Cambria" w:cs="Times New Roman"/>
      <w:b/>
      <w:bCs/>
      <w:kern w:val="28"/>
      <w:sz w:val="32"/>
      <w:szCs w:val="32"/>
      <w:lang w:eastAsia="en-US"/>
    </w:rPr>
  </w:style>
  <w:style w:type="paragraph" w:customStyle="1" w:styleId="Normalmenor">
    <w:name w:val="Normal menor"/>
    <w:basedOn w:val="Normal"/>
    <w:next w:val="Normal"/>
    <w:link w:val="NormalmenorChar"/>
    <w:rsid w:val="001B6DBD"/>
    <w:pPr>
      <w:spacing w:line="240" w:lineRule="auto"/>
    </w:pPr>
    <w:rPr>
      <w:sz w:val="20"/>
    </w:rPr>
  </w:style>
  <w:style w:type="paragraph" w:customStyle="1" w:styleId="Capa-Grauacadmico">
    <w:name w:val="Capa - Grau acadêmico"/>
    <w:basedOn w:val="Normalmenor"/>
    <w:link w:val="Capa-GrauacadmicoCharChar"/>
    <w:rsid w:val="00DF7F27"/>
    <w:pPr>
      <w:ind w:left="4536"/>
    </w:pPr>
    <w:rPr>
      <w:b/>
    </w:rPr>
  </w:style>
  <w:style w:type="paragraph" w:customStyle="1" w:styleId="Figura">
    <w:name w:val="Figura"/>
    <w:basedOn w:val="Normal"/>
    <w:uiPriority w:val="99"/>
    <w:rsid w:val="00BF52CB"/>
    <w:pPr>
      <w:spacing w:after="240" w:line="240" w:lineRule="auto"/>
      <w:jc w:val="center"/>
    </w:pPr>
  </w:style>
  <w:style w:type="character" w:customStyle="1" w:styleId="NormalmenorChar">
    <w:name w:val="Normal menor Char"/>
    <w:basedOn w:val="Fontepargpadro"/>
    <w:link w:val="Normalmenor"/>
    <w:locked/>
    <w:rsid w:val="00DF7F27"/>
    <w:rPr>
      <w:rFonts w:ascii="Arial" w:hAnsi="Arial" w:cs="Times New Roman"/>
      <w:sz w:val="24"/>
      <w:szCs w:val="24"/>
      <w:lang w:val="pt-BR" w:eastAsia="en-US" w:bidi="ar-SA"/>
    </w:rPr>
  </w:style>
  <w:style w:type="character" w:customStyle="1" w:styleId="Capa-GrauacadmicoCharChar">
    <w:name w:val="Capa - Grau acadêmico Char Char"/>
    <w:basedOn w:val="NormalmenorChar"/>
    <w:link w:val="Capa-Grauacadmico"/>
    <w:locked/>
    <w:rsid w:val="00DF7F27"/>
    <w:rPr>
      <w:rFonts w:ascii="Arial" w:hAnsi="Arial" w:cs="Times New Roman"/>
      <w:b/>
      <w:sz w:val="24"/>
      <w:szCs w:val="24"/>
      <w:lang w:val="pt-BR" w:eastAsia="en-US" w:bidi="ar-SA"/>
    </w:rPr>
  </w:style>
  <w:style w:type="character" w:customStyle="1" w:styleId="TtulodaFiguraChar">
    <w:name w:val="Título da Figura Char"/>
    <w:basedOn w:val="Fontepargpadro"/>
    <w:link w:val="TtulodaFigura"/>
    <w:uiPriority w:val="99"/>
    <w:locked/>
    <w:rsid w:val="00322649"/>
    <w:rPr>
      <w:rFonts w:asciiTheme="minorHAnsi" w:hAnsiTheme="minorHAnsi"/>
      <w:caps/>
      <w:color w:val="002060"/>
      <w:szCs w:val="24"/>
      <w:lang w:eastAsia="en-US"/>
    </w:rPr>
  </w:style>
  <w:style w:type="character" w:customStyle="1" w:styleId="Sumrio2Char">
    <w:name w:val="Sumário 2 Char"/>
    <w:basedOn w:val="Fontepargpadro"/>
    <w:link w:val="Sumrio2"/>
    <w:uiPriority w:val="39"/>
    <w:locked/>
    <w:rsid w:val="00653D72"/>
    <w:rPr>
      <w:rFonts w:asciiTheme="minorHAnsi" w:hAnsiTheme="minorHAnsi"/>
      <w:color w:val="002060"/>
      <w:sz w:val="24"/>
      <w:szCs w:val="24"/>
      <w:lang w:eastAsia="en-US"/>
    </w:rPr>
  </w:style>
  <w:style w:type="paragraph" w:customStyle="1" w:styleId="NormalGrande">
    <w:name w:val="Normal Grande"/>
    <w:basedOn w:val="Normal"/>
    <w:rsid w:val="001B12A8"/>
    <w:pPr>
      <w:jc w:val="center"/>
    </w:pPr>
    <w:rPr>
      <w:b/>
      <w:caps/>
    </w:rPr>
  </w:style>
  <w:style w:type="paragraph" w:styleId="Numerada">
    <w:name w:val="List Number"/>
    <w:basedOn w:val="Normal"/>
    <w:uiPriority w:val="99"/>
    <w:semiHidden/>
    <w:rsid w:val="00510234"/>
    <w:pPr>
      <w:tabs>
        <w:tab w:val="num" w:pos="360"/>
      </w:tabs>
      <w:ind w:left="360" w:hanging="360"/>
    </w:pPr>
  </w:style>
  <w:style w:type="character" w:styleId="Nmerodepgina">
    <w:name w:val="page number"/>
    <w:basedOn w:val="Fontepargpadro"/>
    <w:rsid w:val="00E37DB5"/>
    <w:rPr>
      <w:rFonts w:ascii="Arial" w:hAnsi="Arial" w:cs="Times New Roman"/>
      <w:sz w:val="20"/>
    </w:rPr>
  </w:style>
  <w:style w:type="paragraph" w:styleId="Rodap">
    <w:name w:val="footer"/>
    <w:basedOn w:val="Normal"/>
    <w:link w:val="RodapChar"/>
    <w:uiPriority w:val="99"/>
    <w:rsid w:val="00D64084"/>
    <w:pPr>
      <w:tabs>
        <w:tab w:val="clear" w:pos="851"/>
        <w:tab w:val="center" w:pos="4252"/>
        <w:tab w:val="right" w:pos="8504"/>
      </w:tabs>
    </w:pPr>
  </w:style>
  <w:style w:type="character" w:customStyle="1" w:styleId="RodapChar">
    <w:name w:val="Rodapé Char"/>
    <w:basedOn w:val="Fontepargpadro"/>
    <w:link w:val="Rodap"/>
    <w:uiPriority w:val="99"/>
    <w:locked/>
    <w:rsid w:val="000B3FA6"/>
    <w:rPr>
      <w:rFonts w:ascii="Arial" w:hAnsi="Arial" w:cs="Times New Roman"/>
      <w:sz w:val="24"/>
      <w:szCs w:val="24"/>
      <w:lang w:eastAsia="en-US"/>
    </w:rPr>
  </w:style>
  <w:style w:type="paragraph" w:styleId="Textodenotaderodap">
    <w:name w:val="footnote text"/>
    <w:basedOn w:val="Normal"/>
    <w:link w:val="TextodenotaderodapChar"/>
    <w:uiPriority w:val="99"/>
    <w:rsid w:val="00B40D8B"/>
    <w:pPr>
      <w:ind w:firstLine="851"/>
    </w:pPr>
    <w:rPr>
      <w:sz w:val="20"/>
      <w:szCs w:val="20"/>
    </w:rPr>
  </w:style>
  <w:style w:type="character" w:customStyle="1" w:styleId="TextodenotaderodapChar">
    <w:name w:val="Texto de nota de rodapé Char"/>
    <w:basedOn w:val="Fontepargpadro"/>
    <w:link w:val="Textodenotaderodap"/>
    <w:uiPriority w:val="99"/>
    <w:locked/>
    <w:rsid w:val="000B3FA6"/>
    <w:rPr>
      <w:rFonts w:ascii="Arial" w:hAnsi="Arial" w:cs="Times New Roman"/>
      <w:sz w:val="20"/>
      <w:szCs w:val="20"/>
      <w:lang w:eastAsia="en-US"/>
    </w:rPr>
  </w:style>
  <w:style w:type="character" w:styleId="Refdenotaderodap">
    <w:name w:val="footnote reference"/>
    <w:basedOn w:val="Fontepargpadro"/>
    <w:uiPriority w:val="99"/>
    <w:semiHidden/>
    <w:rsid w:val="00B40D8B"/>
    <w:rPr>
      <w:rFonts w:cs="Times New Roman"/>
      <w:vertAlign w:val="superscript"/>
    </w:rPr>
  </w:style>
  <w:style w:type="table" w:customStyle="1" w:styleId="Tabela">
    <w:name w:val="Tabela"/>
    <w:basedOn w:val="Tabelacomgrade"/>
    <w:uiPriority w:val="99"/>
    <w:rsid w:val="00954C3E"/>
    <w:pPr>
      <w:keepNext/>
      <w:keepLines/>
      <w:tabs>
        <w:tab w:val="clear" w:pos="709"/>
      </w:tabs>
      <w:spacing w:line="240" w:lineRule="auto"/>
      <w:jc w:val="center"/>
    </w:pPr>
    <w:rPr>
      <w:rFonts w:ascii="Arial" w:hAnsi="Arial"/>
    </w:rPr>
    <w:tblPr>
      <w:jc w:val="center"/>
    </w:tblPr>
    <w:trPr>
      <w:jc w:val="center"/>
    </w:trPr>
  </w:style>
  <w:style w:type="paragraph" w:customStyle="1" w:styleId="TtulodaTabela">
    <w:name w:val="Título da Tabela"/>
    <w:basedOn w:val="Normal"/>
    <w:uiPriority w:val="99"/>
    <w:rsid w:val="00392DD0"/>
    <w:pPr>
      <w:keepNext/>
      <w:numPr>
        <w:numId w:val="7"/>
      </w:numPr>
      <w:tabs>
        <w:tab w:val="clear" w:pos="851"/>
      </w:tabs>
      <w:spacing w:after="240" w:line="240" w:lineRule="auto"/>
    </w:pPr>
    <w:rPr>
      <w:caps/>
      <w:sz w:val="20"/>
    </w:rPr>
  </w:style>
  <w:style w:type="paragraph" w:customStyle="1" w:styleId="Normalnegrito">
    <w:name w:val="Normal negrito"/>
    <w:basedOn w:val="Normal"/>
    <w:uiPriority w:val="99"/>
    <w:rsid w:val="0018638D"/>
    <w:rPr>
      <w:b/>
    </w:rPr>
  </w:style>
  <w:style w:type="paragraph" w:customStyle="1" w:styleId="Normalitlico">
    <w:name w:val="Normal itálico"/>
    <w:basedOn w:val="Normal"/>
    <w:link w:val="NormalitlicoChar"/>
    <w:uiPriority w:val="99"/>
    <w:rsid w:val="0018638D"/>
    <w:rPr>
      <w:i/>
    </w:rPr>
  </w:style>
  <w:style w:type="paragraph" w:customStyle="1" w:styleId="ResumoeAbstract">
    <w:name w:val="Resumo e Abstract"/>
    <w:basedOn w:val="Normal"/>
    <w:rsid w:val="00996D2B"/>
    <w:pPr>
      <w:tabs>
        <w:tab w:val="clear" w:pos="851"/>
      </w:tabs>
      <w:spacing w:line="240" w:lineRule="auto"/>
    </w:pPr>
  </w:style>
  <w:style w:type="paragraph" w:styleId="Legenda">
    <w:name w:val="caption"/>
    <w:basedOn w:val="Normal"/>
    <w:next w:val="Normal"/>
    <w:uiPriority w:val="99"/>
    <w:qFormat/>
    <w:rsid w:val="00ED662B"/>
    <w:pPr>
      <w:spacing w:line="240" w:lineRule="auto"/>
      <w:ind w:left="1304" w:hanging="1304"/>
      <w:jc w:val="center"/>
    </w:pPr>
    <w:rPr>
      <w:bCs/>
      <w:sz w:val="16"/>
    </w:rPr>
  </w:style>
  <w:style w:type="table" w:styleId="Tabelacomgrade1">
    <w:name w:val="Table Grid 1"/>
    <w:basedOn w:val="Tabelanormal"/>
    <w:uiPriority w:val="99"/>
    <w:semiHidden/>
    <w:rsid w:val="007B4DFD"/>
    <w:pPr>
      <w:tabs>
        <w:tab w:val="left" w:pos="851"/>
      </w:tabs>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Ttulodanota">
    <w:name w:val="Note Heading"/>
    <w:basedOn w:val="Normal"/>
    <w:next w:val="Normal"/>
    <w:link w:val="TtulodanotaChar"/>
    <w:uiPriority w:val="99"/>
    <w:semiHidden/>
    <w:rsid w:val="007B4DFD"/>
  </w:style>
  <w:style w:type="character" w:customStyle="1" w:styleId="TtulodanotaChar">
    <w:name w:val="Título da nota Char"/>
    <w:basedOn w:val="Fontepargpadro"/>
    <w:link w:val="Ttulodanota"/>
    <w:uiPriority w:val="99"/>
    <w:semiHidden/>
    <w:locked/>
    <w:rsid w:val="000B3FA6"/>
    <w:rPr>
      <w:rFonts w:ascii="Arial" w:hAnsi="Arial" w:cs="Times New Roman"/>
      <w:sz w:val="24"/>
      <w:szCs w:val="24"/>
      <w:lang w:eastAsia="en-US"/>
    </w:rPr>
  </w:style>
  <w:style w:type="paragraph" w:customStyle="1" w:styleId="TtulodaFigura">
    <w:name w:val="Título da Figura"/>
    <w:basedOn w:val="Normal"/>
    <w:next w:val="Normal"/>
    <w:link w:val="TtulodaFiguraChar"/>
    <w:uiPriority w:val="99"/>
    <w:rsid w:val="00322649"/>
    <w:pPr>
      <w:keepNext/>
      <w:keepLines/>
      <w:numPr>
        <w:numId w:val="6"/>
      </w:numPr>
      <w:tabs>
        <w:tab w:val="clear" w:pos="851"/>
      </w:tabs>
      <w:spacing w:after="240" w:line="240" w:lineRule="auto"/>
    </w:pPr>
    <w:rPr>
      <w:caps/>
      <w:sz w:val="20"/>
    </w:rPr>
  </w:style>
  <w:style w:type="character" w:customStyle="1" w:styleId="Sumrio1Char">
    <w:name w:val="Sumário 1 Char"/>
    <w:basedOn w:val="Fontepargpadro"/>
    <w:link w:val="Sumrio1"/>
    <w:uiPriority w:val="39"/>
    <w:locked/>
    <w:rsid w:val="005B225B"/>
    <w:rPr>
      <w:rFonts w:asciiTheme="minorHAnsi" w:hAnsiTheme="minorHAnsi"/>
      <w:noProof/>
      <w:color w:val="002060"/>
      <w:sz w:val="24"/>
      <w:szCs w:val="24"/>
      <w:lang w:eastAsia="en-US"/>
    </w:rPr>
  </w:style>
  <w:style w:type="paragraph" w:styleId="ndicedeilustraes">
    <w:name w:val="table of figures"/>
    <w:basedOn w:val="Normal"/>
    <w:next w:val="Normal"/>
    <w:uiPriority w:val="99"/>
    <w:rsid w:val="00ED662B"/>
    <w:pPr>
      <w:tabs>
        <w:tab w:val="clear" w:pos="851"/>
      </w:tabs>
      <w:ind w:left="480" w:hanging="480"/>
      <w:jc w:val="left"/>
    </w:pPr>
    <w:rPr>
      <w:sz w:val="20"/>
      <w:szCs w:val="20"/>
    </w:rPr>
  </w:style>
  <w:style w:type="character" w:customStyle="1" w:styleId="NormalitlicoChar">
    <w:name w:val="Normal itálico Char"/>
    <w:basedOn w:val="Fontepargpadro"/>
    <w:link w:val="Normalitlico"/>
    <w:uiPriority w:val="99"/>
    <w:locked/>
    <w:rsid w:val="005B6806"/>
    <w:rPr>
      <w:rFonts w:ascii="Arial" w:hAnsi="Arial" w:cs="Times New Roman"/>
      <w:i/>
      <w:sz w:val="24"/>
      <w:szCs w:val="24"/>
      <w:lang w:val="pt-BR" w:eastAsia="en-US" w:bidi="ar-SA"/>
    </w:rPr>
  </w:style>
  <w:style w:type="paragraph" w:customStyle="1" w:styleId="FolhadeRostodosCaptulos">
    <w:name w:val="Folha de Rosto dos Capítulos"/>
    <w:basedOn w:val="Normal"/>
    <w:rsid w:val="00387F07"/>
    <w:pPr>
      <w:spacing w:before="12000"/>
      <w:ind w:right="567"/>
      <w:jc w:val="right"/>
    </w:pPr>
    <w:rPr>
      <w:b/>
      <w:caps/>
      <w:sz w:val="32"/>
    </w:rPr>
  </w:style>
  <w:style w:type="table" w:customStyle="1" w:styleId="Quadro">
    <w:name w:val="Quadro"/>
    <w:basedOn w:val="Tabelacomgrade"/>
    <w:uiPriority w:val="99"/>
    <w:rsid w:val="00954C3E"/>
    <w:pPr>
      <w:jc w:val="center"/>
    </w:pPr>
    <w:rPr>
      <w:rFonts w:ascii="Arial" w:hAnsi="Arial"/>
    </w:rPr>
    <w:tblPr/>
  </w:style>
  <w:style w:type="character" w:styleId="Refdecomentrio">
    <w:name w:val="annotation reference"/>
    <w:basedOn w:val="Fontepargpadro"/>
    <w:uiPriority w:val="99"/>
    <w:semiHidden/>
    <w:rsid w:val="00C7184E"/>
    <w:rPr>
      <w:rFonts w:cs="Times New Roman"/>
      <w:sz w:val="16"/>
      <w:szCs w:val="16"/>
    </w:rPr>
  </w:style>
  <w:style w:type="paragraph" w:customStyle="1" w:styleId="Textodasilustraes">
    <w:name w:val="Texto das ilustrações"/>
    <w:basedOn w:val="Normalmenor"/>
    <w:uiPriority w:val="99"/>
    <w:rsid w:val="0075471D"/>
    <w:pPr>
      <w:keepLines/>
      <w:spacing w:before="120"/>
      <w:jc w:val="center"/>
    </w:pPr>
  </w:style>
  <w:style w:type="paragraph" w:styleId="Textodecomentrio">
    <w:name w:val="annotation text"/>
    <w:basedOn w:val="Normal"/>
    <w:link w:val="TextodecomentrioChar"/>
    <w:uiPriority w:val="99"/>
    <w:semiHidden/>
    <w:rsid w:val="00C7184E"/>
    <w:rPr>
      <w:sz w:val="20"/>
      <w:szCs w:val="20"/>
    </w:rPr>
  </w:style>
  <w:style w:type="character" w:customStyle="1" w:styleId="TextodecomentrioChar">
    <w:name w:val="Texto de comentário Char"/>
    <w:basedOn w:val="Fontepargpadro"/>
    <w:link w:val="Textodecomentrio"/>
    <w:uiPriority w:val="99"/>
    <w:semiHidden/>
    <w:locked/>
    <w:rsid w:val="000B3FA6"/>
    <w:rPr>
      <w:rFonts w:ascii="Arial" w:hAnsi="Arial" w:cs="Times New Roman"/>
      <w:sz w:val="20"/>
      <w:szCs w:val="20"/>
      <w:lang w:eastAsia="en-US"/>
    </w:rPr>
  </w:style>
  <w:style w:type="paragraph" w:styleId="Assuntodocomentrio">
    <w:name w:val="annotation subject"/>
    <w:basedOn w:val="Textodecomentrio"/>
    <w:next w:val="Textodecomentrio"/>
    <w:link w:val="AssuntodocomentrioChar"/>
    <w:uiPriority w:val="99"/>
    <w:semiHidden/>
    <w:rsid w:val="00C7184E"/>
    <w:rPr>
      <w:b/>
      <w:bCs/>
    </w:rPr>
  </w:style>
  <w:style w:type="character" w:customStyle="1" w:styleId="AssuntodocomentrioChar">
    <w:name w:val="Assunto do comentário Char"/>
    <w:basedOn w:val="TextodecomentrioChar"/>
    <w:link w:val="Assuntodocomentrio"/>
    <w:uiPriority w:val="99"/>
    <w:semiHidden/>
    <w:locked/>
    <w:rsid w:val="000B3FA6"/>
    <w:rPr>
      <w:rFonts w:ascii="Arial" w:hAnsi="Arial" w:cs="Times New Roman"/>
      <w:b/>
      <w:bCs/>
      <w:sz w:val="20"/>
      <w:szCs w:val="20"/>
      <w:lang w:eastAsia="en-US"/>
    </w:rPr>
  </w:style>
  <w:style w:type="paragraph" w:styleId="Textodebalo">
    <w:name w:val="Balloon Text"/>
    <w:basedOn w:val="Normal"/>
    <w:link w:val="TextodebaloChar"/>
    <w:uiPriority w:val="99"/>
    <w:semiHidden/>
    <w:rsid w:val="00C7184E"/>
    <w:rPr>
      <w:rFonts w:ascii="Tahoma" w:hAnsi="Tahoma" w:cs="Tahoma"/>
      <w:sz w:val="16"/>
      <w:szCs w:val="16"/>
    </w:rPr>
  </w:style>
  <w:style w:type="character" w:customStyle="1" w:styleId="TextodebaloChar">
    <w:name w:val="Texto de balão Char"/>
    <w:basedOn w:val="Fontepargpadro"/>
    <w:link w:val="Textodebalo"/>
    <w:uiPriority w:val="99"/>
    <w:semiHidden/>
    <w:locked/>
    <w:rsid w:val="000B3FA6"/>
    <w:rPr>
      <w:rFonts w:cs="Times New Roman"/>
      <w:sz w:val="2"/>
      <w:lang w:eastAsia="en-US"/>
    </w:rPr>
  </w:style>
  <w:style w:type="paragraph" w:customStyle="1" w:styleId="TtulodoApndice">
    <w:name w:val="Título do Apêndice"/>
    <w:basedOn w:val="Normal"/>
    <w:next w:val="Normal"/>
    <w:rsid w:val="00C20B7C"/>
    <w:pPr>
      <w:keepNext/>
      <w:keepLines/>
      <w:pageBreakBefore/>
      <w:numPr>
        <w:numId w:val="11"/>
      </w:numPr>
      <w:tabs>
        <w:tab w:val="clear" w:pos="851"/>
        <w:tab w:val="left" w:pos="0"/>
      </w:tabs>
      <w:spacing w:after="360" w:line="240" w:lineRule="auto"/>
      <w:outlineLvl w:val="8"/>
    </w:pPr>
    <w:rPr>
      <w:b/>
      <w:caps/>
    </w:rPr>
  </w:style>
  <w:style w:type="paragraph" w:customStyle="1" w:styleId="TtulodoAnexo">
    <w:name w:val="Título do Anexo"/>
    <w:basedOn w:val="Normal"/>
    <w:next w:val="Normal"/>
    <w:rsid w:val="00501430"/>
    <w:pPr>
      <w:keepNext/>
      <w:keepLines/>
      <w:pageBreakBefore/>
      <w:numPr>
        <w:numId w:val="12"/>
      </w:numPr>
      <w:spacing w:after="360" w:line="240" w:lineRule="auto"/>
      <w:ind w:left="1259" w:hanging="1259"/>
      <w:outlineLvl w:val="8"/>
    </w:pPr>
    <w:rPr>
      <w:b/>
      <w:caps/>
    </w:rPr>
  </w:style>
  <w:style w:type="paragraph" w:customStyle="1" w:styleId="Referncias">
    <w:name w:val="Referências"/>
    <w:basedOn w:val="Normal"/>
    <w:uiPriority w:val="99"/>
    <w:rsid w:val="00311941"/>
    <w:pPr>
      <w:spacing w:after="240" w:line="240" w:lineRule="auto"/>
    </w:pPr>
    <w:rPr>
      <w:lang w:val="en-US"/>
    </w:rPr>
  </w:style>
  <w:style w:type="paragraph" w:customStyle="1" w:styleId="EstiloNormalGrandeesquerda">
    <w:name w:val="Estilo Normal Grande + À esquerda"/>
    <w:basedOn w:val="NormalGrande"/>
    <w:uiPriority w:val="99"/>
    <w:rsid w:val="00BD4083"/>
    <w:pPr>
      <w:keepNext/>
      <w:jc w:val="left"/>
    </w:pPr>
    <w:rPr>
      <w:bCs/>
      <w:szCs w:val="20"/>
    </w:rPr>
  </w:style>
  <w:style w:type="paragraph" w:customStyle="1" w:styleId="TtulodoQuadro">
    <w:name w:val="Título do Quadro"/>
    <w:basedOn w:val="Normal"/>
    <w:uiPriority w:val="99"/>
    <w:rsid w:val="002F1ACC"/>
    <w:pPr>
      <w:keepNext/>
      <w:numPr>
        <w:numId w:val="9"/>
      </w:numPr>
      <w:spacing w:after="240" w:line="240" w:lineRule="auto"/>
      <w:ind w:left="1236" w:hanging="1236"/>
    </w:pPr>
    <w:rPr>
      <w:caps/>
      <w:sz w:val="20"/>
    </w:rPr>
  </w:style>
  <w:style w:type="paragraph" w:customStyle="1" w:styleId="TtulodoGrfico">
    <w:name w:val="Título do Gráfico"/>
    <w:basedOn w:val="Normal"/>
    <w:uiPriority w:val="99"/>
    <w:rsid w:val="00322649"/>
    <w:pPr>
      <w:keepNext/>
      <w:keepLines/>
      <w:numPr>
        <w:numId w:val="10"/>
      </w:numPr>
      <w:tabs>
        <w:tab w:val="clear" w:pos="851"/>
      </w:tabs>
      <w:spacing w:after="240" w:line="240" w:lineRule="auto"/>
    </w:pPr>
    <w:rPr>
      <w:caps/>
      <w:sz w:val="20"/>
    </w:rPr>
  </w:style>
  <w:style w:type="paragraph" w:styleId="MapadoDocumento">
    <w:name w:val="Document Map"/>
    <w:basedOn w:val="Normal"/>
    <w:link w:val="MapadoDocumentoChar"/>
    <w:uiPriority w:val="99"/>
    <w:semiHidden/>
    <w:rsid w:val="008F369C"/>
    <w:pPr>
      <w:shd w:val="clear" w:color="auto" w:fill="000080"/>
    </w:pPr>
    <w:rPr>
      <w:rFonts w:ascii="Tahoma" w:hAnsi="Tahoma" w:cs="Tahoma"/>
      <w:sz w:val="20"/>
      <w:szCs w:val="20"/>
    </w:rPr>
  </w:style>
  <w:style w:type="character" w:customStyle="1" w:styleId="MapadoDocumentoChar">
    <w:name w:val="Mapa do Documento Char"/>
    <w:basedOn w:val="Fontepargpadro"/>
    <w:link w:val="MapadoDocumento"/>
    <w:uiPriority w:val="99"/>
    <w:semiHidden/>
    <w:locked/>
    <w:rsid w:val="000B3FA6"/>
    <w:rPr>
      <w:rFonts w:cs="Times New Roman"/>
      <w:sz w:val="2"/>
      <w:lang w:eastAsia="en-US"/>
    </w:rPr>
  </w:style>
  <w:style w:type="paragraph" w:styleId="ndicedeautoridades">
    <w:name w:val="table of authorities"/>
    <w:basedOn w:val="Normal"/>
    <w:next w:val="Normal"/>
    <w:uiPriority w:val="99"/>
    <w:semiHidden/>
    <w:rsid w:val="008F369C"/>
    <w:pPr>
      <w:tabs>
        <w:tab w:val="clear" w:pos="851"/>
      </w:tabs>
      <w:ind w:left="240" w:hanging="240"/>
    </w:pPr>
  </w:style>
  <w:style w:type="paragraph" w:styleId="Remissivo1">
    <w:name w:val="index 1"/>
    <w:basedOn w:val="Normal"/>
    <w:next w:val="Normal"/>
    <w:autoRedefine/>
    <w:uiPriority w:val="99"/>
    <w:semiHidden/>
    <w:rsid w:val="008F369C"/>
    <w:pPr>
      <w:tabs>
        <w:tab w:val="clear" w:pos="851"/>
      </w:tabs>
      <w:ind w:left="240" w:hanging="240"/>
    </w:pPr>
  </w:style>
  <w:style w:type="paragraph" w:styleId="Remissivo2">
    <w:name w:val="index 2"/>
    <w:basedOn w:val="Normal"/>
    <w:next w:val="Normal"/>
    <w:autoRedefine/>
    <w:uiPriority w:val="99"/>
    <w:semiHidden/>
    <w:rsid w:val="008F369C"/>
    <w:pPr>
      <w:tabs>
        <w:tab w:val="clear" w:pos="851"/>
      </w:tabs>
      <w:ind w:left="480" w:hanging="240"/>
    </w:pPr>
  </w:style>
  <w:style w:type="paragraph" w:styleId="Remissivo3">
    <w:name w:val="index 3"/>
    <w:basedOn w:val="Normal"/>
    <w:next w:val="Normal"/>
    <w:autoRedefine/>
    <w:uiPriority w:val="99"/>
    <w:semiHidden/>
    <w:rsid w:val="008F369C"/>
    <w:pPr>
      <w:tabs>
        <w:tab w:val="clear" w:pos="851"/>
      </w:tabs>
      <w:ind w:left="720" w:hanging="240"/>
    </w:pPr>
  </w:style>
  <w:style w:type="paragraph" w:styleId="Remissivo4">
    <w:name w:val="index 4"/>
    <w:basedOn w:val="Normal"/>
    <w:next w:val="Normal"/>
    <w:autoRedefine/>
    <w:uiPriority w:val="99"/>
    <w:semiHidden/>
    <w:rsid w:val="008F369C"/>
    <w:pPr>
      <w:tabs>
        <w:tab w:val="clear" w:pos="851"/>
      </w:tabs>
      <w:ind w:left="960" w:hanging="240"/>
    </w:pPr>
  </w:style>
  <w:style w:type="paragraph" w:styleId="Remissivo5">
    <w:name w:val="index 5"/>
    <w:basedOn w:val="Normal"/>
    <w:next w:val="Normal"/>
    <w:autoRedefine/>
    <w:uiPriority w:val="99"/>
    <w:semiHidden/>
    <w:rsid w:val="008F369C"/>
    <w:pPr>
      <w:tabs>
        <w:tab w:val="clear" w:pos="851"/>
      </w:tabs>
      <w:ind w:left="1200" w:hanging="240"/>
    </w:pPr>
  </w:style>
  <w:style w:type="paragraph" w:styleId="Remissivo6">
    <w:name w:val="index 6"/>
    <w:basedOn w:val="Normal"/>
    <w:next w:val="Normal"/>
    <w:autoRedefine/>
    <w:uiPriority w:val="99"/>
    <w:semiHidden/>
    <w:rsid w:val="008F369C"/>
    <w:pPr>
      <w:tabs>
        <w:tab w:val="clear" w:pos="851"/>
      </w:tabs>
      <w:ind w:left="1440" w:hanging="240"/>
    </w:pPr>
  </w:style>
  <w:style w:type="paragraph" w:styleId="Remissivo7">
    <w:name w:val="index 7"/>
    <w:basedOn w:val="Normal"/>
    <w:next w:val="Normal"/>
    <w:autoRedefine/>
    <w:uiPriority w:val="99"/>
    <w:semiHidden/>
    <w:rsid w:val="008F369C"/>
    <w:pPr>
      <w:tabs>
        <w:tab w:val="clear" w:pos="851"/>
      </w:tabs>
      <w:ind w:left="1680" w:hanging="240"/>
    </w:pPr>
  </w:style>
  <w:style w:type="paragraph" w:styleId="Remissivo8">
    <w:name w:val="index 8"/>
    <w:basedOn w:val="Normal"/>
    <w:next w:val="Normal"/>
    <w:autoRedefine/>
    <w:uiPriority w:val="99"/>
    <w:semiHidden/>
    <w:rsid w:val="008F369C"/>
    <w:pPr>
      <w:tabs>
        <w:tab w:val="clear" w:pos="851"/>
      </w:tabs>
      <w:ind w:left="1920" w:hanging="240"/>
    </w:pPr>
  </w:style>
  <w:style w:type="paragraph" w:styleId="Remissivo9">
    <w:name w:val="index 9"/>
    <w:basedOn w:val="Normal"/>
    <w:next w:val="Normal"/>
    <w:autoRedefine/>
    <w:uiPriority w:val="99"/>
    <w:semiHidden/>
    <w:rsid w:val="008F369C"/>
    <w:pPr>
      <w:tabs>
        <w:tab w:val="clear" w:pos="851"/>
      </w:tabs>
      <w:ind w:left="2160" w:hanging="240"/>
    </w:pPr>
  </w:style>
  <w:style w:type="paragraph" w:styleId="Textodemacro">
    <w:name w:val="macro"/>
    <w:link w:val="TextodemacroChar"/>
    <w:uiPriority w:val="99"/>
    <w:semiHidden/>
    <w:rsid w:val="008F369C"/>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urier New" w:hAnsi="Courier New" w:cs="Courier New"/>
      <w:lang w:eastAsia="en-US"/>
    </w:rPr>
  </w:style>
  <w:style w:type="character" w:customStyle="1" w:styleId="TextodemacroChar">
    <w:name w:val="Texto de macro Char"/>
    <w:basedOn w:val="Fontepargpadro"/>
    <w:link w:val="Textodemacro"/>
    <w:uiPriority w:val="99"/>
    <w:semiHidden/>
    <w:locked/>
    <w:rsid w:val="000B3FA6"/>
    <w:rPr>
      <w:rFonts w:ascii="Courier New" w:hAnsi="Courier New" w:cs="Courier New"/>
      <w:lang w:val="pt-BR" w:eastAsia="en-US" w:bidi="ar-SA"/>
    </w:rPr>
  </w:style>
  <w:style w:type="paragraph" w:styleId="Textodenotadefim">
    <w:name w:val="endnote text"/>
    <w:basedOn w:val="Normal"/>
    <w:link w:val="TextodenotadefimChar"/>
    <w:uiPriority w:val="99"/>
    <w:semiHidden/>
    <w:rsid w:val="008F369C"/>
    <w:rPr>
      <w:sz w:val="20"/>
      <w:szCs w:val="20"/>
    </w:rPr>
  </w:style>
  <w:style w:type="character" w:customStyle="1" w:styleId="TextodenotadefimChar">
    <w:name w:val="Texto de nota de fim Char"/>
    <w:basedOn w:val="Fontepargpadro"/>
    <w:link w:val="Textodenotadefim"/>
    <w:uiPriority w:val="99"/>
    <w:semiHidden/>
    <w:locked/>
    <w:rsid w:val="000B3FA6"/>
    <w:rPr>
      <w:rFonts w:ascii="Arial" w:hAnsi="Arial" w:cs="Times New Roman"/>
      <w:sz w:val="20"/>
      <w:szCs w:val="20"/>
      <w:lang w:eastAsia="en-US"/>
    </w:rPr>
  </w:style>
  <w:style w:type="paragraph" w:styleId="Ttulodendicedeautoridades">
    <w:name w:val="toa heading"/>
    <w:basedOn w:val="Normal"/>
    <w:next w:val="Normal"/>
    <w:uiPriority w:val="99"/>
    <w:semiHidden/>
    <w:rsid w:val="008F369C"/>
    <w:pPr>
      <w:spacing w:before="120"/>
    </w:pPr>
    <w:rPr>
      <w:rFonts w:cs="Arial"/>
      <w:b/>
      <w:bCs/>
    </w:rPr>
  </w:style>
  <w:style w:type="paragraph" w:styleId="Ttulodendiceremissivo">
    <w:name w:val="index heading"/>
    <w:basedOn w:val="Normal"/>
    <w:next w:val="Remissivo1"/>
    <w:uiPriority w:val="99"/>
    <w:semiHidden/>
    <w:rsid w:val="008F369C"/>
    <w:rPr>
      <w:rFonts w:cs="Arial"/>
      <w:b/>
      <w:bCs/>
    </w:rPr>
  </w:style>
  <w:style w:type="paragraph" w:customStyle="1" w:styleId="Legenda1">
    <w:name w:val="Legenda1"/>
    <w:basedOn w:val="Normal"/>
    <w:next w:val="Normal"/>
    <w:uiPriority w:val="99"/>
    <w:rsid w:val="00151454"/>
    <w:pPr>
      <w:tabs>
        <w:tab w:val="clear" w:pos="851"/>
        <w:tab w:val="left" w:pos="567"/>
      </w:tabs>
      <w:suppressAutoHyphens/>
      <w:spacing w:after="60" w:line="100" w:lineRule="atLeast"/>
      <w:jc w:val="center"/>
    </w:pPr>
    <w:rPr>
      <w:b/>
      <w:sz w:val="20"/>
      <w:szCs w:val="20"/>
      <w:lang w:eastAsia="ar-SA"/>
    </w:rPr>
  </w:style>
  <w:style w:type="numbering" w:styleId="1ai">
    <w:name w:val="Outline List 1"/>
    <w:basedOn w:val="Semlista"/>
    <w:uiPriority w:val="99"/>
    <w:semiHidden/>
    <w:unhideWhenUsed/>
    <w:locked/>
    <w:rsid w:val="00B40135"/>
    <w:pPr>
      <w:numPr>
        <w:numId w:val="4"/>
      </w:numPr>
    </w:pPr>
  </w:style>
  <w:style w:type="numbering" w:customStyle="1" w:styleId="ListaNumerada-Nmeros">
    <w:name w:val="Lista Numerada - Números"/>
    <w:rsid w:val="00B40135"/>
    <w:pPr>
      <w:numPr>
        <w:numId w:val="8"/>
      </w:numPr>
    </w:pPr>
  </w:style>
  <w:style w:type="numbering" w:customStyle="1" w:styleId="ListaNumerada-AlneaseIncisos">
    <w:name w:val="Lista Numerada - Alíneas e Incisos"/>
    <w:rsid w:val="00B40135"/>
    <w:pPr>
      <w:numPr>
        <w:numId w:val="5"/>
      </w:numPr>
    </w:pPr>
  </w:style>
  <w:style w:type="numbering" w:styleId="Artigoseo">
    <w:name w:val="Outline List 3"/>
    <w:basedOn w:val="Semlista"/>
    <w:uiPriority w:val="99"/>
    <w:semiHidden/>
    <w:unhideWhenUsed/>
    <w:locked/>
    <w:rsid w:val="00B40135"/>
    <w:pPr>
      <w:numPr>
        <w:numId w:val="2"/>
      </w:numPr>
    </w:pPr>
  </w:style>
  <w:style w:type="numbering" w:styleId="111111">
    <w:name w:val="Outline List 2"/>
    <w:basedOn w:val="Semlista"/>
    <w:uiPriority w:val="99"/>
    <w:semiHidden/>
    <w:unhideWhenUsed/>
    <w:locked/>
    <w:rsid w:val="00B40135"/>
    <w:pPr>
      <w:numPr>
        <w:numId w:val="3"/>
      </w:numPr>
    </w:pPr>
  </w:style>
  <w:style w:type="paragraph" w:styleId="Citao">
    <w:name w:val="Quote"/>
    <w:basedOn w:val="Normal"/>
    <w:next w:val="Normal"/>
    <w:link w:val="CitaoChar"/>
    <w:uiPriority w:val="29"/>
    <w:qFormat/>
    <w:rsid w:val="00C3795F"/>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C3795F"/>
    <w:rPr>
      <w:rFonts w:ascii="Arial" w:hAnsi="Arial"/>
      <w:i/>
      <w:iCs/>
      <w:color w:val="404040" w:themeColor="text1" w:themeTint="BF"/>
      <w:sz w:val="24"/>
      <w:szCs w:val="24"/>
      <w:lang w:eastAsia="en-US"/>
    </w:rPr>
  </w:style>
  <w:style w:type="table" w:customStyle="1" w:styleId="TabelaSimples21">
    <w:name w:val="Tabela Simples 21"/>
    <w:basedOn w:val="Tabelanormal"/>
    <w:uiPriority w:val="42"/>
    <w:rsid w:val="008C69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notadefim">
    <w:name w:val="endnote reference"/>
    <w:basedOn w:val="Fontepargpadro"/>
    <w:uiPriority w:val="99"/>
    <w:semiHidden/>
    <w:unhideWhenUsed/>
    <w:locked/>
    <w:rsid w:val="000B215F"/>
    <w:rPr>
      <w:vertAlign w:val="superscript"/>
    </w:rPr>
  </w:style>
  <w:style w:type="character" w:styleId="TextodoEspaoReservado">
    <w:name w:val="Placeholder Text"/>
    <w:basedOn w:val="Fontepargpadro"/>
    <w:uiPriority w:val="99"/>
    <w:semiHidden/>
    <w:rsid w:val="00F9088B"/>
    <w:rPr>
      <w:color w:val="808080"/>
    </w:rPr>
  </w:style>
  <w:style w:type="paragraph" w:styleId="PargrafodaLista">
    <w:name w:val="List Paragraph"/>
    <w:aliases w:val="CITAÇÃO,Paragrafo,Lista Colorida - Ênfase 11"/>
    <w:basedOn w:val="Normal"/>
    <w:link w:val="PargrafodaListaChar"/>
    <w:uiPriority w:val="34"/>
    <w:qFormat/>
    <w:rsid w:val="00F9088B"/>
    <w:pPr>
      <w:ind w:left="720"/>
      <w:contextualSpacing/>
    </w:pPr>
  </w:style>
  <w:style w:type="character" w:customStyle="1" w:styleId="apple-converted-space">
    <w:name w:val="apple-converted-space"/>
    <w:basedOn w:val="Fontepargpadro"/>
    <w:rsid w:val="003D30EF"/>
  </w:style>
  <w:style w:type="paragraph" w:styleId="SemEspaamento">
    <w:name w:val="No Spacing"/>
    <w:link w:val="SemEspaamentoChar"/>
    <w:uiPriority w:val="1"/>
    <w:qFormat/>
    <w:rsid w:val="005C4419"/>
    <w:pPr>
      <w:jc w:val="center"/>
    </w:pPr>
    <w:rPr>
      <w:rFonts w:asciiTheme="minorHAnsi" w:eastAsiaTheme="minorEastAsia" w:hAnsiTheme="minorHAnsi" w:cstheme="minorBidi"/>
      <w:szCs w:val="22"/>
    </w:rPr>
  </w:style>
  <w:style w:type="character" w:customStyle="1" w:styleId="SemEspaamentoChar">
    <w:name w:val="Sem Espaçamento Char"/>
    <w:basedOn w:val="Fontepargpadro"/>
    <w:link w:val="SemEspaamento"/>
    <w:uiPriority w:val="1"/>
    <w:rsid w:val="005C4419"/>
    <w:rPr>
      <w:rFonts w:asciiTheme="minorHAnsi" w:eastAsiaTheme="minorEastAsia" w:hAnsiTheme="minorHAnsi" w:cstheme="minorBidi"/>
      <w:szCs w:val="22"/>
    </w:rPr>
  </w:style>
  <w:style w:type="paragraph" w:customStyle="1" w:styleId="Default">
    <w:name w:val="Default"/>
    <w:qFormat/>
    <w:rsid w:val="00786C81"/>
    <w:pPr>
      <w:autoSpaceDE w:val="0"/>
      <w:autoSpaceDN w:val="0"/>
      <w:adjustRightInd w:val="0"/>
    </w:pPr>
    <w:rPr>
      <w:rFonts w:ascii="Berthold Akzidenz Grotesk BE" w:eastAsia="Calibri" w:hAnsi="Berthold Akzidenz Grotesk BE" w:cs="Berthold Akzidenz Grotesk BE"/>
      <w:color w:val="000000"/>
      <w:sz w:val="24"/>
      <w:szCs w:val="24"/>
    </w:rPr>
  </w:style>
  <w:style w:type="paragraph" w:customStyle="1" w:styleId="Pa5">
    <w:name w:val="Pa5"/>
    <w:basedOn w:val="Default"/>
    <w:next w:val="Default"/>
    <w:uiPriority w:val="99"/>
    <w:rsid w:val="00786C81"/>
    <w:pPr>
      <w:spacing w:line="241" w:lineRule="atLeast"/>
    </w:pPr>
    <w:rPr>
      <w:rFonts w:cs="Times New Roman"/>
      <w:color w:val="auto"/>
    </w:rPr>
  </w:style>
  <w:style w:type="character" w:customStyle="1" w:styleId="A3">
    <w:name w:val="A3"/>
    <w:uiPriority w:val="99"/>
    <w:rsid w:val="00786C81"/>
    <w:rPr>
      <w:rFonts w:cs="Berthold Akzidenz Grotesk BE"/>
      <w:color w:val="000000"/>
      <w:sz w:val="18"/>
      <w:szCs w:val="18"/>
    </w:rPr>
  </w:style>
  <w:style w:type="table" w:customStyle="1" w:styleId="TabeladeGrade41">
    <w:name w:val="Tabela de Grade 41"/>
    <w:basedOn w:val="Tabelanormal"/>
    <w:uiPriority w:val="49"/>
    <w:rsid w:val="00786C8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4-nfase11">
    <w:name w:val="Tabela de Grade 4 - Ênfase 11"/>
    <w:basedOn w:val="Tabelanormal"/>
    <w:uiPriority w:val="49"/>
    <w:rsid w:val="00786C8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deGrade2-nfase11">
    <w:name w:val="Tabela de Grade 2 - Ênfase 11"/>
    <w:basedOn w:val="Tabelanormal"/>
    <w:uiPriority w:val="47"/>
    <w:rsid w:val="00786C81"/>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ombreamentoClaro-nfase1">
    <w:name w:val="Light Shading Accent 1"/>
    <w:basedOn w:val="Tabelanormal"/>
    <w:uiPriority w:val="30"/>
    <w:unhideWhenUsed/>
    <w:qFormat/>
    <w:rsid w:val="00007960"/>
    <w:rPr>
      <w:rFonts w:ascii="Calibri" w:eastAsia="Calibri" w:hAnsi="Calibri"/>
      <w:color w:val="365F91" w:themeColor="accent1" w:themeShade="BF"/>
      <w:lang w:eastAsia="en-US"/>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adeLista2-nfase11">
    <w:name w:val="Tabela de Lista 2 - Ênfase 11"/>
    <w:basedOn w:val="Tabelanormal"/>
    <w:uiPriority w:val="47"/>
    <w:rsid w:val="00007960"/>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efernciaIntensa">
    <w:name w:val="Intense Reference"/>
    <w:uiPriority w:val="32"/>
    <w:qFormat/>
    <w:rsid w:val="00007960"/>
    <w:rPr>
      <w:b/>
      <w:bCs w:val="0"/>
      <w:smallCaps/>
      <w:spacing w:val="5"/>
      <w:sz w:val="22"/>
      <w:u w:val="single"/>
    </w:rPr>
  </w:style>
  <w:style w:type="character" w:customStyle="1" w:styleId="TextodenotaderodapChar1">
    <w:name w:val="Texto de nota de rodapé Char1"/>
    <w:uiPriority w:val="99"/>
    <w:locked/>
    <w:rsid w:val="00007960"/>
    <w:rPr>
      <w:rFonts w:ascii="Calibri" w:hAnsi="Calibri"/>
      <w:lang w:val="en-US" w:eastAsia="en-US"/>
    </w:rPr>
  </w:style>
  <w:style w:type="paragraph" w:customStyle="1" w:styleId="wp-caption-text">
    <w:name w:val="wp-caption-text"/>
    <w:basedOn w:val="Normal"/>
    <w:rsid w:val="00E26642"/>
    <w:pPr>
      <w:tabs>
        <w:tab w:val="clear" w:pos="851"/>
      </w:tabs>
      <w:spacing w:before="100" w:beforeAutospacing="1" w:after="100" w:afterAutospacing="1" w:line="240" w:lineRule="auto"/>
      <w:jc w:val="left"/>
    </w:pPr>
    <w:rPr>
      <w:rFonts w:ascii="Times New Roman" w:hAnsi="Times New Roman"/>
      <w:lang w:eastAsia="pt-BR"/>
    </w:rPr>
  </w:style>
  <w:style w:type="character" w:customStyle="1" w:styleId="ilfuvd">
    <w:name w:val="ilfuvd"/>
    <w:basedOn w:val="Fontepargpadro"/>
    <w:rsid w:val="002E2905"/>
  </w:style>
  <w:style w:type="character" w:customStyle="1" w:styleId="fontstyle01">
    <w:name w:val="fontstyle01"/>
    <w:basedOn w:val="Fontepargpadro"/>
    <w:rsid w:val="00DD706D"/>
    <w:rPr>
      <w:rFonts w:ascii="TimesNewRomanPSMT" w:hAnsi="TimesNewRomanPSMT" w:hint="default"/>
      <w:b w:val="0"/>
      <w:bCs w:val="0"/>
      <w:i w:val="0"/>
      <w:iCs w:val="0"/>
      <w:color w:val="000000"/>
      <w:sz w:val="24"/>
      <w:szCs w:val="24"/>
    </w:rPr>
  </w:style>
  <w:style w:type="character" w:customStyle="1" w:styleId="fontstyle21">
    <w:name w:val="fontstyle21"/>
    <w:basedOn w:val="Fontepargpadro"/>
    <w:rsid w:val="00DD706D"/>
    <w:rPr>
      <w:rFonts w:ascii="TimesNewRomanPS-ItalicMT" w:hAnsi="TimesNewRomanPS-ItalicMT" w:hint="default"/>
      <w:b w:val="0"/>
      <w:bCs w:val="0"/>
      <w:i/>
      <w:iCs/>
      <w:color w:val="000000"/>
      <w:sz w:val="24"/>
      <w:szCs w:val="24"/>
    </w:rPr>
  </w:style>
  <w:style w:type="table" w:styleId="ListaClara-nfase1">
    <w:name w:val="Light List Accent 1"/>
    <w:basedOn w:val="Tabelanormal"/>
    <w:uiPriority w:val="61"/>
    <w:rsid w:val="0099583C"/>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rgrafodaListaChar">
    <w:name w:val="Parágrafo da Lista Char"/>
    <w:aliases w:val="CITAÇÃO Char,Paragrafo Char,Lista Colorida - Ênfase 11 Char"/>
    <w:link w:val="PargrafodaLista"/>
    <w:uiPriority w:val="34"/>
    <w:qFormat/>
    <w:rsid w:val="008A34BD"/>
    <w:rPr>
      <w:rFonts w:ascii="Arial" w:hAnsi="Arial"/>
      <w:sz w:val="24"/>
      <w:szCs w:val="24"/>
      <w:lang w:eastAsia="en-US"/>
    </w:rPr>
  </w:style>
  <w:style w:type="character" w:customStyle="1" w:styleId="zmsearchresult">
    <w:name w:val="zmsearchresult"/>
    <w:basedOn w:val="Fontepargpadro"/>
    <w:rsid w:val="00614D68"/>
  </w:style>
  <w:style w:type="paragraph" w:styleId="CabealhodoSumrio">
    <w:name w:val="TOC Heading"/>
    <w:basedOn w:val="Ttulo1"/>
    <w:next w:val="Normal"/>
    <w:uiPriority w:val="39"/>
    <w:unhideWhenUsed/>
    <w:qFormat/>
    <w:rsid w:val="00F40FC0"/>
    <w:pPr>
      <w:keepLines/>
      <w:pageBreakBefore w:val="0"/>
      <w:numPr>
        <w:numId w:val="0"/>
      </w:numPr>
      <w:spacing w:after="0" w:line="259" w:lineRule="auto"/>
      <w:jc w:val="left"/>
      <w:outlineLvl w:val="9"/>
    </w:pPr>
    <w:rPr>
      <w:rFonts w:asciiTheme="majorHAnsi" w:eastAsiaTheme="majorEastAsia" w:hAnsiTheme="majorHAnsi" w:cstheme="majorBidi"/>
      <w:b w:val="0"/>
      <w:bCs w:val="0"/>
      <w:caps/>
      <w:color w:val="365F91" w:themeColor="accent1" w:themeShade="BF"/>
      <w:kern w:val="0"/>
      <w:sz w:val="32"/>
      <w:szCs w:val="32"/>
      <w:lang w:eastAsia="pt-BR"/>
    </w:rPr>
  </w:style>
  <w:style w:type="paragraph" w:customStyle="1" w:styleId="textbody">
    <w:name w:val="textbody"/>
    <w:basedOn w:val="Normal"/>
    <w:rsid w:val="00611A3C"/>
    <w:pPr>
      <w:tabs>
        <w:tab w:val="clear" w:pos="851"/>
      </w:tabs>
      <w:spacing w:before="100" w:beforeAutospacing="1" w:after="100" w:afterAutospacing="1" w:line="240" w:lineRule="auto"/>
      <w:jc w:val="left"/>
    </w:pPr>
    <w:rPr>
      <w:rFonts w:ascii="Times New Roman" w:hAnsi="Times New Roman"/>
      <w:lang w:eastAsia="pt-BR"/>
    </w:rPr>
  </w:style>
  <w:style w:type="paragraph" w:styleId="Reviso">
    <w:name w:val="Revision"/>
    <w:hidden/>
    <w:uiPriority w:val="99"/>
    <w:semiHidden/>
    <w:rsid w:val="00F65EC7"/>
    <w:rPr>
      <w:rFonts w:ascii="Arial" w:hAnsi="Arial"/>
      <w:sz w:val="24"/>
      <w:szCs w:val="24"/>
      <w:lang w:eastAsia="en-US"/>
    </w:rPr>
  </w:style>
  <w:style w:type="character" w:customStyle="1" w:styleId="ui-provider">
    <w:name w:val="ui-provider"/>
    <w:basedOn w:val="Fontepargpadro"/>
    <w:rsid w:val="00C64659"/>
  </w:style>
  <w:style w:type="character" w:customStyle="1" w:styleId="CorpodetextoChar1">
    <w:name w:val="Corpo de texto Char1"/>
    <w:uiPriority w:val="99"/>
    <w:locked/>
    <w:rsid w:val="003E0246"/>
    <w:rPr>
      <w:rFonts w:ascii="Times New Roman" w:eastAsia="Times New Roman" w:hAnsi="Times New Roman" w:cs="Times New Roman"/>
      <w:lang w:eastAsia="pt-BR"/>
    </w:rPr>
  </w:style>
  <w:style w:type="table" w:styleId="TabeladeGrade6Colorida-nfase1">
    <w:name w:val="Grid Table 6 Colorful Accent 1"/>
    <w:basedOn w:val="Tabelanormal"/>
    <w:uiPriority w:val="51"/>
    <w:rsid w:val="003E024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Lista2-nfase1">
    <w:name w:val="List Table 2 Accent 1"/>
    <w:basedOn w:val="Tabelanormal"/>
    <w:uiPriority w:val="47"/>
    <w:rsid w:val="003E0246"/>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Lista1Clara-nfase1">
    <w:name w:val="List Table 1 Light Accent 1"/>
    <w:basedOn w:val="Tabelanormal"/>
    <w:uiPriority w:val="46"/>
    <w:rsid w:val="003E0246"/>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3072">
      <w:bodyDiv w:val="1"/>
      <w:marLeft w:val="0"/>
      <w:marRight w:val="0"/>
      <w:marTop w:val="0"/>
      <w:marBottom w:val="0"/>
      <w:divBdr>
        <w:top w:val="none" w:sz="0" w:space="0" w:color="auto"/>
        <w:left w:val="none" w:sz="0" w:space="0" w:color="auto"/>
        <w:bottom w:val="none" w:sz="0" w:space="0" w:color="auto"/>
        <w:right w:val="none" w:sz="0" w:space="0" w:color="auto"/>
      </w:divBdr>
      <w:divsChild>
        <w:div w:id="1500927415">
          <w:marLeft w:val="547"/>
          <w:marRight w:val="0"/>
          <w:marTop w:val="0"/>
          <w:marBottom w:val="0"/>
          <w:divBdr>
            <w:top w:val="none" w:sz="0" w:space="0" w:color="auto"/>
            <w:left w:val="none" w:sz="0" w:space="0" w:color="auto"/>
            <w:bottom w:val="none" w:sz="0" w:space="0" w:color="auto"/>
            <w:right w:val="none" w:sz="0" w:space="0" w:color="auto"/>
          </w:divBdr>
        </w:div>
        <w:div w:id="1509176017">
          <w:marLeft w:val="547"/>
          <w:marRight w:val="0"/>
          <w:marTop w:val="0"/>
          <w:marBottom w:val="0"/>
          <w:divBdr>
            <w:top w:val="none" w:sz="0" w:space="0" w:color="auto"/>
            <w:left w:val="none" w:sz="0" w:space="0" w:color="auto"/>
            <w:bottom w:val="none" w:sz="0" w:space="0" w:color="auto"/>
            <w:right w:val="none" w:sz="0" w:space="0" w:color="auto"/>
          </w:divBdr>
        </w:div>
        <w:div w:id="1756048418">
          <w:marLeft w:val="547"/>
          <w:marRight w:val="0"/>
          <w:marTop w:val="0"/>
          <w:marBottom w:val="0"/>
          <w:divBdr>
            <w:top w:val="none" w:sz="0" w:space="0" w:color="auto"/>
            <w:left w:val="none" w:sz="0" w:space="0" w:color="auto"/>
            <w:bottom w:val="none" w:sz="0" w:space="0" w:color="auto"/>
            <w:right w:val="none" w:sz="0" w:space="0" w:color="auto"/>
          </w:divBdr>
        </w:div>
        <w:div w:id="1773161490">
          <w:marLeft w:val="547"/>
          <w:marRight w:val="0"/>
          <w:marTop w:val="0"/>
          <w:marBottom w:val="0"/>
          <w:divBdr>
            <w:top w:val="none" w:sz="0" w:space="0" w:color="auto"/>
            <w:left w:val="none" w:sz="0" w:space="0" w:color="auto"/>
            <w:bottom w:val="none" w:sz="0" w:space="0" w:color="auto"/>
            <w:right w:val="none" w:sz="0" w:space="0" w:color="auto"/>
          </w:divBdr>
        </w:div>
      </w:divsChild>
    </w:div>
    <w:div w:id="12611128">
      <w:bodyDiv w:val="1"/>
      <w:marLeft w:val="0"/>
      <w:marRight w:val="0"/>
      <w:marTop w:val="0"/>
      <w:marBottom w:val="0"/>
      <w:divBdr>
        <w:top w:val="none" w:sz="0" w:space="0" w:color="auto"/>
        <w:left w:val="none" w:sz="0" w:space="0" w:color="auto"/>
        <w:bottom w:val="none" w:sz="0" w:space="0" w:color="auto"/>
        <w:right w:val="none" w:sz="0" w:space="0" w:color="auto"/>
      </w:divBdr>
    </w:div>
    <w:div w:id="27924244">
      <w:bodyDiv w:val="1"/>
      <w:marLeft w:val="0"/>
      <w:marRight w:val="0"/>
      <w:marTop w:val="0"/>
      <w:marBottom w:val="0"/>
      <w:divBdr>
        <w:top w:val="none" w:sz="0" w:space="0" w:color="auto"/>
        <w:left w:val="none" w:sz="0" w:space="0" w:color="auto"/>
        <w:bottom w:val="none" w:sz="0" w:space="0" w:color="auto"/>
        <w:right w:val="none" w:sz="0" w:space="0" w:color="auto"/>
      </w:divBdr>
    </w:div>
    <w:div w:id="32316042">
      <w:bodyDiv w:val="1"/>
      <w:marLeft w:val="0"/>
      <w:marRight w:val="0"/>
      <w:marTop w:val="0"/>
      <w:marBottom w:val="0"/>
      <w:divBdr>
        <w:top w:val="none" w:sz="0" w:space="0" w:color="auto"/>
        <w:left w:val="none" w:sz="0" w:space="0" w:color="auto"/>
        <w:bottom w:val="none" w:sz="0" w:space="0" w:color="auto"/>
        <w:right w:val="none" w:sz="0" w:space="0" w:color="auto"/>
      </w:divBdr>
    </w:div>
    <w:div w:id="38240166">
      <w:bodyDiv w:val="1"/>
      <w:marLeft w:val="0"/>
      <w:marRight w:val="0"/>
      <w:marTop w:val="0"/>
      <w:marBottom w:val="0"/>
      <w:divBdr>
        <w:top w:val="none" w:sz="0" w:space="0" w:color="auto"/>
        <w:left w:val="none" w:sz="0" w:space="0" w:color="auto"/>
        <w:bottom w:val="none" w:sz="0" w:space="0" w:color="auto"/>
        <w:right w:val="none" w:sz="0" w:space="0" w:color="auto"/>
      </w:divBdr>
    </w:div>
    <w:div w:id="60913234">
      <w:bodyDiv w:val="1"/>
      <w:marLeft w:val="0"/>
      <w:marRight w:val="0"/>
      <w:marTop w:val="0"/>
      <w:marBottom w:val="0"/>
      <w:divBdr>
        <w:top w:val="none" w:sz="0" w:space="0" w:color="auto"/>
        <w:left w:val="none" w:sz="0" w:space="0" w:color="auto"/>
        <w:bottom w:val="none" w:sz="0" w:space="0" w:color="auto"/>
        <w:right w:val="none" w:sz="0" w:space="0" w:color="auto"/>
      </w:divBdr>
    </w:div>
    <w:div w:id="62601504">
      <w:bodyDiv w:val="1"/>
      <w:marLeft w:val="0"/>
      <w:marRight w:val="0"/>
      <w:marTop w:val="0"/>
      <w:marBottom w:val="0"/>
      <w:divBdr>
        <w:top w:val="none" w:sz="0" w:space="0" w:color="auto"/>
        <w:left w:val="none" w:sz="0" w:space="0" w:color="auto"/>
        <w:bottom w:val="none" w:sz="0" w:space="0" w:color="auto"/>
        <w:right w:val="none" w:sz="0" w:space="0" w:color="auto"/>
      </w:divBdr>
    </w:div>
    <w:div w:id="63140854">
      <w:bodyDiv w:val="1"/>
      <w:marLeft w:val="0"/>
      <w:marRight w:val="0"/>
      <w:marTop w:val="0"/>
      <w:marBottom w:val="0"/>
      <w:divBdr>
        <w:top w:val="none" w:sz="0" w:space="0" w:color="auto"/>
        <w:left w:val="none" w:sz="0" w:space="0" w:color="auto"/>
        <w:bottom w:val="none" w:sz="0" w:space="0" w:color="auto"/>
        <w:right w:val="none" w:sz="0" w:space="0" w:color="auto"/>
      </w:divBdr>
      <w:divsChild>
        <w:div w:id="2131895011">
          <w:marLeft w:val="0"/>
          <w:marRight w:val="0"/>
          <w:marTop w:val="0"/>
          <w:marBottom w:val="0"/>
          <w:divBdr>
            <w:top w:val="none" w:sz="0" w:space="0" w:color="auto"/>
            <w:left w:val="none" w:sz="0" w:space="0" w:color="auto"/>
            <w:bottom w:val="none" w:sz="0" w:space="0" w:color="auto"/>
            <w:right w:val="none" w:sz="0" w:space="0" w:color="auto"/>
          </w:divBdr>
        </w:div>
      </w:divsChild>
    </w:div>
    <w:div w:id="80377341">
      <w:bodyDiv w:val="1"/>
      <w:marLeft w:val="0"/>
      <w:marRight w:val="0"/>
      <w:marTop w:val="0"/>
      <w:marBottom w:val="0"/>
      <w:divBdr>
        <w:top w:val="none" w:sz="0" w:space="0" w:color="auto"/>
        <w:left w:val="none" w:sz="0" w:space="0" w:color="auto"/>
        <w:bottom w:val="none" w:sz="0" w:space="0" w:color="auto"/>
        <w:right w:val="none" w:sz="0" w:space="0" w:color="auto"/>
      </w:divBdr>
    </w:div>
    <w:div w:id="84694585">
      <w:bodyDiv w:val="1"/>
      <w:marLeft w:val="0"/>
      <w:marRight w:val="0"/>
      <w:marTop w:val="0"/>
      <w:marBottom w:val="0"/>
      <w:divBdr>
        <w:top w:val="none" w:sz="0" w:space="0" w:color="auto"/>
        <w:left w:val="none" w:sz="0" w:space="0" w:color="auto"/>
        <w:bottom w:val="none" w:sz="0" w:space="0" w:color="auto"/>
        <w:right w:val="none" w:sz="0" w:space="0" w:color="auto"/>
      </w:divBdr>
    </w:div>
    <w:div w:id="84765428">
      <w:bodyDiv w:val="1"/>
      <w:marLeft w:val="0"/>
      <w:marRight w:val="0"/>
      <w:marTop w:val="0"/>
      <w:marBottom w:val="0"/>
      <w:divBdr>
        <w:top w:val="none" w:sz="0" w:space="0" w:color="auto"/>
        <w:left w:val="none" w:sz="0" w:space="0" w:color="auto"/>
        <w:bottom w:val="none" w:sz="0" w:space="0" w:color="auto"/>
        <w:right w:val="none" w:sz="0" w:space="0" w:color="auto"/>
      </w:divBdr>
    </w:div>
    <w:div w:id="85346837">
      <w:bodyDiv w:val="1"/>
      <w:marLeft w:val="0"/>
      <w:marRight w:val="0"/>
      <w:marTop w:val="0"/>
      <w:marBottom w:val="0"/>
      <w:divBdr>
        <w:top w:val="none" w:sz="0" w:space="0" w:color="auto"/>
        <w:left w:val="none" w:sz="0" w:space="0" w:color="auto"/>
        <w:bottom w:val="none" w:sz="0" w:space="0" w:color="auto"/>
        <w:right w:val="none" w:sz="0" w:space="0" w:color="auto"/>
      </w:divBdr>
    </w:div>
    <w:div w:id="93482277">
      <w:bodyDiv w:val="1"/>
      <w:marLeft w:val="0"/>
      <w:marRight w:val="0"/>
      <w:marTop w:val="0"/>
      <w:marBottom w:val="0"/>
      <w:divBdr>
        <w:top w:val="none" w:sz="0" w:space="0" w:color="auto"/>
        <w:left w:val="none" w:sz="0" w:space="0" w:color="auto"/>
        <w:bottom w:val="none" w:sz="0" w:space="0" w:color="auto"/>
        <w:right w:val="none" w:sz="0" w:space="0" w:color="auto"/>
      </w:divBdr>
    </w:div>
    <w:div w:id="95950310">
      <w:bodyDiv w:val="1"/>
      <w:marLeft w:val="0"/>
      <w:marRight w:val="0"/>
      <w:marTop w:val="0"/>
      <w:marBottom w:val="0"/>
      <w:divBdr>
        <w:top w:val="none" w:sz="0" w:space="0" w:color="auto"/>
        <w:left w:val="none" w:sz="0" w:space="0" w:color="auto"/>
        <w:bottom w:val="none" w:sz="0" w:space="0" w:color="auto"/>
        <w:right w:val="none" w:sz="0" w:space="0" w:color="auto"/>
      </w:divBdr>
    </w:div>
    <w:div w:id="99885003">
      <w:bodyDiv w:val="1"/>
      <w:marLeft w:val="0"/>
      <w:marRight w:val="0"/>
      <w:marTop w:val="0"/>
      <w:marBottom w:val="0"/>
      <w:divBdr>
        <w:top w:val="none" w:sz="0" w:space="0" w:color="auto"/>
        <w:left w:val="none" w:sz="0" w:space="0" w:color="auto"/>
        <w:bottom w:val="none" w:sz="0" w:space="0" w:color="auto"/>
        <w:right w:val="none" w:sz="0" w:space="0" w:color="auto"/>
      </w:divBdr>
    </w:div>
    <w:div w:id="111291756">
      <w:bodyDiv w:val="1"/>
      <w:marLeft w:val="0"/>
      <w:marRight w:val="0"/>
      <w:marTop w:val="0"/>
      <w:marBottom w:val="0"/>
      <w:divBdr>
        <w:top w:val="none" w:sz="0" w:space="0" w:color="auto"/>
        <w:left w:val="none" w:sz="0" w:space="0" w:color="auto"/>
        <w:bottom w:val="none" w:sz="0" w:space="0" w:color="auto"/>
        <w:right w:val="none" w:sz="0" w:space="0" w:color="auto"/>
      </w:divBdr>
    </w:div>
    <w:div w:id="147481767">
      <w:bodyDiv w:val="1"/>
      <w:marLeft w:val="0"/>
      <w:marRight w:val="0"/>
      <w:marTop w:val="0"/>
      <w:marBottom w:val="0"/>
      <w:divBdr>
        <w:top w:val="none" w:sz="0" w:space="0" w:color="auto"/>
        <w:left w:val="none" w:sz="0" w:space="0" w:color="auto"/>
        <w:bottom w:val="none" w:sz="0" w:space="0" w:color="auto"/>
        <w:right w:val="none" w:sz="0" w:space="0" w:color="auto"/>
      </w:divBdr>
    </w:div>
    <w:div w:id="226427979">
      <w:bodyDiv w:val="1"/>
      <w:marLeft w:val="0"/>
      <w:marRight w:val="0"/>
      <w:marTop w:val="0"/>
      <w:marBottom w:val="0"/>
      <w:divBdr>
        <w:top w:val="none" w:sz="0" w:space="0" w:color="auto"/>
        <w:left w:val="none" w:sz="0" w:space="0" w:color="auto"/>
        <w:bottom w:val="none" w:sz="0" w:space="0" w:color="auto"/>
        <w:right w:val="none" w:sz="0" w:space="0" w:color="auto"/>
      </w:divBdr>
    </w:div>
    <w:div w:id="244531693">
      <w:bodyDiv w:val="1"/>
      <w:marLeft w:val="0"/>
      <w:marRight w:val="0"/>
      <w:marTop w:val="0"/>
      <w:marBottom w:val="0"/>
      <w:divBdr>
        <w:top w:val="none" w:sz="0" w:space="0" w:color="auto"/>
        <w:left w:val="none" w:sz="0" w:space="0" w:color="auto"/>
        <w:bottom w:val="none" w:sz="0" w:space="0" w:color="auto"/>
        <w:right w:val="none" w:sz="0" w:space="0" w:color="auto"/>
      </w:divBdr>
    </w:div>
    <w:div w:id="244536695">
      <w:bodyDiv w:val="1"/>
      <w:marLeft w:val="0"/>
      <w:marRight w:val="0"/>
      <w:marTop w:val="0"/>
      <w:marBottom w:val="0"/>
      <w:divBdr>
        <w:top w:val="none" w:sz="0" w:space="0" w:color="auto"/>
        <w:left w:val="none" w:sz="0" w:space="0" w:color="auto"/>
        <w:bottom w:val="none" w:sz="0" w:space="0" w:color="auto"/>
        <w:right w:val="none" w:sz="0" w:space="0" w:color="auto"/>
      </w:divBdr>
      <w:divsChild>
        <w:div w:id="424882416">
          <w:marLeft w:val="0"/>
          <w:marRight w:val="0"/>
          <w:marTop w:val="0"/>
          <w:marBottom w:val="0"/>
          <w:divBdr>
            <w:top w:val="none" w:sz="0" w:space="0" w:color="auto"/>
            <w:left w:val="none" w:sz="0" w:space="0" w:color="auto"/>
            <w:bottom w:val="none" w:sz="0" w:space="0" w:color="auto"/>
            <w:right w:val="none" w:sz="0" w:space="0" w:color="auto"/>
          </w:divBdr>
        </w:div>
        <w:div w:id="926964356">
          <w:marLeft w:val="0"/>
          <w:marRight w:val="0"/>
          <w:marTop w:val="0"/>
          <w:marBottom w:val="0"/>
          <w:divBdr>
            <w:top w:val="none" w:sz="0" w:space="0" w:color="auto"/>
            <w:left w:val="none" w:sz="0" w:space="0" w:color="auto"/>
            <w:bottom w:val="none" w:sz="0" w:space="0" w:color="auto"/>
            <w:right w:val="none" w:sz="0" w:space="0" w:color="auto"/>
          </w:divBdr>
        </w:div>
        <w:div w:id="1391467226">
          <w:marLeft w:val="0"/>
          <w:marRight w:val="0"/>
          <w:marTop w:val="0"/>
          <w:marBottom w:val="0"/>
          <w:divBdr>
            <w:top w:val="none" w:sz="0" w:space="0" w:color="auto"/>
            <w:left w:val="none" w:sz="0" w:space="0" w:color="auto"/>
            <w:bottom w:val="none" w:sz="0" w:space="0" w:color="auto"/>
            <w:right w:val="none" w:sz="0" w:space="0" w:color="auto"/>
          </w:divBdr>
        </w:div>
        <w:div w:id="1957523786">
          <w:marLeft w:val="0"/>
          <w:marRight w:val="0"/>
          <w:marTop w:val="0"/>
          <w:marBottom w:val="0"/>
          <w:divBdr>
            <w:top w:val="none" w:sz="0" w:space="0" w:color="auto"/>
            <w:left w:val="none" w:sz="0" w:space="0" w:color="auto"/>
            <w:bottom w:val="none" w:sz="0" w:space="0" w:color="auto"/>
            <w:right w:val="none" w:sz="0" w:space="0" w:color="auto"/>
          </w:divBdr>
        </w:div>
      </w:divsChild>
    </w:div>
    <w:div w:id="258217115">
      <w:bodyDiv w:val="1"/>
      <w:marLeft w:val="0"/>
      <w:marRight w:val="0"/>
      <w:marTop w:val="0"/>
      <w:marBottom w:val="0"/>
      <w:divBdr>
        <w:top w:val="none" w:sz="0" w:space="0" w:color="auto"/>
        <w:left w:val="none" w:sz="0" w:space="0" w:color="auto"/>
        <w:bottom w:val="none" w:sz="0" w:space="0" w:color="auto"/>
        <w:right w:val="none" w:sz="0" w:space="0" w:color="auto"/>
      </w:divBdr>
    </w:div>
    <w:div w:id="265581108">
      <w:bodyDiv w:val="1"/>
      <w:marLeft w:val="0"/>
      <w:marRight w:val="0"/>
      <w:marTop w:val="0"/>
      <w:marBottom w:val="0"/>
      <w:divBdr>
        <w:top w:val="none" w:sz="0" w:space="0" w:color="auto"/>
        <w:left w:val="none" w:sz="0" w:space="0" w:color="auto"/>
        <w:bottom w:val="none" w:sz="0" w:space="0" w:color="auto"/>
        <w:right w:val="none" w:sz="0" w:space="0" w:color="auto"/>
      </w:divBdr>
    </w:div>
    <w:div w:id="316080176">
      <w:bodyDiv w:val="1"/>
      <w:marLeft w:val="0"/>
      <w:marRight w:val="0"/>
      <w:marTop w:val="0"/>
      <w:marBottom w:val="0"/>
      <w:divBdr>
        <w:top w:val="none" w:sz="0" w:space="0" w:color="auto"/>
        <w:left w:val="none" w:sz="0" w:space="0" w:color="auto"/>
        <w:bottom w:val="none" w:sz="0" w:space="0" w:color="auto"/>
        <w:right w:val="none" w:sz="0" w:space="0" w:color="auto"/>
      </w:divBdr>
    </w:div>
    <w:div w:id="323556787">
      <w:bodyDiv w:val="1"/>
      <w:marLeft w:val="0"/>
      <w:marRight w:val="0"/>
      <w:marTop w:val="0"/>
      <w:marBottom w:val="0"/>
      <w:divBdr>
        <w:top w:val="none" w:sz="0" w:space="0" w:color="auto"/>
        <w:left w:val="none" w:sz="0" w:space="0" w:color="auto"/>
        <w:bottom w:val="none" w:sz="0" w:space="0" w:color="auto"/>
        <w:right w:val="none" w:sz="0" w:space="0" w:color="auto"/>
      </w:divBdr>
    </w:div>
    <w:div w:id="326976432">
      <w:bodyDiv w:val="1"/>
      <w:marLeft w:val="0"/>
      <w:marRight w:val="0"/>
      <w:marTop w:val="0"/>
      <w:marBottom w:val="0"/>
      <w:divBdr>
        <w:top w:val="none" w:sz="0" w:space="0" w:color="auto"/>
        <w:left w:val="none" w:sz="0" w:space="0" w:color="auto"/>
        <w:bottom w:val="none" w:sz="0" w:space="0" w:color="auto"/>
        <w:right w:val="none" w:sz="0" w:space="0" w:color="auto"/>
      </w:divBdr>
      <w:divsChild>
        <w:div w:id="716398040">
          <w:marLeft w:val="0"/>
          <w:marRight w:val="0"/>
          <w:marTop w:val="0"/>
          <w:marBottom w:val="0"/>
          <w:divBdr>
            <w:top w:val="none" w:sz="0" w:space="0" w:color="auto"/>
            <w:left w:val="none" w:sz="0" w:space="0" w:color="auto"/>
            <w:bottom w:val="none" w:sz="0" w:space="0" w:color="auto"/>
            <w:right w:val="none" w:sz="0" w:space="0" w:color="auto"/>
          </w:divBdr>
        </w:div>
        <w:div w:id="1493451183">
          <w:marLeft w:val="0"/>
          <w:marRight w:val="0"/>
          <w:marTop w:val="0"/>
          <w:marBottom w:val="0"/>
          <w:divBdr>
            <w:top w:val="none" w:sz="0" w:space="0" w:color="auto"/>
            <w:left w:val="none" w:sz="0" w:space="0" w:color="auto"/>
            <w:bottom w:val="none" w:sz="0" w:space="0" w:color="auto"/>
            <w:right w:val="none" w:sz="0" w:space="0" w:color="auto"/>
          </w:divBdr>
        </w:div>
        <w:div w:id="1795783279">
          <w:marLeft w:val="0"/>
          <w:marRight w:val="0"/>
          <w:marTop w:val="0"/>
          <w:marBottom w:val="0"/>
          <w:divBdr>
            <w:top w:val="none" w:sz="0" w:space="0" w:color="auto"/>
            <w:left w:val="none" w:sz="0" w:space="0" w:color="auto"/>
            <w:bottom w:val="none" w:sz="0" w:space="0" w:color="auto"/>
            <w:right w:val="none" w:sz="0" w:space="0" w:color="auto"/>
          </w:divBdr>
        </w:div>
      </w:divsChild>
    </w:div>
    <w:div w:id="342247963">
      <w:bodyDiv w:val="1"/>
      <w:marLeft w:val="0"/>
      <w:marRight w:val="0"/>
      <w:marTop w:val="0"/>
      <w:marBottom w:val="0"/>
      <w:divBdr>
        <w:top w:val="none" w:sz="0" w:space="0" w:color="auto"/>
        <w:left w:val="none" w:sz="0" w:space="0" w:color="auto"/>
        <w:bottom w:val="none" w:sz="0" w:space="0" w:color="auto"/>
        <w:right w:val="none" w:sz="0" w:space="0" w:color="auto"/>
      </w:divBdr>
    </w:div>
    <w:div w:id="381750793">
      <w:bodyDiv w:val="1"/>
      <w:marLeft w:val="0"/>
      <w:marRight w:val="0"/>
      <w:marTop w:val="0"/>
      <w:marBottom w:val="0"/>
      <w:divBdr>
        <w:top w:val="none" w:sz="0" w:space="0" w:color="auto"/>
        <w:left w:val="none" w:sz="0" w:space="0" w:color="auto"/>
        <w:bottom w:val="none" w:sz="0" w:space="0" w:color="auto"/>
        <w:right w:val="none" w:sz="0" w:space="0" w:color="auto"/>
      </w:divBdr>
      <w:divsChild>
        <w:div w:id="1933053224">
          <w:marLeft w:val="0"/>
          <w:marRight w:val="0"/>
          <w:marTop w:val="0"/>
          <w:marBottom w:val="0"/>
          <w:divBdr>
            <w:top w:val="none" w:sz="0" w:space="0" w:color="auto"/>
            <w:left w:val="none" w:sz="0" w:space="0" w:color="auto"/>
            <w:bottom w:val="none" w:sz="0" w:space="0" w:color="auto"/>
            <w:right w:val="none" w:sz="0" w:space="0" w:color="auto"/>
          </w:divBdr>
        </w:div>
      </w:divsChild>
    </w:div>
    <w:div w:id="395473025">
      <w:bodyDiv w:val="1"/>
      <w:marLeft w:val="0"/>
      <w:marRight w:val="0"/>
      <w:marTop w:val="0"/>
      <w:marBottom w:val="0"/>
      <w:divBdr>
        <w:top w:val="none" w:sz="0" w:space="0" w:color="auto"/>
        <w:left w:val="none" w:sz="0" w:space="0" w:color="auto"/>
        <w:bottom w:val="none" w:sz="0" w:space="0" w:color="auto"/>
        <w:right w:val="none" w:sz="0" w:space="0" w:color="auto"/>
      </w:divBdr>
    </w:div>
    <w:div w:id="416946954">
      <w:bodyDiv w:val="1"/>
      <w:marLeft w:val="0"/>
      <w:marRight w:val="0"/>
      <w:marTop w:val="0"/>
      <w:marBottom w:val="0"/>
      <w:divBdr>
        <w:top w:val="none" w:sz="0" w:space="0" w:color="auto"/>
        <w:left w:val="none" w:sz="0" w:space="0" w:color="auto"/>
        <w:bottom w:val="none" w:sz="0" w:space="0" w:color="auto"/>
        <w:right w:val="none" w:sz="0" w:space="0" w:color="auto"/>
      </w:divBdr>
    </w:div>
    <w:div w:id="422918399">
      <w:bodyDiv w:val="1"/>
      <w:marLeft w:val="0"/>
      <w:marRight w:val="0"/>
      <w:marTop w:val="0"/>
      <w:marBottom w:val="0"/>
      <w:divBdr>
        <w:top w:val="none" w:sz="0" w:space="0" w:color="auto"/>
        <w:left w:val="none" w:sz="0" w:space="0" w:color="auto"/>
        <w:bottom w:val="none" w:sz="0" w:space="0" w:color="auto"/>
        <w:right w:val="none" w:sz="0" w:space="0" w:color="auto"/>
      </w:divBdr>
    </w:div>
    <w:div w:id="437604885">
      <w:bodyDiv w:val="1"/>
      <w:marLeft w:val="0"/>
      <w:marRight w:val="0"/>
      <w:marTop w:val="0"/>
      <w:marBottom w:val="0"/>
      <w:divBdr>
        <w:top w:val="none" w:sz="0" w:space="0" w:color="auto"/>
        <w:left w:val="none" w:sz="0" w:space="0" w:color="auto"/>
        <w:bottom w:val="none" w:sz="0" w:space="0" w:color="auto"/>
        <w:right w:val="none" w:sz="0" w:space="0" w:color="auto"/>
      </w:divBdr>
    </w:div>
    <w:div w:id="438182181">
      <w:bodyDiv w:val="1"/>
      <w:marLeft w:val="0"/>
      <w:marRight w:val="0"/>
      <w:marTop w:val="0"/>
      <w:marBottom w:val="0"/>
      <w:divBdr>
        <w:top w:val="none" w:sz="0" w:space="0" w:color="auto"/>
        <w:left w:val="none" w:sz="0" w:space="0" w:color="auto"/>
        <w:bottom w:val="none" w:sz="0" w:space="0" w:color="auto"/>
        <w:right w:val="none" w:sz="0" w:space="0" w:color="auto"/>
      </w:divBdr>
    </w:div>
    <w:div w:id="446580215">
      <w:bodyDiv w:val="1"/>
      <w:marLeft w:val="0"/>
      <w:marRight w:val="0"/>
      <w:marTop w:val="0"/>
      <w:marBottom w:val="0"/>
      <w:divBdr>
        <w:top w:val="none" w:sz="0" w:space="0" w:color="auto"/>
        <w:left w:val="none" w:sz="0" w:space="0" w:color="auto"/>
        <w:bottom w:val="none" w:sz="0" w:space="0" w:color="auto"/>
        <w:right w:val="none" w:sz="0" w:space="0" w:color="auto"/>
      </w:divBdr>
    </w:div>
    <w:div w:id="455103954">
      <w:bodyDiv w:val="1"/>
      <w:marLeft w:val="0"/>
      <w:marRight w:val="0"/>
      <w:marTop w:val="0"/>
      <w:marBottom w:val="0"/>
      <w:divBdr>
        <w:top w:val="none" w:sz="0" w:space="0" w:color="auto"/>
        <w:left w:val="none" w:sz="0" w:space="0" w:color="auto"/>
        <w:bottom w:val="none" w:sz="0" w:space="0" w:color="auto"/>
        <w:right w:val="none" w:sz="0" w:space="0" w:color="auto"/>
      </w:divBdr>
    </w:div>
    <w:div w:id="461266380">
      <w:bodyDiv w:val="1"/>
      <w:marLeft w:val="0"/>
      <w:marRight w:val="0"/>
      <w:marTop w:val="0"/>
      <w:marBottom w:val="0"/>
      <w:divBdr>
        <w:top w:val="none" w:sz="0" w:space="0" w:color="auto"/>
        <w:left w:val="none" w:sz="0" w:space="0" w:color="auto"/>
        <w:bottom w:val="none" w:sz="0" w:space="0" w:color="auto"/>
        <w:right w:val="none" w:sz="0" w:space="0" w:color="auto"/>
      </w:divBdr>
    </w:div>
    <w:div w:id="473255073">
      <w:bodyDiv w:val="1"/>
      <w:marLeft w:val="0"/>
      <w:marRight w:val="0"/>
      <w:marTop w:val="0"/>
      <w:marBottom w:val="0"/>
      <w:divBdr>
        <w:top w:val="none" w:sz="0" w:space="0" w:color="auto"/>
        <w:left w:val="none" w:sz="0" w:space="0" w:color="auto"/>
        <w:bottom w:val="none" w:sz="0" w:space="0" w:color="auto"/>
        <w:right w:val="none" w:sz="0" w:space="0" w:color="auto"/>
      </w:divBdr>
    </w:div>
    <w:div w:id="477890985">
      <w:bodyDiv w:val="1"/>
      <w:marLeft w:val="0"/>
      <w:marRight w:val="0"/>
      <w:marTop w:val="0"/>
      <w:marBottom w:val="0"/>
      <w:divBdr>
        <w:top w:val="none" w:sz="0" w:space="0" w:color="auto"/>
        <w:left w:val="none" w:sz="0" w:space="0" w:color="auto"/>
        <w:bottom w:val="none" w:sz="0" w:space="0" w:color="auto"/>
        <w:right w:val="none" w:sz="0" w:space="0" w:color="auto"/>
      </w:divBdr>
    </w:div>
    <w:div w:id="479421523">
      <w:bodyDiv w:val="1"/>
      <w:marLeft w:val="0"/>
      <w:marRight w:val="0"/>
      <w:marTop w:val="0"/>
      <w:marBottom w:val="0"/>
      <w:divBdr>
        <w:top w:val="none" w:sz="0" w:space="0" w:color="auto"/>
        <w:left w:val="none" w:sz="0" w:space="0" w:color="auto"/>
        <w:bottom w:val="none" w:sz="0" w:space="0" w:color="auto"/>
        <w:right w:val="none" w:sz="0" w:space="0" w:color="auto"/>
      </w:divBdr>
    </w:div>
    <w:div w:id="480924965">
      <w:bodyDiv w:val="1"/>
      <w:marLeft w:val="0"/>
      <w:marRight w:val="0"/>
      <w:marTop w:val="0"/>
      <w:marBottom w:val="0"/>
      <w:divBdr>
        <w:top w:val="none" w:sz="0" w:space="0" w:color="auto"/>
        <w:left w:val="none" w:sz="0" w:space="0" w:color="auto"/>
        <w:bottom w:val="none" w:sz="0" w:space="0" w:color="auto"/>
        <w:right w:val="none" w:sz="0" w:space="0" w:color="auto"/>
      </w:divBdr>
    </w:div>
    <w:div w:id="485244623">
      <w:bodyDiv w:val="1"/>
      <w:marLeft w:val="0"/>
      <w:marRight w:val="0"/>
      <w:marTop w:val="0"/>
      <w:marBottom w:val="0"/>
      <w:divBdr>
        <w:top w:val="none" w:sz="0" w:space="0" w:color="auto"/>
        <w:left w:val="none" w:sz="0" w:space="0" w:color="auto"/>
        <w:bottom w:val="none" w:sz="0" w:space="0" w:color="auto"/>
        <w:right w:val="none" w:sz="0" w:space="0" w:color="auto"/>
      </w:divBdr>
    </w:div>
    <w:div w:id="499856647">
      <w:bodyDiv w:val="1"/>
      <w:marLeft w:val="0"/>
      <w:marRight w:val="0"/>
      <w:marTop w:val="0"/>
      <w:marBottom w:val="0"/>
      <w:divBdr>
        <w:top w:val="none" w:sz="0" w:space="0" w:color="auto"/>
        <w:left w:val="none" w:sz="0" w:space="0" w:color="auto"/>
        <w:bottom w:val="none" w:sz="0" w:space="0" w:color="auto"/>
        <w:right w:val="none" w:sz="0" w:space="0" w:color="auto"/>
      </w:divBdr>
    </w:div>
    <w:div w:id="511535823">
      <w:bodyDiv w:val="1"/>
      <w:marLeft w:val="0"/>
      <w:marRight w:val="0"/>
      <w:marTop w:val="0"/>
      <w:marBottom w:val="0"/>
      <w:divBdr>
        <w:top w:val="none" w:sz="0" w:space="0" w:color="auto"/>
        <w:left w:val="none" w:sz="0" w:space="0" w:color="auto"/>
        <w:bottom w:val="none" w:sz="0" w:space="0" w:color="auto"/>
        <w:right w:val="none" w:sz="0" w:space="0" w:color="auto"/>
      </w:divBdr>
    </w:div>
    <w:div w:id="516887129">
      <w:bodyDiv w:val="1"/>
      <w:marLeft w:val="0"/>
      <w:marRight w:val="0"/>
      <w:marTop w:val="0"/>
      <w:marBottom w:val="0"/>
      <w:divBdr>
        <w:top w:val="none" w:sz="0" w:space="0" w:color="auto"/>
        <w:left w:val="none" w:sz="0" w:space="0" w:color="auto"/>
        <w:bottom w:val="none" w:sz="0" w:space="0" w:color="auto"/>
        <w:right w:val="none" w:sz="0" w:space="0" w:color="auto"/>
      </w:divBdr>
    </w:div>
    <w:div w:id="519051425">
      <w:bodyDiv w:val="1"/>
      <w:marLeft w:val="0"/>
      <w:marRight w:val="0"/>
      <w:marTop w:val="0"/>
      <w:marBottom w:val="0"/>
      <w:divBdr>
        <w:top w:val="none" w:sz="0" w:space="0" w:color="auto"/>
        <w:left w:val="none" w:sz="0" w:space="0" w:color="auto"/>
        <w:bottom w:val="none" w:sz="0" w:space="0" w:color="auto"/>
        <w:right w:val="none" w:sz="0" w:space="0" w:color="auto"/>
      </w:divBdr>
    </w:div>
    <w:div w:id="525562191">
      <w:bodyDiv w:val="1"/>
      <w:marLeft w:val="0"/>
      <w:marRight w:val="0"/>
      <w:marTop w:val="0"/>
      <w:marBottom w:val="0"/>
      <w:divBdr>
        <w:top w:val="none" w:sz="0" w:space="0" w:color="auto"/>
        <w:left w:val="none" w:sz="0" w:space="0" w:color="auto"/>
        <w:bottom w:val="none" w:sz="0" w:space="0" w:color="auto"/>
        <w:right w:val="none" w:sz="0" w:space="0" w:color="auto"/>
      </w:divBdr>
    </w:div>
    <w:div w:id="533270957">
      <w:bodyDiv w:val="1"/>
      <w:marLeft w:val="0"/>
      <w:marRight w:val="0"/>
      <w:marTop w:val="0"/>
      <w:marBottom w:val="0"/>
      <w:divBdr>
        <w:top w:val="none" w:sz="0" w:space="0" w:color="auto"/>
        <w:left w:val="none" w:sz="0" w:space="0" w:color="auto"/>
        <w:bottom w:val="none" w:sz="0" w:space="0" w:color="auto"/>
        <w:right w:val="none" w:sz="0" w:space="0" w:color="auto"/>
      </w:divBdr>
    </w:div>
    <w:div w:id="536699394">
      <w:bodyDiv w:val="1"/>
      <w:marLeft w:val="0"/>
      <w:marRight w:val="0"/>
      <w:marTop w:val="0"/>
      <w:marBottom w:val="0"/>
      <w:divBdr>
        <w:top w:val="none" w:sz="0" w:space="0" w:color="auto"/>
        <w:left w:val="none" w:sz="0" w:space="0" w:color="auto"/>
        <w:bottom w:val="none" w:sz="0" w:space="0" w:color="auto"/>
        <w:right w:val="none" w:sz="0" w:space="0" w:color="auto"/>
      </w:divBdr>
    </w:div>
    <w:div w:id="545727625">
      <w:bodyDiv w:val="1"/>
      <w:marLeft w:val="0"/>
      <w:marRight w:val="0"/>
      <w:marTop w:val="0"/>
      <w:marBottom w:val="0"/>
      <w:divBdr>
        <w:top w:val="none" w:sz="0" w:space="0" w:color="auto"/>
        <w:left w:val="none" w:sz="0" w:space="0" w:color="auto"/>
        <w:bottom w:val="none" w:sz="0" w:space="0" w:color="auto"/>
        <w:right w:val="none" w:sz="0" w:space="0" w:color="auto"/>
      </w:divBdr>
    </w:div>
    <w:div w:id="563760115">
      <w:bodyDiv w:val="1"/>
      <w:marLeft w:val="0"/>
      <w:marRight w:val="0"/>
      <w:marTop w:val="0"/>
      <w:marBottom w:val="0"/>
      <w:divBdr>
        <w:top w:val="none" w:sz="0" w:space="0" w:color="auto"/>
        <w:left w:val="none" w:sz="0" w:space="0" w:color="auto"/>
        <w:bottom w:val="none" w:sz="0" w:space="0" w:color="auto"/>
        <w:right w:val="none" w:sz="0" w:space="0" w:color="auto"/>
      </w:divBdr>
    </w:div>
    <w:div w:id="578755863">
      <w:bodyDiv w:val="1"/>
      <w:marLeft w:val="0"/>
      <w:marRight w:val="0"/>
      <w:marTop w:val="0"/>
      <w:marBottom w:val="0"/>
      <w:divBdr>
        <w:top w:val="none" w:sz="0" w:space="0" w:color="auto"/>
        <w:left w:val="none" w:sz="0" w:space="0" w:color="auto"/>
        <w:bottom w:val="none" w:sz="0" w:space="0" w:color="auto"/>
        <w:right w:val="none" w:sz="0" w:space="0" w:color="auto"/>
      </w:divBdr>
    </w:div>
    <w:div w:id="581184819">
      <w:bodyDiv w:val="1"/>
      <w:marLeft w:val="0"/>
      <w:marRight w:val="0"/>
      <w:marTop w:val="0"/>
      <w:marBottom w:val="0"/>
      <w:divBdr>
        <w:top w:val="none" w:sz="0" w:space="0" w:color="auto"/>
        <w:left w:val="none" w:sz="0" w:space="0" w:color="auto"/>
        <w:bottom w:val="none" w:sz="0" w:space="0" w:color="auto"/>
        <w:right w:val="none" w:sz="0" w:space="0" w:color="auto"/>
      </w:divBdr>
    </w:div>
    <w:div w:id="602999783">
      <w:bodyDiv w:val="1"/>
      <w:marLeft w:val="0"/>
      <w:marRight w:val="0"/>
      <w:marTop w:val="0"/>
      <w:marBottom w:val="0"/>
      <w:divBdr>
        <w:top w:val="none" w:sz="0" w:space="0" w:color="auto"/>
        <w:left w:val="none" w:sz="0" w:space="0" w:color="auto"/>
        <w:bottom w:val="none" w:sz="0" w:space="0" w:color="auto"/>
        <w:right w:val="none" w:sz="0" w:space="0" w:color="auto"/>
      </w:divBdr>
      <w:divsChild>
        <w:div w:id="735052864">
          <w:marLeft w:val="0"/>
          <w:marRight w:val="0"/>
          <w:marTop w:val="0"/>
          <w:marBottom w:val="0"/>
          <w:divBdr>
            <w:top w:val="none" w:sz="0" w:space="0" w:color="auto"/>
            <w:left w:val="none" w:sz="0" w:space="0" w:color="auto"/>
            <w:bottom w:val="none" w:sz="0" w:space="0" w:color="auto"/>
            <w:right w:val="none" w:sz="0" w:space="0" w:color="auto"/>
          </w:divBdr>
        </w:div>
        <w:div w:id="832338612">
          <w:marLeft w:val="0"/>
          <w:marRight w:val="0"/>
          <w:marTop w:val="0"/>
          <w:marBottom w:val="0"/>
          <w:divBdr>
            <w:top w:val="none" w:sz="0" w:space="0" w:color="auto"/>
            <w:left w:val="none" w:sz="0" w:space="0" w:color="auto"/>
            <w:bottom w:val="none" w:sz="0" w:space="0" w:color="auto"/>
            <w:right w:val="none" w:sz="0" w:space="0" w:color="auto"/>
          </w:divBdr>
        </w:div>
        <w:div w:id="1764257471">
          <w:marLeft w:val="0"/>
          <w:marRight w:val="0"/>
          <w:marTop w:val="0"/>
          <w:marBottom w:val="0"/>
          <w:divBdr>
            <w:top w:val="none" w:sz="0" w:space="0" w:color="auto"/>
            <w:left w:val="none" w:sz="0" w:space="0" w:color="auto"/>
            <w:bottom w:val="none" w:sz="0" w:space="0" w:color="auto"/>
            <w:right w:val="none" w:sz="0" w:space="0" w:color="auto"/>
          </w:divBdr>
        </w:div>
      </w:divsChild>
    </w:div>
    <w:div w:id="611593882">
      <w:bodyDiv w:val="1"/>
      <w:marLeft w:val="0"/>
      <w:marRight w:val="0"/>
      <w:marTop w:val="0"/>
      <w:marBottom w:val="0"/>
      <w:divBdr>
        <w:top w:val="none" w:sz="0" w:space="0" w:color="auto"/>
        <w:left w:val="none" w:sz="0" w:space="0" w:color="auto"/>
        <w:bottom w:val="none" w:sz="0" w:space="0" w:color="auto"/>
        <w:right w:val="none" w:sz="0" w:space="0" w:color="auto"/>
      </w:divBdr>
    </w:div>
    <w:div w:id="652678283">
      <w:bodyDiv w:val="1"/>
      <w:marLeft w:val="0"/>
      <w:marRight w:val="0"/>
      <w:marTop w:val="0"/>
      <w:marBottom w:val="0"/>
      <w:divBdr>
        <w:top w:val="none" w:sz="0" w:space="0" w:color="auto"/>
        <w:left w:val="none" w:sz="0" w:space="0" w:color="auto"/>
        <w:bottom w:val="none" w:sz="0" w:space="0" w:color="auto"/>
        <w:right w:val="none" w:sz="0" w:space="0" w:color="auto"/>
      </w:divBdr>
    </w:div>
    <w:div w:id="669673949">
      <w:bodyDiv w:val="1"/>
      <w:marLeft w:val="0"/>
      <w:marRight w:val="0"/>
      <w:marTop w:val="0"/>
      <w:marBottom w:val="0"/>
      <w:divBdr>
        <w:top w:val="none" w:sz="0" w:space="0" w:color="auto"/>
        <w:left w:val="none" w:sz="0" w:space="0" w:color="auto"/>
        <w:bottom w:val="none" w:sz="0" w:space="0" w:color="auto"/>
        <w:right w:val="none" w:sz="0" w:space="0" w:color="auto"/>
      </w:divBdr>
    </w:div>
    <w:div w:id="738020409">
      <w:marLeft w:val="0"/>
      <w:marRight w:val="0"/>
      <w:marTop w:val="0"/>
      <w:marBottom w:val="0"/>
      <w:divBdr>
        <w:top w:val="none" w:sz="0" w:space="0" w:color="auto"/>
        <w:left w:val="none" w:sz="0" w:space="0" w:color="auto"/>
        <w:bottom w:val="none" w:sz="0" w:space="0" w:color="auto"/>
        <w:right w:val="none" w:sz="0" w:space="0" w:color="auto"/>
      </w:divBdr>
    </w:div>
    <w:div w:id="738020410">
      <w:marLeft w:val="0"/>
      <w:marRight w:val="0"/>
      <w:marTop w:val="0"/>
      <w:marBottom w:val="0"/>
      <w:divBdr>
        <w:top w:val="none" w:sz="0" w:space="0" w:color="auto"/>
        <w:left w:val="none" w:sz="0" w:space="0" w:color="auto"/>
        <w:bottom w:val="none" w:sz="0" w:space="0" w:color="auto"/>
        <w:right w:val="none" w:sz="0" w:space="0" w:color="auto"/>
      </w:divBdr>
    </w:div>
    <w:div w:id="738020411">
      <w:marLeft w:val="0"/>
      <w:marRight w:val="0"/>
      <w:marTop w:val="0"/>
      <w:marBottom w:val="0"/>
      <w:divBdr>
        <w:top w:val="none" w:sz="0" w:space="0" w:color="auto"/>
        <w:left w:val="none" w:sz="0" w:space="0" w:color="auto"/>
        <w:bottom w:val="none" w:sz="0" w:space="0" w:color="auto"/>
        <w:right w:val="none" w:sz="0" w:space="0" w:color="auto"/>
      </w:divBdr>
      <w:divsChild>
        <w:div w:id="738020412">
          <w:marLeft w:val="720"/>
          <w:marRight w:val="720"/>
          <w:marTop w:val="100"/>
          <w:marBottom w:val="100"/>
          <w:divBdr>
            <w:top w:val="none" w:sz="0" w:space="0" w:color="auto"/>
            <w:left w:val="none" w:sz="0" w:space="0" w:color="auto"/>
            <w:bottom w:val="none" w:sz="0" w:space="0" w:color="auto"/>
            <w:right w:val="none" w:sz="0" w:space="0" w:color="auto"/>
          </w:divBdr>
        </w:div>
      </w:divsChild>
    </w:div>
    <w:div w:id="746225502">
      <w:bodyDiv w:val="1"/>
      <w:marLeft w:val="0"/>
      <w:marRight w:val="0"/>
      <w:marTop w:val="0"/>
      <w:marBottom w:val="0"/>
      <w:divBdr>
        <w:top w:val="none" w:sz="0" w:space="0" w:color="auto"/>
        <w:left w:val="none" w:sz="0" w:space="0" w:color="auto"/>
        <w:bottom w:val="none" w:sz="0" w:space="0" w:color="auto"/>
        <w:right w:val="none" w:sz="0" w:space="0" w:color="auto"/>
      </w:divBdr>
    </w:div>
    <w:div w:id="770321084">
      <w:bodyDiv w:val="1"/>
      <w:marLeft w:val="0"/>
      <w:marRight w:val="0"/>
      <w:marTop w:val="0"/>
      <w:marBottom w:val="0"/>
      <w:divBdr>
        <w:top w:val="none" w:sz="0" w:space="0" w:color="auto"/>
        <w:left w:val="none" w:sz="0" w:space="0" w:color="auto"/>
        <w:bottom w:val="none" w:sz="0" w:space="0" w:color="auto"/>
        <w:right w:val="none" w:sz="0" w:space="0" w:color="auto"/>
      </w:divBdr>
    </w:div>
    <w:div w:id="793986679">
      <w:bodyDiv w:val="1"/>
      <w:marLeft w:val="0"/>
      <w:marRight w:val="0"/>
      <w:marTop w:val="0"/>
      <w:marBottom w:val="0"/>
      <w:divBdr>
        <w:top w:val="none" w:sz="0" w:space="0" w:color="auto"/>
        <w:left w:val="none" w:sz="0" w:space="0" w:color="auto"/>
        <w:bottom w:val="none" w:sz="0" w:space="0" w:color="auto"/>
        <w:right w:val="none" w:sz="0" w:space="0" w:color="auto"/>
      </w:divBdr>
      <w:divsChild>
        <w:div w:id="632030026">
          <w:marLeft w:val="0"/>
          <w:marRight w:val="0"/>
          <w:marTop w:val="0"/>
          <w:marBottom w:val="0"/>
          <w:divBdr>
            <w:top w:val="none" w:sz="0" w:space="0" w:color="auto"/>
            <w:left w:val="none" w:sz="0" w:space="0" w:color="auto"/>
            <w:bottom w:val="none" w:sz="0" w:space="0" w:color="auto"/>
            <w:right w:val="none" w:sz="0" w:space="0" w:color="auto"/>
          </w:divBdr>
        </w:div>
        <w:div w:id="685712001">
          <w:marLeft w:val="0"/>
          <w:marRight w:val="0"/>
          <w:marTop w:val="0"/>
          <w:marBottom w:val="0"/>
          <w:divBdr>
            <w:top w:val="none" w:sz="0" w:space="0" w:color="auto"/>
            <w:left w:val="none" w:sz="0" w:space="0" w:color="auto"/>
            <w:bottom w:val="none" w:sz="0" w:space="0" w:color="auto"/>
            <w:right w:val="none" w:sz="0" w:space="0" w:color="auto"/>
          </w:divBdr>
        </w:div>
        <w:div w:id="862133441">
          <w:marLeft w:val="0"/>
          <w:marRight w:val="0"/>
          <w:marTop w:val="0"/>
          <w:marBottom w:val="0"/>
          <w:divBdr>
            <w:top w:val="none" w:sz="0" w:space="0" w:color="auto"/>
            <w:left w:val="none" w:sz="0" w:space="0" w:color="auto"/>
            <w:bottom w:val="none" w:sz="0" w:space="0" w:color="auto"/>
            <w:right w:val="none" w:sz="0" w:space="0" w:color="auto"/>
          </w:divBdr>
        </w:div>
      </w:divsChild>
    </w:div>
    <w:div w:id="797070333">
      <w:bodyDiv w:val="1"/>
      <w:marLeft w:val="0"/>
      <w:marRight w:val="0"/>
      <w:marTop w:val="0"/>
      <w:marBottom w:val="0"/>
      <w:divBdr>
        <w:top w:val="none" w:sz="0" w:space="0" w:color="auto"/>
        <w:left w:val="none" w:sz="0" w:space="0" w:color="auto"/>
        <w:bottom w:val="none" w:sz="0" w:space="0" w:color="auto"/>
        <w:right w:val="none" w:sz="0" w:space="0" w:color="auto"/>
      </w:divBdr>
    </w:div>
    <w:div w:id="835072197">
      <w:bodyDiv w:val="1"/>
      <w:marLeft w:val="0"/>
      <w:marRight w:val="0"/>
      <w:marTop w:val="0"/>
      <w:marBottom w:val="0"/>
      <w:divBdr>
        <w:top w:val="none" w:sz="0" w:space="0" w:color="auto"/>
        <w:left w:val="none" w:sz="0" w:space="0" w:color="auto"/>
        <w:bottom w:val="none" w:sz="0" w:space="0" w:color="auto"/>
        <w:right w:val="none" w:sz="0" w:space="0" w:color="auto"/>
      </w:divBdr>
    </w:div>
    <w:div w:id="866718724">
      <w:bodyDiv w:val="1"/>
      <w:marLeft w:val="0"/>
      <w:marRight w:val="0"/>
      <w:marTop w:val="0"/>
      <w:marBottom w:val="0"/>
      <w:divBdr>
        <w:top w:val="none" w:sz="0" w:space="0" w:color="auto"/>
        <w:left w:val="none" w:sz="0" w:space="0" w:color="auto"/>
        <w:bottom w:val="none" w:sz="0" w:space="0" w:color="auto"/>
        <w:right w:val="none" w:sz="0" w:space="0" w:color="auto"/>
      </w:divBdr>
    </w:div>
    <w:div w:id="868954214">
      <w:bodyDiv w:val="1"/>
      <w:marLeft w:val="0"/>
      <w:marRight w:val="0"/>
      <w:marTop w:val="0"/>
      <w:marBottom w:val="0"/>
      <w:divBdr>
        <w:top w:val="none" w:sz="0" w:space="0" w:color="auto"/>
        <w:left w:val="none" w:sz="0" w:space="0" w:color="auto"/>
        <w:bottom w:val="none" w:sz="0" w:space="0" w:color="auto"/>
        <w:right w:val="none" w:sz="0" w:space="0" w:color="auto"/>
      </w:divBdr>
    </w:div>
    <w:div w:id="898319898">
      <w:bodyDiv w:val="1"/>
      <w:marLeft w:val="0"/>
      <w:marRight w:val="0"/>
      <w:marTop w:val="0"/>
      <w:marBottom w:val="0"/>
      <w:divBdr>
        <w:top w:val="none" w:sz="0" w:space="0" w:color="auto"/>
        <w:left w:val="none" w:sz="0" w:space="0" w:color="auto"/>
        <w:bottom w:val="none" w:sz="0" w:space="0" w:color="auto"/>
        <w:right w:val="none" w:sz="0" w:space="0" w:color="auto"/>
      </w:divBdr>
    </w:div>
    <w:div w:id="934899495">
      <w:bodyDiv w:val="1"/>
      <w:marLeft w:val="0"/>
      <w:marRight w:val="0"/>
      <w:marTop w:val="0"/>
      <w:marBottom w:val="0"/>
      <w:divBdr>
        <w:top w:val="none" w:sz="0" w:space="0" w:color="auto"/>
        <w:left w:val="none" w:sz="0" w:space="0" w:color="auto"/>
        <w:bottom w:val="none" w:sz="0" w:space="0" w:color="auto"/>
        <w:right w:val="none" w:sz="0" w:space="0" w:color="auto"/>
      </w:divBdr>
    </w:div>
    <w:div w:id="938105221">
      <w:bodyDiv w:val="1"/>
      <w:marLeft w:val="0"/>
      <w:marRight w:val="0"/>
      <w:marTop w:val="0"/>
      <w:marBottom w:val="0"/>
      <w:divBdr>
        <w:top w:val="none" w:sz="0" w:space="0" w:color="auto"/>
        <w:left w:val="none" w:sz="0" w:space="0" w:color="auto"/>
        <w:bottom w:val="none" w:sz="0" w:space="0" w:color="auto"/>
        <w:right w:val="none" w:sz="0" w:space="0" w:color="auto"/>
      </w:divBdr>
      <w:divsChild>
        <w:div w:id="357966">
          <w:marLeft w:val="0"/>
          <w:marRight w:val="0"/>
          <w:marTop w:val="0"/>
          <w:marBottom w:val="0"/>
          <w:divBdr>
            <w:top w:val="none" w:sz="0" w:space="0" w:color="auto"/>
            <w:left w:val="none" w:sz="0" w:space="0" w:color="auto"/>
            <w:bottom w:val="none" w:sz="0" w:space="0" w:color="auto"/>
            <w:right w:val="none" w:sz="0" w:space="0" w:color="auto"/>
          </w:divBdr>
        </w:div>
        <w:div w:id="624771490">
          <w:marLeft w:val="0"/>
          <w:marRight w:val="0"/>
          <w:marTop w:val="0"/>
          <w:marBottom w:val="0"/>
          <w:divBdr>
            <w:top w:val="none" w:sz="0" w:space="0" w:color="auto"/>
            <w:left w:val="none" w:sz="0" w:space="0" w:color="auto"/>
            <w:bottom w:val="none" w:sz="0" w:space="0" w:color="auto"/>
            <w:right w:val="none" w:sz="0" w:space="0" w:color="auto"/>
          </w:divBdr>
        </w:div>
        <w:div w:id="811169862">
          <w:marLeft w:val="0"/>
          <w:marRight w:val="0"/>
          <w:marTop w:val="0"/>
          <w:marBottom w:val="0"/>
          <w:divBdr>
            <w:top w:val="none" w:sz="0" w:space="0" w:color="auto"/>
            <w:left w:val="none" w:sz="0" w:space="0" w:color="auto"/>
            <w:bottom w:val="none" w:sz="0" w:space="0" w:color="auto"/>
            <w:right w:val="none" w:sz="0" w:space="0" w:color="auto"/>
          </w:divBdr>
        </w:div>
        <w:div w:id="935551041">
          <w:marLeft w:val="0"/>
          <w:marRight w:val="0"/>
          <w:marTop w:val="0"/>
          <w:marBottom w:val="0"/>
          <w:divBdr>
            <w:top w:val="none" w:sz="0" w:space="0" w:color="auto"/>
            <w:left w:val="none" w:sz="0" w:space="0" w:color="auto"/>
            <w:bottom w:val="none" w:sz="0" w:space="0" w:color="auto"/>
            <w:right w:val="none" w:sz="0" w:space="0" w:color="auto"/>
          </w:divBdr>
        </w:div>
        <w:div w:id="1184246571">
          <w:marLeft w:val="0"/>
          <w:marRight w:val="0"/>
          <w:marTop w:val="0"/>
          <w:marBottom w:val="0"/>
          <w:divBdr>
            <w:top w:val="none" w:sz="0" w:space="0" w:color="auto"/>
            <w:left w:val="none" w:sz="0" w:space="0" w:color="auto"/>
            <w:bottom w:val="none" w:sz="0" w:space="0" w:color="auto"/>
            <w:right w:val="none" w:sz="0" w:space="0" w:color="auto"/>
          </w:divBdr>
        </w:div>
        <w:div w:id="1402368107">
          <w:marLeft w:val="0"/>
          <w:marRight w:val="0"/>
          <w:marTop w:val="0"/>
          <w:marBottom w:val="0"/>
          <w:divBdr>
            <w:top w:val="none" w:sz="0" w:space="0" w:color="auto"/>
            <w:left w:val="none" w:sz="0" w:space="0" w:color="auto"/>
            <w:bottom w:val="none" w:sz="0" w:space="0" w:color="auto"/>
            <w:right w:val="none" w:sz="0" w:space="0" w:color="auto"/>
          </w:divBdr>
        </w:div>
        <w:div w:id="1629436112">
          <w:marLeft w:val="0"/>
          <w:marRight w:val="0"/>
          <w:marTop w:val="0"/>
          <w:marBottom w:val="0"/>
          <w:divBdr>
            <w:top w:val="none" w:sz="0" w:space="0" w:color="auto"/>
            <w:left w:val="none" w:sz="0" w:space="0" w:color="auto"/>
            <w:bottom w:val="none" w:sz="0" w:space="0" w:color="auto"/>
            <w:right w:val="none" w:sz="0" w:space="0" w:color="auto"/>
          </w:divBdr>
        </w:div>
        <w:div w:id="1914047128">
          <w:marLeft w:val="0"/>
          <w:marRight w:val="0"/>
          <w:marTop w:val="0"/>
          <w:marBottom w:val="0"/>
          <w:divBdr>
            <w:top w:val="none" w:sz="0" w:space="0" w:color="auto"/>
            <w:left w:val="none" w:sz="0" w:space="0" w:color="auto"/>
            <w:bottom w:val="none" w:sz="0" w:space="0" w:color="auto"/>
            <w:right w:val="none" w:sz="0" w:space="0" w:color="auto"/>
          </w:divBdr>
        </w:div>
      </w:divsChild>
    </w:div>
    <w:div w:id="967660344">
      <w:bodyDiv w:val="1"/>
      <w:marLeft w:val="0"/>
      <w:marRight w:val="0"/>
      <w:marTop w:val="0"/>
      <w:marBottom w:val="0"/>
      <w:divBdr>
        <w:top w:val="none" w:sz="0" w:space="0" w:color="auto"/>
        <w:left w:val="none" w:sz="0" w:space="0" w:color="auto"/>
        <w:bottom w:val="none" w:sz="0" w:space="0" w:color="auto"/>
        <w:right w:val="none" w:sz="0" w:space="0" w:color="auto"/>
      </w:divBdr>
    </w:div>
    <w:div w:id="977416419">
      <w:bodyDiv w:val="1"/>
      <w:marLeft w:val="0"/>
      <w:marRight w:val="0"/>
      <w:marTop w:val="0"/>
      <w:marBottom w:val="0"/>
      <w:divBdr>
        <w:top w:val="none" w:sz="0" w:space="0" w:color="auto"/>
        <w:left w:val="none" w:sz="0" w:space="0" w:color="auto"/>
        <w:bottom w:val="none" w:sz="0" w:space="0" w:color="auto"/>
        <w:right w:val="none" w:sz="0" w:space="0" w:color="auto"/>
      </w:divBdr>
    </w:div>
    <w:div w:id="982926781">
      <w:bodyDiv w:val="1"/>
      <w:marLeft w:val="0"/>
      <w:marRight w:val="0"/>
      <w:marTop w:val="0"/>
      <w:marBottom w:val="0"/>
      <w:divBdr>
        <w:top w:val="none" w:sz="0" w:space="0" w:color="auto"/>
        <w:left w:val="none" w:sz="0" w:space="0" w:color="auto"/>
        <w:bottom w:val="none" w:sz="0" w:space="0" w:color="auto"/>
        <w:right w:val="none" w:sz="0" w:space="0" w:color="auto"/>
      </w:divBdr>
    </w:div>
    <w:div w:id="984116181">
      <w:bodyDiv w:val="1"/>
      <w:marLeft w:val="0"/>
      <w:marRight w:val="0"/>
      <w:marTop w:val="0"/>
      <w:marBottom w:val="0"/>
      <w:divBdr>
        <w:top w:val="none" w:sz="0" w:space="0" w:color="auto"/>
        <w:left w:val="none" w:sz="0" w:space="0" w:color="auto"/>
        <w:bottom w:val="none" w:sz="0" w:space="0" w:color="auto"/>
        <w:right w:val="none" w:sz="0" w:space="0" w:color="auto"/>
      </w:divBdr>
    </w:div>
    <w:div w:id="996110528">
      <w:bodyDiv w:val="1"/>
      <w:marLeft w:val="0"/>
      <w:marRight w:val="0"/>
      <w:marTop w:val="0"/>
      <w:marBottom w:val="0"/>
      <w:divBdr>
        <w:top w:val="none" w:sz="0" w:space="0" w:color="auto"/>
        <w:left w:val="none" w:sz="0" w:space="0" w:color="auto"/>
        <w:bottom w:val="none" w:sz="0" w:space="0" w:color="auto"/>
        <w:right w:val="none" w:sz="0" w:space="0" w:color="auto"/>
      </w:divBdr>
    </w:div>
    <w:div w:id="1009061220">
      <w:bodyDiv w:val="1"/>
      <w:marLeft w:val="0"/>
      <w:marRight w:val="0"/>
      <w:marTop w:val="0"/>
      <w:marBottom w:val="0"/>
      <w:divBdr>
        <w:top w:val="none" w:sz="0" w:space="0" w:color="auto"/>
        <w:left w:val="none" w:sz="0" w:space="0" w:color="auto"/>
        <w:bottom w:val="none" w:sz="0" w:space="0" w:color="auto"/>
        <w:right w:val="none" w:sz="0" w:space="0" w:color="auto"/>
      </w:divBdr>
    </w:div>
    <w:div w:id="1022827742">
      <w:bodyDiv w:val="1"/>
      <w:marLeft w:val="0"/>
      <w:marRight w:val="0"/>
      <w:marTop w:val="0"/>
      <w:marBottom w:val="0"/>
      <w:divBdr>
        <w:top w:val="none" w:sz="0" w:space="0" w:color="auto"/>
        <w:left w:val="none" w:sz="0" w:space="0" w:color="auto"/>
        <w:bottom w:val="none" w:sz="0" w:space="0" w:color="auto"/>
        <w:right w:val="none" w:sz="0" w:space="0" w:color="auto"/>
      </w:divBdr>
    </w:div>
    <w:div w:id="1037240247">
      <w:bodyDiv w:val="1"/>
      <w:marLeft w:val="0"/>
      <w:marRight w:val="0"/>
      <w:marTop w:val="0"/>
      <w:marBottom w:val="0"/>
      <w:divBdr>
        <w:top w:val="none" w:sz="0" w:space="0" w:color="auto"/>
        <w:left w:val="none" w:sz="0" w:space="0" w:color="auto"/>
        <w:bottom w:val="none" w:sz="0" w:space="0" w:color="auto"/>
        <w:right w:val="none" w:sz="0" w:space="0" w:color="auto"/>
      </w:divBdr>
    </w:div>
    <w:div w:id="1043747687">
      <w:bodyDiv w:val="1"/>
      <w:marLeft w:val="0"/>
      <w:marRight w:val="0"/>
      <w:marTop w:val="0"/>
      <w:marBottom w:val="0"/>
      <w:divBdr>
        <w:top w:val="none" w:sz="0" w:space="0" w:color="auto"/>
        <w:left w:val="none" w:sz="0" w:space="0" w:color="auto"/>
        <w:bottom w:val="none" w:sz="0" w:space="0" w:color="auto"/>
        <w:right w:val="none" w:sz="0" w:space="0" w:color="auto"/>
      </w:divBdr>
    </w:div>
    <w:div w:id="1059203634">
      <w:bodyDiv w:val="1"/>
      <w:marLeft w:val="0"/>
      <w:marRight w:val="0"/>
      <w:marTop w:val="0"/>
      <w:marBottom w:val="0"/>
      <w:divBdr>
        <w:top w:val="none" w:sz="0" w:space="0" w:color="auto"/>
        <w:left w:val="none" w:sz="0" w:space="0" w:color="auto"/>
        <w:bottom w:val="none" w:sz="0" w:space="0" w:color="auto"/>
        <w:right w:val="none" w:sz="0" w:space="0" w:color="auto"/>
      </w:divBdr>
    </w:div>
    <w:div w:id="1087458125">
      <w:bodyDiv w:val="1"/>
      <w:marLeft w:val="0"/>
      <w:marRight w:val="0"/>
      <w:marTop w:val="0"/>
      <w:marBottom w:val="0"/>
      <w:divBdr>
        <w:top w:val="none" w:sz="0" w:space="0" w:color="auto"/>
        <w:left w:val="none" w:sz="0" w:space="0" w:color="auto"/>
        <w:bottom w:val="none" w:sz="0" w:space="0" w:color="auto"/>
        <w:right w:val="none" w:sz="0" w:space="0" w:color="auto"/>
      </w:divBdr>
    </w:div>
    <w:div w:id="1090665155">
      <w:bodyDiv w:val="1"/>
      <w:marLeft w:val="0"/>
      <w:marRight w:val="0"/>
      <w:marTop w:val="0"/>
      <w:marBottom w:val="0"/>
      <w:divBdr>
        <w:top w:val="none" w:sz="0" w:space="0" w:color="auto"/>
        <w:left w:val="none" w:sz="0" w:space="0" w:color="auto"/>
        <w:bottom w:val="none" w:sz="0" w:space="0" w:color="auto"/>
        <w:right w:val="none" w:sz="0" w:space="0" w:color="auto"/>
      </w:divBdr>
    </w:div>
    <w:div w:id="1117480818">
      <w:bodyDiv w:val="1"/>
      <w:marLeft w:val="0"/>
      <w:marRight w:val="0"/>
      <w:marTop w:val="0"/>
      <w:marBottom w:val="0"/>
      <w:divBdr>
        <w:top w:val="none" w:sz="0" w:space="0" w:color="auto"/>
        <w:left w:val="none" w:sz="0" w:space="0" w:color="auto"/>
        <w:bottom w:val="none" w:sz="0" w:space="0" w:color="auto"/>
        <w:right w:val="none" w:sz="0" w:space="0" w:color="auto"/>
      </w:divBdr>
    </w:div>
    <w:div w:id="1121454049">
      <w:bodyDiv w:val="1"/>
      <w:marLeft w:val="0"/>
      <w:marRight w:val="0"/>
      <w:marTop w:val="0"/>
      <w:marBottom w:val="0"/>
      <w:divBdr>
        <w:top w:val="none" w:sz="0" w:space="0" w:color="auto"/>
        <w:left w:val="none" w:sz="0" w:space="0" w:color="auto"/>
        <w:bottom w:val="none" w:sz="0" w:space="0" w:color="auto"/>
        <w:right w:val="none" w:sz="0" w:space="0" w:color="auto"/>
      </w:divBdr>
    </w:div>
    <w:div w:id="1154758749">
      <w:bodyDiv w:val="1"/>
      <w:marLeft w:val="0"/>
      <w:marRight w:val="0"/>
      <w:marTop w:val="0"/>
      <w:marBottom w:val="0"/>
      <w:divBdr>
        <w:top w:val="none" w:sz="0" w:space="0" w:color="auto"/>
        <w:left w:val="none" w:sz="0" w:space="0" w:color="auto"/>
        <w:bottom w:val="none" w:sz="0" w:space="0" w:color="auto"/>
        <w:right w:val="none" w:sz="0" w:space="0" w:color="auto"/>
      </w:divBdr>
    </w:div>
    <w:div w:id="1180192435">
      <w:bodyDiv w:val="1"/>
      <w:marLeft w:val="0"/>
      <w:marRight w:val="0"/>
      <w:marTop w:val="0"/>
      <w:marBottom w:val="0"/>
      <w:divBdr>
        <w:top w:val="none" w:sz="0" w:space="0" w:color="auto"/>
        <w:left w:val="none" w:sz="0" w:space="0" w:color="auto"/>
        <w:bottom w:val="none" w:sz="0" w:space="0" w:color="auto"/>
        <w:right w:val="none" w:sz="0" w:space="0" w:color="auto"/>
      </w:divBdr>
    </w:div>
    <w:div w:id="1193036573">
      <w:bodyDiv w:val="1"/>
      <w:marLeft w:val="0"/>
      <w:marRight w:val="0"/>
      <w:marTop w:val="0"/>
      <w:marBottom w:val="0"/>
      <w:divBdr>
        <w:top w:val="none" w:sz="0" w:space="0" w:color="auto"/>
        <w:left w:val="none" w:sz="0" w:space="0" w:color="auto"/>
        <w:bottom w:val="none" w:sz="0" w:space="0" w:color="auto"/>
        <w:right w:val="none" w:sz="0" w:space="0" w:color="auto"/>
      </w:divBdr>
    </w:div>
    <w:div w:id="1220898729">
      <w:bodyDiv w:val="1"/>
      <w:marLeft w:val="0"/>
      <w:marRight w:val="0"/>
      <w:marTop w:val="0"/>
      <w:marBottom w:val="0"/>
      <w:divBdr>
        <w:top w:val="none" w:sz="0" w:space="0" w:color="auto"/>
        <w:left w:val="none" w:sz="0" w:space="0" w:color="auto"/>
        <w:bottom w:val="none" w:sz="0" w:space="0" w:color="auto"/>
        <w:right w:val="none" w:sz="0" w:space="0" w:color="auto"/>
      </w:divBdr>
      <w:divsChild>
        <w:div w:id="474876587">
          <w:marLeft w:val="0"/>
          <w:marRight w:val="0"/>
          <w:marTop w:val="0"/>
          <w:marBottom w:val="0"/>
          <w:divBdr>
            <w:top w:val="none" w:sz="0" w:space="0" w:color="auto"/>
            <w:left w:val="none" w:sz="0" w:space="0" w:color="auto"/>
            <w:bottom w:val="none" w:sz="0" w:space="0" w:color="auto"/>
            <w:right w:val="none" w:sz="0" w:space="0" w:color="auto"/>
          </w:divBdr>
          <w:divsChild>
            <w:div w:id="758137247">
              <w:marLeft w:val="0"/>
              <w:marRight w:val="0"/>
              <w:marTop w:val="0"/>
              <w:marBottom w:val="0"/>
              <w:divBdr>
                <w:top w:val="none" w:sz="0" w:space="0" w:color="auto"/>
                <w:left w:val="none" w:sz="0" w:space="0" w:color="auto"/>
                <w:bottom w:val="none" w:sz="0" w:space="0" w:color="auto"/>
                <w:right w:val="none" w:sz="0" w:space="0" w:color="auto"/>
              </w:divBdr>
              <w:divsChild>
                <w:div w:id="89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16765">
      <w:bodyDiv w:val="1"/>
      <w:marLeft w:val="0"/>
      <w:marRight w:val="0"/>
      <w:marTop w:val="0"/>
      <w:marBottom w:val="0"/>
      <w:divBdr>
        <w:top w:val="none" w:sz="0" w:space="0" w:color="auto"/>
        <w:left w:val="none" w:sz="0" w:space="0" w:color="auto"/>
        <w:bottom w:val="none" w:sz="0" w:space="0" w:color="auto"/>
        <w:right w:val="none" w:sz="0" w:space="0" w:color="auto"/>
      </w:divBdr>
    </w:div>
    <w:div w:id="1329409337">
      <w:bodyDiv w:val="1"/>
      <w:marLeft w:val="0"/>
      <w:marRight w:val="0"/>
      <w:marTop w:val="0"/>
      <w:marBottom w:val="0"/>
      <w:divBdr>
        <w:top w:val="none" w:sz="0" w:space="0" w:color="auto"/>
        <w:left w:val="none" w:sz="0" w:space="0" w:color="auto"/>
        <w:bottom w:val="none" w:sz="0" w:space="0" w:color="auto"/>
        <w:right w:val="none" w:sz="0" w:space="0" w:color="auto"/>
      </w:divBdr>
    </w:div>
    <w:div w:id="1385565703">
      <w:bodyDiv w:val="1"/>
      <w:marLeft w:val="0"/>
      <w:marRight w:val="0"/>
      <w:marTop w:val="0"/>
      <w:marBottom w:val="0"/>
      <w:divBdr>
        <w:top w:val="none" w:sz="0" w:space="0" w:color="auto"/>
        <w:left w:val="none" w:sz="0" w:space="0" w:color="auto"/>
        <w:bottom w:val="none" w:sz="0" w:space="0" w:color="auto"/>
        <w:right w:val="none" w:sz="0" w:space="0" w:color="auto"/>
      </w:divBdr>
    </w:div>
    <w:div w:id="1388189583">
      <w:bodyDiv w:val="1"/>
      <w:marLeft w:val="0"/>
      <w:marRight w:val="0"/>
      <w:marTop w:val="0"/>
      <w:marBottom w:val="0"/>
      <w:divBdr>
        <w:top w:val="none" w:sz="0" w:space="0" w:color="auto"/>
        <w:left w:val="none" w:sz="0" w:space="0" w:color="auto"/>
        <w:bottom w:val="none" w:sz="0" w:space="0" w:color="auto"/>
        <w:right w:val="none" w:sz="0" w:space="0" w:color="auto"/>
      </w:divBdr>
    </w:div>
    <w:div w:id="1401173268">
      <w:bodyDiv w:val="1"/>
      <w:marLeft w:val="0"/>
      <w:marRight w:val="0"/>
      <w:marTop w:val="0"/>
      <w:marBottom w:val="0"/>
      <w:divBdr>
        <w:top w:val="none" w:sz="0" w:space="0" w:color="auto"/>
        <w:left w:val="none" w:sz="0" w:space="0" w:color="auto"/>
        <w:bottom w:val="none" w:sz="0" w:space="0" w:color="auto"/>
        <w:right w:val="none" w:sz="0" w:space="0" w:color="auto"/>
      </w:divBdr>
    </w:div>
    <w:div w:id="1440754921">
      <w:bodyDiv w:val="1"/>
      <w:marLeft w:val="0"/>
      <w:marRight w:val="0"/>
      <w:marTop w:val="0"/>
      <w:marBottom w:val="0"/>
      <w:divBdr>
        <w:top w:val="none" w:sz="0" w:space="0" w:color="auto"/>
        <w:left w:val="none" w:sz="0" w:space="0" w:color="auto"/>
        <w:bottom w:val="none" w:sz="0" w:space="0" w:color="auto"/>
        <w:right w:val="none" w:sz="0" w:space="0" w:color="auto"/>
      </w:divBdr>
    </w:div>
    <w:div w:id="1457867265">
      <w:bodyDiv w:val="1"/>
      <w:marLeft w:val="0"/>
      <w:marRight w:val="0"/>
      <w:marTop w:val="0"/>
      <w:marBottom w:val="0"/>
      <w:divBdr>
        <w:top w:val="none" w:sz="0" w:space="0" w:color="auto"/>
        <w:left w:val="none" w:sz="0" w:space="0" w:color="auto"/>
        <w:bottom w:val="none" w:sz="0" w:space="0" w:color="auto"/>
        <w:right w:val="none" w:sz="0" w:space="0" w:color="auto"/>
      </w:divBdr>
    </w:div>
    <w:div w:id="1482114460">
      <w:bodyDiv w:val="1"/>
      <w:marLeft w:val="0"/>
      <w:marRight w:val="0"/>
      <w:marTop w:val="0"/>
      <w:marBottom w:val="0"/>
      <w:divBdr>
        <w:top w:val="none" w:sz="0" w:space="0" w:color="auto"/>
        <w:left w:val="none" w:sz="0" w:space="0" w:color="auto"/>
        <w:bottom w:val="none" w:sz="0" w:space="0" w:color="auto"/>
        <w:right w:val="none" w:sz="0" w:space="0" w:color="auto"/>
      </w:divBdr>
    </w:div>
    <w:div w:id="1500997645">
      <w:bodyDiv w:val="1"/>
      <w:marLeft w:val="0"/>
      <w:marRight w:val="0"/>
      <w:marTop w:val="0"/>
      <w:marBottom w:val="0"/>
      <w:divBdr>
        <w:top w:val="none" w:sz="0" w:space="0" w:color="auto"/>
        <w:left w:val="none" w:sz="0" w:space="0" w:color="auto"/>
        <w:bottom w:val="none" w:sz="0" w:space="0" w:color="auto"/>
        <w:right w:val="none" w:sz="0" w:space="0" w:color="auto"/>
      </w:divBdr>
    </w:div>
    <w:div w:id="1506555754">
      <w:bodyDiv w:val="1"/>
      <w:marLeft w:val="0"/>
      <w:marRight w:val="0"/>
      <w:marTop w:val="0"/>
      <w:marBottom w:val="0"/>
      <w:divBdr>
        <w:top w:val="none" w:sz="0" w:space="0" w:color="auto"/>
        <w:left w:val="none" w:sz="0" w:space="0" w:color="auto"/>
        <w:bottom w:val="none" w:sz="0" w:space="0" w:color="auto"/>
        <w:right w:val="none" w:sz="0" w:space="0" w:color="auto"/>
      </w:divBdr>
    </w:div>
    <w:div w:id="1533611080">
      <w:bodyDiv w:val="1"/>
      <w:marLeft w:val="0"/>
      <w:marRight w:val="0"/>
      <w:marTop w:val="0"/>
      <w:marBottom w:val="0"/>
      <w:divBdr>
        <w:top w:val="none" w:sz="0" w:space="0" w:color="auto"/>
        <w:left w:val="none" w:sz="0" w:space="0" w:color="auto"/>
        <w:bottom w:val="none" w:sz="0" w:space="0" w:color="auto"/>
        <w:right w:val="none" w:sz="0" w:space="0" w:color="auto"/>
      </w:divBdr>
    </w:div>
    <w:div w:id="1553998515">
      <w:bodyDiv w:val="1"/>
      <w:marLeft w:val="0"/>
      <w:marRight w:val="0"/>
      <w:marTop w:val="0"/>
      <w:marBottom w:val="0"/>
      <w:divBdr>
        <w:top w:val="none" w:sz="0" w:space="0" w:color="auto"/>
        <w:left w:val="none" w:sz="0" w:space="0" w:color="auto"/>
        <w:bottom w:val="none" w:sz="0" w:space="0" w:color="auto"/>
        <w:right w:val="none" w:sz="0" w:space="0" w:color="auto"/>
      </w:divBdr>
    </w:div>
    <w:div w:id="1564297270">
      <w:bodyDiv w:val="1"/>
      <w:marLeft w:val="0"/>
      <w:marRight w:val="0"/>
      <w:marTop w:val="0"/>
      <w:marBottom w:val="0"/>
      <w:divBdr>
        <w:top w:val="none" w:sz="0" w:space="0" w:color="auto"/>
        <w:left w:val="none" w:sz="0" w:space="0" w:color="auto"/>
        <w:bottom w:val="none" w:sz="0" w:space="0" w:color="auto"/>
        <w:right w:val="none" w:sz="0" w:space="0" w:color="auto"/>
      </w:divBdr>
    </w:div>
    <w:div w:id="1576432433">
      <w:bodyDiv w:val="1"/>
      <w:marLeft w:val="0"/>
      <w:marRight w:val="0"/>
      <w:marTop w:val="0"/>
      <w:marBottom w:val="0"/>
      <w:divBdr>
        <w:top w:val="none" w:sz="0" w:space="0" w:color="auto"/>
        <w:left w:val="none" w:sz="0" w:space="0" w:color="auto"/>
        <w:bottom w:val="none" w:sz="0" w:space="0" w:color="auto"/>
        <w:right w:val="none" w:sz="0" w:space="0" w:color="auto"/>
      </w:divBdr>
    </w:div>
    <w:div w:id="1581208584">
      <w:bodyDiv w:val="1"/>
      <w:marLeft w:val="0"/>
      <w:marRight w:val="0"/>
      <w:marTop w:val="0"/>
      <w:marBottom w:val="0"/>
      <w:divBdr>
        <w:top w:val="none" w:sz="0" w:space="0" w:color="auto"/>
        <w:left w:val="none" w:sz="0" w:space="0" w:color="auto"/>
        <w:bottom w:val="none" w:sz="0" w:space="0" w:color="auto"/>
        <w:right w:val="none" w:sz="0" w:space="0" w:color="auto"/>
      </w:divBdr>
    </w:div>
    <w:div w:id="1598055443">
      <w:bodyDiv w:val="1"/>
      <w:marLeft w:val="0"/>
      <w:marRight w:val="0"/>
      <w:marTop w:val="0"/>
      <w:marBottom w:val="0"/>
      <w:divBdr>
        <w:top w:val="none" w:sz="0" w:space="0" w:color="auto"/>
        <w:left w:val="none" w:sz="0" w:space="0" w:color="auto"/>
        <w:bottom w:val="none" w:sz="0" w:space="0" w:color="auto"/>
        <w:right w:val="none" w:sz="0" w:space="0" w:color="auto"/>
      </w:divBdr>
      <w:divsChild>
        <w:div w:id="1014189471">
          <w:marLeft w:val="0"/>
          <w:marRight w:val="0"/>
          <w:marTop w:val="0"/>
          <w:marBottom w:val="0"/>
          <w:divBdr>
            <w:top w:val="none" w:sz="0" w:space="0" w:color="auto"/>
            <w:left w:val="none" w:sz="0" w:space="0" w:color="auto"/>
            <w:bottom w:val="none" w:sz="0" w:space="0" w:color="auto"/>
            <w:right w:val="none" w:sz="0" w:space="0" w:color="auto"/>
          </w:divBdr>
        </w:div>
      </w:divsChild>
    </w:div>
    <w:div w:id="1631090360">
      <w:bodyDiv w:val="1"/>
      <w:marLeft w:val="0"/>
      <w:marRight w:val="0"/>
      <w:marTop w:val="0"/>
      <w:marBottom w:val="0"/>
      <w:divBdr>
        <w:top w:val="none" w:sz="0" w:space="0" w:color="auto"/>
        <w:left w:val="none" w:sz="0" w:space="0" w:color="auto"/>
        <w:bottom w:val="none" w:sz="0" w:space="0" w:color="auto"/>
        <w:right w:val="none" w:sz="0" w:space="0" w:color="auto"/>
      </w:divBdr>
    </w:div>
    <w:div w:id="1649213779">
      <w:bodyDiv w:val="1"/>
      <w:marLeft w:val="0"/>
      <w:marRight w:val="0"/>
      <w:marTop w:val="0"/>
      <w:marBottom w:val="0"/>
      <w:divBdr>
        <w:top w:val="none" w:sz="0" w:space="0" w:color="auto"/>
        <w:left w:val="none" w:sz="0" w:space="0" w:color="auto"/>
        <w:bottom w:val="none" w:sz="0" w:space="0" w:color="auto"/>
        <w:right w:val="none" w:sz="0" w:space="0" w:color="auto"/>
      </w:divBdr>
    </w:div>
    <w:div w:id="1662151646">
      <w:bodyDiv w:val="1"/>
      <w:marLeft w:val="0"/>
      <w:marRight w:val="0"/>
      <w:marTop w:val="0"/>
      <w:marBottom w:val="0"/>
      <w:divBdr>
        <w:top w:val="none" w:sz="0" w:space="0" w:color="auto"/>
        <w:left w:val="none" w:sz="0" w:space="0" w:color="auto"/>
        <w:bottom w:val="none" w:sz="0" w:space="0" w:color="auto"/>
        <w:right w:val="none" w:sz="0" w:space="0" w:color="auto"/>
      </w:divBdr>
    </w:div>
    <w:div w:id="1673219494">
      <w:bodyDiv w:val="1"/>
      <w:marLeft w:val="0"/>
      <w:marRight w:val="0"/>
      <w:marTop w:val="0"/>
      <w:marBottom w:val="0"/>
      <w:divBdr>
        <w:top w:val="none" w:sz="0" w:space="0" w:color="auto"/>
        <w:left w:val="none" w:sz="0" w:space="0" w:color="auto"/>
        <w:bottom w:val="none" w:sz="0" w:space="0" w:color="auto"/>
        <w:right w:val="none" w:sz="0" w:space="0" w:color="auto"/>
      </w:divBdr>
      <w:divsChild>
        <w:div w:id="862090150">
          <w:marLeft w:val="0"/>
          <w:marRight w:val="0"/>
          <w:marTop w:val="0"/>
          <w:marBottom w:val="0"/>
          <w:divBdr>
            <w:top w:val="none" w:sz="0" w:space="0" w:color="auto"/>
            <w:left w:val="none" w:sz="0" w:space="0" w:color="auto"/>
            <w:bottom w:val="none" w:sz="0" w:space="0" w:color="auto"/>
            <w:right w:val="none" w:sz="0" w:space="0" w:color="auto"/>
          </w:divBdr>
        </w:div>
      </w:divsChild>
    </w:div>
    <w:div w:id="1691369924">
      <w:bodyDiv w:val="1"/>
      <w:marLeft w:val="0"/>
      <w:marRight w:val="0"/>
      <w:marTop w:val="0"/>
      <w:marBottom w:val="0"/>
      <w:divBdr>
        <w:top w:val="none" w:sz="0" w:space="0" w:color="auto"/>
        <w:left w:val="none" w:sz="0" w:space="0" w:color="auto"/>
        <w:bottom w:val="none" w:sz="0" w:space="0" w:color="auto"/>
        <w:right w:val="none" w:sz="0" w:space="0" w:color="auto"/>
      </w:divBdr>
    </w:div>
    <w:div w:id="1697151484">
      <w:bodyDiv w:val="1"/>
      <w:marLeft w:val="0"/>
      <w:marRight w:val="0"/>
      <w:marTop w:val="0"/>
      <w:marBottom w:val="0"/>
      <w:divBdr>
        <w:top w:val="none" w:sz="0" w:space="0" w:color="auto"/>
        <w:left w:val="none" w:sz="0" w:space="0" w:color="auto"/>
        <w:bottom w:val="none" w:sz="0" w:space="0" w:color="auto"/>
        <w:right w:val="none" w:sz="0" w:space="0" w:color="auto"/>
      </w:divBdr>
    </w:div>
    <w:div w:id="1702514811">
      <w:bodyDiv w:val="1"/>
      <w:marLeft w:val="0"/>
      <w:marRight w:val="0"/>
      <w:marTop w:val="0"/>
      <w:marBottom w:val="0"/>
      <w:divBdr>
        <w:top w:val="none" w:sz="0" w:space="0" w:color="auto"/>
        <w:left w:val="none" w:sz="0" w:space="0" w:color="auto"/>
        <w:bottom w:val="none" w:sz="0" w:space="0" w:color="auto"/>
        <w:right w:val="none" w:sz="0" w:space="0" w:color="auto"/>
      </w:divBdr>
    </w:div>
    <w:div w:id="1710031916">
      <w:bodyDiv w:val="1"/>
      <w:marLeft w:val="0"/>
      <w:marRight w:val="0"/>
      <w:marTop w:val="0"/>
      <w:marBottom w:val="0"/>
      <w:divBdr>
        <w:top w:val="none" w:sz="0" w:space="0" w:color="auto"/>
        <w:left w:val="none" w:sz="0" w:space="0" w:color="auto"/>
        <w:bottom w:val="none" w:sz="0" w:space="0" w:color="auto"/>
        <w:right w:val="none" w:sz="0" w:space="0" w:color="auto"/>
      </w:divBdr>
    </w:div>
    <w:div w:id="1732772385">
      <w:bodyDiv w:val="1"/>
      <w:marLeft w:val="0"/>
      <w:marRight w:val="0"/>
      <w:marTop w:val="0"/>
      <w:marBottom w:val="0"/>
      <w:divBdr>
        <w:top w:val="none" w:sz="0" w:space="0" w:color="auto"/>
        <w:left w:val="none" w:sz="0" w:space="0" w:color="auto"/>
        <w:bottom w:val="none" w:sz="0" w:space="0" w:color="auto"/>
        <w:right w:val="none" w:sz="0" w:space="0" w:color="auto"/>
      </w:divBdr>
    </w:div>
    <w:div w:id="1744260671">
      <w:bodyDiv w:val="1"/>
      <w:marLeft w:val="0"/>
      <w:marRight w:val="0"/>
      <w:marTop w:val="0"/>
      <w:marBottom w:val="0"/>
      <w:divBdr>
        <w:top w:val="none" w:sz="0" w:space="0" w:color="auto"/>
        <w:left w:val="none" w:sz="0" w:space="0" w:color="auto"/>
        <w:bottom w:val="none" w:sz="0" w:space="0" w:color="auto"/>
        <w:right w:val="none" w:sz="0" w:space="0" w:color="auto"/>
      </w:divBdr>
    </w:div>
    <w:div w:id="1747799667">
      <w:bodyDiv w:val="1"/>
      <w:marLeft w:val="0"/>
      <w:marRight w:val="0"/>
      <w:marTop w:val="0"/>
      <w:marBottom w:val="0"/>
      <w:divBdr>
        <w:top w:val="none" w:sz="0" w:space="0" w:color="auto"/>
        <w:left w:val="none" w:sz="0" w:space="0" w:color="auto"/>
        <w:bottom w:val="none" w:sz="0" w:space="0" w:color="auto"/>
        <w:right w:val="none" w:sz="0" w:space="0" w:color="auto"/>
      </w:divBdr>
    </w:div>
    <w:div w:id="1784107159">
      <w:bodyDiv w:val="1"/>
      <w:marLeft w:val="0"/>
      <w:marRight w:val="0"/>
      <w:marTop w:val="0"/>
      <w:marBottom w:val="0"/>
      <w:divBdr>
        <w:top w:val="none" w:sz="0" w:space="0" w:color="auto"/>
        <w:left w:val="none" w:sz="0" w:space="0" w:color="auto"/>
        <w:bottom w:val="none" w:sz="0" w:space="0" w:color="auto"/>
        <w:right w:val="none" w:sz="0" w:space="0" w:color="auto"/>
      </w:divBdr>
    </w:div>
    <w:div w:id="1798526161">
      <w:bodyDiv w:val="1"/>
      <w:marLeft w:val="0"/>
      <w:marRight w:val="0"/>
      <w:marTop w:val="0"/>
      <w:marBottom w:val="0"/>
      <w:divBdr>
        <w:top w:val="none" w:sz="0" w:space="0" w:color="auto"/>
        <w:left w:val="none" w:sz="0" w:space="0" w:color="auto"/>
        <w:bottom w:val="none" w:sz="0" w:space="0" w:color="auto"/>
        <w:right w:val="none" w:sz="0" w:space="0" w:color="auto"/>
      </w:divBdr>
    </w:div>
    <w:div w:id="1802075327">
      <w:bodyDiv w:val="1"/>
      <w:marLeft w:val="0"/>
      <w:marRight w:val="0"/>
      <w:marTop w:val="0"/>
      <w:marBottom w:val="0"/>
      <w:divBdr>
        <w:top w:val="none" w:sz="0" w:space="0" w:color="auto"/>
        <w:left w:val="none" w:sz="0" w:space="0" w:color="auto"/>
        <w:bottom w:val="none" w:sz="0" w:space="0" w:color="auto"/>
        <w:right w:val="none" w:sz="0" w:space="0" w:color="auto"/>
      </w:divBdr>
    </w:div>
    <w:div w:id="1806703445">
      <w:bodyDiv w:val="1"/>
      <w:marLeft w:val="0"/>
      <w:marRight w:val="0"/>
      <w:marTop w:val="0"/>
      <w:marBottom w:val="0"/>
      <w:divBdr>
        <w:top w:val="none" w:sz="0" w:space="0" w:color="auto"/>
        <w:left w:val="none" w:sz="0" w:space="0" w:color="auto"/>
        <w:bottom w:val="none" w:sz="0" w:space="0" w:color="auto"/>
        <w:right w:val="none" w:sz="0" w:space="0" w:color="auto"/>
      </w:divBdr>
    </w:div>
    <w:div w:id="1861317659">
      <w:bodyDiv w:val="1"/>
      <w:marLeft w:val="0"/>
      <w:marRight w:val="0"/>
      <w:marTop w:val="0"/>
      <w:marBottom w:val="0"/>
      <w:divBdr>
        <w:top w:val="none" w:sz="0" w:space="0" w:color="auto"/>
        <w:left w:val="none" w:sz="0" w:space="0" w:color="auto"/>
        <w:bottom w:val="none" w:sz="0" w:space="0" w:color="auto"/>
        <w:right w:val="none" w:sz="0" w:space="0" w:color="auto"/>
      </w:divBdr>
    </w:div>
    <w:div w:id="1892769572">
      <w:bodyDiv w:val="1"/>
      <w:marLeft w:val="0"/>
      <w:marRight w:val="0"/>
      <w:marTop w:val="0"/>
      <w:marBottom w:val="0"/>
      <w:divBdr>
        <w:top w:val="none" w:sz="0" w:space="0" w:color="auto"/>
        <w:left w:val="none" w:sz="0" w:space="0" w:color="auto"/>
        <w:bottom w:val="none" w:sz="0" w:space="0" w:color="auto"/>
        <w:right w:val="none" w:sz="0" w:space="0" w:color="auto"/>
      </w:divBdr>
    </w:div>
    <w:div w:id="1894927171">
      <w:bodyDiv w:val="1"/>
      <w:marLeft w:val="0"/>
      <w:marRight w:val="0"/>
      <w:marTop w:val="0"/>
      <w:marBottom w:val="0"/>
      <w:divBdr>
        <w:top w:val="none" w:sz="0" w:space="0" w:color="auto"/>
        <w:left w:val="none" w:sz="0" w:space="0" w:color="auto"/>
        <w:bottom w:val="none" w:sz="0" w:space="0" w:color="auto"/>
        <w:right w:val="none" w:sz="0" w:space="0" w:color="auto"/>
      </w:divBdr>
    </w:div>
    <w:div w:id="1914311412">
      <w:bodyDiv w:val="1"/>
      <w:marLeft w:val="0"/>
      <w:marRight w:val="0"/>
      <w:marTop w:val="0"/>
      <w:marBottom w:val="0"/>
      <w:divBdr>
        <w:top w:val="none" w:sz="0" w:space="0" w:color="auto"/>
        <w:left w:val="none" w:sz="0" w:space="0" w:color="auto"/>
        <w:bottom w:val="none" w:sz="0" w:space="0" w:color="auto"/>
        <w:right w:val="none" w:sz="0" w:space="0" w:color="auto"/>
      </w:divBdr>
    </w:div>
    <w:div w:id="1939757110">
      <w:bodyDiv w:val="1"/>
      <w:marLeft w:val="0"/>
      <w:marRight w:val="0"/>
      <w:marTop w:val="0"/>
      <w:marBottom w:val="0"/>
      <w:divBdr>
        <w:top w:val="none" w:sz="0" w:space="0" w:color="auto"/>
        <w:left w:val="none" w:sz="0" w:space="0" w:color="auto"/>
        <w:bottom w:val="none" w:sz="0" w:space="0" w:color="auto"/>
        <w:right w:val="none" w:sz="0" w:space="0" w:color="auto"/>
      </w:divBdr>
    </w:div>
    <w:div w:id="1951668781">
      <w:bodyDiv w:val="1"/>
      <w:marLeft w:val="0"/>
      <w:marRight w:val="0"/>
      <w:marTop w:val="0"/>
      <w:marBottom w:val="0"/>
      <w:divBdr>
        <w:top w:val="none" w:sz="0" w:space="0" w:color="auto"/>
        <w:left w:val="none" w:sz="0" w:space="0" w:color="auto"/>
        <w:bottom w:val="none" w:sz="0" w:space="0" w:color="auto"/>
        <w:right w:val="none" w:sz="0" w:space="0" w:color="auto"/>
      </w:divBdr>
      <w:divsChild>
        <w:div w:id="329069718">
          <w:marLeft w:val="0"/>
          <w:marRight w:val="0"/>
          <w:marTop w:val="0"/>
          <w:marBottom w:val="0"/>
          <w:divBdr>
            <w:top w:val="none" w:sz="0" w:space="0" w:color="auto"/>
            <w:left w:val="none" w:sz="0" w:space="0" w:color="auto"/>
            <w:bottom w:val="none" w:sz="0" w:space="0" w:color="auto"/>
            <w:right w:val="none" w:sz="0" w:space="0" w:color="auto"/>
          </w:divBdr>
          <w:divsChild>
            <w:div w:id="820580137">
              <w:marLeft w:val="0"/>
              <w:marRight w:val="0"/>
              <w:marTop w:val="0"/>
              <w:marBottom w:val="0"/>
              <w:divBdr>
                <w:top w:val="none" w:sz="0" w:space="0" w:color="auto"/>
                <w:left w:val="none" w:sz="0" w:space="0" w:color="auto"/>
                <w:bottom w:val="none" w:sz="0" w:space="0" w:color="auto"/>
                <w:right w:val="none" w:sz="0" w:space="0" w:color="auto"/>
              </w:divBdr>
              <w:divsChild>
                <w:div w:id="7771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68457">
      <w:bodyDiv w:val="1"/>
      <w:marLeft w:val="0"/>
      <w:marRight w:val="0"/>
      <w:marTop w:val="0"/>
      <w:marBottom w:val="0"/>
      <w:divBdr>
        <w:top w:val="none" w:sz="0" w:space="0" w:color="auto"/>
        <w:left w:val="none" w:sz="0" w:space="0" w:color="auto"/>
        <w:bottom w:val="none" w:sz="0" w:space="0" w:color="auto"/>
        <w:right w:val="none" w:sz="0" w:space="0" w:color="auto"/>
      </w:divBdr>
    </w:div>
    <w:div w:id="1990671410">
      <w:bodyDiv w:val="1"/>
      <w:marLeft w:val="0"/>
      <w:marRight w:val="0"/>
      <w:marTop w:val="0"/>
      <w:marBottom w:val="0"/>
      <w:divBdr>
        <w:top w:val="none" w:sz="0" w:space="0" w:color="auto"/>
        <w:left w:val="none" w:sz="0" w:space="0" w:color="auto"/>
        <w:bottom w:val="none" w:sz="0" w:space="0" w:color="auto"/>
        <w:right w:val="none" w:sz="0" w:space="0" w:color="auto"/>
      </w:divBdr>
      <w:divsChild>
        <w:div w:id="1042361063">
          <w:marLeft w:val="0"/>
          <w:marRight w:val="0"/>
          <w:marTop w:val="0"/>
          <w:marBottom w:val="0"/>
          <w:divBdr>
            <w:top w:val="none" w:sz="0" w:space="0" w:color="auto"/>
            <w:left w:val="none" w:sz="0" w:space="0" w:color="auto"/>
            <w:bottom w:val="none" w:sz="0" w:space="0" w:color="auto"/>
            <w:right w:val="none" w:sz="0" w:space="0" w:color="auto"/>
          </w:divBdr>
        </w:div>
        <w:div w:id="1338658987">
          <w:marLeft w:val="0"/>
          <w:marRight w:val="0"/>
          <w:marTop w:val="0"/>
          <w:marBottom w:val="0"/>
          <w:divBdr>
            <w:top w:val="none" w:sz="0" w:space="0" w:color="auto"/>
            <w:left w:val="none" w:sz="0" w:space="0" w:color="auto"/>
            <w:bottom w:val="none" w:sz="0" w:space="0" w:color="auto"/>
            <w:right w:val="none" w:sz="0" w:space="0" w:color="auto"/>
          </w:divBdr>
          <w:divsChild>
            <w:div w:id="686055904">
              <w:marLeft w:val="0"/>
              <w:marRight w:val="0"/>
              <w:marTop w:val="0"/>
              <w:marBottom w:val="0"/>
              <w:divBdr>
                <w:top w:val="none" w:sz="0" w:space="0" w:color="auto"/>
                <w:left w:val="none" w:sz="0" w:space="0" w:color="auto"/>
                <w:bottom w:val="none" w:sz="0" w:space="0" w:color="auto"/>
                <w:right w:val="none" w:sz="0" w:space="0" w:color="auto"/>
              </w:divBdr>
            </w:div>
            <w:div w:id="1361977591">
              <w:marLeft w:val="0"/>
              <w:marRight w:val="0"/>
              <w:marTop w:val="0"/>
              <w:marBottom w:val="0"/>
              <w:divBdr>
                <w:top w:val="none" w:sz="0" w:space="0" w:color="auto"/>
                <w:left w:val="none" w:sz="0" w:space="0" w:color="auto"/>
                <w:bottom w:val="none" w:sz="0" w:space="0" w:color="auto"/>
                <w:right w:val="none" w:sz="0" w:space="0" w:color="auto"/>
              </w:divBdr>
            </w:div>
            <w:div w:id="1634170324">
              <w:marLeft w:val="0"/>
              <w:marRight w:val="0"/>
              <w:marTop w:val="0"/>
              <w:marBottom w:val="0"/>
              <w:divBdr>
                <w:top w:val="none" w:sz="0" w:space="0" w:color="auto"/>
                <w:left w:val="none" w:sz="0" w:space="0" w:color="auto"/>
                <w:bottom w:val="none" w:sz="0" w:space="0" w:color="auto"/>
                <w:right w:val="none" w:sz="0" w:space="0" w:color="auto"/>
              </w:divBdr>
            </w:div>
            <w:div w:id="2052457561">
              <w:marLeft w:val="0"/>
              <w:marRight w:val="0"/>
              <w:marTop w:val="0"/>
              <w:marBottom w:val="0"/>
              <w:divBdr>
                <w:top w:val="none" w:sz="0" w:space="0" w:color="auto"/>
                <w:left w:val="none" w:sz="0" w:space="0" w:color="auto"/>
                <w:bottom w:val="none" w:sz="0" w:space="0" w:color="auto"/>
                <w:right w:val="none" w:sz="0" w:space="0" w:color="auto"/>
              </w:divBdr>
            </w:div>
            <w:div w:id="214153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46125">
      <w:bodyDiv w:val="1"/>
      <w:marLeft w:val="0"/>
      <w:marRight w:val="0"/>
      <w:marTop w:val="0"/>
      <w:marBottom w:val="0"/>
      <w:divBdr>
        <w:top w:val="none" w:sz="0" w:space="0" w:color="auto"/>
        <w:left w:val="none" w:sz="0" w:space="0" w:color="auto"/>
        <w:bottom w:val="none" w:sz="0" w:space="0" w:color="auto"/>
        <w:right w:val="none" w:sz="0" w:space="0" w:color="auto"/>
      </w:divBdr>
    </w:div>
    <w:div w:id="2026664764">
      <w:bodyDiv w:val="1"/>
      <w:marLeft w:val="0"/>
      <w:marRight w:val="0"/>
      <w:marTop w:val="0"/>
      <w:marBottom w:val="0"/>
      <w:divBdr>
        <w:top w:val="none" w:sz="0" w:space="0" w:color="auto"/>
        <w:left w:val="none" w:sz="0" w:space="0" w:color="auto"/>
        <w:bottom w:val="none" w:sz="0" w:space="0" w:color="auto"/>
        <w:right w:val="none" w:sz="0" w:space="0" w:color="auto"/>
      </w:divBdr>
    </w:div>
    <w:div w:id="2063864750">
      <w:bodyDiv w:val="1"/>
      <w:marLeft w:val="0"/>
      <w:marRight w:val="0"/>
      <w:marTop w:val="0"/>
      <w:marBottom w:val="0"/>
      <w:divBdr>
        <w:top w:val="none" w:sz="0" w:space="0" w:color="auto"/>
        <w:left w:val="none" w:sz="0" w:space="0" w:color="auto"/>
        <w:bottom w:val="none" w:sz="0" w:space="0" w:color="auto"/>
        <w:right w:val="none" w:sz="0" w:space="0" w:color="auto"/>
      </w:divBdr>
    </w:div>
    <w:div w:id="2095979711">
      <w:bodyDiv w:val="1"/>
      <w:marLeft w:val="0"/>
      <w:marRight w:val="0"/>
      <w:marTop w:val="0"/>
      <w:marBottom w:val="0"/>
      <w:divBdr>
        <w:top w:val="none" w:sz="0" w:space="0" w:color="auto"/>
        <w:left w:val="none" w:sz="0" w:space="0" w:color="auto"/>
        <w:bottom w:val="none" w:sz="0" w:space="0" w:color="auto"/>
        <w:right w:val="none" w:sz="0" w:space="0" w:color="auto"/>
      </w:divBdr>
    </w:div>
    <w:div w:id="2106531676">
      <w:bodyDiv w:val="1"/>
      <w:marLeft w:val="0"/>
      <w:marRight w:val="0"/>
      <w:marTop w:val="0"/>
      <w:marBottom w:val="0"/>
      <w:divBdr>
        <w:top w:val="none" w:sz="0" w:space="0" w:color="auto"/>
        <w:left w:val="none" w:sz="0" w:space="0" w:color="auto"/>
        <w:bottom w:val="none" w:sz="0" w:space="0" w:color="auto"/>
        <w:right w:val="none" w:sz="0" w:space="0" w:color="auto"/>
      </w:divBdr>
    </w:div>
    <w:div w:id="2118523970">
      <w:bodyDiv w:val="1"/>
      <w:marLeft w:val="0"/>
      <w:marRight w:val="0"/>
      <w:marTop w:val="0"/>
      <w:marBottom w:val="0"/>
      <w:divBdr>
        <w:top w:val="none" w:sz="0" w:space="0" w:color="auto"/>
        <w:left w:val="none" w:sz="0" w:space="0" w:color="auto"/>
        <w:bottom w:val="none" w:sz="0" w:space="0" w:color="auto"/>
        <w:right w:val="none" w:sz="0" w:space="0" w:color="auto"/>
      </w:divBdr>
    </w:div>
    <w:div w:id="2120879193">
      <w:bodyDiv w:val="1"/>
      <w:marLeft w:val="0"/>
      <w:marRight w:val="0"/>
      <w:marTop w:val="0"/>
      <w:marBottom w:val="0"/>
      <w:divBdr>
        <w:top w:val="none" w:sz="0" w:space="0" w:color="auto"/>
        <w:left w:val="none" w:sz="0" w:space="0" w:color="auto"/>
        <w:bottom w:val="none" w:sz="0" w:space="0" w:color="auto"/>
        <w:right w:val="none" w:sz="0" w:space="0" w:color="auto"/>
      </w:divBdr>
    </w:div>
    <w:div w:id="2123256684">
      <w:bodyDiv w:val="1"/>
      <w:marLeft w:val="0"/>
      <w:marRight w:val="0"/>
      <w:marTop w:val="0"/>
      <w:marBottom w:val="0"/>
      <w:divBdr>
        <w:top w:val="none" w:sz="0" w:space="0" w:color="auto"/>
        <w:left w:val="none" w:sz="0" w:space="0" w:color="auto"/>
        <w:bottom w:val="none" w:sz="0" w:space="0" w:color="auto"/>
        <w:right w:val="none" w:sz="0" w:space="0" w:color="auto"/>
      </w:divBdr>
    </w:div>
    <w:div w:id="2130857154">
      <w:bodyDiv w:val="1"/>
      <w:marLeft w:val="0"/>
      <w:marRight w:val="0"/>
      <w:marTop w:val="0"/>
      <w:marBottom w:val="0"/>
      <w:divBdr>
        <w:top w:val="none" w:sz="0" w:space="0" w:color="auto"/>
        <w:left w:val="none" w:sz="0" w:space="0" w:color="auto"/>
        <w:bottom w:val="none" w:sz="0" w:space="0" w:color="auto"/>
        <w:right w:val="none" w:sz="0" w:space="0" w:color="auto"/>
      </w:divBdr>
    </w:div>
    <w:div w:id="213925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6.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header" Target="header2.xm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eader" Target="header1.xml"/><Relationship Id="rId28" Type="http://schemas.openxmlformats.org/officeDocument/2006/relationships/chart" Target="charts/chart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am&#237;lia%20Czeczko\Meus%20documentos\Alex\Documentos\Modelos\Teses%20e%20Disserta&#231;&#245;es.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lex.rocha\Desktop\alex.rocha\Trabalhos%20GGE\Demandas\20240112%20-%20RAG\OK%20-%202%20-%20RAG%20Sintetico%20DEZEMBRO23%20-%20GORS%20-%20Planilha%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0.11176201400021847"/>
          <c:w val="0.93888888888888888"/>
          <c:h val="0.61869215167001756"/>
        </c:manualLayout>
      </c:layout>
      <c:barChart>
        <c:barDir val="col"/>
        <c:grouping val="clustered"/>
        <c:varyColors val="0"/>
        <c:ser>
          <c:idx val="0"/>
          <c:order val="0"/>
          <c:tx>
            <c:strRef>
              <c:f>'[Memória de análise dos dados para o Relatório CVM 2025 - GID SAT Análise.xlsx]Consolidado 2024'!$A$3</c:f>
              <c:strCache>
                <c:ptCount val="1"/>
                <c:pt idx="0">
                  <c:v>Instalados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'[Memória de análise dos dados para o Relatório CVM 2025 - GID SAT Análise.xlsx]Consolidado 2024'!$B$1:$E$2</c:f>
              <c:multiLvlStrCache>
                <c:ptCount val="4"/>
                <c:lvl>
                  <c:pt idx="0">
                    <c:v>1º Trim</c:v>
                  </c:pt>
                  <c:pt idx="1">
                    <c:v>2º Trim</c:v>
                  </c:pt>
                  <c:pt idx="2">
                    <c:v>3º Trim</c:v>
                  </c:pt>
                  <c:pt idx="3">
                    <c:v>4º Trim</c:v>
                  </c:pt>
                </c:lvl>
                <c:lvl>
                  <c:pt idx="0">
                    <c:v>2024</c:v>
                  </c:pt>
                </c:lvl>
              </c:multiLvlStrCache>
            </c:multiLvlStrRef>
          </c:cat>
          <c:val>
            <c:numRef>
              <c:f>'[Memória de análise dos dados para o Relatório CVM 2025 - GID SAT Análise.xlsx]Consolidado 2024'!$B$3:$E$3</c:f>
              <c:numCache>
                <c:formatCode>_-* #,##0_-;\-* #,##0_-;_-* "-"??_-;_-@_-</c:formatCode>
                <c:ptCount val="4"/>
                <c:pt idx="0">
                  <c:v>5369</c:v>
                </c:pt>
                <c:pt idx="1">
                  <c:v>9858</c:v>
                </c:pt>
                <c:pt idx="2">
                  <c:v>12940</c:v>
                </c:pt>
                <c:pt idx="3">
                  <c:v>14980</c:v>
                </c:pt>
              </c:numCache>
            </c:numRef>
          </c:val>
          <c:extLst>
            <c:ext xmlns:c16="http://schemas.microsoft.com/office/drawing/2014/chart" uri="{C3380CC4-5D6E-409C-BE32-E72D297353CC}">
              <c16:uniqueId val="{00000000-B879-4F18-A614-2A507B1CC366}"/>
            </c:ext>
          </c:extLst>
        </c:ser>
        <c:ser>
          <c:idx val="1"/>
          <c:order val="1"/>
          <c:tx>
            <c:strRef>
              <c:f>'[Memória de análise dos dados para o Relatório CVM 2025 - GID SAT Análise.xlsx]Consolidado 2024'!$A$4</c:f>
              <c:strCache>
                <c:ptCount val="1"/>
                <c:pt idx="0">
                  <c:v>TIPPs</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'[Memória de análise dos dados para o Relatório CVM 2025 - GID SAT Análise.xlsx]Consolidado 2024'!$B$1:$E$2</c:f>
              <c:multiLvlStrCache>
                <c:ptCount val="4"/>
                <c:lvl>
                  <c:pt idx="0">
                    <c:v>1º Trim</c:v>
                  </c:pt>
                  <c:pt idx="1">
                    <c:v>2º Trim</c:v>
                  </c:pt>
                  <c:pt idx="2">
                    <c:v>3º Trim</c:v>
                  </c:pt>
                  <c:pt idx="3">
                    <c:v>4º Trim</c:v>
                  </c:pt>
                </c:lvl>
                <c:lvl>
                  <c:pt idx="0">
                    <c:v>2024</c:v>
                  </c:pt>
                </c:lvl>
              </c:multiLvlStrCache>
            </c:multiLvlStrRef>
          </c:cat>
          <c:val>
            <c:numRef>
              <c:f>'[Memória de análise dos dados para o Relatório CVM 2025 - GID SAT Análise.xlsx]Consolidado 2024'!$B$4:$E$4</c:f>
              <c:numCache>
                <c:formatCode>_-* #,##0_-;\-* #,##0_-;_-* "-"??_-;_-@_-</c:formatCode>
                <c:ptCount val="4"/>
                <c:pt idx="0">
                  <c:v>5091</c:v>
                </c:pt>
                <c:pt idx="1">
                  <c:v>9725</c:v>
                </c:pt>
                <c:pt idx="2">
                  <c:v>11162</c:v>
                </c:pt>
                <c:pt idx="3">
                  <c:v>14235</c:v>
                </c:pt>
              </c:numCache>
            </c:numRef>
          </c:val>
          <c:extLst>
            <c:ext xmlns:c16="http://schemas.microsoft.com/office/drawing/2014/chart" uri="{C3380CC4-5D6E-409C-BE32-E72D297353CC}">
              <c16:uniqueId val="{00000001-B879-4F18-A614-2A507B1CC366}"/>
            </c:ext>
          </c:extLst>
        </c:ser>
        <c:dLbls>
          <c:showLegendKey val="0"/>
          <c:showVal val="1"/>
          <c:showCatName val="0"/>
          <c:showSerName val="0"/>
          <c:showPercent val="0"/>
          <c:showBubbleSize val="0"/>
        </c:dLbls>
        <c:gapWidth val="219"/>
        <c:axId val="1326209551"/>
        <c:axId val="1326210383"/>
      </c:barChart>
      <c:catAx>
        <c:axId val="1326209551"/>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1326210383"/>
        <c:crosses val="autoZero"/>
        <c:auto val="1"/>
        <c:lblAlgn val="ctr"/>
        <c:lblOffset val="100"/>
        <c:noMultiLvlLbl val="0"/>
      </c:catAx>
      <c:valAx>
        <c:axId val="1326210383"/>
        <c:scaling>
          <c:orientation val="minMax"/>
        </c:scaling>
        <c:delete val="1"/>
        <c:axPos val="l"/>
        <c:numFmt formatCode="_-* #,##0_-;\-* #,##0_-;_-* &quot;-&quot;??_-;_-@_-" sourceLinked="1"/>
        <c:majorTickMark val="none"/>
        <c:minorTickMark val="none"/>
        <c:tickLblPos val="nextTo"/>
        <c:crossAx val="1326209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noFill/>
    <a:ln w="9525" cap="flat" cmpd="sng" algn="ctr">
      <a:noFill/>
      <a:round/>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702757916241"/>
          <c:y val="0.14247318254895694"/>
          <c:w val="0.84061850586453501"/>
          <c:h val="0.73320704267615833"/>
        </c:manualLayout>
      </c:layout>
      <c:barChart>
        <c:barDir val="col"/>
        <c:grouping val="stacked"/>
        <c:varyColors val="0"/>
        <c:ser>
          <c:idx val="0"/>
          <c:order val="0"/>
          <c:spPr>
            <a:solidFill>
              <a:srgbClr val="5B9BD5"/>
            </a:solidFill>
            <a:ln>
              <a:noFill/>
            </a:ln>
          </c:spPr>
          <c:invertIfNegative val="0"/>
          <c:dPt>
            <c:idx val="0"/>
            <c:invertIfNegative val="0"/>
            <c:bubble3D val="0"/>
            <c:extLst>
              <c:ext xmlns:c16="http://schemas.microsoft.com/office/drawing/2014/chart" uri="{C3380CC4-5D6E-409C-BE32-E72D297353CC}">
                <c16:uniqueId val="{00000000-B8FE-4D39-9F98-E074349F6FEB}"/>
              </c:ext>
            </c:extLst>
          </c:dPt>
          <c:dPt>
            <c:idx val="1"/>
            <c:invertIfNegative val="0"/>
            <c:bubble3D val="0"/>
            <c:extLst>
              <c:ext xmlns:c16="http://schemas.microsoft.com/office/drawing/2014/chart" uri="{C3380CC4-5D6E-409C-BE32-E72D297353CC}">
                <c16:uniqueId val="{00000001-B8FE-4D39-9F98-E074349F6FEB}"/>
              </c:ext>
            </c:extLst>
          </c:dPt>
          <c:dPt>
            <c:idx val="2"/>
            <c:invertIfNegative val="0"/>
            <c:bubble3D val="0"/>
            <c:extLst>
              <c:ext xmlns:c16="http://schemas.microsoft.com/office/drawing/2014/chart" uri="{C3380CC4-5D6E-409C-BE32-E72D297353CC}">
                <c16:uniqueId val="{00000002-B8FE-4D39-9F98-E074349F6FEB}"/>
              </c:ext>
            </c:extLst>
          </c:dPt>
          <c:dPt>
            <c:idx val="3"/>
            <c:invertIfNegative val="0"/>
            <c:bubble3D val="0"/>
            <c:extLst>
              <c:ext xmlns:c16="http://schemas.microsoft.com/office/drawing/2014/chart" uri="{C3380CC4-5D6E-409C-BE32-E72D297353CC}">
                <c16:uniqueId val="{00000003-B8FE-4D39-9F98-E074349F6FEB}"/>
              </c:ext>
            </c:extLst>
          </c:dPt>
          <c:dPt>
            <c:idx val="4"/>
            <c:invertIfNegative val="0"/>
            <c:bubble3D val="0"/>
            <c:extLst>
              <c:ext xmlns:c16="http://schemas.microsoft.com/office/drawing/2014/chart" uri="{C3380CC4-5D6E-409C-BE32-E72D297353CC}">
                <c16:uniqueId val="{00000004-B8FE-4D39-9F98-E074349F6FEB}"/>
              </c:ext>
            </c:extLst>
          </c:dPt>
          <c:dPt>
            <c:idx val="5"/>
            <c:invertIfNegative val="0"/>
            <c:bubble3D val="0"/>
            <c:extLst>
              <c:ext xmlns:c16="http://schemas.microsoft.com/office/drawing/2014/chart" uri="{C3380CC4-5D6E-409C-BE32-E72D297353CC}">
                <c16:uniqueId val="{00000005-B8FE-4D39-9F98-E074349F6FEB}"/>
              </c:ext>
            </c:extLst>
          </c:dPt>
          <c:dPt>
            <c:idx val="6"/>
            <c:invertIfNegative val="0"/>
            <c:bubble3D val="0"/>
            <c:extLst>
              <c:ext xmlns:c16="http://schemas.microsoft.com/office/drawing/2014/chart" uri="{C3380CC4-5D6E-409C-BE32-E72D297353CC}">
                <c16:uniqueId val="{00000006-B8FE-4D39-9F98-E074349F6FEB}"/>
              </c:ext>
            </c:extLst>
          </c:dPt>
          <c:dPt>
            <c:idx val="7"/>
            <c:invertIfNegative val="0"/>
            <c:bubble3D val="0"/>
            <c:extLst>
              <c:ext xmlns:c16="http://schemas.microsoft.com/office/drawing/2014/chart" uri="{C3380CC4-5D6E-409C-BE32-E72D297353CC}">
                <c16:uniqueId val="{00000007-B8FE-4D39-9F98-E074349F6FEB}"/>
              </c:ext>
            </c:extLst>
          </c:dPt>
          <c:dPt>
            <c:idx val="8"/>
            <c:invertIfNegative val="0"/>
            <c:bubble3D val="0"/>
            <c:extLst>
              <c:ext xmlns:c16="http://schemas.microsoft.com/office/drawing/2014/chart" uri="{C3380CC4-5D6E-409C-BE32-E72D297353CC}">
                <c16:uniqueId val="{00000008-B8FE-4D39-9F98-E074349F6FEB}"/>
              </c:ext>
            </c:extLst>
          </c:dPt>
          <c:dPt>
            <c:idx val="9"/>
            <c:invertIfNegative val="0"/>
            <c:bubble3D val="0"/>
            <c:extLst>
              <c:ext xmlns:c16="http://schemas.microsoft.com/office/drawing/2014/chart" uri="{C3380CC4-5D6E-409C-BE32-E72D297353CC}">
                <c16:uniqueId val="{00000009-B8FE-4D39-9F98-E074349F6FEB}"/>
              </c:ext>
            </c:extLst>
          </c:dPt>
          <c:dPt>
            <c:idx val="10"/>
            <c:invertIfNegative val="0"/>
            <c:bubble3D val="0"/>
            <c:extLst>
              <c:ext xmlns:c16="http://schemas.microsoft.com/office/drawing/2014/chart" uri="{C3380CC4-5D6E-409C-BE32-E72D297353CC}">
                <c16:uniqueId val="{0000000A-B8FE-4D39-9F98-E074349F6FEB}"/>
              </c:ext>
            </c:extLst>
          </c:dPt>
          <c:dPt>
            <c:idx val="11"/>
            <c:invertIfNegative val="0"/>
            <c:bubble3D val="0"/>
            <c:extLst>
              <c:ext xmlns:c16="http://schemas.microsoft.com/office/drawing/2014/chart" uri="{C3380CC4-5D6E-409C-BE32-E72D297353CC}">
                <c16:uniqueId val="{0000000B-B8FE-4D39-9F98-E074349F6FEB}"/>
              </c:ext>
            </c:extLst>
          </c:dPt>
          <c:dLbls>
            <c:dLbl>
              <c:idx val="0"/>
              <c:layout>
                <c:manualLayout>
                  <c:x val="0"/>
                  <c:y val="-0.42851010081651592"/>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0-B8FE-4D39-9F98-E074349F6FEB}"/>
                </c:ext>
              </c:extLst>
            </c:dLbl>
            <c:dLbl>
              <c:idx val="1"/>
              <c:layout>
                <c:manualLayout>
                  <c:x val="-1.6930100812751485E-3"/>
                  <c:y val="-0.42543615896782067"/>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B8FE-4D39-9F98-E074349F6FEB}"/>
                </c:ext>
              </c:extLst>
            </c:dLbl>
            <c:dLbl>
              <c:idx val="2"/>
              <c:layout>
                <c:manualLayout>
                  <c:x val="0"/>
                  <c:y val="-0.43162113156020965"/>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2-B8FE-4D39-9F98-E074349F6FEB}"/>
                </c:ext>
              </c:extLst>
            </c:dLbl>
            <c:dLbl>
              <c:idx val="3"/>
              <c:layout>
                <c:manualLayout>
                  <c:x val="0"/>
                  <c:y val="-0.43081868494354014"/>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B8FE-4D39-9F98-E074349F6FEB}"/>
                </c:ext>
              </c:extLst>
            </c:dLbl>
            <c:dLbl>
              <c:idx val="4"/>
              <c:layout>
                <c:manualLayout>
                  <c:x val="0"/>
                  <c:y val="-0.41831458703197566"/>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4-B8FE-4D39-9F98-E074349F6FEB}"/>
                </c:ext>
              </c:extLst>
            </c:dLbl>
            <c:dLbl>
              <c:idx val="5"/>
              <c:layout>
                <c:manualLayout>
                  <c:x val="0"/>
                  <c:y val="-0.44220310038857447"/>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B8FE-4D39-9F98-E074349F6FEB}"/>
                </c:ext>
              </c:extLst>
            </c:dLbl>
            <c:dLbl>
              <c:idx val="6"/>
              <c:layout>
                <c:manualLayout>
                  <c:x val="0"/>
                  <c:y val="-0.43455404125103209"/>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6-B8FE-4D39-9F98-E074349F6FEB}"/>
                </c:ext>
              </c:extLst>
            </c:dLbl>
            <c:dLbl>
              <c:idx val="7"/>
              <c:layout>
                <c:manualLayout>
                  <c:x val="0"/>
                  <c:y val="-0.44018064083961622"/>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7-B8FE-4D39-9F98-E074349F6FEB}"/>
                </c:ext>
              </c:extLst>
            </c:dLbl>
            <c:dLbl>
              <c:idx val="8"/>
              <c:layout>
                <c:manualLayout>
                  <c:x val="-3.386020162550297E-3"/>
                  <c:y val="-0.42205377632414964"/>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8-B8FE-4D39-9F98-E074349F6FEB}"/>
                </c:ext>
              </c:extLst>
            </c:dLbl>
            <c:dLbl>
              <c:idx val="9"/>
              <c:layout>
                <c:manualLayout>
                  <c:x val="0"/>
                  <c:y val="-0.42962955781335888"/>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9-B8FE-4D39-9F98-E074349F6FEB}"/>
                </c:ext>
              </c:extLst>
            </c:dLbl>
            <c:dLbl>
              <c:idx val="10"/>
              <c:layout>
                <c:manualLayout>
                  <c:x val="-6.772040325100594E-3"/>
                  <c:y val="-0.42699404263992535"/>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A-B8FE-4D39-9F98-E074349F6FEB}"/>
                </c:ext>
              </c:extLst>
            </c:dLbl>
            <c:dLbl>
              <c:idx val="11"/>
              <c:layout>
                <c:manualLayout>
                  <c:x val="-1.6930100812750245E-3"/>
                  <c:y val="-0.42864876467413093"/>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B-B8FE-4D39-9F98-E074349F6FEB}"/>
                </c:ext>
              </c:extLst>
            </c:dLbl>
            <c:dLbl>
              <c:idx val="12"/>
              <c:layout>
                <c:manualLayout>
                  <c:x val="-1.5171222558781545E-3"/>
                  <c:y val="-0.43414814469053398"/>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C-B8FE-4D39-9F98-E074349F6FEB}"/>
                </c:ext>
              </c:extLst>
            </c:dLbl>
            <c:dLbl>
              <c:idx val="13"/>
              <c:layout>
                <c:manualLayout>
                  <c:x val="0"/>
                  <c:y val="-0.41810396317280335"/>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D-B8FE-4D39-9F98-E074349F6FEB}"/>
                </c:ext>
              </c:extLst>
            </c:dLbl>
            <c:numFmt formatCode="0.00%" sourceLinked="0"/>
            <c:spPr>
              <a:noFill/>
              <a:ln>
                <a:noFill/>
              </a:ln>
              <a:effectLst/>
            </c:spPr>
            <c:txPr>
              <a:bodyPr rot="-5400000" vert="horz" anchor="ctr" anchorCtr="0"/>
              <a:lstStyle/>
              <a:p>
                <a:pPr>
                  <a:defRPr sz="1050" b="1">
                    <a:solidFill>
                      <a:sysClr val="windowText" lastClr="000000"/>
                    </a:solidFill>
                  </a:defRPr>
                </a:pPr>
                <a:endParaRPr lang="pt-BR"/>
              </a:p>
            </c:txPr>
            <c:dLblPos val="in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'SLA Rede'!$A$20:$A$31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'SLA Rede'!$B$20:$B$31</c:f>
              <c:numCache>
                <c:formatCode>0.00%</c:formatCode>
                <c:ptCount val="12"/>
                <c:pt idx="0">
                  <c:v>0.99860000000000004</c:v>
                </c:pt>
                <c:pt idx="1">
                  <c:v>0.99680000000000002</c:v>
                </c:pt>
                <c:pt idx="2">
                  <c:v>0.99639999999999995</c:v>
                </c:pt>
                <c:pt idx="3">
                  <c:v>0.99650000000000005</c:v>
                </c:pt>
                <c:pt idx="4">
                  <c:v>0.98970000000000002</c:v>
                </c:pt>
                <c:pt idx="5">
                  <c:v>0.99670000000000003</c:v>
                </c:pt>
                <c:pt idx="6">
                  <c:v>0.99490000000000001</c:v>
                </c:pt>
                <c:pt idx="7">
                  <c:v>0.9889</c:v>
                </c:pt>
                <c:pt idx="8">
                  <c:v>0.99739999999999995</c:v>
                </c:pt>
                <c:pt idx="9">
                  <c:v>0.99529999999999996</c:v>
                </c:pt>
                <c:pt idx="10">
                  <c:v>0.99819999999999998</c:v>
                </c:pt>
                <c:pt idx="11">
                  <c:v>0.99840000000000007</c:v>
                </c:pt>
              </c:numCache>
            </c:numRef>
          </c:val>
          <c:extLst>
            <c:ext xmlns:c16="http://schemas.microsoft.com/office/drawing/2014/chart" uri="{C3380CC4-5D6E-409C-BE32-E72D297353CC}">
              <c16:uniqueId val="{0000000E-B8FE-4D39-9F98-E074349F6FEB}"/>
            </c:ext>
          </c:extLst>
        </c:ser>
        <c:dLbls>
          <c:showLegendKey val="0"/>
          <c:showVal val="0"/>
          <c:showCatName val="0"/>
          <c:showSerName val="0"/>
          <c:showPercent val="0"/>
          <c:showBubbleSize val="0"/>
        </c:dLbls>
        <c:gapWidth val="150"/>
        <c:overlap val="100"/>
        <c:axId val="298408320"/>
        <c:axId val="298395264"/>
      </c:barChart>
      <c:dateAx>
        <c:axId val="298408320"/>
        <c:scaling>
          <c:orientation val="minMax"/>
        </c:scaling>
        <c:delete val="0"/>
        <c:axPos val="b"/>
        <c:numFmt formatCode="mmm\-yy" sourceLinked="1"/>
        <c:majorTickMark val="out"/>
        <c:minorTickMark val="none"/>
        <c:tickLblPos val="nextTo"/>
        <c:spPr>
          <a:ln w="9360">
            <a:solidFill>
              <a:srgbClr val="D9D9D9"/>
            </a:solidFill>
            <a:round/>
          </a:ln>
        </c:spPr>
        <c:txPr>
          <a:bodyPr/>
          <a:lstStyle/>
          <a:p>
            <a:pPr>
              <a:defRPr sz="900" b="0" strike="noStrike" spc="-1">
                <a:solidFill>
                  <a:srgbClr val="000000"/>
                </a:solidFill>
                <a:latin typeface="Calibri"/>
              </a:defRPr>
            </a:pPr>
            <a:endParaRPr lang="pt-BR"/>
          </a:p>
        </c:txPr>
        <c:crossAx val="298395264"/>
        <c:crossesAt val="0.9"/>
        <c:auto val="1"/>
        <c:lblOffset val="100"/>
        <c:baseTimeUnit val="months"/>
      </c:dateAx>
      <c:valAx>
        <c:axId val="298395264"/>
        <c:scaling>
          <c:orientation val="minMax"/>
          <c:max val="1"/>
          <c:min val="0.9"/>
        </c:scaling>
        <c:delete val="0"/>
        <c:axPos val="l"/>
        <c:title>
          <c:tx>
            <c:rich>
              <a:bodyPr rot="-5400000"/>
              <a:lstStyle/>
              <a:p>
                <a:pPr>
                  <a:defRPr sz="1000" b="1" strike="noStrike" spc="-1">
                    <a:solidFill>
                      <a:srgbClr val="000000"/>
                    </a:solidFill>
                    <a:latin typeface="Calibri"/>
                  </a:defRPr>
                </a:pPr>
                <a:r>
                  <a:rPr lang="pt-BR" sz="1000" b="1" strike="noStrike" spc="-1">
                    <a:solidFill>
                      <a:srgbClr val="000000"/>
                    </a:solidFill>
                    <a:latin typeface="Calibri"/>
                  </a:rPr>
                  <a:t>% SLA</a:t>
                </a:r>
              </a:p>
            </c:rich>
          </c:tx>
          <c:overlay val="0"/>
          <c:spPr>
            <a:noFill/>
            <a:ln>
              <a:noFill/>
            </a:ln>
          </c:spPr>
        </c:title>
        <c:numFmt formatCode="0.0%"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298408320"/>
        <c:crosses val="autoZero"/>
        <c:crossBetween val="between"/>
        <c:majorUnit val="5.000000000000001E-3"/>
      </c:valAx>
      <c:spPr>
        <a:noFill/>
        <a:ln>
          <a:noFill/>
        </a:ln>
      </c:spPr>
    </c:plotArea>
    <c:plotVisOnly val="1"/>
    <c:dispBlanksAs val="gap"/>
    <c:showDLblsOverMax val="1"/>
  </c:chart>
  <c:spPr>
    <a:solidFill>
      <a:srgbClr val="FFFFFF"/>
    </a:solidFill>
    <a:ln w="9360">
      <a:noFill/>
    </a:ln>
  </c:sp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0.13178</cdr:x>
      <cdr:y>0.18296</cdr:y>
    </cdr:from>
    <cdr:to>
      <cdr:x>0.94891</cdr:x>
      <cdr:y>0.18759</cdr:y>
    </cdr:to>
    <cdr:cxnSp macro="">
      <cdr:nvCxnSpPr>
        <cdr:cNvPr id="3" name="Conector reto 2">
          <a:extLst xmlns:a="http://schemas.openxmlformats.org/drawingml/2006/main">
            <a:ext uri="{FF2B5EF4-FFF2-40B4-BE49-F238E27FC236}">
              <a16:creationId xmlns:a16="http://schemas.microsoft.com/office/drawing/2014/main" id="{5B2EF43B-5B17-4592-8DA9-27777770EDCD}"/>
            </a:ext>
          </a:extLst>
        </cdr:cNvPr>
        <cdr:cNvCxnSpPr/>
      </cdr:nvCxnSpPr>
      <cdr:spPr>
        <a:xfrm xmlns:a="http://schemas.openxmlformats.org/drawingml/2006/main" flipV="1">
          <a:off x="988563" y="885275"/>
          <a:ext cx="6129645" cy="22402"/>
        </a:xfrm>
        <a:prstGeom xmlns:a="http://schemas.openxmlformats.org/drawingml/2006/main" prst="line">
          <a:avLst/>
        </a:prstGeom>
        <a:ln xmlns:a="http://schemas.openxmlformats.org/drawingml/2006/main" w="22225">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0.01026</cdr:x>
      <cdr:y>0.93974</cdr:y>
    </cdr:from>
    <cdr:to>
      <cdr:x>0.13216</cdr:x>
      <cdr:y>1</cdr:y>
    </cdr:to>
    <cdr:sp macro="" textlink="">
      <cdr:nvSpPr>
        <cdr:cNvPr id="6" name="CaixaDeTexto 5"/>
        <cdr:cNvSpPr txBox="1"/>
      </cdr:nvSpPr>
      <cdr:spPr>
        <a:xfrm xmlns:a="http://schemas.openxmlformats.org/drawingml/2006/main">
          <a:off x="59087" y="3470610"/>
          <a:ext cx="702232" cy="222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1000" b="1"/>
            <a:t>Fonte: DTO</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Proposta de Modelo para Nvos Negócis</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18A7C92F09A784AA05C3F5635716AF6" ma:contentTypeVersion="4" ma:contentTypeDescription="Crie um novo documento." ma:contentTypeScope="" ma:versionID="8638c56ecd6e05be922605f4f612e447">
  <xsd:schema xmlns:xsd="http://www.w3.org/2001/XMLSchema" xmlns:xs="http://www.w3.org/2001/XMLSchema" xmlns:p="http://schemas.microsoft.com/office/2006/metadata/properties" xmlns:ns2="034672aa-f560-46e3-8b3c-aa57edd94028" targetNamespace="http://schemas.microsoft.com/office/2006/metadata/properties" ma:root="true" ma:fieldsID="f0fd11161be8e3dd98c40ba254aa0697" ns2:_="">
    <xsd:import namespace="034672aa-f560-46e3-8b3c-aa57edd9402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4672aa-f560-46e3-8b3c-aa57edd940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0C6AD0-3778-4DC1-AACF-98A17C0F9040}">
  <ds:schemaRefs>
    <ds:schemaRef ds:uri="http://schemas.microsoft.com/office/2006/metadata/properties"/>
    <ds:schemaRef ds:uri="http://purl.org/dc/elements/1.1/"/>
    <ds:schemaRef ds:uri="http://purl.org/dc/dcmitype/"/>
    <ds:schemaRef ds:uri="http://schemas.openxmlformats.org/package/2006/metadata/core-properties"/>
    <ds:schemaRef ds:uri="http://schemas.microsoft.com/office/infopath/2007/PartnerControls"/>
    <ds:schemaRef ds:uri="http://schemas.microsoft.com/office/2006/documentManagement/types"/>
    <ds:schemaRef ds:uri="034672aa-f560-46e3-8b3c-aa57edd94028"/>
    <ds:schemaRef ds:uri="http://www.w3.org/XML/1998/namespace"/>
    <ds:schemaRef ds:uri="http://purl.org/dc/terms/"/>
  </ds:schemaRefs>
</ds:datastoreItem>
</file>

<file path=customXml/itemProps3.xml><?xml version="1.0" encoding="utf-8"?>
<ds:datastoreItem xmlns:ds="http://schemas.openxmlformats.org/officeDocument/2006/customXml" ds:itemID="{656F8617-BB53-49E5-8333-4D54F8500D1B}">
  <ds:schemaRefs>
    <ds:schemaRef ds:uri="http://schemas.microsoft.com/sharepoint/v3/contenttype/forms"/>
  </ds:schemaRefs>
</ds:datastoreItem>
</file>

<file path=customXml/itemProps4.xml><?xml version="1.0" encoding="utf-8"?>
<ds:datastoreItem xmlns:ds="http://schemas.openxmlformats.org/officeDocument/2006/customXml" ds:itemID="{3501CA30-7783-4501-B2CF-DDAA90495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4672aa-f560-46e3-8b3c-aa57edd940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82F658-CEA8-461E-A8C1-769304E21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Teses e Dissertações</Template>
  <TotalTime>0</TotalTime>
  <Pages>43</Pages>
  <Words>13895</Words>
  <Characters>83413</Characters>
  <Application>Microsoft Office Word</Application>
  <DocSecurity>0</DocSecurity>
  <Lines>695</Lines>
  <Paragraphs>194</Paragraphs>
  <ScaleCrop>false</ScaleCrop>
  <HeadingPairs>
    <vt:vector size="2" baseType="variant">
      <vt:variant>
        <vt:lpstr>Título</vt:lpstr>
      </vt:variant>
      <vt:variant>
        <vt:i4>1</vt:i4>
      </vt:variant>
    </vt:vector>
  </HeadingPairs>
  <TitlesOfParts>
    <vt:vector size="1" baseType="lpstr">
      <vt:lpstr/>
    </vt:vector>
  </TitlesOfParts>
  <Company>Pós Graduação</Company>
  <LinksUpToDate>false</LinksUpToDate>
  <CharactersWithSpaces>97114</CharactersWithSpaces>
  <SharedDoc>false</SharedDoc>
  <HLinks>
    <vt:vector size="486" baseType="variant">
      <vt:variant>
        <vt:i4>1507386</vt:i4>
      </vt:variant>
      <vt:variant>
        <vt:i4>493</vt:i4>
      </vt:variant>
      <vt:variant>
        <vt:i4>0</vt:i4>
      </vt:variant>
      <vt:variant>
        <vt:i4>5</vt:i4>
      </vt:variant>
      <vt:variant>
        <vt:lpwstr/>
      </vt:variant>
      <vt:variant>
        <vt:lpwstr>_Toc95061320</vt:lpwstr>
      </vt:variant>
      <vt:variant>
        <vt:i4>1966137</vt:i4>
      </vt:variant>
      <vt:variant>
        <vt:i4>487</vt:i4>
      </vt:variant>
      <vt:variant>
        <vt:i4>0</vt:i4>
      </vt:variant>
      <vt:variant>
        <vt:i4>5</vt:i4>
      </vt:variant>
      <vt:variant>
        <vt:lpwstr/>
      </vt:variant>
      <vt:variant>
        <vt:lpwstr>_Toc95061319</vt:lpwstr>
      </vt:variant>
      <vt:variant>
        <vt:i4>2031673</vt:i4>
      </vt:variant>
      <vt:variant>
        <vt:i4>481</vt:i4>
      </vt:variant>
      <vt:variant>
        <vt:i4>0</vt:i4>
      </vt:variant>
      <vt:variant>
        <vt:i4>5</vt:i4>
      </vt:variant>
      <vt:variant>
        <vt:lpwstr/>
      </vt:variant>
      <vt:variant>
        <vt:lpwstr>_Toc95061318</vt:lpwstr>
      </vt:variant>
      <vt:variant>
        <vt:i4>1048633</vt:i4>
      </vt:variant>
      <vt:variant>
        <vt:i4>475</vt:i4>
      </vt:variant>
      <vt:variant>
        <vt:i4>0</vt:i4>
      </vt:variant>
      <vt:variant>
        <vt:i4>5</vt:i4>
      </vt:variant>
      <vt:variant>
        <vt:lpwstr/>
      </vt:variant>
      <vt:variant>
        <vt:lpwstr>_Toc95061317</vt:lpwstr>
      </vt:variant>
      <vt:variant>
        <vt:i4>1114169</vt:i4>
      </vt:variant>
      <vt:variant>
        <vt:i4>469</vt:i4>
      </vt:variant>
      <vt:variant>
        <vt:i4>0</vt:i4>
      </vt:variant>
      <vt:variant>
        <vt:i4>5</vt:i4>
      </vt:variant>
      <vt:variant>
        <vt:lpwstr/>
      </vt:variant>
      <vt:variant>
        <vt:lpwstr>_Toc95061316</vt:lpwstr>
      </vt:variant>
      <vt:variant>
        <vt:i4>1179705</vt:i4>
      </vt:variant>
      <vt:variant>
        <vt:i4>463</vt:i4>
      </vt:variant>
      <vt:variant>
        <vt:i4>0</vt:i4>
      </vt:variant>
      <vt:variant>
        <vt:i4>5</vt:i4>
      </vt:variant>
      <vt:variant>
        <vt:lpwstr/>
      </vt:variant>
      <vt:variant>
        <vt:lpwstr>_Toc95061315</vt:lpwstr>
      </vt:variant>
      <vt:variant>
        <vt:i4>1245241</vt:i4>
      </vt:variant>
      <vt:variant>
        <vt:i4>457</vt:i4>
      </vt:variant>
      <vt:variant>
        <vt:i4>0</vt:i4>
      </vt:variant>
      <vt:variant>
        <vt:i4>5</vt:i4>
      </vt:variant>
      <vt:variant>
        <vt:lpwstr/>
      </vt:variant>
      <vt:variant>
        <vt:lpwstr>_Toc95061314</vt:lpwstr>
      </vt:variant>
      <vt:variant>
        <vt:i4>1310777</vt:i4>
      </vt:variant>
      <vt:variant>
        <vt:i4>451</vt:i4>
      </vt:variant>
      <vt:variant>
        <vt:i4>0</vt:i4>
      </vt:variant>
      <vt:variant>
        <vt:i4>5</vt:i4>
      </vt:variant>
      <vt:variant>
        <vt:lpwstr/>
      </vt:variant>
      <vt:variant>
        <vt:lpwstr>_Toc95061313</vt:lpwstr>
      </vt:variant>
      <vt:variant>
        <vt:i4>1376313</vt:i4>
      </vt:variant>
      <vt:variant>
        <vt:i4>445</vt:i4>
      </vt:variant>
      <vt:variant>
        <vt:i4>0</vt:i4>
      </vt:variant>
      <vt:variant>
        <vt:i4>5</vt:i4>
      </vt:variant>
      <vt:variant>
        <vt:lpwstr/>
      </vt:variant>
      <vt:variant>
        <vt:lpwstr>_Toc95061312</vt:lpwstr>
      </vt:variant>
      <vt:variant>
        <vt:i4>1441849</vt:i4>
      </vt:variant>
      <vt:variant>
        <vt:i4>439</vt:i4>
      </vt:variant>
      <vt:variant>
        <vt:i4>0</vt:i4>
      </vt:variant>
      <vt:variant>
        <vt:i4>5</vt:i4>
      </vt:variant>
      <vt:variant>
        <vt:lpwstr/>
      </vt:variant>
      <vt:variant>
        <vt:lpwstr>_Toc95061311</vt:lpwstr>
      </vt:variant>
      <vt:variant>
        <vt:i4>1507385</vt:i4>
      </vt:variant>
      <vt:variant>
        <vt:i4>433</vt:i4>
      </vt:variant>
      <vt:variant>
        <vt:i4>0</vt:i4>
      </vt:variant>
      <vt:variant>
        <vt:i4>5</vt:i4>
      </vt:variant>
      <vt:variant>
        <vt:lpwstr/>
      </vt:variant>
      <vt:variant>
        <vt:lpwstr>_Toc95061310</vt:lpwstr>
      </vt:variant>
      <vt:variant>
        <vt:i4>1966136</vt:i4>
      </vt:variant>
      <vt:variant>
        <vt:i4>427</vt:i4>
      </vt:variant>
      <vt:variant>
        <vt:i4>0</vt:i4>
      </vt:variant>
      <vt:variant>
        <vt:i4>5</vt:i4>
      </vt:variant>
      <vt:variant>
        <vt:lpwstr/>
      </vt:variant>
      <vt:variant>
        <vt:lpwstr>_Toc95061309</vt:lpwstr>
      </vt:variant>
      <vt:variant>
        <vt:i4>2031672</vt:i4>
      </vt:variant>
      <vt:variant>
        <vt:i4>421</vt:i4>
      </vt:variant>
      <vt:variant>
        <vt:i4>0</vt:i4>
      </vt:variant>
      <vt:variant>
        <vt:i4>5</vt:i4>
      </vt:variant>
      <vt:variant>
        <vt:lpwstr/>
      </vt:variant>
      <vt:variant>
        <vt:lpwstr>_Toc95061308</vt:lpwstr>
      </vt:variant>
      <vt:variant>
        <vt:i4>1048632</vt:i4>
      </vt:variant>
      <vt:variant>
        <vt:i4>415</vt:i4>
      </vt:variant>
      <vt:variant>
        <vt:i4>0</vt:i4>
      </vt:variant>
      <vt:variant>
        <vt:i4>5</vt:i4>
      </vt:variant>
      <vt:variant>
        <vt:lpwstr/>
      </vt:variant>
      <vt:variant>
        <vt:lpwstr>_Toc95061307</vt:lpwstr>
      </vt:variant>
      <vt:variant>
        <vt:i4>1114168</vt:i4>
      </vt:variant>
      <vt:variant>
        <vt:i4>409</vt:i4>
      </vt:variant>
      <vt:variant>
        <vt:i4>0</vt:i4>
      </vt:variant>
      <vt:variant>
        <vt:i4>5</vt:i4>
      </vt:variant>
      <vt:variant>
        <vt:lpwstr/>
      </vt:variant>
      <vt:variant>
        <vt:lpwstr>_Toc95061306</vt:lpwstr>
      </vt:variant>
      <vt:variant>
        <vt:i4>1835065</vt:i4>
      </vt:variant>
      <vt:variant>
        <vt:i4>400</vt:i4>
      </vt:variant>
      <vt:variant>
        <vt:i4>0</vt:i4>
      </vt:variant>
      <vt:variant>
        <vt:i4>5</vt:i4>
      </vt:variant>
      <vt:variant>
        <vt:lpwstr/>
      </vt:variant>
      <vt:variant>
        <vt:lpwstr>_Toc63265789</vt:lpwstr>
      </vt:variant>
      <vt:variant>
        <vt:i4>1900601</vt:i4>
      </vt:variant>
      <vt:variant>
        <vt:i4>394</vt:i4>
      </vt:variant>
      <vt:variant>
        <vt:i4>0</vt:i4>
      </vt:variant>
      <vt:variant>
        <vt:i4>5</vt:i4>
      </vt:variant>
      <vt:variant>
        <vt:lpwstr/>
      </vt:variant>
      <vt:variant>
        <vt:lpwstr>_Toc63265788</vt:lpwstr>
      </vt:variant>
      <vt:variant>
        <vt:i4>1179705</vt:i4>
      </vt:variant>
      <vt:variant>
        <vt:i4>388</vt:i4>
      </vt:variant>
      <vt:variant>
        <vt:i4>0</vt:i4>
      </vt:variant>
      <vt:variant>
        <vt:i4>5</vt:i4>
      </vt:variant>
      <vt:variant>
        <vt:lpwstr/>
      </vt:variant>
      <vt:variant>
        <vt:lpwstr>_Toc63265787</vt:lpwstr>
      </vt:variant>
      <vt:variant>
        <vt:i4>1245241</vt:i4>
      </vt:variant>
      <vt:variant>
        <vt:i4>382</vt:i4>
      </vt:variant>
      <vt:variant>
        <vt:i4>0</vt:i4>
      </vt:variant>
      <vt:variant>
        <vt:i4>5</vt:i4>
      </vt:variant>
      <vt:variant>
        <vt:lpwstr/>
      </vt:variant>
      <vt:variant>
        <vt:lpwstr>_Toc63265786</vt:lpwstr>
      </vt:variant>
      <vt:variant>
        <vt:i4>1048633</vt:i4>
      </vt:variant>
      <vt:variant>
        <vt:i4>376</vt:i4>
      </vt:variant>
      <vt:variant>
        <vt:i4>0</vt:i4>
      </vt:variant>
      <vt:variant>
        <vt:i4>5</vt:i4>
      </vt:variant>
      <vt:variant>
        <vt:lpwstr/>
      </vt:variant>
      <vt:variant>
        <vt:lpwstr>_Toc63265785</vt:lpwstr>
      </vt:variant>
      <vt:variant>
        <vt:i4>1114169</vt:i4>
      </vt:variant>
      <vt:variant>
        <vt:i4>370</vt:i4>
      </vt:variant>
      <vt:variant>
        <vt:i4>0</vt:i4>
      </vt:variant>
      <vt:variant>
        <vt:i4>5</vt:i4>
      </vt:variant>
      <vt:variant>
        <vt:lpwstr/>
      </vt:variant>
      <vt:variant>
        <vt:lpwstr>_Toc63265784</vt:lpwstr>
      </vt:variant>
      <vt:variant>
        <vt:i4>1441849</vt:i4>
      </vt:variant>
      <vt:variant>
        <vt:i4>364</vt:i4>
      </vt:variant>
      <vt:variant>
        <vt:i4>0</vt:i4>
      </vt:variant>
      <vt:variant>
        <vt:i4>5</vt:i4>
      </vt:variant>
      <vt:variant>
        <vt:lpwstr/>
      </vt:variant>
      <vt:variant>
        <vt:lpwstr>_Toc63265783</vt:lpwstr>
      </vt:variant>
      <vt:variant>
        <vt:i4>1507385</vt:i4>
      </vt:variant>
      <vt:variant>
        <vt:i4>355</vt:i4>
      </vt:variant>
      <vt:variant>
        <vt:i4>0</vt:i4>
      </vt:variant>
      <vt:variant>
        <vt:i4>5</vt:i4>
      </vt:variant>
      <vt:variant>
        <vt:lpwstr/>
      </vt:variant>
      <vt:variant>
        <vt:lpwstr>_Toc63265782</vt:lpwstr>
      </vt:variant>
      <vt:variant>
        <vt:i4>1310777</vt:i4>
      </vt:variant>
      <vt:variant>
        <vt:i4>349</vt:i4>
      </vt:variant>
      <vt:variant>
        <vt:i4>0</vt:i4>
      </vt:variant>
      <vt:variant>
        <vt:i4>5</vt:i4>
      </vt:variant>
      <vt:variant>
        <vt:lpwstr/>
      </vt:variant>
      <vt:variant>
        <vt:lpwstr>_Toc63265781</vt:lpwstr>
      </vt:variant>
      <vt:variant>
        <vt:i4>1376313</vt:i4>
      </vt:variant>
      <vt:variant>
        <vt:i4>343</vt:i4>
      </vt:variant>
      <vt:variant>
        <vt:i4>0</vt:i4>
      </vt:variant>
      <vt:variant>
        <vt:i4>5</vt:i4>
      </vt:variant>
      <vt:variant>
        <vt:lpwstr/>
      </vt:variant>
      <vt:variant>
        <vt:lpwstr>_Toc63265780</vt:lpwstr>
      </vt:variant>
      <vt:variant>
        <vt:i4>1835062</vt:i4>
      </vt:variant>
      <vt:variant>
        <vt:i4>337</vt:i4>
      </vt:variant>
      <vt:variant>
        <vt:i4>0</vt:i4>
      </vt:variant>
      <vt:variant>
        <vt:i4>5</vt:i4>
      </vt:variant>
      <vt:variant>
        <vt:lpwstr/>
      </vt:variant>
      <vt:variant>
        <vt:lpwstr>_Toc63265779</vt:lpwstr>
      </vt:variant>
      <vt:variant>
        <vt:i4>1900598</vt:i4>
      </vt:variant>
      <vt:variant>
        <vt:i4>331</vt:i4>
      </vt:variant>
      <vt:variant>
        <vt:i4>0</vt:i4>
      </vt:variant>
      <vt:variant>
        <vt:i4>5</vt:i4>
      </vt:variant>
      <vt:variant>
        <vt:lpwstr/>
      </vt:variant>
      <vt:variant>
        <vt:lpwstr>_Toc63265778</vt:lpwstr>
      </vt:variant>
      <vt:variant>
        <vt:i4>1179702</vt:i4>
      </vt:variant>
      <vt:variant>
        <vt:i4>325</vt:i4>
      </vt:variant>
      <vt:variant>
        <vt:i4>0</vt:i4>
      </vt:variant>
      <vt:variant>
        <vt:i4>5</vt:i4>
      </vt:variant>
      <vt:variant>
        <vt:lpwstr/>
      </vt:variant>
      <vt:variant>
        <vt:lpwstr>_Toc63265777</vt:lpwstr>
      </vt:variant>
      <vt:variant>
        <vt:i4>1245238</vt:i4>
      </vt:variant>
      <vt:variant>
        <vt:i4>319</vt:i4>
      </vt:variant>
      <vt:variant>
        <vt:i4>0</vt:i4>
      </vt:variant>
      <vt:variant>
        <vt:i4>5</vt:i4>
      </vt:variant>
      <vt:variant>
        <vt:lpwstr/>
      </vt:variant>
      <vt:variant>
        <vt:lpwstr>_Toc63265776</vt:lpwstr>
      </vt:variant>
      <vt:variant>
        <vt:i4>1048630</vt:i4>
      </vt:variant>
      <vt:variant>
        <vt:i4>313</vt:i4>
      </vt:variant>
      <vt:variant>
        <vt:i4>0</vt:i4>
      </vt:variant>
      <vt:variant>
        <vt:i4>5</vt:i4>
      </vt:variant>
      <vt:variant>
        <vt:lpwstr/>
      </vt:variant>
      <vt:variant>
        <vt:lpwstr>_Toc63265775</vt:lpwstr>
      </vt:variant>
      <vt:variant>
        <vt:i4>1114166</vt:i4>
      </vt:variant>
      <vt:variant>
        <vt:i4>307</vt:i4>
      </vt:variant>
      <vt:variant>
        <vt:i4>0</vt:i4>
      </vt:variant>
      <vt:variant>
        <vt:i4>5</vt:i4>
      </vt:variant>
      <vt:variant>
        <vt:lpwstr/>
      </vt:variant>
      <vt:variant>
        <vt:lpwstr>_Toc63265774</vt:lpwstr>
      </vt:variant>
      <vt:variant>
        <vt:i4>1572914</vt:i4>
      </vt:variant>
      <vt:variant>
        <vt:i4>296</vt:i4>
      </vt:variant>
      <vt:variant>
        <vt:i4>0</vt:i4>
      </vt:variant>
      <vt:variant>
        <vt:i4>5</vt:i4>
      </vt:variant>
      <vt:variant>
        <vt:lpwstr/>
      </vt:variant>
      <vt:variant>
        <vt:lpwstr>_Toc95122880</vt:lpwstr>
      </vt:variant>
      <vt:variant>
        <vt:i4>1114173</vt:i4>
      </vt:variant>
      <vt:variant>
        <vt:i4>290</vt:i4>
      </vt:variant>
      <vt:variant>
        <vt:i4>0</vt:i4>
      </vt:variant>
      <vt:variant>
        <vt:i4>5</vt:i4>
      </vt:variant>
      <vt:variant>
        <vt:lpwstr/>
      </vt:variant>
      <vt:variant>
        <vt:lpwstr>_Toc95122879</vt:lpwstr>
      </vt:variant>
      <vt:variant>
        <vt:i4>1048637</vt:i4>
      </vt:variant>
      <vt:variant>
        <vt:i4>284</vt:i4>
      </vt:variant>
      <vt:variant>
        <vt:i4>0</vt:i4>
      </vt:variant>
      <vt:variant>
        <vt:i4>5</vt:i4>
      </vt:variant>
      <vt:variant>
        <vt:lpwstr/>
      </vt:variant>
      <vt:variant>
        <vt:lpwstr>_Toc95122878</vt:lpwstr>
      </vt:variant>
      <vt:variant>
        <vt:i4>2031677</vt:i4>
      </vt:variant>
      <vt:variant>
        <vt:i4>278</vt:i4>
      </vt:variant>
      <vt:variant>
        <vt:i4>0</vt:i4>
      </vt:variant>
      <vt:variant>
        <vt:i4>5</vt:i4>
      </vt:variant>
      <vt:variant>
        <vt:lpwstr/>
      </vt:variant>
      <vt:variant>
        <vt:lpwstr>_Toc95122877</vt:lpwstr>
      </vt:variant>
      <vt:variant>
        <vt:i4>1966141</vt:i4>
      </vt:variant>
      <vt:variant>
        <vt:i4>272</vt:i4>
      </vt:variant>
      <vt:variant>
        <vt:i4>0</vt:i4>
      </vt:variant>
      <vt:variant>
        <vt:i4>5</vt:i4>
      </vt:variant>
      <vt:variant>
        <vt:lpwstr/>
      </vt:variant>
      <vt:variant>
        <vt:lpwstr>_Toc95122876</vt:lpwstr>
      </vt:variant>
      <vt:variant>
        <vt:i4>1900605</vt:i4>
      </vt:variant>
      <vt:variant>
        <vt:i4>266</vt:i4>
      </vt:variant>
      <vt:variant>
        <vt:i4>0</vt:i4>
      </vt:variant>
      <vt:variant>
        <vt:i4>5</vt:i4>
      </vt:variant>
      <vt:variant>
        <vt:lpwstr/>
      </vt:variant>
      <vt:variant>
        <vt:lpwstr>_Toc95122875</vt:lpwstr>
      </vt:variant>
      <vt:variant>
        <vt:i4>1835069</vt:i4>
      </vt:variant>
      <vt:variant>
        <vt:i4>260</vt:i4>
      </vt:variant>
      <vt:variant>
        <vt:i4>0</vt:i4>
      </vt:variant>
      <vt:variant>
        <vt:i4>5</vt:i4>
      </vt:variant>
      <vt:variant>
        <vt:lpwstr/>
      </vt:variant>
      <vt:variant>
        <vt:lpwstr>_Toc95122874</vt:lpwstr>
      </vt:variant>
      <vt:variant>
        <vt:i4>1769533</vt:i4>
      </vt:variant>
      <vt:variant>
        <vt:i4>254</vt:i4>
      </vt:variant>
      <vt:variant>
        <vt:i4>0</vt:i4>
      </vt:variant>
      <vt:variant>
        <vt:i4>5</vt:i4>
      </vt:variant>
      <vt:variant>
        <vt:lpwstr/>
      </vt:variant>
      <vt:variant>
        <vt:lpwstr>_Toc95122873</vt:lpwstr>
      </vt:variant>
      <vt:variant>
        <vt:i4>1703997</vt:i4>
      </vt:variant>
      <vt:variant>
        <vt:i4>248</vt:i4>
      </vt:variant>
      <vt:variant>
        <vt:i4>0</vt:i4>
      </vt:variant>
      <vt:variant>
        <vt:i4>5</vt:i4>
      </vt:variant>
      <vt:variant>
        <vt:lpwstr/>
      </vt:variant>
      <vt:variant>
        <vt:lpwstr>_Toc95122872</vt:lpwstr>
      </vt:variant>
      <vt:variant>
        <vt:i4>1638461</vt:i4>
      </vt:variant>
      <vt:variant>
        <vt:i4>242</vt:i4>
      </vt:variant>
      <vt:variant>
        <vt:i4>0</vt:i4>
      </vt:variant>
      <vt:variant>
        <vt:i4>5</vt:i4>
      </vt:variant>
      <vt:variant>
        <vt:lpwstr/>
      </vt:variant>
      <vt:variant>
        <vt:lpwstr>_Toc95122871</vt:lpwstr>
      </vt:variant>
      <vt:variant>
        <vt:i4>1572925</vt:i4>
      </vt:variant>
      <vt:variant>
        <vt:i4>236</vt:i4>
      </vt:variant>
      <vt:variant>
        <vt:i4>0</vt:i4>
      </vt:variant>
      <vt:variant>
        <vt:i4>5</vt:i4>
      </vt:variant>
      <vt:variant>
        <vt:lpwstr/>
      </vt:variant>
      <vt:variant>
        <vt:lpwstr>_Toc95122870</vt:lpwstr>
      </vt:variant>
      <vt:variant>
        <vt:i4>1114172</vt:i4>
      </vt:variant>
      <vt:variant>
        <vt:i4>230</vt:i4>
      </vt:variant>
      <vt:variant>
        <vt:i4>0</vt:i4>
      </vt:variant>
      <vt:variant>
        <vt:i4>5</vt:i4>
      </vt:variant>
      <vt:variant>
        <vt:lpwstr/>
      </vt:variant>
      <vt:variant>
        <vt:lpwstr>_Toc95122869</vt:lpwstr>
      </vt:variant>
      <vt:variant>
        <vt:i4>1048636</vt:i4>
      </vt:variant>
      <vt:variant>
        <vt:i4>224</vt:i4>
      </vt:variant>
      <vt:variant>
        <vt:i4>0</vt:i4>
      </vt:variant>
      <vt:variant>
        <vt:i4>5</vt:i4>
      </vt:variant>
      <vt:variant>
        <vt:lpwstr/>
      </vt:variant>
      <vt:variant>
        <vt:lpwstr>_Toc95122868</vt:lpwstr>
      </vt:variant>
      <vt:variant>
        <vt:i4>2031676</vt:i4>
      </vt:variant>
      <vt:variant>
        <vt:i4>218</vt:i4>
      </vt:variant>
      <vt:variant>
        <vt:i4>0</vt:i4>
      </vt:variant>
      <vt:variant>
        <vt:i4>5</vt:i4>
      </vt:variant>
      <vt:variant>
        <vt:lpwstr/>
      </vt:variant>
      <vt:variant>
        <vt:lpwstr>_Toc95122867</vt:lpwstr>
      </vt:variant>
      <vt:variant>
        <vt:i4>1966140</vt:i4>
      </vt:variant>
      <vt:variant>
        <vt:i4>212</vt:i4>
      </vt:variant>
      <vt:variant>
        <vt:i4>0</vt:i4>
      </vt:variant>
      <vt:variant>
        <vt:i4>5</vt:i4>
      </vt:variant>
      <vt:variant>
        <vt:lpwstr/>
      </vt:variant>
      <vt:variant>
        <vt:lpwstr>_Toc95122866</vt:lpwstr>
      </vt:variant>
      <vt:variant>
        <vt:i4>1900604</vt:i4>
      </vt:variant>
      <vt:variant>
        <vt:i4>206</vt:i4>
      </vt:variant>
      <vt:variant>
        <vt:i4>0</vt:i4>
      </vt:variant>
      <vt:variant>
        <vt:i4>5</vt:i4>
      </vt:variant>
      <vt:variant>
        <vt:lpwstr/>
      </vt:variant>
      <vt:variant>
        <vt:lpwstr>_Toc95122865</vt:lpwstr>
      </vt:variant>
      <vt:variant>
        <vt:i4>1835068</vt:i4>
      </vt:variant>
      <vt:variant>
        <vt:i4>200</vt:i4>
      </vt:variant>
      <vt:variant>
        <vt:i4>0</vt:i4>
      </vt:variant>
      <vt:variant>
        <vt:i4>5</vt:i4>
      </vt:variant>
      <vt:variant>
        <vt:lpwstr/>
      </vt:variant>
      <vt:variant>
        <vt:lpwstr>_Toc95122864</vt:lpwstr>
      </vt:variant>
      <vt:variant>
        <vt:i4>1769532</vt:i4>
      </vt:variant>
      <vt:variant>
        <vt:i4>194</vt:i4>
      </vt:variant>
      <vt:variant>
        <vt:i4>0</vt:i4>
      </vt:variant>
      <vt:variant>
        <vt:i4>5</vt:i4>
      </vt:variant>
      <vt:variant>
        <vt:lpwstr/>
      </vt:variant>
      <vt:variant>
        <vt:lpwstr>_Toc95122863</vt:lpwstr>
      </vt:variant>
      <vt:variant>
        <vt:i4>1703996</vt:i4>
      </vt:variant>
      <vt:variant>
        <vt:i4>188</vt:i4>
      </vt:variant>
      <vt:variant>
        <vt:i4>0</vt:i4>
      </vt:variant>
      <vt:variant>
        <vt:i4>5</vt:i4>
      </vt:variant>
      <vt:variant>
        <vt:lpwstr/>
      </vt:variant>
      <vt:variant>
        <vt:lpwstr>_Toc95122862</vt:lpwstr>
      </vt:variant>
      <vt:variant>
        <vt:i4>1638460</vt:i4>
      </vt:variant>
      <vt:variant>
        <vt:i4>182</vt:i4>
      </vt:variant>
      <vt:variant>
        <vt:i4>0</vt:i4>
      </vt:variant>
      <vt:variant>
        <vt:i4>5</vt:i4>
      </vt:variant>
      <vt:variant>
        <vt:lpwstr/>
      </vt:variant>
      <vt:variant>
        <vt:lpwstr>_Toc95122861</vt:lpwstr>
      </vt:variant>
      <vt:variant>
        <vt:i4>1572924</vt:i4>
      </vt:variant>
      <vt:variant>
        <vt:i4>176</vt:i4>
      </vt:variant>
      <vt:variant>
        <vt:i4>0</vt:i4>
      </vt:variant>
      <vt:variant>
        <vt:i4>5</vt:i4>
      </vt:variant>
      <vt:variant>
        <vt:lpwstr/>
      </vt:variant>
      <vt:variant>
        <vt:lpwstr>_Toc95122860</vt:lpwstr>
      </vt:variant>
      <vt:variant>
        <vt:i4>2031679</vt:i4>
      </vt:variant>
      <vt:variant>
        <vt:i4>170</vt:i4>
      </vt:variant>
      <vt:variant>
        <vt:i4>0</vt:i4>
      </vt:variant>
      <vt:variant>
        <vt:i4>5</vt:i4>
      </vt:variant>
      <vt:variant>
        <vt:lpwstr/>
      </vt:variant>
      <vt:variant>
        <vt:lpwstr>_Toc95122857</vt:lpwstr>
      </vt:variant>
      <vt:variant>
        <vt:i4>1966143</vt:i4>
      </vt:variant>
      <vt:variant>
        <vt:i4>164</vt:i4>
      </vt:variant>
      <vt:variant>
        <vt:i4>0</vt:i4>
      </vt:variant>
      <vt:variant>
        <vt:i4>5</vt:i4>
      </vt:variant>
      <vt:variant>
        <vt:lpwstr/>
      </vt:variant>
      <vt:variant>
        <vt:lpwstr>_Toc95122856</vt:lpwstr>
      </vt:variant>
      <vt:variant>
        <vt:i4>1900607</vt:i4>
      </vt:variant>
      <vt:variant>
        <vt:i4>158</vt:i4>
      </vt:variant>
      <vt:variant>
        <vt:i4>0</vt:i4>
      </vt:variant>
      <vt:variant>
        <vt:i4>5</vt:i4>
      </vt:variant>
      <vt:variant>
        <vt:lpwstr/>
      </vt:variant>
      <vt:variant>
        <vt:lpwstr>_Toc95122855</vt:lpwstr>
      </vt:variant>
      <vt:variant>
        <vt:i4>1048638</vt:i4>
      </vt:variant>
      <vt:variant>
        <vt:i4>152</vt:i4>
      </vt:variant>
      <vt:variant>
        <vt:i4>0</vt:i4>
      </vt:variant>
      <vt:variant>
        <vt:i4>5</vt:i4>
      </vt:variant>
      <vt:variant>
        <vt:lpwstr/>
      </vt:variant>
      <vt:variant>
        <vt:lpwstr>_Toc95122848</vt:lpwstr>
      </vt:variant>
      <vt:variant>
        <vt:i4>2031678</vt:i4>
      </vt:variant>
      <vt:variant>
        <vt:i4>146</vt:i4>
      </vt:variant>
      <vt:variant>
        <vt:i4>0</vt:i4>
      </vt:variant>
      <vt:variant>
        <vt:i4>5</vt:i4>
      </vt:variant>
      <vt:variant>
        <vt:lpwstr/>
      </vt:variant>
      <vt:variant>
        <vt:lpwstr>_Toc95122847</vt:lpwstr>
      </vt:variant>
      <vt:variant>
        <vt:i4>1966142</vt:i4>
      </vt:variant>
      <vt:variant>
        <vt:i4>140</vt:i4>
      </vt:variant>
      <vt:variant>
        <vt:i4>0</vt:i4>
      </vt:variant>
      <vt:variant>
        <vt:i4>5</vt:i4>
      </vt:variant>
      <vt:variant>
        <vt:lpwstr/>
      </vt:variant>
      <vt:variant>
        <vt:lpwstr>_Toc95122846</vt:lpwstr>
      </vt:variant>
      <vt:variant>
        <vt:i4>1900606</vt:i4>
      </vt:variant>
      <vt:variant>
        <vt:i4>134</vt:i4>
      </vt:variant>
      <vt:variant>
        <vt:i4>0</vt:i4>
      </vt:variant>
      <vt:variant>
        <vt:i4>5</vt:i4>
      </vt:variant>
      <vt:variant>
        <vt:lpwstr/>
      </vt:variant>
      <vt:variant>
        <vt:lpwstr>_Toc95122845</vt:lpwstr>
      </vt:variant>
      <vt:variant>
        <vt:i4>1835070</vt:i4>
      </vt:variant>
      <vt:variant>
        <vt:i4>128</vt:i4>
      </vt:variant>
      <vt:variant>
        <vt:i4>0</vt:i4>
      </vt:variant>
      <vt:variant>
        <vt:i4>5</vt:i4>
      </vt:variant>
      <vt:variant>
        <vt:lpwstr/>
      </vt:variant>
      <vt:variant>
        <vt:lpwstr>_Toc95122844</vt:lpwstr>
      </vt:variant>
      <vt:variant>
        <vt:i4>1769534</vt:i4>
      </vt:variant>
      <vt:variant>
        <vt:i4>122</vt:i4>
      </vt:variant>
      <vt:variant>
        <vt:i4>0</vt:i4>
      </vt:variant>
      <vt:variant>
        <vt:i4>5</vt:i4>
      </vt:variant>
      <vt:variant>
        <vt:lpwstr/>
      </vt:variant>
      <vt:variant>
        <vt:lpwstr>_Toc95122843</vt:lpwstr>
      </vt:variant>
      <vt:variant>
        <vt:i4>1703998</vt:i4>
      </vt:variant>
      <vt:variant>
        <vt:i4>116</vt:i4>
      </vt:variant>
      <vt:variant>
        <vt:i4>0</vt:i4>
      </vt:variant>
      <vt:variant>
        <vt:i4>5</vt:i4>
      </vt:variant>
      <vt:variant>
        <vt:lpwstr/>
      </vt:variant>
      <vt:variant>
        <vt:lpwstr>_Toc95122842</vt:lpwstr>
      </vt:variant>
      <vt:variant>
        <vt:i4>1638462</vt:i4>
      </vt:variant>
      <vt:variant>
        <vt:i4>110</vt:i4>
      </vt:variant>
      <vt:variant>
        <vt:i4>0</vt:i4>
      </vt:variant>
      <vt:variant>
        <vt:i4>5</vt:i4>
      </vt:variant>
      <vt:variant>
        <vt:lpwstr/>
      </vt:variant>
      <vt:variant>
        <vt:lpwstr>_Toc95122841</vt:lpwstr>
      </vt:variant>
      <vt:variant>
        <vt:i4>1572926</vt:i4>
      </vt:variant>
      <vt:variant>
        <vt:i4>104</vt:i4>
      </vt:variant>
      <vt:variant>
        <vt:i4>0</vt:i4>
      </vt:variant>
      <vt:variant>
        <vt:i4>5</vt:i4>
      </vt:variant>
      <vt:variant>
        <vt:lpwstr/>
      </vt:variant>
      <vt:variant>
        <vt:lpwstr>_Toc95122840</vt:lpwstr>
      </vt:variant>
      <vt:variant>
        <vt:i4>1114169</vt:i4>
      </vt:variant>
      <vt:variant>
        <vt:i4>98</vt:i4>
      </vt:variant>
      <vt:variant>
        <vt:i4>0</vt:i4>
      </vt:variant>
      <vt:variant>
        <vt:i4>5</vt:i4>
      </vt:variant>
      <vt:variant>
        <vt:lpwstr/>
      </vt:variant>
      <vt:variant>
        <vt:lpwstr>_Toc95122839</vt:lpwstr>
      </vt:variant>
      <vt:variant>
        <vt:i4>1048633</vt:i4>
      </vt:variant>
      <vt:variant>
        <vt:i4>92</vt:i4>
      </vt:variant>
      <vt:variant>
        <vt:i4>0</vt:i4>
      </vt:variant>
      <vt:variant>
        <vt:i4>5</vt:i4>
      </vt:variant>
      <vt:variant>
        <vt:lpwstr/>
      </vt:variant>
      <vt:variant>
        <vt:lpwstr>_Toc95122838</vt:lpwstr>
      </vt:variant>
      <vt:variant>
        <vt:i4>2031673</vt:i4>
      </vt:variant>
      <vt:variant>
        <vt:i4>86</vt:i4>
      </vt:variant>
      <vt:variant>
        <vt:i4>0</vt:i4>
      </vt:variant>
      <vt:variant>
        <vt:i4>5</vt:i4>
      </vt:variant>
      <vt:variant>
        <vt:lpwstr/>
      </vt:variant>
      <vt:variant>
        <vt:lpwstr>_Toc95122837</vt:lpwstr>
      </vt:variant>
      <vt:variant>
        <vt:i4>1966137</vt:i4>
      </vt:variant>
      <vt:variant>
        <vt:i4>80</vt:i4>
      </vt:variant>
      <vt:variant>
        <vt:i4>0</vt:i4>
      </vt:variant>
      <vt:variant>
        <vt:i4>5</vt:i4>
      </vt:variant>
      <vt:variant>
        <vt:lpwstr/>
      </vt:variant>
      <vt:variant>
        <vt:lpwstr>_Toc95122836</vt:lpwstr>
      </vt:variant>
      <vt:variant>
        <vt:i4>1900601</vt:i4>
      </vt:variant>
      <vt:variant>
        <vt:i4>74</vt:i4>
      </vt:variant>
      <vt:variant>
        <vt:i4>0</vt:i4>
      </vt:variant>
      <vt:variant>
        <vt:i4>5</vt:i4>
      </vt:variant>
      <vt:variant>
        <vt:lpwstr/>
      </vt:variant>
      <vt:variant>
        <vt:lpwstr>_Toc95122835</vt:lpwstr>
      </vt:variant>
      <vt:variant>
        <vt:i4>1835065</vt:i4>
      </vt:variant>
      <vt:variant>
        <vt:i4>68</vt:i4>
      </vt:variant>
      <vt:variant>
        <vt:i4>0</vt:i4>
      </vt:variant>
      <vt:variant>
        <vt:i4>5</vt:i4>
      </vt:variant>
      <vt:variant>
        <vt:lpwstr/>
      </vt:variant>
      <vt:variant>
        <vt:lpwstr>_Toc95122834</vt:lpwstr>
      </vt:variant>
      <vt:variant>
        <vt:i4>1769529</vt:i4>
      </vt:variant>
      <vt:variant>
        <vt:i4>62</vt:i4>
      </vt:variant>
      <vt:variant>
        <vt:i4>0</vt:i4>
      </vt:variant>
      <vt:variant>
        <vt:i4>5</vt:i4>
      </vt:variant>
      <vt:variant>
        <vt:lpwstr/>
      </vt:variant>
      <vt:variant>
        <vt:lpwstr>_Toc95122833</vt:lpwstr>
      </vt:variant>
      <vt:variant>
        <vt:i4>1703993</vt:i4>
      </vt:variant>
      <vt:variant>
        <vt:i4>56</vt:i4>
      </vt:variant>
      <vt:variant>
        <vt:i4>0</vt:i4>
      </vt:variant>
      <vt:variant>
        <vt:i4>5</vt:i4>
      </vt:variant>
      <vt:variant>
        <vt:lpwstr/>
      </vt:variant>
      <vt:variant>
        <vt:lpwstr>_Toc95122832</vt:lpwstr>
      </vt:variant>
      <vt:variant>
        <vt:i4>1638457</vt:i4>
      </vt:variant>
      <vt:variant>
        <vt:i4>50</vt:i4>
      </vt:variant>
      <vt:variant>
        <vt:i4>0</vt:i4>
      </vt:variant>
      <vt:variant>
        <vt:i4>5</vt:i4>
      </vt:variant>
      <vt:variant>
        <vt:lpwstr/>
      </vt:variant>
      <vt:variant>
        <vt:lpwstr>_Toc95122831</vt:lpwstr>
      </vt:variant>
      <vt:variant>
        <vt:i4>1572921</vt:i4>
      </vt:variant>
      <vt:variant>
        <vt:i4>44</vt:i4>
      </vt:variant>
      <vt:variant>
        <vt:i4>0</vt:i4>
      </vt:variant>
      <vt:variant>
        <vt:i4>5</vt:i4>
      </vt:variant>
      <vt:variant>
        <vt:lpwstr/>
      </vt:variant>
      <vt:variant>
        <vt:lpwstr>_Toc95122830</vt:lpwstr>
      </vt:variant>
      <vt:variant>
        <vt:i4>1114168</vt:i4>
      </vt:variant>
      <vt:variant>
        <vt:i4>38</vt:i4>
      </vt:variant>
      <vt:variant>
        <vt:i4>0</vt:i4>
      </vt:variant>
      <vt:variant>
        <vt:i4>5</vt:i4>
      </vt:variant>
      <vt:variant>
        <vt:lpwstr/>
      </vt:variant>
      <vt:variant>
        <vt:lpwstr>_Toc95122829</vt:lpwstr>
      </vt:variant>
      <vt:variant>
        <vt:i4>1048632</vt:i4>
      </vt:variant>
      <vt:variant>
        <vt:i4>32</vt:i4>
      </vt:variant>
      <vt:variant>
        <vt:i4>0</vt:i4>
      </vt:variant>
      <vt:variant>
        <vt:i4>5</vt:i4>
      </vt:variant>
      <vt:variant>
        <vt:lpwstr/>
      </vt:variant>
      <vt:variant>
        <vt:lpwstr>_Toc95122828</vt:lpwstr>
      </vt:variant>
      <vt:variant>
        <vt:i4>2031672</vt:i4>
      </vt:variant>
      <vt:variant>
        <vt:i4>26</vt:i4>
      </vt:variant>
      <vt:variant>
        <vt:i4>0</vt:i4>
      </vt:variant>
      <vt:variant>
        <vt:i4>5</vt:i4>
      </vt:variant>
      <vt:variant>
        <vt:lpwstr/>
      </vt:variant>
      <vt:variant>
        <vt:lpwstr>_Toc95122827</vt:lpwstr>
      </vt:variant>
      <vt:variant>
        <vt:i4>1966136</vt:i4>
      </vt:variant>
      <vt:variant>
        <vt:i4>20</vt:i4>
      </vt:variant>
      <vt:variant>
        <vt:i4>0</vt:i4>
      </vt:variant>
      <vt:variant>
        <vt:i4>5</vt:i4>
      </vt:variant>
      <vt:variant>
        <vt:lpwstr/>
      </vt:variant>
      <vt:variant>
        <vt:lpwstr>_Toc95122826</vt:lpwstr>
      </vt:variant>
      <vt:variant>
        <vt:i4>1900600</vt:i4>
      </vt:variant>
      <vt:variant>
        <vt:i4>14</vt:i4>
      </vt:variant>
      <vt:variant>
        <vt:i4>0</vt:i4>
      </vt:variant>
      <vt:variant>
        <vt:i4>5</vt:i4>
      </vt:variant>
      <vt:variant>
        <vt:lpwstr/>
      </vt:variant>
      <vt:variant>
        <vt:lpwstr>_Toc95122825</vt:lpwstr>
      </vt:variant>
      <vt:variant>
        <vt:i4>1835064</vt:i4>
      </vt:variant>
      <vt:variant>
        <vt:i4>8</vt:i4>
      </vt:variant>
      <vt:variant>
        <vt:i4>0</vt:i4>
      </vt:variant>
      <vt:variant>
        <vt:i4>5</vt:i4>
      </vt:variant>
      <vt:variant>
        <vt:lpwstr/>
      </vt:variant>
      <vt:variant>
        <vt:lpwstr>_Toc95122824</vt:lpwstr>
      </vt:variant>
      <vt:variant>
        <vt:i4>1769528</vt:i4>
      </vt:variant>
      <vt:variant>
        <vt:i4>2</vt:i4>
      </vt:variant>
      <vt:variant>
        <vt:i4>0</vt:i4>
      </vt:variant>
      <vt:variant>
        <vt:i4>5</vt:i4>
      </vt:variant>
      <vt:variant>
        <vt:lpwstr/>
      </vt:variant>
      <vt:variant>
        <vt:lpwstr>_Toc95122823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 Neves de Oliveira</dc:creator>
  <cp:keywords/>
  <cp:lastModifiedBy>Alessandra De Noronha Carvalhal</cp:lastModifiedBy>
  <cp:revision>2</cp:revision>
  <cp:lastPrinted>2025-03-20T12:27:00Z</cp:lastPrinted>
  <dcterms:created xsi:type="dcterms:W3CDTF">2025-03-20T17:27:00Z</dcterms:created>
  <dcterms:modified xsi:type="dcterms:W3CDTF">2025-03-20T17:27:00Z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0x010100D18A7C92F09A784AA05C3F5635716AF6</vt:lpwstr>
  </property>
</Properties>
</file>